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DC5E39">
        <w:trPr>
          <w:trHeight w:val="1760"/>
        </w:trPr>
        <w:tc>
          <w:tcPr>
            <w:tcW w:w="3993" w:type="dxa"/>
          </w:tcPr>
          <w:p w:rsidR="0067078A" w:rsidRPr="00C5280D" w:rsidRDefault="0067078A" w:rsidP="00DC5E39">
            <w:bookmarkStart w:id="0" w:name="TitleOfDoc"/>
            <w:bookmarkEnd w:id="0"/>
          </w:p>
        </w:tc>
        <w:tc>
          <w:tcPr>
            <w:tcW w:w="1549" w:type="dxa"/>
            <w:vAlign w:val="center"/>
          </w:tcPr>
          <w:p w:rsidR="0067078A" w:rsidRPr="003C027A" w:rsidRDefault="0067078A" w:rsidP="00DC5E39">
            <w:pPr>
              <w:pStyle w:val="LogoUPOV"/>
            </w:pPr>
            <w:r w:rsidRPr="003C027A">
              <w:rPr>
                <w:noProof/>
              </w:rPr>
              <w:drawing>
                <wp:inline distT="0" distB="0" distL="0" distR="0" wp14:anchorId="2A3E2EDA" wp14:editId="2E982EA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3C027A" w:rsidRDefault="0067078A" w:rsidP="00DC5E39">
            <w:pPr>
              <w:pStyle w:val="Lettrine"/>
            </w:pPr>
            <w:r w:rsidRPr="003C027A">
              <w:t>E</w:t>
            </w:r>
          </w:p>
          <w:p w:rsidR="0067078A" w:rsidRPr="003C027A" w:rsidRDefault="00D046B8" w:rsidP="00DC5E39">
            <w:pPr>
              <w:pStyle w:val="Docoriginal"/>
            </w:pPr>
            <w:r>
              <w:t>C/49/4 Rev.</w:t>
            </w:r>
          </w:p>
          <w:p w:rsidR="0067078A" w:rsidRPr="003C027A" w:rsidRDefault="0067078A" w:rsidP="00DC5E39">
            <w:pPr>
              <w:pStyle w:val="Docoriginal"/>
              <w:rPr>
                <w:b w:val="0"/>
                <w:spacing w:val="0"/>
              </w:rPr>
            </w:pPr>
            <w:r w:rsidRPr="003C027A">
              <w:rPr>
                <w:rStyle w:val="StyleDoclangBold"/>
                <w:b/>
                <w:bCs/>
                <w:spacing w:val="0"/>
              </w:rPr>
              <w:t>ORIGINAL:</w:t>
            </w:r>
            <w:r w:rsidRPr="003C027A">
              <w:rPr>
                <w:rStyle w:val="StyleDocoriginalNotBold1"/>
                <w:spacing w:val="0"/>
              </w:rPr>
              <w:t xml:space="preserve"> </w:t>
            </w:r>
            <w:r w:rsidRPr="003C027A">
              <w:t xml:space="preserve"> </w:t>
            </w:r>
            <w:bookmarkStart w:id="1" w:name="Original"/>
            <w:bookmarkEnd w:id="1"/>
            <w:r w:rsidRPr="003C027A">
              <w:rPr>
                <w:b w:val="0"/>
                <w:spacing w:val="0"/>
              </w:rPr>
              <w:t>English</w:t>
            </w:r>
          </w:p>
          <w:p w:rsidR="0067078A" w:rsidRPr="00C5280D" w:rsidRDefault="0067078A" w:rsidP="00D046B8">
            <w:pPr>
              <w:pStyle w:val="Docoriginal"/>
            </w:pPr>
            <w:r w:rsidRPr="003C027A">
              <w:t xml:space="preserve">DATE: </w:t>
            </w:r>
            <w:r w:rsidRPr="003C027A">
              <w:rPr>
                <w:rStyle w:val="StyleDocoriginalNotBold1"/>
                <w:spacing w:val="0"/>
              </w:rPr>
              <w:t xml:space="preserve"> </w:t>
            </w:r>
            <w:bookmarkStart w:id="2" w:name="Date"/>
            <w:bookmarkEnd w:id="2"/>
            <w:r w:rsidR="00D046B8">
              <w:rPr>
                <w:b w:val="0"/>
                <w:spacing w:val="0"/>
              </w:rPr>
              <w:t>October 29, 2015</w:t>
            </w:r>
          </w:p>
        </w:tc>
      </w:tr>
      <w:tr w:rsidR="0067078A" w:rsidRPr="00C5280D" w:rsidTr="00DC5E39">
        <w:tc>
          <w:tcPr>
            <w:tcW w:w="9534" w:type="dxa"/>
            <w:gridSpan w:val="3"/>
          </w:tcPr>
          <w:p w:rsidR="0067078A" w:rsidRPr="00C5280D" w:rsidRDefault="0067078A" w:rsidP="00DC5E39">
            <w:pPr>
              <w:pStyle w:val="upove"/>
              <w:rPr>
                <w:sz w:val="28"/>
              </w:rPr>
            </w:pPr>
            <w:r w:rsidRPr="00C5280D">
              <w:rPr>
                <w:snapToGrid w:val="0"/>
              </w:rPr>
              <w:t xml:space="preserve">INTERNATIONAL UNION FOR THE PROTECTION OF NEW VARIETIES OF PLANTS </w:t>
            </w:r>
          </w:p>
        </w:tc>
      </w:tr>
      <w:tr w:rsidR="0067078A" w:rsidRPr="00C5280D" w:rsidTr="00DC5E39">
        <w:tc>
          <w:tcPr>
            <w:tcW w:w="9534" w:type="dxa"/>
            <w:gridSpan w:val="3"/>
          </w:tcPr>
          <w:p w:rsidR="0067078A" w:rsidRPr="00C5280D" w:rsidRDefault="0067078A" w:rsidP="00DC5E39">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FA39F0" w:rsidP="006655D3">
      <w:pPr>
        <w:pStyle w:val="Titleofdoc0"/>
      </w:pPr>
      <w:r w:rsidRPr="00DB691A">
        <w:t>Program and Budget for the 2016-2017 Biennium</w:t>
      </w:r>
    </w:p>
    <w:p w:rsidR="000D7780" w:rsidRPr="00C5280D" w:rsidRDefault="00D046B8" w:rsidP="006655D3">
      <w:pPr>
        <w:pStyle w:val="preparedby1"/>
      </w:pPr>
      <w:bookmarkStart w:id="3" w:name="Prepared"/>
      <w:bookmarkEnd w:id="3"/>
      <w:r>
        <w:t xml:space="preserve">adopted </w:t>
      </w:r>
      <w:r w:rsidR="0061555F" w:rsidRPr="00FA39F0">
        <w:t xml:space="preserve">by the </w:t>
      </w:r>
      <w:r>
        <w:t>Council</w:t>
      </w:r>
    </w:p>
    <w:p w:rsidR="00D046B8" w:rsidRDefault="00D046B8" w:rsidP="00D046B8">
      <w:r w:rsidRPr="00DD6106">
        <w:fldChar w:fldCharType="begin"/>
      </w:r>
      <w:r w:rsidRPr="00DD6106">
        <w:instrText xml:space="preserve"> AUTONUM  </w:instrText>
      </w:r>
      <w:r w:rsidRPr="00DD6106">
        <w:fldChar w:fldCharType="end"/>
      </w:r>
      <w:r w:rsidRPr="00DD6106">
        <w:tab/>
      </w:r>
      <w:r>
        <w:t>At its forty-</w:t>
      </w:r>
      <w:r>
        <w:t>ninth</w:t>
      </w:r>
      <w:r>
        <w:t xml:space="preserve"> ordinary session, held in Geneva on October 2</w:t>
      </w:r>
      <w:r>
        <w:t>9</w:t>
      </w:r>
      <w:r>
        <w:t>, 201</w:t>
      </w:r>
      <w:r>
        <w:t>5</w:t>
      </w:r>
      <w:r>
        <w:t>, the Council adopted the proposals contained in the Draft Program and Budget for the 201</w:t>
      </w:r>
      <w:r>
        <w:t>6</w:t>
      </w:r>
      <w:r>
        <w:t>-201</w:t>
      </w:r>
      <w:r>
        <w:t>7</w:t>
      </w:r>
      <w:r>
        <w:t xml:space="preserve"> Biennium, as set out in document C/4</w:t>
      </w:r>
      <w:r>
        <w:t>9</w:t>
      </w:r>
      <w:r>
        <w:t>/4, including the amount of contributions from members of the Union, the proposed maximum ceiling of expenditure in the regular budget, and the total number of posts for the Office of the Union.</w:t>
      </w:r>
    </w:p>
    <w:p w:rsidR="00D046B8" w:rsidRDefault="00D046B8" w:rsidP="00D046B8"/>
    <w:p w:rsidR="00D046B8" w:rsidRDefault="00D046B8" w:rsidP="00D046B8">
      <w:r w:rsidRPr="00DD6106">
        <w:fldChar w:fldCharType="begin"/>
      </w:r>
      <w:r w:rsidRPr="00DD6106">
        <w:instrText xml:space="preserve"> AUTONUM  </w:instrText>
      </w:r>
      <w:r w:rsidRPr="00DD6106">
        <w:fldChar w:fldCharType="end"/>
      </w:r>
      <w:r w:rsidRPr="00DD6106">
        <w:tab/>
      </w:r>
      <w:r>
        <w:t>The Annex to this document contains the Program and Budget for the 201</w:t>
      </w:r>
      <w:r>
        <w:t>6</w:t>
      </w:r>
      <w:r>
        <w:t>-201</w:t>
      </w:r>
      <w:r>
        <w:t>7</w:t>
      </w:r>
      <w:r>
        <w:t xml:space="preserve"> Biennium, as adopted by the Council.</w:t>
      </w:r>
    </w:p>
    <w:p w:rsidR="00D046B8" w:rsidRDefault="00D046B8" w:rsidP="00BF2667"/>
    <w:p w:rsidR="00D046B8" w:rsidRDefault="00D046B8" w:rsidP="00BF2667"/>
    <w:p w:rsidR="00FA39F0" w:rsidRDefault="00FA39F0">
      <w:pPr>
        <w:jc w:val="left"/>
      </w:pPr>
    </w:p>
    <w:p w:rsidR="008E6BA0" w:rsidRDefault="0061555F" w:rsidP="005F05B6">
      <w:pPr>
        <w:jc w:val="right"/>
        <w:sectPr w:rsidR="008E6BA0" w:rsidSect="00906DDC">
          <w:headerReference w:type="default" r:id="rId9"/>
          <w:pgSz w:w="11907" w:h="16840" w:code="9"/>
          <w:pgMar w:top="510" w:right="1134" w:bottom="1134" w:left="1134" w:header="510" w:footer="680" w:gutter="0"/>
          <w:cols w:space="720"/>
          <w:titlePg/>
        </w:sectPr>
      </w:pPr>
      <w:r w:rsidRPr="00C5280D">
        <w:t>[</w:t>
      </w:r>
      <w:r w:rsidR="008E6BA0">
        <w:t>Annex follows</w:t>
      </w:r>
      <w:r w:rsidRPr="00C5280D">
        <w:t>]</w:t>
      </w:r>
    </w:p>
    <w:p w:rsidR="003117C2" w:rsidRDefault="00D046B8" w:rsidP="003117C2">
      <w:pPr>
        <w:jc w:val="center"/>
      </w:pPr>
      <w:r>
        <w:lastRenderedPageBreak/>
        <w:t>C/49/4 Rev.</w:t>
      </w:r>
    </w:p>
    <w:p w:rsidR="003117C2" w:rsidRDefault="003117C2" w:rsidP="003117C2">
      <w:pPr>
        <w:jc w:val="center"/>
      </w:pPr>
    </w:p>
    <w:p w:rsidR="003117C2" w:rsidRDefault="003117C2" w:rsidP="003117C2">
      <w:pPr>
        <w:jc w:val="center"/>
      </w:pPr>
      <w:r>
        <w:t>ANNEX</w:t>
      </w:r>
    </w:p>
    <w:p w:rsidR="003117C2" w:rsidRDefault="003117C2" w:rsidP="003117C2">
      <w:pPr>
        <w:jc w:val="center"/>
      </w:pPr>
    </w:p>
    <w:p w:rsidR="003117C2" w:rsidRPr="00913886" w:rsidRDefault="003117C2" w:rsidP="003117C2">
      <w:pPr>
        <w:jc w:val="center"/>
      </w:pPr>
      <w:r w:rsidRPr="00913886">
        <w:t>PROGRAM AND BUDGET FOR THE 201</w:t>
      </w:r>
      <w:r>
        <w:t>6</w:t>
      </w:r>
      <w:r w:rsidRPr="00913886">
        <w:t>-201</w:t>
      </w:r>
      <w:r>
        <w:t>7</w:t>
      </w:r>
      <w:r w:rsidRPr="00913886">
        <w:t xml:space="preserve"> BIENNIUM</w:t>
      </w:r>
    </w:p>
    <w:p w:rsidR="003117C2" w:rsidRDefault="003117C2" w:rsidP="003117C2">
      <w:pPr>
        <w:jc w:val="center"/>
      </w:pPr>
    </w:p>
    <w:p w:rsidR="003117C2" w:rsidRPr="00C94BA7" w:rsidRDefault="003117C2" w:rsidP="003117C2">
      <w:pPr>
        <w:jc w:val="center"/>
      </w:pPr>
    </w:p>
    <w:p w:rsidR="003117C2" w:rsidRPr="00913886" w:rsidRDefault="003117C2" w:rsidP="003117C2">
      <w:pPr>
        <w:keepNext/>
        <w:rPr>
          <w:rFonts w:cs="Arial"/>
          <w:u w:val="single"/>
        </w:rPr>
      </w:pPr>
      <w:r w:rsidRPr="00913886">
        <w:rPr>
          <w:rFonts w:cs="Arial"/>
          <w:u w:val="single"/>
        </w:rPr>
        <w:t>TABLE OF CONTENTS</w:t>
      </w:r>
    </w:p>
    <w:p w:rsidR="003117C2" w:rsidRDefault="003117C2" w:rsidP="003117C2">
      <w:pPr>
        <w:keepNext/>
        <w:rPr>
          <w:rFonts w:cs="Arial"/>
        </w:rPr>
      </w:pPr>
    </w:p>
    <w:p w:rsidR="003117C2" w:rsidRPr="00913886" w:rsidRDefault="003117C2" w:rsidP="003117C2">
      <w:pPr>
        <w:rPr>
          <w:rFonts w:cs="Arial"/>
        </w:rPr>
      </w:pPr>
      <w:r w:rsidRPr="00913886">
        <w:rPr>
          <w:rFonts w:cs="Arial"/>
        </w:rPr>
        <w:t>1.</w:t>
      </w:r>
      <w:r w:rsidRPr="00913886">
        <w:rPr>
          <w:rFonts w:cs="Arial"/>
        </w:rPr>
        <w:tab/>
        <w:t>INTRODUCTION</w:t>
      </w:r>
    </w:p>
    <w:p w:rsidR="003117C2" w:rsidRPr="00913886" w:rsidRDefault="003117C2" w:rsidP="003117C2">
      <w:pPr>
        <w:rPr>
          <w:rFonts w:cs="Arial"/>
        </w:rPr>
      </w:pPr>
      <w:bookmarkStart w:id="4" w:name="_GoBack"/>
      <w:bookmarkEnd w:id="4"/>
    </w:p>
    <w:p w:rsidR="003117C2" w:rsidRPr="00913886" w:rsidRDefault="003117C2" w:rsidP="003117C2">
      <w:pPr>
        <w:rPr>
          <w:rFonts w:cs="Arial"/>
        </w:rPr>
      </w:pPr>
      <w:r w:rsidRPr="00913886">
        <w:rPr>
          <w:rFonts w:cs="Arial"/>
        </w:rPr>
        <w:t>2.</w:t>
      </w:r>
      <w:r w:rsidRPr="00913886">
        <w:rPr>
          <w:rFonts w:cs="Arial"/>
        </w:rPr>
        <w:tab/>
        <w:t>OBJECTIVES AND EXPECTED RESULTS BY SUB-PROGRAM</w:t>
      </w:r>
    </w:p>
    <w:p w:rsidR="003117C2" w:rsidRPr="00913886" w:rsidRDefault="003117C2" w:rsidP="003117C2">
      <w:pPr>
        <w:rPr>
          <w:rFonts w:cs="Arial"/>
        </w:rPr>
      </w:pPr>
    </w:p>
    <w:p w:rsidR="003117C2" w:rsidRPr="00913886" w:rsidRDefault="003117C2" w:rsidP="003117C2">
      <w:pPr>
        <w:ind w:left="567"/>
        <w:rPr>
          <w:rFonts w:cs="Arial"/>
        </w:rPr>
      </w:pPr>
      <w:r w:rsidRPr="00913886">
        <w:rPr>
          <w:rFonts w:cs="Arial"/>
        </w:rPr>
        <w:t>2.1</w:t>
      </w:r>
      <w:r w:rsidRPr="00913886">
        <w:rPr>
          <w:rFonts w:cs="Arial"/>
        </w:rPr>
        <w:tab/>
        <w:t>Sub-program UV.1:  Overall Policy on Plant Variety Protection</w:t>
      </w:r>
    </w:p>
    <w:p w:rsidR="003117C2" w:rsidRPr="00913886" w:rsidRDefault="003117C2" w:rsidP="003117C2">
      <w:pPr>
        <w:ind w:left="1134"/>
        <w:rPr>
          <w:rFonts w:cs="Arial"/>
          <w:i/>
        </w:rPr>
      </w:pPr>
    </w:p>
    <w:p w:rsidR="003117C2" w:rsidRPr="00913886" w:rsidRDefault="003117C2" w:rsidP="003117C2">
      <w:pPr>
        <w:ind w:left="1843" w:hanging="709"/>
        <w:rPr>
          <w:rFonts w:cs="Arial"/>
          <w:i/>
        </w:rPr>
      </w:pPr>
      <w:r w:rsidRPr="00913886">
        <w:rPr>
          <w:rFonts w:cs="Arial"/>
          <w:i/>
        </w:rPr>
        <w:t>2.1.1</w:t>
      </w:r>
      <w:r w:rsidRPr="00913886">
        <w:rPr>
          <w:rFonts w:cs="Arial"/>
          <w:i/>
        </w:rPr>
        <w:tab/>
        <w:t>Objectives</w:t>
      </w:r>
    </w:p>
    <w:p w:rsidR="003117C2" w:rsidRPr="00913886" w:rsidRDefault="003117C2" w:rsidP="003117C2">
      <w:pPr>
        <w:ind w:left="1843" w:hanging="709"/>
        <w:rPr>
          <w:rFonts w:cs="Arial"/>
          <w:i/>
        </w:rPr>
      </w:pPr>
      <w:r w:rsidRPr="00913886">
        <w:rPr>
          <w:rFonts w:cs="Arial"/>
          <w:i/>
        </w:rPr>
        <w:t>2.1.2</w:t>
      </w:r>
      <w:r w:rsidRPr="00913886">
        <w:rPr>
          <w:rFonts w:cs="Arial"/>
          <w:i/>
        </w:rPr>
        <w:tab/>
        <w:t>Narrative</w:t>
      </w:r>
    </w:p>
    <w:p w:rsidR="003117C2" w:rsidRPr="00913886" w:rsidRDefault="003117C2" w:rsidP="003117C2">
      <w:pPr>
        <w:ind w:left="1843" w:hanging="709"/>
        <w:rPr>
          <w:rFonts w:cs="Arial"/>
          <w:i/>
        </w:rPr>
      </w:pPr>
      <w:r w:rsidRPr="00913886">
        <w:rPr>
          <w:rFonts w:cs="Arial"/>
          <w:i/>
        </w:rPr>
        <w:t>2.1.3</w:t>
      </w:r>
      <w:r w:rsidRPr="00913886">
        <w:rPr>
          <w:rFonts w:cs="Arial"/>
          <w:i/>
        </w:rPr>
        <w:tab/>
        <w:t>Activities</w:t>
      </w:r>
    </w:p>
    <w:p w:rsidR="003117C2" w:rsidRPr="00913886" w:rsidRDefault="003117C2" w:rsidP="003117C2">
      <w:pPr>
        <w:ind w:left="1843" w:hanging="709"/>
        <w:rPr>
          <w:rFonts w:cs="Arial"/>
          <w:i/>
        </w:rPr>
      </w:pPr>
      <w:r w:rsidRPr="00913886">
        <w:rPr>
          <w:rFonts w:cs="Arial"/>
          <w:i/>
        </w:rPr>
        <w:t>2.1.4</w:t>
      </w:r>
      <w:r w:rsidRPr="00913886">
        <w:rPr>
          <w:rFonts w:cs="Arial"/>
          <w:i/>
        </w:rPr>
        <w:tab/>
        <w:t>Expected Results and Performance Indicators</w:t>
      </w:r>
    </w:p>
    <w:p w:rsidR="003117C2" w:rsidRPr="00913886" w:rsidRDefault="003117C2" w:rsidP="003117C2">
      <w:pPr>
        <w:rPr>
          <w:rFonts w:cs="Arial"/>
        </w:rPr>
      </w:pPr>
    </w:p>
    <w:p w:rsidR="003117C2" w:rsidRPr="00913886" w:rsidRDefault="003117C2" w:rsidP="003117C2">
      <w:pPr>
        <w:ind w:left="1134" w:hanging="567"/>
        <w:rPr>
          <w:rFonts w:cs="Arial"/>
        </w:rPr>
      </w:pPr>
      <w:r w:rsidRPr="00913886">
        <w:rPr>
          <w:rFonts w:cs="Arial"/>
        </w:rPr>
        <w:t>2.2</w:t>
      </w:r>
      <w:r w:rsidRPr="00913886">
        <w:rPr>
          <w:rFonts w:cs="Arial"/>
        </w:rPr>
        <w:tab/>
        <w:t>Sub-program UV.2:  Services to the Union for Enhancing the Effectiveness of the UPOV System</w:t>
      </w:r>
    </w:p>
    <w:p w:rsidR="003117C2" w:rsidRPr="00913886" w:rsidRDefault="003117C2" w:rsidP="003117C2">
      <w:pPr>
        <w:ind w:left="1134" w:hanging="567"/>
        <w:rPr>
          <w:rFonts w:cs="Arial"/>
        </w:rPr>
      </w:pPr>
    </w:p>
    <w:p w:rsidR="003117C2" w:rsidRPr="00913886" w:rsidRDefault="003117C2" w:rsidP="003117C2">
      <w:pPr>
        <w:ind w:left="1843" w:hanging="709"/>
        <w:rPr>
          <w:rFonts w:cs="Arial"/>
          <w:i/>
        </w:rPr>
      </w:pPr>
      <w:r w:rsidRPr="00913886">
        <w:rPr>
          <w:rFonts w:cs="Arial"/>
          <w:i/>
        </w:rPr>
        <w:t>2.2.1</w:t>
      </w:r>
      <w:r w:rsidRPr="00913886">
        <w:rPr>
          <w:rFonts w:cs="Arial"/>
          <w:i/>
        </w:rPr>
        <w:tab/>
        <w:t>Objectives</w:t>
      </w:r>
    </w:p>
    <w:p w:rsidR="003117C2" w:rsidRDefault="003117C2" w:rsidP="003117C2">
      <w:pPr>
        <w:ind w:left="1843" w:hanging="709"/>
        <w:rPr>
          <w:rFonts w:cs="Arial"/>
          <w:i/>
        </w:rPr>
      </w:pPr>
      <w:r w:rsidRPr="00913886">
        <w:rPr>
          <w:rFonts w:cs="Arial"/>
          <w:i/>
        </w:rPr>
        <w:t>2.2.2</w:t>
      </w:r>
      <w:r w:rsidRPr="00913886">
        <w:rPr>
          <w:rFonts w:cs="Arial"/>
          <w:i/>
        </w:rPr>
        <w:tab/>
        <w:t>Narrative</w:t>
      </w:r>
    </w:p>
    <w:p w:rsidR="003117C2" w:rsidRPr="003117C2" w:rsidRDefault="003117C2" w:rsidP="003117C2">
      <w:pPr>
        <w:spacing w:line="240" w:lineRule="atLeast"/>
        <w:ind w:left="1843" w:hanging="709"/>
        <w:rPr>
          <w:rFonts w:cs="Arial"/>
          <w:sz w:val="18"/>
        </w:rPr>
      </w:pPr>
      <w:r w:rsidRPr="003117C2">
        <w:rPr>
          <w:rFonts w:cs="Arial"/>
          <w:i/>
        </w:rPr>
        <w:tab/>
      </w:r>
      <w:r w:rsidRPr="003117C2">
        <w:rPr>
          <w:rFonts w:cs="Arial"/>
          <w:i/>
          <w:sz w:val="18"/>
        </w:rPr>
        <w:t xml:space="preserve">- </w:t>
      </w:r>
      <w:r w:rsidRPr="003117C2">
        <w:rPr>
          <w:rFonts w:cs="Arial"/>
          <w:sz w:val="18"/>
        </w:rPr>
        <w:t>Introduction</w:t>
      </w:r>
    </w:p>
    <w:p w:rsidR="003117C2" w:rsidRPr="003117C2" w:rsidRDefault="003117C2" w:rsidP="003117C2">
      <w:pPr>
        <w:spacing w:line="240" w:lineRule="atLeast"/>
        <w:ind w:left="1843" w:hanging="709"/>
        <w:rPr>
          <w:rFonts w:cs="Arial"/>
          <w:sz w:val="18"/>
        </w:rPr>
      </w:pPr>
      <w:r w:rsidRPr="003117C2">
        <w:rPr>
          <w:rFonts w:cs="Arial"/>
          <w:sz w:val="18"/>
        </w:rPr>
        <w:tab/>
        <w:t>- Guidance and information materials</w:t>
      </w:r>
    </w:p>
    <w:p w:rsidR="003117C2" w:rsidRPr="003117C2" w:rsidRDefault="003117C2" w:rsidP="003117C2">
      <w:pPr>
        <w:spacing w:line="240" w:lineRule="atLeast"/>
        <w:ind w:left="1843" w:hanging="709"/>
        <w:rPr>
          <w:rFonts w:cs="Arial"/>
          <w:sz w:val="18"/>
        </w:rPr>
      </w:pPr>
      <w:r w:rsidRPr="003117C2">
        <w:rPr>
          <w:rFonts w:cs="Arial"/>
          <w:sz w:val="18"/>
        </w:rPr>
        <w:tab/>
        <w:t>- Cooperation in DUS Examination</w:t>
      </w:r>
    </w:p>
    <w:p w:rsidR="003117C2" w:rsidRPr="00913886" w:rsidRDefault="003117C2" w:rsidP="003117C2">
      <w:pPr>
        <w:ind w:left="1843" w:hanging="709"/>
        <w:rPr>
          <w:rFonts w:cs="Arial"/>
          <w:i/>
        </w:rPr>
      </w:pPr>
      <w:r w:rsidRPr="00913886">
        <w:rPr>
          <w:rFonts w:cs="Arial"/>
          <w:i/>
        </w:rPr>
        <w:t>2.2.3</w:t>
      </w:r>
      <w:r w:rsidRPr="00913886">
        <w:rPr>
          <w:rFonts w:cs="Arial"/>
          <w:i/>
        </w:rPr>
        <w:tab/>
        <w:t>Activities</w:t>
      </w:r>
    </w:p>
    <w:p w:rsidR="003117C2" w:rsidRPr="00913886" w:rsidRDefault="003117C2" w:rsidP="003117C2">
      <w:pPr>
        <w:ind w:left="1843" w:hanging="709"/>
        <w:rPr>
          <w:rFonts w:cs="Arial"/>
          <w:i/>
        </w:rPr>
      </w:pPr>
      <w:r w:rsidRPr="00913886">
        <w:rPr>
          <w:rFonts w:cs="Arial"/>
          <w:i/>
        </w:rPr>
        <w:t>2.2.4</w:t>
      </w:r>
      <w:r w:rsidRPr="00913886">
        <w:rPr>
          <w:rFonts w:cs="Arial"/>
          <w:i/>
        </w:rPr>
        <w:tab/>
        <w:t>Expected Results and Performance Indicators</w:t>
      </w:r>
    </w:p>
    <w:p w:rsidR="003117C2" w:rsidRPr="00913886" w:rsidRDefault="003117C2" w:rsidP="003117C2">
      <w:pPr>
        <w:rPr>
          <w:rFonts w:cs="Arial"/>
        </w:rPr>
      </w:pPr>
    </w:p>
    <w:p w:rsidR="003117C2" w:rsidRPr="00913886" w:rsidRDefault="003117C2" w:rsidP="003117C2">
      <w:pPr>
        <w:ind w:left="1134" w:hanging="567"/>
        <w:rPr>
          <w:rFonts w:cs="Arial"/>
        </w:rPr>
      </w:pPr>
      <w:r w:rsidRPr="00913886">
        <w:rPr>
          <w:rFonts w:cs="Arial"/>
        </w:rPr>
        <w:t>2.3</w:t>
      </w:r>
      <w:r w:rsidRPr="00913886">
        <w:rPr>
          <w:rFonts w:cs="Arial"/>
        </w:rPr>
        <w:tab/>
        <w:t xml:space="preserve">Sub-program UV.3:  Assistance in the Introduction and Implementation of the UPOV System </w:t>
      </w:r>
    </w:p>
    <w:p w:rsidR="003117C2" w:rsidRPr="00913886" w:rsidRDefault="003117C2" w:rsidP="003117C2">
      <w:pPr>
        <w:ind w:left="567"/>
        <w:rPr>
          <w:rFonts w:cs="Arial"/>
        </w:rPr>
      </w:pPr>
    </w:p>
    <w:p w:rsidR="003117C2" w:rsidRPr="00913886" w:rsidRDefault="003117C2" w:rsidP="003117C2">
      <w:pPr>
        <w:ind w:left="1843" w:hanging="709"/>
        <w:rPr>
          <w:rFonts w:cs="Arial"/>
          <w:i/>
        </w:rPr>
      </w:pPr>
      <w:r w:rsidRPr="00913886">
        <w:rPr>
          <w:rFonts w:cs="Arial"/>
          <w:i/>
        </w:rPr>
        <w:t>2.3.1</w:t>
      </w:r>
      <w:r w:rsidRPr="00913886">
        <w:rPr>
          <w:rFonts w:cs="Arial"/>
          <w:i/>
        </w:rPr>
        <w:tab/>
        <w:t>Objectives</w:t>
      </w:r>
    </w:p>
    <w:p w:rsidR="003117C2" w:rsidRDefault="003117C2" w:rsidP="003117C2">
      <w:pPr>
        <w:ind w:left="1843" w:hanging="709"/>
        <w:rPr>
          <w:rFonts w:cs="Arial"/>
          <w:i/>
        </w:rPr>
      </w:pPr>
      <w:r w:rsidRPr="00913886">
        <w:rPr>
          <w:rFonts w:cs="Arial"/>
          <w:i/>
        </w:rPr>
        <w:t>2.3.2</w:t>
      </w:r>
      <w:r w:rsidRPr="00913886">
        <w:rPr>
          <w:rFonts w:cs="Arial"/>
          <w:i/>
        </w:rPr>
        <w:tab/>
        <w:t>Narrative</w:t>
      </w:r>
    </w:p>
    <w:p w:rsidR="003117C2" w:rsidRPr="003117C2" w:rsidRDefault="003117C2" w:rsidP="003117C2">
      <w:pPr>
        <w:spacing w:line="240" w:lineRule="atLeast"/>
        <w:ind w:left="1843" w:hanging="709"/>
        <w:rPr>
          <w:rFonts w:cs="Arial"/>
          <w:sz w:val="18"/>
        </w:rPr>
      </w:pPr>
      <w:r w:rsidRPr="003117C2">
        <w:rPr>
          <w:rFonts w:cs="Arial"/>
          <w:i/>
        </w:rPr>
        <w:tab/>
      </w:r>
      <w:r w:rsidRPr="003117C2">
        <w:rPr>
          <w:rFonts w:cs="Arial"/>
          <w:i/>
          <w:sz w:val="18"/>
        </w:rPr>
        <w:t xml:space="preserve">- </w:t>
      </w:r>
      <w:r w:rsidRPr="003117C2">
        <w:rPr>
          <w:rFonts w:cs="Arial"/>
          <w:sz w:val="18"/>
        </w:rPr>
        <w:t>Introduction</w:t>
      </w:r>
    </w:p>
    <w:p w:rsidR="003117C2" w:rsidRPr="003117C2" w:rsidRDefault="003117C2" w:rsidP="003117C2">
      <w:pPr>
        <w:spacing w:line="240" w:lineRule="atLeast"/>
        <w:ind w:left="1843" w:hanging="709"/>
        <w:rPr>
          <w:rFonts w:cs="Arial"/>
          <w:sz w:val="18"/>
        </w:rPr>
      </w:pPr>
      <w:r w:rsidRPr="003117C2">
        <w:rPr>
          <w:rFonts w:cs="Arial"/>
          <w:sz w:val="18"/>
        </w:rPr>
        <w:tab/>
        <w:t>- Resources</w:t>
      </w:r>
    </w:p>
    <w:p w:rsidR="003117C2" w:rsidRPr="003117C2" w:rsidRDefault="003117C2" w:rsidP="003117C2">
      <w:pPr>
        <w:spacing w:line="240" w:lineRule="atLeast"/>
        <w:ind w:left="1843" w:hanging="709"/>
        <w:rPr>
          <w:rFonts w:cs="Arial"/>
          <w:sz w:val="18"/>
        </w:rPr>
      </w:pPr>
      <w:r w:rsidRPr="003117C2">
        <w:rPr>
          <w:rFonts w:cs="Arial"/>
          <w:sz w:val="18"/>
        </w:rPr>
        <w:tab/>
        <w:t>- Strategy for Assistance</w:t>
      </w:r>
    </w:p>
    <w:p w:rsidR="003117C2" w:rsidRPr="00913886" w:rsidRDefault="003117C2" w:rsidP="003117C2">
      <w:pPr>
        <w:ind w:left="1843" w:hanging="709"/>
        <w:rPr>
          <w:rFonts w:cs="Arial"/>
          <w:i/>
        </w:rPr>
      </w:pPr>
      <w:r w:rsidRPr="00913886">
        <w:rPr>
          <w:rFonts w:cs="Arial"/>
          <w:i/>
        </w:rPr>
        <w:t>2.3.3</w:t>
      </w:r>
      <w:r w:rsidRPr="00913886">
        <w:rPr>
          <w:rFonts w:cs="Arial"/>
          <w:i/>
        </w:rPr>
        <w:tab/>
        <w:t>Activities</w:t>
      </w:r>
    </w:p>
    <w:p w:rsidR="003117C2" w:rsidRPr="00913886" w:rsidRDefault="003117C2" w:rsidP="003117C2">
      <w:pPr>
        <w:ind w:left="1843" w:hanging="709"/>
        <w:rPr>
          <w:rFonts w:cs="Arial"/>
          <w:i/>
        </w:rPr>
      </w:pPr>
      <w:r w:rsidRPr="00913886">
        <w:rPr>
          <w:rFonts w:cs="Arial"/>
          <w:i/>
        </w:rPr>
        <w:t>2.3.4</w:t>
      </w:r>
      <w:r w:rsidRPr="00913886">
        <w:rPr>
          <w:rFonts w:cs="Arial"/>
          <w:i/>
        </w:rPr>
        <w:tab/>
        <w:t>Expected Results and Performance Indicators</w:t>
      </w:r>
    </w:p>
    <w:p w:rsidR="003117C2" w:rsidRPr="00913886" w:rsidRDefault="003117C2" w:rsidP="003117C2">
      <w:pPr>
        <w:rPr>
          <w:rFonts w:cs="Arial"/>
        </w:rPr>
      </w:pPr>
    </w:p>
    <w:p w:rsidR="003117C2" w:rsidRPr="00913886" w:rsidRDefault="003117C2" w:rsidP="003117C2">
      <w:pPr>
        <w:ind w:left="567"/>
        <w:rPr>
          <w:rFonts w:cs="Arial"/>
        </w:rPr>
      </w:pPr>
      <w:r w:rsidRPr="00913886">
        <w:rPr>
          <w:rFonts w:cs="Arial"/>
        </w:rPr>
        <w:t>2.4</w:t>
      </w:r>
      <w:r w:rsidRPr="00913886">
        <w:rPr>
          <w:rFonts w:cs="Arial"/>
        </w:rPr>
        <w:tab/>
        <w:t>Sub-program UV.4:  External Relations</w:t>
      </w:r>
    </w:p>
    <w:p w:rsidR="003117C2" w:rsidRPr="00913886" w:rsidRDefault="003117C2" w:rsidP="003117C2">
      <w:pPr>
        <w:ind w:left="567"/>
        <w:rPr>
          <w:rFonts w:cs="Arial"/>
        </w:rPr>
      </w:pPr>
    </w:p>
    <w:p w:rsidR="003117C2" w:rsidRPr="00913886" w:rsidRDefault="003117C2" w:rsidP="003117C2">
      <w:pPr>
        <w:ind w:left="1843" w:hanging="709"/>
        <w:rPr>
          <w:rFonts w:cs="Arial"/>
          <w:i/>
        </w:rPr>
      </w:pPr>
      <w:r w:rsidRPr="00913886">
        <w:rPr>
          <w:rFonts w:cs="Arial"/>
          <w:i/>
        </w:rPr>
        <w:t>2.4.1</w:t>
      </w:r>
      <w:r w:rsidRPr="00913886">
        <w:rPr>
          <w:rFonts w:cs="Arial"/>
          <w:i/>
        </w:rPr>
        <w:tab/>
        <w:t>Objectives</w:t>
      </w:r>
    </w:p>
    <w:p w:rsidR="003117C2" w:rsidRDefault="003117C2" w:rsidP="003117C2">
      <w:pPr>
        <w:ind w:left="1843" w:hanging="709"/>
        <w:rPr>
          <w:rFonts w:cs="Arial"/>
          <w:i/>
        </w:rPr>
      </w:pPr>
      <w:r w:rsidRPr="00913886">
        <w:rPr>
          <w:rFonts w:cs="Arial"/>
          <w:i/>
        </w:rPr>
        <w:t>2.4.2</w:t>
      </w:r>
      <w:r w:rsidRPr="00913886">
        <w:rPr>
          <w:rFonts w:cs="Arial"/>
          <w:i/>
        </w:rPr>
        <w:tab/>
        <w:t>Narrative</w:t>
      </w:r>
    </w:p>
    <w:p w:rsidR="003117C2" w:rsidRPr="003117C2" w:rsidRDefault="003117C2" w:rsidP="003117C2">
      <w:pPr>
        <w:spacing w:line="240" w:lineRule="atLeast"/>
        <w:ind w:left="1843" w:hanging="709"/>
        <w:rPr>
          <w:rFonts w:cs="Arial"/>
          <w:sz w:val="18"/>
        </w:rPr>
      </w:pPr>
      <w:r w:rsidRPr="003117C2">
        <w:rPr>
          <w:rFonts w:cs="Arial"/>
          <w:i/>
        </w:rPr>
        <w:tab/>
      </w:r>
      <w:r w:rsidRPr="003117C2">
        <w:rPr>
          <w:rFonts w:cs="Arial"/>
          <w:i/>
          <w:sz w:val="18"/>
        </w:rPr>
        <w:t xml:space="preserve">- </w:t>
      </w:r>
      <w:r w:rsidRPr="003117C2">
        <w:rPr>
          <w:rFonts w:cs="Arial"/>
          <w:sz w:val="18"/>
        </w:rPr>
        <w:t>Introduction</w:t>
      </w:r>
    </w:p>
    <w:p w:rsidR="003117C2" w:rsidRPr="003117C2" w:rsidRDefault="003117C2" w:rsidP="003117C2">
      <w:pPr>
        <w:spacing w:line="240" w:lineRule="atLeast"/>
        <w:ind w:left="1843" w:hanging="709"/>
        <w:rPr>
          <w:rFonts w:cs="Arial"/>
          <w:sz w:val="18"/>
        </w:rPr>
      </w:pPr>
      <w:r w:rsidRPr="003117C2">
        <w:rPr>
          <w:rFonts w:cs="Arial"/>
          <w:sz w:val="18"/>
        </w:rPr>
        <w:tab/>
        <w:t>- Communications with Stakeholders</w:t>
      </w:r>
    </w:p>
    <w:p w:rsidR="003117C2" w:rsidRPr="003117C2" w:rsidRDefault="003117C2" w:rsidP="003117C2">
      <w:pPr>
        <w:spacing w:line="240" w:lineRule="atLeast"/>
        <w:ind w:left="1843" w:hanging="709"/>
        <w:rPr>
          <w:rFonts w:cs="Arial"/>
          <w:sz w:val="18"/>
        </w:rPr>
      </w:pPr>
      <w:r w:rsidRPr="003117C2">
        <w:rPr>
          <w:rFonts w:cs="Arial"/>
          <w:sz w:val="18"/>
        </w:rPr>
        <w:tab/>
        <w:t>- Communications with other organizations</w:t>
      </w:r>
    </w:p>
    <w:p w:rsidR="003117C2" w:rsidRPr="00913886" w:rsidRDefault="003117C2" w:rsidP="003117C2">
      <w:pPr>
        <w:ind w:left="1843" w:hanging="709"/>
        <w:rPr>
          <w:rFonts w:cs="Arial"/>
          <w:i/>
        </w:rPr>
      </w:pPr>
      <w:r w:rsidRPr="00913886">
        <w:rPr>
          <w:rFonts w:cs="Arial"/>
          <w:i/>
        </w:rPr>
        <w:t>2.4.3</w:t>
      </w:r>
      <w:r w:rsidRPr="00913886">
        <w:rPr>
          <w:rFonts w:cs="Arial"/>
          <w:i/>
        </w:rPr>
        <w:tab/>
        <w:t>Activities</w:t>
      </w:r>
    </w:p>
    <w:p w:rsidR="003117C2" w:rsidRPr="00913886" w:rsidRDefault="003117C2" w:rsidP="003117C2">
      <w:pPr>
        <w:ind w:left="1843" w:hanging="709"/>
        <w:rPr>
          <w:rFonts w:cs="Arial"/>
          <w:i/>
        </w:rPr>
      </w:pPr>
      <w:r w:rsidRPr="00913886">
        <w:rPr>
          <w:rFonts w:cs="Arial"/>
          <w:i/>
        </w:rPr>
        <w:t>2.4.4</w:t>
      </w:r>
      <w:r w:rsidRPr="00913886">
        <w:rPr>
          <w:rFonts w:cs="Arial"/>
          <w:i/>
        </w:rPr>
        <w:tab/>
        <w:t>Expected Results and Performance Indicators</w:t>
      </w:r>
    </w:p>
    <w:p w:rsidR="003117C2" w:rsidRPr="00913886" w:rsidRDefault="003117C2" w:rsidP="003117C2">
      <w:pPr>
        <w:rPr>
          <w:rFonts w:cs="Arial"/>
        </w:rPr>
      </w:pPr>
    </w:p>
    <w:p w:rsidR="003117C2" w:rsidRPr="00913886" w:rsidRDefault="003117C2" w:rsidP="003117C2">
      <w:pPr>
        <w:ind w:left="567"/>
        <w:rPr>
          <w:rFonts w:cs="Arial"/>
        </w:rPr>
      </w:pPr>
    </w:p>
    <w:p w:rsidR="003117C2" w:rsidRPr="00913886" w:rsidRDefault="003117C2" w:rsidP="003117C2">
      <w:pPr>
        <w:rPr>
          <w:rFonts w:cs="Arial"/>
        </w:rPr>
      </w:pPr>
      <w:r w:rsidRPr="00913886">
        <w:rPr>
          <w:rFonts w:cs="Arial"/>
        </w:rPr>
        <w:t>3.</w:t>
      </w:r>
      <w:r w:rsidRPr="00913886">
        <w:rPr>
          <w:rFonts w:cs="Arial"/>
        </w:rPr>
        <w:tab/>
        <w:t>PROPOSED BUDGET</w:t>
      </w:r>
    </w:p>
    <w:p w:rsidR="003117C2" w:rsidRPr="00913886" w:rsidRDefault="003117C2" w:rsidP="003117C2">
      <w:pPr>
        <w:rPr>
          <w:rFonts w:cs="Arial"/>
        </w:rPr>
      </w:pPr>
    </w:p>
    <w:p w:rsidR="003117C2" w:rsidRPr="00695424" w:rsidRDefault="003117C2" w:rsidP="003117C2">
      <w:pPr>
        <w:ind w:left="567"/>
        <w:rPr>
          <w:rFonts w:cs="Arial"/>
        </w:rPr>
      </w:pPr>
      <w:r w:rsidRPr="00695424">
        <w:rPr>
          <w:rFonts w:cs="Arial"/>
        </w:rPr>
        <w:t>Table 1:  Income and Expenditure 2012-2013, 2014-2015 and 2016-2017</w:t>
      </w:r>
    </w:p>
    <w:p w:rsidR="003117C2" w:rsidRPr="00695424" w:rsidRDefault="003117C2" w:rsidP="003117C2">
      <w:pPr>
        <w:ind w:left="567"/>
        <w:rPr>
          <w:rFonts w:cs="Arial"/>
        </w:rPr>
      </w:pPr>
      <w:r w:rsidRPr="00695424">
        <w:rPr>
          <w:rFonts w:cs="Arial"/>
        </w:rPr>
        <w:t>Table 2:  Structure of proposed budget 2016-2017 as compared to 2012-2013 and 2014-2015</w:t>
      </w:r>
    </w:p>
    <w:p w:rsidR="003117C2" w:rsidRPr="00695424" w:rsidRDefault="003117C2" w:rsidP="003117C2">
      <w:pPr>
        <w:ind w:left="567"/>
        <w:rPr>
          <w:rFonts w:cs="Arial"/>
        </w:rPr>
      </w:pPr>
      <w:r w:rsidRPr="00695424">
        <w:rPr>
          <w:rFonts w:cs="Arial"/>
        </w:rPr>
        <w:t>Table 3:  Resource Plan 2014-2015 and 2016-2017</w:t>
      </w:r>
    </w:p>
    <w:p w:rsidR="003117C2" w:rsidRPr="00695424" w:rsidRDefault="003117C2" w:rsidP="003117C2">
      <w:pPr>
        <w:ind w:left="567"/>
        <w:rPr>
          <w:rFonts w:cs="Arial"/>
        </w:rPr>
      </w:pPr>
      <w:r w:rsidRPr="00695424">
        <w:rPr>
          <w:rFonts w:cs="Arial"/>
        </w:rPr>
        <w:t>Table 4:  Proposed Budget 2016-2017:  Budget Variation by Object of Expenditure</w:t>
      </w:r>
    </w:p>
    <w:p w:rsidR="003117C2" w:rsidRPr="00695424" w:rsidRDefault="003117C2" w:rsidP="003117C2">
      <w:pPr>
        <w:ind w:left="567"/>
        <w:rPr>
          <w:rFonts w:cs="Arial"/>
        </w:rPr>
      </w:pPr>
      <w:r w:rsidRPr="00695424">
        <w:rPr>
          <w:rFonts w:cs="Arial"/>
        </w:rPr>
        <w:t>Table 5:  Budget 2016-2017:  Posts by Category</w:t>
      </w:r>
    </w:p>
    <w:p w:rsidR="003117C2" w:rsidRPr="00695424" w:rsidRDefault="003117C2" w:rsidP="003117C2">
      <w:pPr>
        <w:ind w:left="567"/>
        <w:rPr>
          <w:rFonts w:cs="Arial"/>
        </w:rPr>
      </w:pPr>
      <w:r w:rsidRPr="00695424">
        <w:rPr>
          <w:rFonts w:cs="Arial"/>
        </w:rPr>
        <w:t>Table 6:  Proposed Budget 2016-2017:  Allocation by Object of Expenditure</w:t>
      </w:r>
    </w:p>
    <w:p w:rsidR="003117C2" w:rsidRPr="00695424" w:rsidRDefault="003117C2" w:rsidP="003117C2">
      <w:pPr>
        <w:ind w:left="567"/>
        <w:rPr>
          <w:rFonts w:cs="Arial"/>
        </w:rPr>
      </w:pPr>
      <w:r w:rsidRPr="00695424">
        <w:rPr>
          <w:rFonts w:cs="Arial"/>
        </w:rPr>
        <w:t>Table 7:  Budget Variation by Sub-program</w:t>
      </w:r>
    </w:p>
    <w:p w:rsidR="003117C2" w:rsidRPr="00913886" w:rsidRDefault="003117C2" w:rsidP="003117C2">
      <w:pPr>
        <w:ind w:left="567"/>
        <w:rPr>
          <w:rFonts w:cs="Arial"/>
        </w:rPr>
      </w:pPr>
      <w:r w:rsidRPr="00695424">
        <w:rPr>
          <w:rFonts w:cs="Arial"/>
        </w:rPr>
        <w:t>Table 8:  Income 2014-2015 and 2016-2017:  Variation by Source</w:t>
      </w:r>
    </w:p>
    <w:p w:rsidR="003117C2" w:rsidRDefault="003117C2" w:rsidP="003117C2">
      <w:pPr>
        <w:ind w:left="567"/>
        <w:rPr>
          <w:rFonts w:cs="Arial"/>
        </w:rPr>
      </w:pPr>
    </w:p>
    <w:p w:rsidR="003117C2" w:rsidRDefault="003117C2" w:rsidP="003117C2">
      <w:pPr>
        <w:ind w:left="567"/>
        <w:rPr>
          <w:rFonts w:cs="Arial"/>
        </w:rPr>
      </w:pPr>
    </w:p>
    <w:p w:rsidR="003117C2" w:rsidRPr="00C300A2" w:rsidRDefault="003117C2" w:rsidP="003117C2">
      <w:pPr>
        <w:keepNext/>
        <w:rPr>
          <w:rFonts w:cs="Arial"/>
        </w:rPr>
      </w:pPr>
      <w:r w:rsidRPr="00C300A2">
        <w:rPr>
          <w:rFonts w:cs="Arial"/>
        </w:rPr>
        <w:lastRenderedPageBreak/>
        <w:t>4.</w:t>
      </w:r>
      <w:r w:rsidRPr="00C300A2">
        <w:rPr>
          <w:rFonts w:cs="Arial"/>
        </w:rPr>
        <w:tab/>
        <w:t>FINANCIAL INDICATORS 20</w:t>
      </w:r>
      <w:r w:rsidR="004F0FC8">
        <w:rPr>
          <w:rFonts w:cs="Arial"/>
        </w:rPr>
        <w:t>10</w:t>
      </w:r>
      <w:r w:rsidRPr="00C300A2">
        <w:rPr>
          <w:rFonts w:cs="Arial"/>
        </w:rPr>
        <w:t>-201</w:t>
      </w:r>
      <w:r w:rsidR="004F0FC8">
        <w:rPr>
          <w:rFonts w:cs="Arial"/>
        </w:rPr>
        <w:t>9</w:t>
      </w:r>
    </w:p>
    <w:p w:rsidR="003117C2" w:rsidRPr="00C300A2" w:rsidRDefault="003117C2" w:rsidP="003117C2">
      <w:pPr>
        <w:keepNext/>
        <w:rPr>
          <w:rFonts w:cs="Arial"/>
        </w:rPr>
      </w:pPr>
    </w:p>
    <w:p w:rsidR="003117C2" w:rsidRPr="00C300A2" w:rsidRDefault="003117C2" w:rsidP="003117C2">
      <w:pPr>
        <w:ind w:left="567"/>
        <w:rPr>
          <w:rFonts w:cs="Arial"/>
        </w:rPr>
      </w:pPr>
      <w:r w:rsidRPr="00C300A2">
        <w:rPr>
          <w:rFonts w:cs="Arial"/>
        </w:rPr>
        <w:t>Table 9:  Income, Expenditure and Reserves for 20</w:t>
      </w:r>
      <w:r w:rsidR="004F0FC8">
        <w:rPr>
          <w:rFonts w:cs="Arial"/>
        </w:rPr>
        <w:t>10-2019</w:t>
      </w:r>
    </w:p>
    <w:p w:rsidR="003117C2" w:rsidRPr="00C300A2" w:rsidRDefault="003117C2" w:rsidP="003117C2">
      <w:pPr>
        <w:ind w:left="567"/>
        <w:rPr>
          <w:rFonts w:cs="Arial"/>
        </w:rPr>
      </w:pPr>
    </w:p>
    <w:p w:rsidR="003117C2" w:rsidRDefault="003117C2" w:rsidP="003117C2">
      <w:pPr>
        <w:rPr>
          <w:rFonts w:cs="Arial"/>
        </w:rPr>
      </w:pPr>
    </w:p>
    <w:p w:rsidR="003117C2" w:rsidRPr="00C300A2" w:rsidRDefault="003117C2" w:rsidP="003117C2">
      <w:pPr>
        <w:rPr>
          <w:rFonts w:cs="Arial"/>
        </w:rPr>
      </w:pPr>
      <w:r w:rsidRPr="00C300A2">
        <w:rPr>
          <w:rFonts w:cs="Arial"/>
        </w:rPr>
        <w:t xml:space="preserve">APPENDIX I: </w:t>
      </w:r>
      <w:r w:rsidRPr="00C300A2">
        <w:rPr>
          <w:rFonts w:cs="Arial"/>
        </w:rPr>
        <w:tab/>
        <w:t>BUDGET METHODOLOGY</w:t>
      </w:r>
    </w:p>
    <w:p w:rsidR="003117C2" w:rsidRDefault="003117C2" w:rsidP="003117C2">
      <w:pPr>
        <w:rPr>
          <w:rFonts w:cs="Arial"/>
        </w:rPr>
      </w:pPr>
    </w:p>
    <w:p w:rsidR="003117C2" w:rsidRPr="00ED49E5" w:rsidRDefault="003117C2" w:rsidP="003117C2">
      <w:pPr>
        <w:rPr>
          <w:rFonts w:cs="Arial"/>
        </w:rPr>
      </w:pPr>
      <w:r w:rsidRPr="00C300A2">
        <w:rPr>
          <w:rFonts w:cs="Arial"/>
        </w:rPr>
        <w:t xml:space="preserve">APPENDIX II: </w:t>
      </w:r>
      <w:r w:rsidRPr="00C300A2">
        <w:rPr>
          <w:rFonts w:cs="Arial"/>
        </w:rPr>
        <w:tab/>
        <w:t>CONTRIBUTIONS OF MEMBERS</w:t>
      </w:r>
    </w:p>
    <w:p w:rsidR="003117C2" w:rsidRDefault="003117C2" w:rsidP="003117C2">
      <w:pPr>
        <w:rPr>
          <w:rFonts w:cs="Arial"/>
        </w:rPr>
      </w:pPr>
    </w:p>
    <w:p w:rsidR="003117C2" w:rsidRPr="00913886" w:rsidRDefault="003117C2" w:rsidP="003117C2">
      <w:pPr>
        <w:rPr>
          <w:rFonts w:cs="Arial"/>
        </w:rPr>
      </w:pPr>
      <w:r w:rsidRPr="00ED49E5">
        <w:rPr>
          <w:rFonts w:cs="Arial"/>
        </w:rPr>
        <w:t xml:space="preserve">APPENDIX III: </w:t>
      </w:r>
      <w:r w:rsidRPr="00ED49E5">
        <w:rPr>
          <w:rFonts w:cs="Arial"/>
        </w:rPr>
        <w:tab/>
        <w:t>DEFINITIONS OF BUDGET HEADINGS</w:t>
      </w:r>
    </w:p>
    <w:p w:rsidR="003117C2" w:rsidRPr="00DD6106" w:rsidRDefault="003117C2" w:rsidP="003117C2">
      <w:pPr>
        <w:rPr>
          <w:b/>
        </w:rPr>
      </w:pPr>
      <w:r w:rsidRPr="00913886">
        <w:rPr>
          <w:rFonts w:cs="Arial"/>
        </w:rPr>
        <w:br w:type="page"/>
      </w:r>
      <w:r w:rsidRPr="00DD6106">
        <w:rPr>
          <w:b/>
        </w:rPr>
        <w:t>1.</w:t>
      </w:r>
      <w:r w:rsidRPr="00DD6106">
        <w:rPr>
          <w:b/>
        </w:rPr>
        <w:tab/>
        <w:t>INTRODUCTION</w:t>
      </w:r>
    </w:p>
    <w:p w:rsidR="003117C2" w:rsidRPr="00DD6106" w:rsidRDefault="003117C2" w:rsidP="003117C2"/>
    <w:p w:rsidR="003117C2" w:rsidRPr="008449EA" w:rsidRDefault="003117C2" w:rsidP="003117C2">
      <w:pPr>
        <w:pBdr>
          <w:top w:val="single" w:sz="4" w:space="4" w:color="auto"/>
          <w:left w:val="single" w:sz="4" w:space="4" w:color="auto"/>
          <w:bottom w:val="single" w:sz="4" w:space="4" w:color="auto"/>
          <w:right w:val="single" w:sz="4" w:space="4" w:color="auto"/>
        </w:pBdr>
        <w:jc w:val="center"/>
        <w:rPr>
          <w:b/>
          <w:u w:val="single"/>
        </w:rPr>
      </w:pPr>
      <w:r w:rsidRPr="008449EA">
        <w:rPr>
          <w:b/>
          <w:u w:val="single"/>
        </w:rPr>
        <w:t>UPOV Mission Statement</w:t>
      </w:r>
    </w:p>
    <w:p w:rsidR="003117C2" w:rsidRPr="008449EA" w:rsidRDefault="003117C2" w:rsidP="003117C2">
      <w:pPr>
        <w:pBdr>
          <w:top w:val="single" w:sz="4" w:space="4" w:color="auto"/>
          <w:left w:val="single" w:sz="4" w:space="4" w:color="auto"/>
          <w:bottom w:val="single" w:sz="4" w:space="4" w:color="auto"/>
          <w:right w:val="single" w:sz="4" w:space="4" w:color="auto"/>
        </w:pBdr>
        <w:jc w:val="center"/>
        <w:rPr>
          <w:b/>
        </w:rPr>
      </w:pPr>
    </w:p>
    <w:p w:rsidR="003117C2" w:rsidRPr="008449EA" w:rsidRDefault="003117C2" w:rsidP="003117C2">
      <w:pPr>
        <w:pBdr>
          <w:top w:val="single" w:sz="4" w:space="4" w:color="auto"/>
          <w:left w:val="single" w:sz="4" w:space="4" w:color="auto"/>
          <w:bottom w:val="single" w:sz="4" w:space="4" w:color="auto"/>
          <w:right w:val="single" w:sz="4" w:space="4" w:color="auto"/>
        </w:pBdr>
        <w:jc w:val="center"/>
        <w:rPr>
          <w:b/>
        </w:rPr>
      </w:pPr>
      <w:r w:rsidRPr="008449EA">
        <w:rPr>
          <w:b/>
        </w:rPr>
        <w:t>To provide and promote an effective system of plant variety protection,</w:t>
      </w:r>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3117C2" w:rsidRPr="00DD6106" w:rsidRDefault="003117C2" w:rsidP="003117C2"/>
    <w:p w:rsidR="003117C2" w:rsidRDefault="003117C2" w:rsidP="003117C2">
      <w:pPr>
        <w:pStyle w:val="Heading2"/>
      </w:pPr>
      <w:r>
        <w:t>Policy considerations</w:t>
      </w:r>
    </w:p>
    <w:p w:rsidR="003117C2" w:rsidRDefault="003117C2" w:rsidP="003117C2"/>
    <w:p w:rsidR="003117C2" w:rsidRDefault="003117C2" w:rsidP="003117C2">
      <w:r>
        <w:t>1.1</w:t>
      </w:r>
      <w:r>
        <w:tab/>
        <w:t xml:space="preserve">In the last 20 years, UPOV has developed into a global organization, comprising members from all </w:t>
      </w:r>
      <w:r w:rsidRPr="006F0776">
        <w:t>regions of the World (see Figure 1 “UPOV membership in 1993” and Figure 2 “UPOV membership in 2014”).</w:t>
      </w:r>
    </w:p>
    <w:p w:rsidR="003117C2" w:rsidRDefault="003117C2" w:rsidP="003117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117C2" w:rsidTr="00DC5E39">
        <w:tc>
          <w:tcPr>
            <w:tcW w:w="9855" w:type="dxa"/>
          </w:tcPr>
          <w:p w:rsidR="003117C2" w:rsidRPr="00841C00" w:rsidRDefault="003117C2" w:rsidP="00DC5E39">
            <w:pPr>
              <w:rPr>
                <w:highlight w:val="cyan"/>
              </w:rPr>
            </w:pPr>
            <w:r w:rsidRPr="00841C00">
              <w:t xml:space="preserve">Figure 1: UPOV membership in 1993 [territories of UPOV members shown in green] </w:t>
            </w:r>
          </w:p>
        </w:tc>
      </w:tr>
      <w:tr w:rsidR="003117C2" w:rsidTr="00DC5E39">
        <w:tc>
          <w:tcPr>
            <w:tcW w:w="9855" w:type="dxa"/>
            <w:vAlign w:val="center"/>
          </w:tcPr>
          <w:p w:rsidR="003117C2" w:rsidRDefault="003117C2" w:rsidP="00DC5E39">
            <w:pPr>
              <w:jc w:val="center"/>
            </w:pPr>
            <w:r>
              <w:rPr>
                <w:noProof/>
              </w:rPr>
              <w:drawing>
                <wp:inline distT="0" distB="0" distL="0" distR="0" wp14:anchorId="25172493" wp14:editId="03E2DC12">
                  <wp:extent cx="6120765" cy="3101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 members 1993.png"/>
                          <pic:cNvPicPr/>
                        </pic:nvPicPr>
                        <pic:blipFill>
                          <a:blip r:embed="rId10">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3117C2" w:rsidTr="00DC5E39">
        <w:tc>
          <w:tcPr>
            <w:tcW w:w="9855" w:type="dxa"/>
          </w:tcPr>
          <w:p w:rsidR="003117C2" w:rsidRPr="002217B6" w:rsidRDefault="003117C2" w:rsidP="00DC5E39">
            <w:pPr>
              <w:rPr>
                <w:sz w:val="14"/>
                <w:szCs w:val="14"/>
              </w:rPr>
            </w:pPr>
            <w:r w:rsidRPr="006A35CC">
              <w:rPr>
                <w:sz w:val="14"/>
                <w:szCs w:val="14"/>
              </w:rPr>
              <w:t>The boundaries shown on this map do not imply the expression of any opinion whatsoever on the part of UPOV concerning the legal status of any country or territory</w:t>
            </w:r>
          </w:p>
        </w:tc>
      </w:tr>
      <w:tr w:rsidR="003117C2" w:rsidRPr="00695424" w:rsidTr="00DC5E39">
        <w:tc>
          <w:tcPr>
            <w:tcW w:w="9855" w:type="dxa"/>
          </w:tcPr>
          <w:p w:rsidR="003117C2" w:rsidRPr="00695424" w:rsidRDefault="003117C2" w:rsidP="00DC5E39">
            <w:pPr>
              <w:rPr>
                <w:sz w:val="16"/>
              </w:rPr>
            </w:pPr>
          </w:p>
        </w:tc>
      </w:tr>
      <w:tr w:rsidR="003117C2" w:rsidTr="00DC5E39">
        <w:trPr>
          <w:cantSplit/>
        </w:trPr>
        <w:tc>
          <w:tcPr>
            <w:tcW w:w="9855" w:type="dxa"/>
          </w:tcPr>
          <w:p w:rsidR="003117C2" w:rsidRDefault="003117C2" w:rsidP="00DC5E39">
            <w:pPr>
              <w:keepNext/>
            </w:pPr>
            <w:r w:rsidRPr="006F0776">
              <w:t>Figure 2: UPOV membership in 2014 [</w:t>
            </w:r>
            <w:r w:rsidRPr="006F0776">
              <w:rPr>
                <w:szCs w:val="14"/>
              </w:rPr>
              <w:t>territories of UPOV members shown in green]</w:t>
            </w:r>
          </w:p>
        </w:tc>
      </w:tr>
      <w:tr w:rsidR="003117C2" w:rsidTr="00DC5E39">
        <w:trPr>
          <w:cantSplit/>
        </w:trPr>
        <w:tc>
          <w:tcPr>
            <w:tcW w:w="9855" w:type="dxa"/>
          </w:tcPr>
          <w:p w:rsidR="003117C2" w:rsidRDefault="003117C2" w:rsidP="00DC5E39">
            <w:pPr>
              <w:keepNext/>
              <w:jc w:val="center"/>
            </w:pPr>
            <w:r>
              <w:rPr>
                <w:noProof/>
              </w:rPr>
              <w:drawing>
                <wp:inline distT="0" distB="0" distL="0" distR="0" wp14:anchorId="312148A6" wp14:editId="64ECE54A">
                  <wp:extent cx="6080760" cy="3081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lor map UPOV members 2014.png"/>
                          <pic:cNvPicPr/>
                        </pic:nvPicPr>
                        <pic:blipFill>
                          <a:blip r:embed="rId11">
                            <a:extLst>
                              <a:ext uri="{28A0092B-C50C-407E-A947-70E740481C1C}">
                                <a14:useLocalDpi xmlns:a14="http://schemas.microsoft.com/office/drawing/2010/main" val="0"/>
                              </a:ext>
                            </a:extLst>
                          </a:blip>
                          <a:stretch>
                            <a:fillRect/>
                          </a:stretch>
                        </pic:blipFill>
                        <pic:spPr>
                          <a:xfrm>
                            <a:off x="0" y="0"/>
                            <a:ext cx="6101932" cy="3091798"/>
                          </a:xfrm>
                          <a:prstGeom prst="rect">
                            <a:avLst/>
                          </a:prstGeom>
                        </pic:spPr>
                      </pic:pic>
                    </a:graphicData>
                  </a:graphic>
                </wp:inline>
              </w:drawing>
            </w:r>
          </w:p>
        </w:tc>
      </w:tr>
      <w:tr w:rsidR="003117C2" w:rsidTr="00DC5E39">
        <w:trPr>
          <w:cantSplit/>
        </w:trPr>
        <w:tc>
          <w:tcPr>
            <w:tcW w:w="9855" w:type="dxa"/>
          </w:tcPr>
          <w:p w:rsidR="003117C2" w:rsidRDefault="003117C2" w:rsidP="00DC5E39">
            <w:pPr>
              <w:keepNext/>
              <w:rPr>
                <w:noProof/>
              </w:rPr>
            </w:pPr>
            <w:r w:rsidRPr="006A35CC">
              <w:rPr>
                <w:sz w:val="14"/>
                <w:szCs w:val="14"/>
              </w:rPr>
              <w:t>The boundaries shown on this map do not imply the expression of any opinion whatsoever on the part of UPOV concerning the legal status of any country or territory</w:t>
            </w:r>
          </w:p>
        </w:tc>
      </w:tr>
    </w:tbl>
    <w:p w:rsidR="003117C2" w:rsidRDefault="003117C2" w:rsidP="003117C2"/>
    <w:p w:rsidR="003117C2" w:rsidRDefault="003117C2" w:rsidP="003117C2">
      <w:pPr>
        <w:rPr>
          <w:rFonts w:eastAsia="MS Mincho"/>
          <w:lang w:eastAsia="ja-JP"/>
        </w:rPr>
      </w:pPr>
      <w:r>
        <w:t>1.2</w:t>
      </w:r>
      <w:r>
        <w:tab/>
        <w:t xml:space="preserve">Figure 3 illustrates that there was a rapid expansion of UPOV from 1993 to 2007, at an average of three new members per year, followed by a period in which UPOV membership has increased </w:t>
      </w:r>
      <w:r w:rsidRPr="000E5482">
        <w:t>on average by one new member per year</w:t>
      </w:r>
      <w:r>
        <w:t xml:space="preserve">.  However, the recent membership of UPOV by the </w:t>
      </w:r>
      <w:r w:rsidRPr="008E7480">
        <w:rPr>
          <w:rFonts w:eastAsia="MS Mincho"/>
          <w:lang w:eastAsia="ja-JP"/>
        </w:rPr>
        <w:t>African Intellectual Property Organization (OAPI)</w:t>
      </w:r>
      <w:r>
        <w:rPr>
          <w:rFonts w:eastAsia="MS Mincho"/>
          <w:lang w:eastAsia="ja-JP"/>
        </w:rPr>
        <w:t xml:space="preserve">, which </w:t>
      </w:r>
      <w:r w:rsidRPr="00CC5C21">
        <w:rPr>
          <w:rFonts w:eastAsia="MS Mincho"/>
          <w:lang w:eastAsia="ja-JP"/>
        </w:rPr>
        <w:t xml:space="preserve">operates a plant variety protection system </w:t>
      </w:r>
      <w:r>
        <w:rPr>
          <w:rFonts w:eastAsia="MS Mincho"/>
          <w:lang w:eastAsia="ja-JP"/>
        </w:rPr>
        <w:t>covering</w:t>
      </w:r>
      <w:r w:rsidRPr="00CC5C21">
        <w:rPr>
          <w:rFonts w:eastAsia="MS Mincho"/>
          <w:lang w:eastAsia="ja-JP"/>
        </w:rPr>
        <w:t xml:space="preserve"> the territory of its 17 member States</w:t>
      </w:r>
      <w:r>
        <w:rPr>
          <w:rStyle w:val="FootnoteReference"/>
          <w:rFonts w:eastAsia="MS Mincho"/>
          <w:lang w:eastAsia="ja-JP"/>
        </w:rPr>
        <w:footnoteReference w:id="2"/>
      </w:r>
      <w:r>
        <w:rPr>
          <w:rFonts w:eastAsia="MS Mincho"/>
          <w:lang w:eastAsia="ja-JP"/>
        </w:rPr>
        <w:t>, signaled a substantial increase in the number of States to which th</w:t>
      </w:r>
      <w:r w:rsidR="001C050D">
        <w:rPr>
          <w:rFonts w:eastAsia="MS Mincho"/>
          <w:lang w:eastAsia="ja-JP"/>
        </w:rPr>
        <w:t>e UPOV Convention applies, from </w:t>
      </w:r>
      <w:r>
        <w:rPr>
          <w:rFonts w:eastAsia="MS Mincho"/>
          <w:lang w:eastAsia="ja-JP"/>
        </w:rPr>
        <w:t>74 to 91 (23% increase).</w:t>
      </w:r>
    </w:p>
    <w:p w:rsidR="003117C2" w:rsidRDefault="003117C2" w:rsidP="003117C2">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117C2" w:rsidTr="00DC5E39">
        <w:tc>
          <w:tcPr>
            <w:tcW w:w="10421" w:type="dxa"/>
          </w:tcPr>
          <w:p w:rsidR="003117C2" w:rsidRDefault="003117C2" w:rsidP="00DC5E39">
            <w:pPr>
              <w:keepNext/>
              <w:rPr>
                <w:rFonts w:eastAsia="MS Mincho"/>
                <w:lang w:eastAsia="ja-JP"/>
              </w:rPr>
            </w:pPr>
            <w:r>
              <w:rPr>
                <w:rFonts w:eastAsia="MS Mincho"/>
                <w:lang w:eastAsia="ja-JP"/>
              </w:rPr>
              <w:t>Figure 3:  Expansion of UPOV</w:t>
            </w:r>
          </w:p>
        </w:tc>
      </w:tr>
      <w:tr w:rsidR="003117C2" w:rsidTr="00DC5E39">
        <w:tc>
          <w:tcPr>
            <w:tcW w:w="10421" w:type="dxa"/>
            <w:vAlign w:val="center"/>
          </w:tcPr>
          <w:p w:rsidR="003117C2" w:rsidRDefault="003117C2" w:rsidP="00DC5E39">
            <w:pPr>
              <w:jc w:val="center"/>
              <w:rPr>
                <w:rFonts w:eastAsia="MS Mincho"/>
                <w:lang w:eastAsia="ja-JP"/>
              </w:rPr>
            </w:pPr>
            <w:r>
              <w:rPr>
                <w:noProof/>
              </w:rPr>
              <w:drawing>
                <wp:inline distT="0" distB="0" distL="0" distR="0" wp14:anchorId="6F2531AE" wp14:editId="00EFCC56">
                  <wp:extent cx="6192000" cy="3492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117C2" w:rsidRDefault="003117C2" w:rsidP="003117C2">
      <w:pPr>
        <w:rPr>
          <w:rFonts w:eastAsia="MS Mincho"/>
          <w:lang w:eastAsia="ja-JP"/>
        </w:rPr>
      </w:pPr>
    </w:p>
    <w:p w:rsidR="003117C2" w:rsidRDefault="003117C2" w:rsidP="003117C2">
      <w:r>
        <w:rPr>
          <w:rFonts w:eastAsia="MS Mincho"/>
          <w:lang w:eastAsia="ja-JP"/>
        </w:rPr>
        <w:t>1.3</w:t>
      </w:r>
      <w:r>
        <w:rPr>
          <w:rFonts w:eastAsia="MS Mincho"/>
          <w:lang w:eastAsia="ja-JP"/>
        </w:rPr>
        <w:tab/>
        <w:t>A</w:t>
      </w:r>
      <w:r w:rsidRPr="000E5482">
        <w:t xml:space="preserve"> graphic overview of the status in relation to UPOV</w:t>
      </w:r>
      <w:r>
        <w:t xml:space="preserve"> </w:t>
      </w:r>
      <w:r w:rsidR="006F0776">
        <w:t xml:space="preserve">as of July 31, 2015, </w:t>
      </w:r>
      <w:r>
        <w:t xml:space="preserve">is provided in </w:t>
      </w:r>
      <w:r w:rsidR="006F0776">
        <w:rPr>
          <w:rFonts w:eastAsia="MS Mincho"/>
          <w:lang w:eastAsia="ja-JP"/>
        </w:rPr>
        <w:t>Figure </w:t>
      </w:r>
      <w:r>
        <w:rPr>
          <w:rFonts w:eastAsia="MS Mincho"/>
          <w:lang w:eastAsia="ja-JP"/>
        </w:rPr>
        <w:t xml:space="preserve">4, </w:t>
      </w:r>
      <w:r>
        <w:t>providing</w:t>
      </w:r>
      <w:r w:rsidRPr="000E5482">
        <w:t xml:space="preserve"> information</w:t>
      </w:r>
      <w:r>
        <w:t xml:space="preserve"> on UPOV members,</w:t>
      </w:r>
      <w:r w:rsidRPr="000E5482">
        <w:t xml:space="preserve"> those States and intergovernmental organizations which have initiated the procedure for acceding to the UPOV Convention and those which have been in contact with the Office of the Union for assistance in the development of laws based on the UPOV Convention.</w:t>
      </w:r>
      <w:r>
        <w:t xml:space="preserve">  Detailed information is provided in Box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117C2" w:rsidTr="00DC5E39">
        <w:tc>
          <w:tcPr>
            <w:tcW w:w="9855" w:type="dxa"/>
          </w:tcPr>
          <w:p w:rsidR="003117C2" w:rsidRDefault="003117C2" w:rsidP="00DC5E39">
            <w:pPr>
              <w:keepNext/>
              <w:rPr>
                <w:rFonts w:eastAsia="MS Mincho"/>
                <w:lang w:eastAsia="ja-JP"/>
              </w:rPr>
            </w:pPr>
            <w:r>
              <w:rPr>
                <w:rFonts w:eastAsia="MS Mincho"/>
                <w:lang w:eastAsia="ja-JP"/>
              </w:rPr>
              <w:t>Figure 4:  Status in relation to UPOV</w:t>
            </w:r>
          </w:p>
        </w:tc>
      </w:tr>
      <w:tr w:rsidR="003117C2" w:rsidTr="00DC5E39">
        <w:tc>
          <w:tcPr>
            <w:tcW w:w="9855" w:type="dxa"/>
          </w:tcPr>
          <w:p w:rsidR="003117C2" w:rsidRDefault="001930AB" w:rsidP="00DC5E39">
            <w:pPr>
              <w:keepNext/>
              <w:jc w:val="center"/>
              <w:rPr>
                <w:rFonts w:eastAsia="MS Mincho"/>
                <w:lang w:eastAsia="ja-JP"/>
              </w:rPr>
            </w:pPr>
            <w:r>
              <w:rPr>
                <w:rFonts w:eastAsia="MS Mincho"/>
                <w:noProof/>
              </w:rPr>
              <w:drawing>
                <wp:inline distT="0" distB="0" distL="0" distR="0" wp14:anchorId="0A7EB6EB" wp14:editId="3A3C0746">
                  <wp:extent cx="6105525" cy="3093466"/>
                  <wp:effectExtent l="0" t="0" r="0" b="0"/>
                  <wp:docPr id="4" name="Picture 4" descr="N:\OrgUPOV\Shared\Present-speeches\_Model Presentations &amp;Speeches\maps\Latest\_2015_03_18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Latest\_2015_03_18_three_colou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3093466"/>
                          </a:xfrm>
                          <a:prstGeom prst="rect">
                            <a:avLst/>
                          </a:prstGeom>
                          <a:noFill/>
                          <a:ln>
                            <a:noFill/>
                          </a:ln>
                        </pic:spPr>
                      </pic:pic>
                    </a:graphicData>
                  </a:graphic>
                </wp:inline>
              </w:drawing>
            </w:r>
          </w:p>
        </w:tc>
      </w:tr>
      <w:tr w:rsidR="003117C2" w:rsidTr="00DC5E39">
        <w:tc>
          <w:tcPr>
            <w:tcW w:w="9855" w:type="dxa"/>
          </w:tcPr>
          <w:p w:rsidR="003117C2" w:rsidRPr="00ED6211" w:rsidRDefault="003117C2" w:rsidP="00DC5E39">
            <w:pPr>
              <w:keepNext/>
              <w:spacing w:before="60"/>
              <w:jc w:val="left"/>
              <w:rPr>
                <w:rFonts w:eastAsia="MS Mincho"/>
                <w:sz w:val="16"/>
                <w:highlight w:val="cyan"/>
                <w:lang w:eastAsia="ja-JP"/>
              </w:rPr>
            </w:pPr>
            <w:r w:rsidRPr="00ED6211">
              <w:rPr>
                <w:sz w:val="16"/>
                <w:szCs w:val="14"/>
              </w:rPr>
              <w:t>The boundaries shown on this map do not imply the expression of any opinion whatsoever on the part of UPOV concerning the legal status of any country or territory</w:t>
            </w:r>
          </w:p>
        </w:tc>
      </w:tr>
      <w:tr w:rsidR="003117C2" w:rsidTr="00DC5E39">
        <w:tc>
          <w:tcPr>
            <w:tcW w:w="9855" w:type="dxa"/>
          </w:tcPr>
          <w:p w:rsidR="003117C2" w:rsidRDefault="003117C2" w:rsidP="00DC5E39">
            <w:pPr>
              <w:spacing w:after="40"/>
            </w:pPr>
          </w:p>
          <w:p w:rsidR="003117C2" w:rsidRPr="001930AB" w:rsidRDefault="003117C2" w:rsidP="00DC5E39">
            <w:pPr>
              <w:spacing w:after="40"/>
            </w:pPr>
            <w:r w:rsidRPr="001930AB">
              <w:t xml:space="preserve">Map showing </w:t>
            </w:r>
          </w:p>
          <w:p w:rsidR="003117C2" w:rsidRPr="001930AB" w:rsidRDefault="003117C2" w:rsidP="00DC5E39">
            <w:pPr>
              <w:ind w:left="567"/>
              <w:rPr>
                <w:sz w:val="18"/>
                <w:szCs w:val="18"/>
              </w:rPr>
            </w:pPr>
            <w:r w:rsidRPr="001930AB">
              <w:rPr>
                <w:sz w:val="18"/>
                <w:szCs w:val="18"/>
              </w:rPr>
              <w:t>- UPOV members (green);</w:t>
            </w:r>
          </w:p>
          <w:p w:rsidR="003117C2" w:rsidRPr="001930AB" w:rsidRDefault="003117C2" w:rsidP="00DC5E39">
            <w:pPr>
              <w:ind w:left="567"/>
              <w:rPr>
                <w:sz w:val="18"/>
                <w:szCs w:val="18"/>
              </w:rPr>
            </w:pPr>
            <w:r w:rsidRPr="001930AB">
              <w:rPr>
                <w:sz w:val="18"/>
                <w:szCs w:val="18"/>
              </w:rPr>
              <w:t xml:space="preserve">- States and intergovernmental organizations which have initiated the procedure for becoming UPOV members (brown);  and </w:t>
            </w:r>
          </w:p>
          <w:p w:rsidR="003117C2" w:rsidRPr="001930AB" w:rsidRDefault="003117C2" w:rsidP="00DC5E39">
            <w:pPr>
              <w:ind w:left="567"/>
              <w:jc w:val="left"/>
              <w:rPr>
                <w:sz w:val="18"/>
                <w:szCs w:val="18"/>
              </w:rPr>
            </w:pPr>
            <w:r w:rsidRPr="001930AB">
              <w:rPr>
                <w:sz w:val="18"/>
                <w:szCs w:val="18"/>
              </w:rPr>
              <w:t>- States and intergovernmental organizations which have been in contact with the Office of the Union for assistance in the development of laws based on the UPOV Convention (orange).</w:t>
            </w:r>
          </w:p>
          <w:p w:rsidR="003117C2" w:rsidRPr="001930AB" w:rsidRDefault="003117C2" w:rsidP="00DC5E39">
            <w:pPr>
              <w:ind w:left="567"/>
              <w:jc w:val="left"/>
              <w:rPr>
                <w:rFonts w:eastAsia="MS Mincho"/>
                <w:lang w:eastAsia="ja-JP"/>
              </w:rPr>
            </w:pPr>
          </w:p>
        </w:tc>
      </w:tr>
    </w:tbl>
    <w:p w:rsidR="003117C2" w:rsidRDefault="003117C2" w:rsidP="003117C2"/>
    <w:p w:rsidR="003117C2" w:rsidRDefault="003117C2" w:rsidP="003117C2">
      <w:pPr>
        <w:jc w:val="left"/>
      </w:pPr>
      <w:r>
        <w:br w:type="page"/>
      </w:r>
    </w:p>
    <w:tbl>
      <w:tblPr>
        <w:tblStyle w:val="TableGrid"/>
        <w:tblW w:w="10065"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117C2" w:rsidTr="00DC5E39">
        <w:trPr>
          <w:trHeight w:val="340"/>
          <w:jc w:val="center"/>
        </w:trPr>
        <w:tc>
          <w:tcPr>
            <w:tcW w:w="10065" w:type="dxa"/>
          </w:tcPr>
          <w:p w:rsidR="003117C2" w:rsidRDefault="003117C2" w:rsidP="00DC5E39">
            <w:r>
              <w:t xml:space="preserve">Box 1. </w:t>
            </w:r>
            <w:r>
              <w:rPr>
                <w:rFonts w:eastAsia="MS Mincho"/>
                <w:lang w:eastAsia="ja-JP"/>
              </w:rPr>
              <w:t>Status in relation to UPOV</w:t>
            </w:r>
          </w:p>
        </w:tc>
      </w:tr>
      <w:tr w:rsidR="003117C2" w:rsidTr="00DC5E39">
        <w:trPr>
          <w:jc w:val="center"/>
        </w:trPr>
        <w:tc>
          <w:tcPr>
            <w:tcW w:w="10065" w:type="dxa"/>
            <w:vAlign w:val="center"/>
          </w:tcPr>
          <w:p w:rsidR="003117C2" w:rsidRPr="00DC4AE5" w:rsidRDefault="003117C2" w:rsidP="00F22257">
            <w:pPr>
              <w:jc w:val="center"/>
              <w:rPr>
                <w:rFonts w:cs="Arial"/>
                <w:szCs w:val="24"/>
              </w:rPr>
            </w:pPr>
            <w:r w:rsidRPr="00F22257">
              <w:rPr>
                <w:rFonts w:cs="Arial"/>
                <w:szCs w:val="24"/>
              </w:rPr>
              <w:t>STATUS IN RELATION TO THE INTERNATIONAL UNION FOR THE PROTECTION</w:t>
            </w:r>
            <w:r w:rsidRPr="00F22257">
              <w:rPr>
                <w:rFonts w:cs="Arial"/>
                <w:szCs w:val="24"/>
              </w:rPr>
              <w:br/>
              <w:t>OF NEW VARIETIES OF PLANTS (UPOV)</w:t>
            </w:r>
            <w:r w:rsidRPr="00F22257">
              <w:rPr>
                <w:rFonts w:cs="Arial"/>
                <w:szCs w:val="24"/>
              </w:rPr>
              <w:br/>
            </w:r>
            <w:r w:rsidRPr="00F22257">
              <w:rPr>
                <w:rFonts w:cs="Arial"/>
                <w:i/>
                <w:sz w:val="16"/>
              </w:rPr>
              <w:t xml:space="preserve">as of </w:t>
            </w:r>
            <w:r w:rsidR="003B7437" w:rsidRPr="00F22257">
              <w:rPr>
                <w:rFonts w:cs="Arial"/>
                <w:i/>
                <w:sz w:val="16"/>
              </w:rPr>
              <w:t>July 31, 2015</w:t>
            </w:r>
          </w:p>
        </w:tc>
      </w:tr>
      <w:tr w:rsidR="003117C2" w:rsidTr="00DC5E39">
        <w:trPr>
          <w:jc w:val="center"/>
        </w:trPr>
        <w:tc>
          <w:tcPr>
            <w:tcW w:w="10065" w:type="dxa"/>
            <w:vAlign w:val="center"/>
          </w:tcPr>
          <w:p w:rsidR="003117C2" w:rsidRDefault="003117C2" w:rsidP="00DC5E39">
            <w:pPr>
              <w:spacing w:line="360" w:lineRule="auto"/>
              <w:jc w:val="center"/>
              <w:rPr>
                <w:rFonts w:cs="Arial"/>
                <w:b/>
                <w:sz w:val="18"/>
              </w:rPr>
            </w:pPr>
          </w:p>
          <w:p w:rsidR="003117C2" w:rsidRPr="00E230DC" w:rsidRDefault="003117C2" w:rsidP="00DC5E39">
            <w:pPr>
              <w:spacing w:line="360" w:lineRule="auto"/>
              <w:jc w:val="center"/>
              <w:rPr>
                <w:rFonts w:cs="Arial"/>
                <w:b/>
                <w:sz w:val="18"/>
              </w:rPr>
            </w:pPr>
            <w:r w:rsidRPr="00E230DC">
              <w:rPr>
                <w:rFonts w:cs="Arial"/>
                <w:b/>
                <w:sz w:val="18"/>
              </w:rPr>
              <w:t>I.  Members of UPOV</w:t>
            </w:r>
          </w:p>
          <w:tbl>
            <w:tblPr>
              <w:tblStyle w:val="TableGrid"/>
              <w:tblW w:w="9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1559"/>
              <w:gridCol w:w="1772"/>
              <w:gridCol w:w="2077"/>
            </w:tblGrid>
            <w:tr w:rsidR="003117C2" w:rsidRPr="00E230DC" w:rsidTr="00DC5E39">
              <w:trPr>
                <w:jc w:val="center"/>
              </w:trPr>
              <w:tc>
                <w:tcPr>
                  <w:tcW w:w="2410" w:type="dxa"/>
                  <w:vAlign w:val="bottom"/>
                </w:tcPr>
                <w:p w:rsidR="003117C2" w:rsidRPr="00E230DC" w:rsidRDefault="003117C2" w:rsidP="00DC5E39">
                  <w:pPr>
                    <w:spacing w:before="40"/>
                    <w:ind w:left="28" w:hanging="28"/>
                    <w:jc w:val="left"/>
                    <w:rPr>
                      <w:rFonts w:cs="Arial"/>
                      <w:sz w:val="16"/>
                      <w:szCs w:val="16"/>
                    </w:rPr>
                  </w:pPr>
                  <w:r w:rsidRPr="00E230DC">
                    <w:rPr>
                      <w:rFonts w:cs="Arial"/>
                      <w:sz w:val="16"/>
                      <w:szCs w:val="16"/>
                    </w:rPr>
                    <w:t>African Intellectual Property</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Colombia</w:t>
                  </w:r>
                  <w:r w:rsidRPr="00E230DC">
                    <w:rPr>
                      <w:rFonts w:cs="Arial"/>
                      <w:sz w:val="16"/>
                      <w:szCs w:val="16"/>
                      <w:vertAlign w:val="superscript"/>
                    </w:rPr>
                    <w:t>2</w:t>
                  </w:r>
                </w:p>
              </w:tc>
              <w:tc>
                <w:tcPr>
                  <w:tcW w:w="1559" w:type="dxa"/>
                </w:tcPr>
                <w:p w:rsidR="003117C2" w:rsidRPr="00D046B8" w:rsidRDefault="003117C2" w:rsidP="00DC5E39">
                  <w:pPr>
                    <w:spacing w:before="40"/>
                    <w:jc w:val="left"/>
                    <w:rPr>
                      <w:rFonts w:cs="Arial"/>
                      <w:sz w:val="16"/>
                      <w:szCs w:val="16"/>
                      <w:vertAlign w:val="superscript"/>
                    </w:rPr>
                  </w:pPr>
                  <w:r w:rsidRPr="00D046B8">
                    <w:rPr>
                      <w:rFonts w:cs="Arial"/>
                      <w:sz w:val="16"/>
                      <w:szCs w:val="16"/>
                    </w:rPr>
                    <w:t>Ireland</w:t>
                  </w:r>
                  <w:r w:rsidRPr="00D046B8">
                    <w:rPr>
                      <w:rStyle w:val="FootnoteReference"/>
                      <w:rFonts w:cs="Arial"/>
                      <w:sz w:val="16"/>
                      <w:szCs w:val="16"/>
                    </w:rPr>
                    <w:t>3</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Oman</w:t>
                  </w:r>
                  <w:r w:rsidRPr="00E230DC">
                    <w:rPr>
                      <w:rFonts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Spain</w:t>
                  </w:r>
                  <w:r w:rsidRPr="00E230DC">
                    <w:rPr>
                      <w:rStyle w:val="FootnoteReference"/>
                      <w:rFonts w:cs="Arial"/>
                      <w:sz w:val="16"/>
                      <w:szCs w:val="16"/>
                    </w:rPr>
                    <w:t>3</w:t>
                  </w:r>
                </w:p>
              </w:tc>
            </w:tr>
            <w:tr w:rsidR="003117C2" w:rsidRPr="00E230DC" w:rsidTr="00DC5E39">
              <w:trPr>
                <w:jc w:val="center"/>
              </w:trPr>
              <w:tc>
                <w:tcPr>
                  <w:tcW w:w="2410" w:type="dxa"/>
                </w:tcPr>
                <w:p w:rsidR="003117C2" w:rsidRPr="00E230DC" w:rsidRDefault="003117C2" w:rsidP="00DC5E39">
                  <w:pPr>
                    <w:jc w:val="left"/>
                    <w:rPr>
                      <w:rFonts w:cs="Arial"/>
                      <w:sz w:val="16"/>
                      <w:szCs w:val="16"/>
                    </w:rPr>
                  </w:pPr>
                  <w:r w:rsidRPr="00E230DC">
                    <w:rPr>
                      <w:rFonts w:cs="Arial"/>
                      <w:sz w:val="16"/>
                      <w:szCs w:val="16"/>
                    </w:rPr>
                    <w:t>Organization</w:t>
                  </w:r>
                  <w:r w:rsidRPr="00E230DC">
                    <w:rPr>
                      <w:rFonts w:cs="Arial"/>
                      <w:sz w:val="16"/>
                      <w:szCs w:val="16"/>
                      <w:vertAlign w:val="superscript"/>
                    </w:rPr>
                    <w:t>3,5</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Costa Rica</w:t>
                  </w:r>
                  <w:r w:rsidRPr="00E230DC">
                    <w:rPr>
                      <w:rFonts w:cs="Arial"/>
                      <w:sz w:val="16"/>
                      <w:szCs w:val="16"/>
                      <w:vertAlign w:val="superscript"/>
                    </w:rPr>
                    <w:t>3</w:t>
                  </w:r>
                </w:p>
              </w:tc>
              <w:tc>
                <w:tcPr>
                  <w:tcW w:w="1559" w:type="dxa"/>
                </w:tcPr>
                <w:p w:rsidR="003117C2" w:rsidRPr="00D046B8" w:rsidRDefault="003117C2" w:rsidP="00DC5E39">
                  <w:pPr>
                    <w:spacing w:before="40"/>
                    <w:jc w:val="left"/>
                    <w:rPr>
                      <w:rFonts w:cs="Arial"/>
                      <w:sz w:val="16"/>
                      <w:szCs w:val="16"/>
                      <w:vertAlign w:val="superscript"/>
                    </w:rPr>
                  </w:pPr>
                  <w:r w:rsidRPr="00D046B8">
                    <w:rPr>
                      <w:rFonts w:cs="Arial"/>
                      <w:sz w:val="16"/>
                      <w:szCs w:val="16"/>
                    </w:rPr>
                    <w:t>Israel</w:t>
                  </w:r>
                  <w:r w:rsidRPr="00D046B8">
                    <w:rPr>
                      <w:rFonts w:cs="Arial"/>
                      <w:sz w:val="16"/>
                      <w:szCs w:val="16"/>
                      <w:vertAlign w:val="superscript"/>
                    </w:rPr>
                    <w:t>3</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Panama</w:t>
                  </w:r>
                  <w:r w:rsidRPr="00E230DC">
                    <w:rPr>
                      <w:rFonts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Sweden</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Albania</w:t>
                  </w:r>
                  <w:r w:rsidRPr="00E230DC">
                    <w:rPr>
                      <w:rFonts w:cs="Arial"/>
                      <w:sz w:val="16"/>
                      <w:szCs w:val="16"/>
                      <w:vertAlign w:val="superscript"/>
                    </w:rPr>
                    <w:t>3</w:t>
                  </w:r>
                </w:p>
              </w:tc>
              <w:tc>
                <w:tcPr>
                  <w:tcW w:w="1843" w:type="dxa"/>
                </w:tcPr>
                <w:p w:rsidR="003117C2" w:rsidRPr="00E230DC" w:rsidRDefault="003117C2" w:rsidP="00DC5E39">
                  <w:pPr>
                    <w:spacing w:before="40"/>
                    <w:jc w:val="left"/>
                    <w:rPr>
                      <w:rFonts w:cs="Arial"/>
                      <w:sz w:val="16"/>
                      <w:szCs w:val="16"/>
                      <w:vertAlign w:val="superscript"/>
                    </w:rPr>
                  </w:pPr>
                  <w:r w:rsidRPr="00E230DC">
                    <w:rPr>
                      <w:rFonts w:cs="Arial"/>
                      <w:sz w:val="16"/>
                      <w:szCs w:val="16"/>
                    </w:rPr>
                    <w:t>Croatia</w:t>
                  </w:r>
                  <w:r w:rsidRPr="00E230DC">
                    <w:rPr>
                      <w:rFonts w:cs="Arial"/>
                      <w:sz w:val="16"/>
                      <w:szCs w:val="16"/>
                      <w:vertAlign w:val="superscript"/>
                    </w:rPr>
                    <w:t>3</w:t>
                  </w:r>
                </w:p>
              </w:tc>
              <w:tc>
                <w:tcPr>
                  <w:tcW w:w="1559" w:type="dxa"/>
                </w:tcPr>
                <w:p w:rsidR="003117C2" w:rsidRPr="00D046B8" w:rsidRDefault="003117C2" w:rsidP="00DC5E39">
                  <w:pPr>
                    <w:spacing w:before="40"/>
                    <w:jc w:val="left"/>
                    <w:rPr>
                      <w:rFonts w:cs="Arial"/>
                      <w:sz w:val="16"/>
                      <w:szCs w:val="16"/>
                    </w:rPr>
                  </w:pPr>
                  <w:r w:rsidRPr="00D046B8">
                    <w:rPr>
                      <w:rFonts w:cs="Arial"/>
                      <w:sz w:val="16"/>
                      <w:szCs w:val="16"/>
                    </w:rPr>
                    <w:t>Italy</w:t>
                  </w:r>
                  <w:r w:rsidRPr="00D046B8">
                    <w:rPr>
                      <w:rStyle w:val="FootnoteReference"/>
                      <w:rFonts w:cs="Arial"/>
                      <w:sz w:val="16"/>
                      <w:szCs w:val="16"/>
                    </w:rPr>
                    <w:t>2</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Paraguay</w:t>
                  </w:r>
                  <w:r w:rsidRPr="00E230DC">
                    <w:rPr>
                      <w:rFonts w:cs="Arial"/>
                      <w:sz w:val="16"/>
                      <w:szCs w:val="16"/>
                      <w:vertAlign w:val="superscript"/>
                    </w:rPr>
                    <w:t>2</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Switzerland</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Argentina</w:t>
                  </w:r>
                  <w:r w:rsidRPr="00E230DC">
                    <w:rPr>
                      <w:rStyle w:val="FootnoteReference"/>
                      <w:rFonts w:cs="Arial"/>
                      <w:sz w:val="16"/>
                      <w:szCs w:val="16"/>
                    </w:rPr>
                    <w:t>2</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Czech Republic</w:t>
                  </w:r>
                  <w:r w:rsidRPr="00E230DC">
                    <w:rPr>
                      <w:rFonts w:cs="Arial"/>
                      <w:sz w:val="16"/>
                      <w:szCs w:val="16"/>
                      <w:vertAlign w:val="superscript"/>
                    </w:rPr>
                    <w:t>3</w:t>
                  </w:r>
                </w:p>
              </w:tc>
              <w:tc>
                <w:tcPr>
                  <w:tcW w:w="1559" w:type="dxa"/>
                </w:tcPr>
                <w:p w:rsidR="003117C2" w:rsidRPr="00D046B8" w:rsidRDefault="003117C2" w:rsidP="00DC5E39">
                  <w:pPr>
                    <w:spacing w:before="40"/>
                    <w:jc w:val="left"/>
                    <w:rPr>
                      <w:rFonts w:cs="Arial"/>
                      <w:sz w:val="16"/>
                      <w:szCs w:val="16"/>
                    </w:rPr>
                  </w:pPr>
                  <w:r w:rsidRPr="00D046B8">
                    <w:rPr>
                      <w:rFonts w:cs="Arial"/>
                      <w:sz w:val="16"/>
                      <w:szCs w:val="16"/>
                    </w:rPr>
                    <w:t>Japan</w:t>
                  </w:r>
                  <w:r w:rsidRPr="00D046B8">
                    <w:rPr>
                      <w:rFonts w:cs="Arial"/>
                      <w:sz w:val="16"/>
                      <w:szCs w:val="16"/>
                      <w:vertAlign w:val="superscript"/>
                    </w:rPr>
                    <w:t>3</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Peru</w:t>
                  </w:r>
                  <w:r w:rsidRPr="00E230DC">
                    <w:rPr>
                      <w:rFonts w:cs="Arial"/>
                      <w:sz w:val="16"/>
                      <w:szCs w:val="16"/>
                      <w:vertAlign w:val="superscript"/>
                    </w:rPr>
                    <w:t>3</w:t>
                  </w:r>
                </w:p>
              </w:tc>
              <w:tc>
                <w:tcPr>
                  <w:tcW w:w="2077" w:type="dxa"/>
                  <w:vAlign w:val="bottom"/>
                </w:tcPr>
                <w:p w:rsidR="003117C2" w:rsidRPr="00E230DC" w:rsidRDefault="003117C2" w:rsidP="00DC5E39">
                  <w:pPr>
                    <w:spacing w:before="40"/>
                    <w:jc w:val="left"/>
                    <w:rPr>
                      <w:rFonts w:cs="Arial"/>
                      <w:sz w:val="16"/>
                      <w:szCs w:val="16"/>
                    </w:rPr>
                  </w:pPr>
                  <w:r w:rsidRPr="00E230DC">
                    <w:rPr>
                      <w:rFonts w:cs="Arial"/>
                      <w:sz w:val="16"/>
                      <w:szCs w:val="16"/>
                    </w:rPr>
                    <w:t xml:space="preserve">The former Yugoslav </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Australia</w:t>
                  </w:r>
                  <w:r w:rsidRPr="00E230DC">
                    <w:rPr>
                      <w:rFonts w:cs="Arial"/>
                      <w:sz w:val="16"/>
                      <w:szCs w:val="16"/>
                      <w:vertAlign w:val="superscript"/>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Denmark</w:t>
                  </w:r>
                  <w:r w:rsidRPr="00E230DC">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Jordan</w:t>
                  </w:r>
                  <w:r w:rsidRPr="00E230DC">
                    <w:rPr>
                      <w:rFonts w:cs="Arial"/>
                      <w:sz w:val="16"/>
                      <w:szCs w:val="16"/>
                      <w:vertAlign w:val="superscript"/>
                    </w:rPr>
                    <w:t>3</w:t>
                  </w:r>
                </w:p>
              </w:tc>
              <w:tc>
                <w:tcPr>
                  <w:tcW w:w="1772" w:type="dxa"/>
                </w:tcPr>
                <w:p w:rsidR="003117C2" w:rsidRPr="00E230DC" w:rsidRDefault="003117C2" w:rsidP="00DC5E39">
                  <w:pPr>
                    <w:pStyle w:val="BodyTextKeep"/>
                    <w:spacing w:before="40" w:after="0"/>
                    <w:rPr>
                      <w:rFonts w:ascii="Arial" w:hAnsi="Arial" w:cs="Arial"/>
                      <w:sz w:val="16"/>
                      <w:szCs w:val="16"/>
                      <w:vertAlign w:val="superscript"/>
                    </w:rPr>
                  </w:pPr>
                  <w:r w:rsidRPr="00E230DC">
                    <w:rPr>
                      <w:rFonts w:ascii="Arial" w:hAnsi="Arial" w:cs="Arial"/>
                      <w:sz w:val="16"/>
                      <w:szCs w:val="16"/>
                    </w:rPr>
                    <w:t>Poland</w:t>
                  </w:r>
                  <w:r w:rsidRPr="00E230DC">
                    <w:rPr>
                      <w:rStyle w:val="FootnoteReference"/>
                      <w:rFonts w:ascii="Arial" w:hAnsi="Arial" w:cs="Arial"/>
                      <w:sz w:val="16"/>
                      <w:szCs w:val="16"/>
                    </w:rPr>
                    <w:t>3</w:t>
                  </w:r>
                </w:p>
              </w:tc>
              <w:tc>
                <w:tcPr>
                  <w:tcW w:w="2077" w:type="dxa"/>
                </w:tcPr>
                <w:p w:rsidR="003117C2" w:rsidRPr="00E230DC" w:rsidRDefault="003117C2" w:rsidP="00DC5E39">
                  <w:pPr>
                    <w:jc w:val="left"/>
                    <w:rPr>
                      <w:rFonts w:cs="Arial"/>
                      <w:sz w:val="16"/>
                      <w:szCs w:val="16"/>
                    </w:rPr>
                  </w:pPr>
                  <w:r w:rsidRPr="00E230DC">
                    <w:rPr>
                      <w:rFonts w:cs="Arial"/>
                      <w:sz w:val="16"/>
                      <w:szCs w:val="16"/>
                    </w:rPr>
                    <w:t>Republic of Macedonia</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Austria</w:t>
                  </w:r>
                  <w:r w:rsidRPr="00E230DC">
                    <w:rPr>
                      <w:rStyle w:val="FootnoteReference"/>
                      <w:rFonts w:cs="Arial"/>
                      <w:sz w:val="16"/>
                      <w:szCs w:val="16"/>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Dominican Republic</w:t>
                  </w:r>
                  <w:r w:rsidRPr="00E230DC">
                    <w:rPr>
                      <w:rFonts w:cs="Arial"/>
                      <w:sz w:val="16"/>
                      <w:szCs w:val="16"/>
                      <w:vertAlign w:val="superscript"/>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Kenya</w:t>
                  </w:r>
                  <w:r w:rsidRPr="00E230DC">
                    <w:rPr>
                      <w:rFonts w:cs="Arial"/>
                      <w:sz w:val="16"/>
                      <w:szCs w:val="16"/>
                      <w:vertAlign w:val="superscript"/>
                    </w:rPr>
                    <w:t>2</w:t>
                  </w:r>
                </w:p>
              </w:tc>
              <w:tc>
                <w:tcPr>
                  <w:tcW w:w="1772" w:type="dxa"/>
                </w:tcPr>
                <w:p w:rsidR="003117C2" w:rsidRPr="00E230DC" w:rsidRDefault="003117C2" w:rsidP="00DC5E39">
                  <w:pPr>
                    <w:pStyle w:val="BodyTextKeep"/>
                    <w:spacing w:before="40" w:after="0"/>
                    <w:rPr>
                      <w:rFonts w:ascii="Arial" w:hAnsi="Arial" w:cs="Arial"/>
                      <w:sz w:val="16"/>
                      <w:szCs w:val="16"/>
                      <w:vertAlign w:val="superscript"/>
                    </w:rPr>
                  </w:pPr>
                  <w:r w:rsidRPr="00E230DC">
                    <w:rPr>
                      <w:rFonts w:ascii="Arial" w:hAnsi="Arial" w:cs="Arial"/>
                      <w:sz w:val="16"/>
                      <w:szCs w:val="16"/>
                    </w:rPr>
                    <w:t>Portugal</w:t>
                  </w:r>
                  <w:r w:rsidRPr="00E230DC">
                    <w:rPr>
                      <w:rFonts w:ascii="Arial" w:hAnsi="Arial" w:cs="Arial"/>
                      <w:sz w:val="16"/>
                      <w:szCs w:val="16"/>
                      <w:vertAlign w:val="superscript"/>
                    </w:rPr>
                    <w:t>2</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Trinidad and Tobago</w:t>
                  </w:r>
                  <w:r w:rsidRPr="00E230DC">
                    <w:rPr>
                      <w:rFonts w:cs="Arial"/>
                      <w:sz w:val="16"/>
                      <w:szCs w:val="16"/>
                      <w:vertAlign w:val="superscript"/>
                    </w:rPr>
                    <w:t>2</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Azerbaijan</w:t>
                  </w:r>
                  <w:r w:rsidRPr="00E230DC">
                    <w:rPr>
                      <w:rFonts w:cs="Arial"/>
                      <w:sz w:val="16"/>
                      <w:szCs w:val="16"/>
                      <w:vertAlign w:val="superscript"/>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Ecuador</w:t>
                  </w:r>
                  <w:r w:rsidRPr="00E230DC">
                    <w:rPr>
                      <w:rFonts w:cs="Arial"/>
                      <w:sz w:val="16"/>
                      <w:szCs w:val="16"/>
                      <w:vertAlign w:val="superscript"/>
                    </w:rPr>
                    <w:t>2</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Kyrgyzstan</w:t>
                  </w:r>
                  <w:r w:rsidRPr="00E230DC">
                    <w:rPr>
                      <w:rFonts w:cs="Arial"/>
                      <w:sz w:val="16"/>
                      <w:szCs w:val="16"/>
                      <w:vertAlign w:val="superscript"/>
                    </w:rPr>
                    <w:t>3</w:t>
                  </w:r>
                </w:p>
              </w:tc>
              <w:tc>
                <w:tcPr>
                  <w:tcW w:w="1772" w:type="dxa"/>
                </w:tcPr>
                <w:p w:rsidR="003117C2" w:rsidRPr="00E230DC" w:rsidRDefault="003117C2" w:rsidP="00DC5E39">
                  <w:pPr>
                    <w:pStyle w:val="BodyTextKeep"/>
                    <w:spacing w:before="40" w:after="0"/>
                    <w:rPr>
                      <w:rFonts w:ascii="Arial" w:hAnsi="Arial" w:cs="Arial"/>
                      <w:sz w:val="16"/>
                      <w:szCs w:val="16"/>
                      <w:vertAlign w:val="superscript"/>
                    </w:rPr>
                  </w:pPr>
                  <w:r w:rsidRPr="00E230DC">
                    <w:rPr>
                      <w:rFonts w:ascii="Arial" w:hAnsi="Arial" w:cs="Arial"/>
                      <w:sz w:val="16"/>
                      <w:szCs w:val="16"/>
                    </w:rPr>
                    <w:t>Republic of Korea</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Tunisia</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Belarus</w:t>
                  </w:r>
                  <w:r w:rsidRPr="00E230DC">
                    <w:rPr>
                      <w:rFonts w:cs="Arial"/>
                      <w:sz w:val="16"/>
                      <w:szCs w:val="16"/>
                      <w:vertAlign w:val="superscript"/>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Estonia</w:t>
                  </w:r>
                  <w:r w:rsidRPr="00E230DC">
                    <w:rPr>
                      <w:rFonts w:cs="Arial"/>
                      <w:sz w:val="16"/>
                      <w:szCs w:val="16"/>
                      <w:vertAlign w:val="superscript"/>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Latvia</w:t>
                  </w:r>
                  <w:r w:rsidRPr="00E230DC">
                    <w:rPr>
                      <w:rFonts w:cs="Arial"/>
                      <w:sz w:val="16"/>
                      <w:szCs w:val="16"/>
                      <w:vertAlign w:val="superscript"/>
                    </w:rPr>
                    <w:t>3</w:t>
                  </w:r>
                </w:p>
              </w:tc>
              <w:tc>
                <w:tcPr>
                  <w:tcW w:w="1772" w:type="dxa"/>
                </w:tcPr>
                <w:p w:rsidR="003117C2" w:rsidRPr="00E230DC" w:rsidRDefault="003117C2" w:rsidP="00DC5E39">
                  <w:pPr>
                    <w:pStyle w:val="BodyTextKeep"/>
                    <w:spacing w:before="40" w:after="0"/>
                    <w:rPr>
                      <w:rFonts w:ascii="Arial" w:hAnsi="Arial" w:cs="Arial"/>
                      <w:sz w:val="16"/>
                      <w:szCs w:val="16"/>
                      <w:vertAlign w:val="superscript"/>
                    </w:rPr>
                  </w:pPr>
                  <w:r w:rsidRPr="00E230DC">
                    <w:rPr>
                      <w:rFonts w:ascii="Arial" w:hAnsi="Arial" w:cs="Arial"/>
                      <w:sz w:val="16"/>
                      <w:szCs w:val="16"/>
                    </w:rPr>
                    <w:t>Republic of Moldova</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Turkey</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vertAlign w:val="superscript"/>
                    </w:rPr>
                  </w:pPr>
                  <w:r w:rsidRPr="00E230DC">
                    <w:rPr>
                      <w:rFonts w:cs="Arial"/>
                      <w:sz w:val="16"/>
                      <w:szCs w:val="16"/>
                    </w:rPr>
                    <w:t>Belgium</w:t>
                  </w:r>
                  <w:r w:rsidRPr="00E230DC">
                    <w:rPr>
                      <w:rStyle w:val="FootnoteReference"/>
                      <w:rFonts w:cs="Arial"/>
                      <w:sz w:val="16"/>
                      <w:szCs w:val="16"/>
                    </w:rPr>
                    <w:t>1</w:t>
                  </w:r>
                </w:p>
              </w:tc>
              <w:tc>
                <w:tcPr>
                  <w:tcW w:w="1843" w:type="dxa"/>
                </w:tcPr>
                <w:p w:rsidR="003117C2" w:rsidRPr="00E230DC" w:rsidRDefault="003117C2" w:rsidP="00DC5E39">
                  <w:pPr>
                    <w:spacing w:before="40"/>
                    <w:jc w:val="left"/>
                    <w:rPr>
                      <w:rFonts w:cs="Arial"/>
                      <w:sz w:val="16"/>
                      <w:szCs w:val="16"/>
                      <w:vertAlign w:val="superscript"/>
                    </w:rPr>
                  </w:pPr>
                  <w:r w:rsidRPr="00E230DC">
                    <w:rPr>
                      <w:rFonts w:cs="Arial"/>
                      <w:sz w:val="16"/>
                      <w:szCs w:val="16"/>
                    </w:rPr>
                    <w:t>European Union</w:t>
                  </w:r>
                  <w:r w:rsidRPr="00E230DC">
                    <w:rPr>
                      <w:rFonts w:cs="Arial"/>
                      <w:sz w:val="16"/>
                      <w:szCs w:val="16"/>
                      <w:vertAlign w:val="superscript"/>
                    </w:rPr>
                    <w:t>3, 4</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Lithuania</w:t>
                  </w:r>
                  <w:r w:rsidRPr="00E230DC">
                    <w:rPr>
                      <w:rFonts w:cs="Arial"/>
                      <w:sz w:val="16"/>
                      <w:szCs w:val="16"/>
                      <w:vertAlign w:val="superscript"/>
                    </w:rPr>
                    <w:t>3</w:t>
                  </w:r>
                </w:p>
              </w:tc>
              <w:tc>
                <w:tcPr>
                  <w:tcW w:w="1772" w:type="dxa"/>
                </w:tcPr>
                <w:p w:rsidR="003117C2" w:rsidRPr="00E230DC" w:rsidRDefault="003117C2" w:rsidP="00DC5E39">
                  <w:pPr>
                    <w:pStyle w:val="BodyTextKeep"/>
                    <w:spacing w:before="40" w:after="0"/>
                    <w:rPr>
                      <w:rFonts w:ascii="Arial" w:hAnsi="Arial" w:cs="Arial"/>
                      <w:sz w:val="16"/>
                      <w:szCs w:val="16"/>
                      <w:vertAlign w:val="superscript"/>
                    </w:rPr>
                  </w:pPr>
                  <w:r w:rsidRPr="00E230DC">
                    <w:rPr>
                      <w:rFonts w:ascii="Arial" w:hAnsi="Arial" w:cs="Arial"/>
                      <w:sz w:val="16"/>
                      <w:szCs w:val="16"/>
                    </w:rPr>
                    <w:t>Romania</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Ukraine</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Bolivia (</w:t>
                  </w:r>
                  <w:proofErr w:type="spellStart"/>
                  <w:r w:rsidRPr="00E230DC">
                    <w:rPr>
                      <w:rFonts w:cs="Arial"/>
                      <w:sz w:val="16"/>
                      <w:szCs w:val="16"/>
                    </w:rPr>
                    <w:t>Plurinational</w:t>
                  </w:r>
                  <w:proofErr w:type="spellEnd"/>
                  <w:r w:rsidRPr="00E230DC">
                    <w:rPr>
                      <w:rFonts w:cs="Arial"/>
                      <w:sz w:val="16"/>
                      <w:szCs w:val="16"/>
                    </w:rPr>
                    <w:t xml:space="preserve"> State of)</w:t>
                  </w:r>
                  <w:r w:rsidRPr="00E230DC">
                    <w:rPr>
                      <w:rFonts w:cs="Arial"/>
                      <w:sz w:val="16"/>
                      <w:szCs w:val="16"/>
                      <w:vertAlign w:val="superscript"/>
                    </w:rPr>
                    <w:t>2</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Finland</w:t>
                  </w:r>
                  <w:r w:rsidRPr="00E230DC">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Mexico</w:t>
                  </w:r>
                  <w:r w:rsidRPr="00E230DC">
                    <w:rPr>
                      <w:rFonts w:cs="Arial"/>
                      <w:sz w:val="16"/>
                      <w:szCs w:val="16"/>
                      <w:vertAlign w:val="superscript"/>
                    </w:rPr>
                    <w:t>2</w:t>
                  </w:r>
                </w:p>
              </w:tc>
              <w:tc>
                <w:tcPr>
                  <w:tcW w:w="1772" w:type="dxa"/>
                </w:tcPr>
                <w:p w:rsidR="003117C2" w:rsidRPr="00E230DC" w:rsidRDefault="003117C2" w:rsidP="00DC5E39">
                  <w:pPr>
                    <w:pStyle w:val="BodyTextKeep"/>
                    <w:spacing w:before="40" w:after="0"/>
                    <w:rPr>
                      <w:rFonts w:ascii="Arial" w:hAnsi="Arial" w:cs="Arial"/>
                      <w:sz w:val="16"/>
                      <w:szCs w:val="16"/>
                    </w:rPr>
                  </w:pPr>
                  <w:r w:rsidRPr="00E230DC">
                    <w:rPr>
                      <w:rFonts w:ascii="Arial" w:hAnsi="Arial" w:cs="Arial"/>
                      <w:sz w:val="16"/>
                      <w:szCs w:val="16"/>
                    </w:rPr>
                    <w:t>Russian Federation</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United Kingdom</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Brazil</w:t>
                  </w:r>
                  <w:r w:rsidRPr="00E230DC">
                    <w:rPr>
                      <w:rFonts w:cs="Arial"/>
                      <w:sz w:val="16"/>
                      <w:szCs w:val="16"/>
                      <w:vertAlign w:val="superscript"/>
                    </w:rPr>
                    <w:t>2</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France</w:t>
                  </w:r>
                  <w:r w:rsidRPr="00E230DC">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Morocco</w:t>
                  </w:r>
                  <w:r w:rsidRPr="00E230DC">
                    <w:rPr>
                      <w:rStyle w:val="FootnoteReference"/>
                      <w:rFonts w:cs="Arial"/>
                      <w:sz w:val="16"/>
                      <w:szCs w:val="16"/>
                    </w:rPr>
                    <w:t>3</w:t>
                  </w:r>
                </w:p>
              </w:tc>
              <w:tc>
                <w:tcPr>
                  <w:tcW w:w="1772" w:type="dxa"/>
                </w:tcPr>
                <w:p w:rsidR="003117C2" w:rsidRPr="00E230DC" w:rsidRDefault="003117C2" w:rsidP="00DC5E39">
                  <w:pPr>
                    <w:pStyle w:val="BodyTextKeep"/>
                    <w:spacing w:before="40" w:after="0"/>
                    <w:rPr>
                      <w:rFonts w:ascii="Arial" w:hAnsi="Arial" w:cs="Arial"/>
                      <w:sz w:val="16"/>
                      <w:szCs w:val="16"/>
                    </w:rPr>
                  </w:pPr>
                  <w:r w:rsidRPr="00E230DC">
                    <w:rPr>
                      <w:rFonts w:ascii="Arial" w:hAnsi="Arial" w:cs="Arial"/>
                      <w:sz w:val="16"/>
                      <w:szCs w:val="16"/>
                    </w:rPr>
                    <w:t>Serbia</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United States of America</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Bulgaria</w:t>
                  </w:r>
                  <w:r w:rsidRPr="00E230DC">
                    <w:rPr>
                      <w:rFonts w:cs="Arial"/>
                      <w:sz w:val="16"/>
                      <w:szCs w:val="16"/>
                      <w:vertAlign w:val="superscript"/>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Georgia</w:t>
                  </w:r>
                  <w:r w:rsidRPr="00E230DC">
                    <w:rPr>
                      <w:rFonts w:cs="Arial"/>
                      <w:sz w:val="16"/>
                      <w:szCs w:val="16"/>
                      <w:vertAlign w:val="superscript"/>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Netherlands</w:t>
                  </w:r>
                  <w:r w:rsidRPr="00E230DC">
                    <w:rPr>
                      <w:rFonts w:cs="Arial"/>
                      <w:sz w:val="16"/>
                      <w:szCs w:val="16"/>
                      <w:vertAlign w:val="superscript"/>
                    </w:rPr>
                    <w:t>3</w:t>
                  </w:r>
                </w:p>
              </w:tc>
              <w:tc>
                <w:tcPr>
                  <w:tcW w:w="1772" w:type="dxa"/>
                </w:tcPr>
                <w:p w:rsidR="003117C2" w:rsidRPr="00E230DC" w:rsidRDefault="003117C2" w:rsidP="00DC5E39">
                  <w:pPr>
                    <w:pStyle w:val="BodyTextKeep"/>
                    <w:spacing w:before="40" w:after="0"/>
                    <w:rPr>
                      <w:rFonts w:ascii="Arial" w:hAnsi="Arial" w:cs="Arial"/>
                      <w:sz w:val="16"/>
                      <w:szCs w:val="16"/>
                    </w:rPr>
                  </w:pPr>
                  <w:r w:rsidRPr="00E230DC">
                    <w:rPr>
                      <w:rFonts w:ascii="Arial" w:hAnsi="Arial" w:cs="Arial"/>
                      <w:sz w:val="16"/>
                      <w:szCs w:val="16"/>
                    </w:rPr>
                    <w:t>Singapore</w:t>
                  </w:r>
                  <w:r w:rsidRPr="00E230DC">
                    <w:rPr>
                      <w:rFonts w:ascii="Arial" w:hAnsi="Arial"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Uruguay</w:t>
                  </w:r>
                  <w:r w:rsidRPr="00E230DC">
                    <w:rPr>
                      <w:rFonts w:cs="Arial"/>
                      <w:sz w:val="16"/>
                      <w:szCs w:val="16"/>
                      <w:vertAlign w:val="superscript"/>
                    </w:rPr>
                    <w:t>2</w:t>
                  </w:r>
                </w:p>
              </w:tc>
            </w:tr>
            <w:tr w:rsidR="003117C2" w:rsidRPr="00E230DC" w:rsidTr="00DC5E39">
              <w:trPr>
                <w:jc w:val="center"/>
              </w:trPr>
              <w:tc>
                <w:tcPr>
                  <w:tcW w:w="2410" w:type="dxa"/>
                </w:tcPr>
                <w:p w:rsidR="003117C2" w:rsidRPr="00E230DC" w:rsidRDefault="003117C2" w:rsidP="00C678ED">
                  <w:pPr>
                    <w:spacing w:before="40"/>
                    <w:jc w:val="left"/>
                    <w:rPr>
                      <w:rFonts w:cs="Arial"/>
                      <w:sz w:val="16"/>
                      <w:szCs w:val="16"/>
                    </w:rPr>
                  </w:pPr>
                  <w:r w:rsidRPr="00E230DC">
                    <w:rPr>
                      <w:rFonts w:cs="Arial"/>
                      <w:sz w:val="16"/>
                      <w:szCs w:val="16"/>
                    </w:rPr>
                    <w:t>Canada</w:t>
                  </w:r>
                  <w:r w:rsidR="00C678ED" w:rsidRPr="00E230DC">
                    <w:rPr>
                      <w:rStyle w:val="FootnoteReference"/>
                      <w:rFonts w:cs="Arial"/>
                      <w:sz w:val="16"/>
                      <w:szCs w:val="16"/>
                    </w:rPr>
                    <w:t>3</w:t>
                  </w:r>
                </w:p>
              </w:tc>
              <w:tc>
                <w:tcPr>
                  <w:tcW w:w="1843" w:type="dxa"/>
                </w:tcPr>
                <w:p w:rsidR="003117C2" w:rsidRPr="00E230DC" w:rsidRDefault="003117C2" w:rsidP="00DC5E39">
                  <w:pPr>
                    <w:spacing w:before="40"/>
                    <w:jc w:val="left"/>
                    <w:rPr>
                      <w:rFonts w:cs="Arial"/>
                      <w:sz w:val="16"/>
                      <w:szCs w:val="16"/>
                    </w:rPr>
                  </w:pPr>
                  <w:r w:rsidRPr="00E230DC">
                    <w:rPr>
                      <w:rFonts w:cs="Arial"/>
                      <w:sz w:val="16"/>
                      <w:szCs w:val="16"/>
                    </w:rPr>
                    <w:t>Germany</w:t>
                  </w:r>
                  <w:r w:rsidRPr="00E230DC">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New Zealand</w:t>
                  </w:r>
                  <w:r w:rsidRPr="00E230DC">
                    <w:rPr>
                      <w:rStyle w:val="FootnoteReference"/>
                      <w:rFonts w:cs="Arial"/>
                      <w:sz w:val="16"/>
                      <w:szCs w:val="16"/>
                    </w:rPr>
                    <w:t>2</w:t>
                  </w:r>
                </w:p>
              </w:tc>
              <w:tc>
                <w:tcPr>
                  <w:tcW w:w="1772" w:type="dxa"/>
                </w:tcPr>
                <w:p w:rsidR="003117C2" w:rsidRPr="00E230DC" w:rsidRDefault="003117C2" w:rsidP="00DC5E39">
                  <w:pPr>
                    <w:spacing w:before="40"/>
                    <w:jc w:val="left"/>
                    <w:rPr>
                      <w:rFonts w:cs="Arial"/>
                      <w:sz w:val="16"/>
                      <w:szCs w:val="16"/>
                      <w:vertAlign w:val="superscript"/>
                    </w:rPr>
                  </w:pPr>
                  <w:r w:rsidRPr="00E230DC">
                    <w:rPr>
                      <w:rFonts w:cs="Arial"/>
                      <w:sz w:val="16"/>
                      <w:szCs w:val="16"/>
                    </w:rPr>
                    <w:t>Slovakia</w:t>
                  </w:r>
                  <w:r w:rsidRPr="00E230DC">
                    <w:rPr>
                      <w:rFonts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r w:rsidRPr="00E230DC">
                    <w:rPr>
                      <w:rFonts w:cs="Arial"/>
                      <w:sz w:val="16"/>
                      <w:szCs w:val="16"/>
                    </w:rPr>
                    <w:t>Uzbekistan</w:t>
                  </w:r>
                  <w:r w:rsidRPr="00E230DC">
                    <w:rPr>
                      <w:rFonts w:cs="Arial"/>
                      <w:sz w:val="16"/>
                      <w:szCs w:val="16"/>
                      <w:vertAlign w:val="superscript"/>
                    </w:rPr>
                    <w:t>3</w:t>
                  </w: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Chile</w:t>
                  </w:r>
                  <w:r w:rsidRPr="00E230DC">
                    <w:rPr>
                      <w:rFonts w:cs="Arial"/>
                      <w:sz w:val="16"/>
                      <w:szCs w:val="16"/>
                      <w:vertAlign w:val="superscript"/>
                    </w:rPr>
                    <w:t>2</w:t>
                  </w:r>
                </w:p>
              </w:tc>
              <w:tc>
                <w:tcPr>
                  <w:tcW w:w="1843" w:type="dxa"/>
                </w:tcPr>
                <w:p w:rsidR="003117C2" w:rsidRPr="00D046B8" w:rsidRDefault="003117C2" w:rsidP="00DC5E39">
                  <w:pPr>
                    <w:spacing w:before="40"/>
                    <w:jc w:val="left"/>
                    <w:rPr>
                      <w:rFonts w:cs="Arial"/>
                      <w:sz w:val="16"/>
                      <w:szCs w:val="16"/>
                    </w:rPr>
                  </w:pPr>
                  <w:r w:rsidRPr="00D046B8">
                    <w:rPr>
                      <w:rFonts w:cs="Arial"/>
                      <w:sz w:val="16"/>
                      <w:szCs w:val="16"/>
                    </w:rPr>
                    <w:t>Hungary</w:t>
                  </w:r>
                  <w:r w:rsidRPr="00D046B8">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Nicaragua</w:t>
                  </w:r>
                  <w:r w:rsidRPr="00E230DC">
                    <w:rPr>
                      <w:rFonts w:cs="Arial"/>
                      <w:sz w:val="16"/>
                      <w:szCs w:val="16"/>
                      <w:vertAlign w:val="superscript"/>
                    </w:rPr>
                    <w:t>2</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Slovenia</w:t>
                  </w:r>
                  <w:r w:rsidRPr="00E230DC">
                    <w:rPr>
                      <w:rFonts w:cs="Arial"/>
                      <w:sz w:val="16"/>
                      <w:szCs w:val="16"/>
                      <w:vertAlign w:val="superscript"/>
                    </w:rPr>
                    <w:t>3</w:t>
                  </w:r>
                </w:p>
              </w:tc>
              <w:tc>
                <w:tcPr>
                  <w:tcW w:w="2077" w:type="dxa"/>
                </w:tcPr>
                <w:p w:rsidR="003117C2" w:rsidRPr="00E230DC" w:rsidRDefault="003117C2" w:rsidP="00DC5E39">
                  <w:pPr>
                    <w:spacing w:before="40"/>
                    <w:jc w:val="left"/>
                    <w:rPr>
                      <w:rFonts w:cs="Arial"/>
                      <w:sz w:val="16"/>
                      <w:szCs w:val="16"/>
                    </w:rPr>
                  </w:pPr>
                </w:p>
              </w:tc>
            </w:tr>
            <w:tr w:rsidR="003117C2" w:rsidRPr="00E230DC" w:rsidTr="00DC5E39">
              <w:trPr>
                <w:jc w:val="center"/>
              </w:trPr>
              <w:tc>
                <w:tcPr>
                  <w:tcW w:w="2410" w:type="dxa"/>
                </w:tcPr>
                <w:p w:rsidR="003117C2" w:rsidRPr="00E230DC" w:rsidRDefault="003117C2" w:rsidP="00DC5E39">
                  <w:pPr>
                    <w:spacing w:before="40"/>
                    <w:jc w:val="left"/>
                    <w:rPr>
                      <w:rFonts w:cs="Arial"/>
                      <w:sz w:val="16"/>
                      <w:szCs w:val="16"/>
                    </w:rPr>
                  </w:pPr>
                  <w:r w:rsidRPr="00E230DC">
                    <w:rPr>
                      <w:rFonts w:cs="Arial"/>
                      <w:sz w:val="16"/>
                      <w:szCs w:val="16"/>
                    </w:rPr>
                    <w:t>China</w:t>
                  </w:r>
                  <w:r w:rsidRPr="00E230DC">
                    <w:rPr>
                      <w:rFonts w:cs="Arial"/>
                      <w:sz w:val="16"/>
                      <w:szCs w:val="16"/>
                      <w:vertAlign w:val="superscript"/>
                    </w:rPr>
                    <w:t>2</w:t>
                  </w:r>
                </w:p>
              </w:tc>
              <w:tc>
                <w:tcPr>
                  <w:tcW w:w="1843" w:type="dxa"/>
                </w:tcPr>
                <w:p w:rsidR="003117C2" w:rsidRPr="00D046B8" w:rsidRDefault="003117C2" w:rsidP="00DC5E39">
                  <w:pPr>
                    <w:spacing w:before="40"/>
                    <w:jc w:val="left"/>
                    <w:rPr>
                      <w:rFonts w:cs="Arial"/>
                      <w:sz w:val="16"/>
                      <w:szCs w:val="16"/>
                    </w:rPr>
                  </w:pPr>
                  <w:r w:rsidRPr="00D046B8">
                    <w:rPr>
                      <w:rFonts w:cs="Arial"/>
                      <w:sz w:val="16"/>
                      <w:szCs w:val="16"/>
                    </w:rPr>
                    <w:t>Iceland</w:t>
                  </w:r>
                  <w:r w:rsidRPr="00D046B8">
                    <w:rPr>
                      <w:rStyle w:val="FootnoteReference"/>
                      <w:rFonts w:cs="Arial"/>
                      <w:sz w:val="16"/>
                      <w:szCs w:val="16"/>
                    </w:rPr>
                    <w:t>3</w:t>
                  </w:r>
                </w:p>
              </w:tc>
              <w:tc>
                <w:tcPr>
                  <w:tcW w:w="1559" w:type="dxa"/>
                </w:tcPr>
                <w:p w:rsidR="003117C2" w:rsidRPr="00E230DC" w:rsidRDefault="003117C2" w:rsidP="00DC5E39">
                  <w:pPr>
                    <w:spacing w:before="40"/>
                    <w:jc w:val="left"/>
                    <w:rPr>
                      <w:rFonts w:cs="Arial"/>
                      <w:sz w:val="16"/>
                      <w:szCs w:val="16"/>
                    </w:rPr>
                  </w:pPr>
                  <w:r w:rsidRPr="00E230DC">
                    <w:rPr>
                      <w:rFonts w:cs="Arial"/>
                      <w:sz w:val="16"/>
                      <w:szCs w:val="16"/>
                    </w:rPr>
                    <w:t>Norway</w:t>
                  </w:r>
                  <w:r w:rsidRPr="00E230DC">
                    <w:rPr>
                      <w:rStyle w:val="FootnoteReference"/>
                      <w:rFonts w:cs="Arial"/>
                      <w:sz w:val="16"/>
                      <w:szCs w:val="16"/>
                    </w:rPr>
                    <w:t>2</w:t>
                  </w:r>
                </w:p>
              </w:tc>
              <w:tc>
                <w:tcPr>
                  <w:tcW w:w="1772" w:type="dxa"/>
                </w:tcPr>
                <w:p w:rsidR="003117C2" w:rsidRPr="00E230DC" w:rsidRDefault="003117C2" w:rsidP="00DC5E39">
                  <w:pPr>
                    <w:spacing w:before="40"/>
                    <w:jc w:val="left"/>
                    <w:rPr>
                      <w:rFonts w:cs="Arial"/>
                      <w:sz w:val="16"/>
                      <w:szCs w:val="16"/>
                    </w:rPr>
                  </w:pPr>
                  <w:r w:rsidRPr="00E230DC">
                    <w:rPr>
                      <w:rFonts w:cs="Arial"/>
                      <w:sz w:val="16"/>
                      <w:szCs w:val="16"/>
                    </w:rPr>
                    <w:t>South Africa</w:t>
                  </w:r>
                  <w:r w:rsidRPr="00E230DC">
                    <w:rPr>
                      <w:rStyle w:val="FootnoteReference"/>
                      <w:rFonts w:cs="Arial"/>
                      <w:sz w:val="16"/>
                      <w:szCs w:val="16"/>
                    </w:rPr>
                    <w:t>2</w:t>
                  </w:r>
                </w:p>
              </w:tc>
              <w:tc>
                <w:tcPr>
                  <w:tcW w:w="2077" w:type="dxa"/>
                </w:tcPr>
                <w:p w:rsidR="003117C2" w:rsidRPr="00E230DC" w:rsidRDefault="003117C2" w:rsidP="00DC5E39">
                  <w:pPr>
                    <w:pStyle w:val="BodyTextKeep"/>
                    <w:spacing w:before="40" w:after="0"/>
                    <w:jc w:val="right"/>
                    <w:rPr>
                      <w:rFonts w:ascii="Arial" w:hAnsi="Arial" w:cs="Arial"/>
                      <w:sz w:val="16"/>
                      <w:szCs w:val="16"/>
                    </w:rPr>
                  </w:pPr>
                  <w:r w:rsidRPr="00E230DC">
                    <w:rPr>
                      <w:rFonts w:ascii="Arial" w:hAnsi="Arial" w:cs="Arial"/>
                      <w:sz w:val="16"/>
                      <w:szCs w:val="16"/>
                    </w:rPr>
                    <w:t>(Total 72)</w:t>
                  </w:r>
                </w:p>
              </w:tc>
            </w:tr>
          </w:tbl>
          <w:p w:rsidR="003117C2" w:rsidRPr="00E230DC" w:rsidRDefault="003117C2" w:rsidP="00DC5E39">
            <w:pPr>
              <w:tabs>
                <w:tab w:val="left" w:pos="1560"/>
              </w:tabs>
              <w:spacing w:after="60"/>
              <w:ind w:left="284"/>
              <w:jc w:val="left"/>
              <w:rPr>
                <w:sz w:val="16"/>
                <w:u w:val="single"/>
              </w:rPr>
            </w:pPr>
          </w:p>
          <w:p w:rsidR="003117C2" w:rsidRPr="00E230DC" w:rsidRDefault="003117C2" w:rsidP="00DC5E39">
            <w:pPr>
              <w:tabs>
                <w:tab w:val="left" w:pos="284"/>
              </w:tabs>
              <w:spacing w:after="60"/>
              <w:ind w:left="284"/>
              <w:jc w:val="left"/>
              <w:rPr>
                <w:rFonts w:cs="Arial"/>
                <w:sz w:val="14"/>
                <w:szCs w:val="16"/>
              </w:rPr>
            </w:pPr>
            <w:r w:rsidRPr="00E230DC">
              <w:rPr>
                <w:rFonts w:cs="Arial"/>
                <w:sz w:val="14"/>
                <w:szCs w:val="16"/>
                <w:vertAlign w:val="superscript"/>
              </w:rPr>
              <w:t>1</w:t>
            </w:r>
            <w:r w:rsidRPr="00E230DC">
              <w:rPr>
                <w:rFonts w:cs="Arial"/>
                <w:sz w:val="14"/>
                <w:szCs w:val="16"/>
              </w:rPr>
              <w:tab/>
              <w:t>1961 Convention as amended by the Additional Act of 1972 is the latest Act by which 1 State is bound.</w:t>
            </w:r>
          </w:p>
          <w:p w:rsidR="003117C2" w:rsidRPr="00E230DC" w:rsidRDefault="003117C2" w:rsidP="00DC5E39">
            <w:pPr>
              <w:tabs>
                <w:tab w:val="left" w:pos="284"/>
              </w:tabs>
              <w:spacing w:after="60"/>
              <w:ind w:left="284"/>
              <w:jc w:val="left"/>
              <w:rPr>
                <w:rFonts w:cs="Arial"/>
                <w:sz w:val="14"/>
                <w:szCs w:val="16"/>
              </w:rPr>
            </w:pPr>
            <w:r w:rsidRPr="00E230DC">
              <w:rPr>
                <w:rFonts w:cs="Arial"/>
                <w:sz w:val="14"/>
                <w:szCs w:val="16"/>
                <w:vertAlign w:val="superscript"/>
              </w:rPr>
              <w:t>2</w:t>
            </w:r>
            <w:r w:rsidRPr="00E230DC">
              <w:rPr>
                <w:rFonts w:cs="Arial"/>
                <w:sz w:val="14"/>
                <w:szCs w:val="16"/>
              </w:rPr>
              <w:tab/>
              <w:t>1978 Act is the latest Act by which 1</w:t>
            </w:r>
            <w:r w:rsidR="00E230DC">
              <w:rPr>
                <w:rFonts w:cs="Arial"/>
                <w:sz w:val="14"/>
                <w:szCs w:val="16"/>
              </w:rPr>
              <w:t>8</w:t>
            </w:r>
            <w:r w:rsidRPr="00E230DC">
              <w:rPr>
                <w:rFonts w:cs="Arial"/>
                <w:sz w:val="14"/>
                <w:szCs w:val="16"/>
              </w:rPr>
              <w:t xml:space="preserve"> States are bound.</w:t>
            </w:r>
          </w:p>
          <w:p w:rsidR="003117C2" w:rsidRPr="00E230DC" w:rsidRDefault="003117C2" w:rsidP="00DC5E39">
            <w:pPr>
              <w:tabs>
                <w:tab w:val="left" w:pos="284"/>
              </w:tabs>
              <w:spacing w:after="60"/>
              <w:ind w:left="284"/>
              <w:jc w:val="left"/>
              <w:rPr>
                <w:rFonts w:cs="Arial"/>
                <w:sz w:val="14"/>
                <w:szCs w:val="16"/>
              </w:rPr>
            </w:pPr>
            <w:r w:rsidRPr="00E230DC">
              <w:rPr>
                <w:rFonts w:cs="Arial"/>
                <w:sz w:val="14"/>
                <w:szCs w:val="16"/>
                <w:vertAlign w:val="superscript"/>
              </w:rPr>
              <w:t>3</w:t>
            </w:r>
            <w:r w:rsidRPr="00E230DC">
              <w:rPr>
                <w:rFonts w:cs="Arial"/>
                <w:sz w:val="14"/>
                <w:szCs w:val="16"/>
              </w:rPr>
              <w:tab/>
              <w:t>1991 Act is the latest Act by which 5</w:t>
            </w:r>
            <w:r w:rsidR="00E230DC">
              <w:rPr>
                <w:rFonts w:cs="Arial"/>
                <w:sz w:val="14"/>
                <w:szCs w:val="16"/>
              </w:rPr>
              <w:t>1</w:t>
            </w:r>
            <w:r w:rsidRPr="00E230DC">
              <w:rPr>
                <w:rFonts w:cs="Arial"/>
                <w:sz w:val="14"/>
                <w:szCs w:val="16"/>
              </w:rPr>
              <w:t xml:space="preserve"> States and 2 organizations are bound.</w:t>
            </w:r>
          </w:p>
          <w:p w:rsidR="003117C2" w:rsidRPr="00E230DC" w:rsidRDefault="003117C2" w:rsidP="00DC5E39">
            <w:pPr>
              <w:tabs>
                <w:tab w:val="left" w:pos="284"/>
              </w:tabs>
              <w:ind w:left="284"/>
              <w:jc w:val="left"/>
              <w:rPr>
                <w:rFonts w:cs="Arial"/>
                <w:sz w:val="14"/>
                <w:szCs w:val="16"/>
              </w:rPr>
            </w:pPr>
            <w:r w:rsidRPr="00E230DC">
              <w:rPr>
                <w:rFonts w:cs="Arial"/>
                <w:sz w:val="14"/>
                <w:szCs w:val="16"/>
                <w:vertAlign w:val="superscript"/>
              </w:rPr>
              <w:t>4</w:t>
            </w:r>
            <w:r w:rsidRPr="00E230DC">
              <w:rPr>
                <w:rFonts w:cs="Arial"/>
                <w:sz w:val="14"/>
                <w:szCs w:val="16"/>
              </w:rPr>
              <w:tab/>
              <w:t>Operates a plant variety rights system which covers the territory of its 28 member States.</w:t>
            </w:r>
          </w:p>
          <w:p w:rsidR="003117C2" w:rsidRPr="00E230DC" w:rsidRDefault="003117C2" w:rsidP="00DC5E39">
            <w:pPr>
              <w:tabs>
                <w:tab w:val="left" w:pos="284"/>
              </w:tabs>
              <w:spacing w:after="60"/>
              <w:ind w:left="567"/>
              <w:jc w:val="left"/>
              <w:rPr>
                <w:rFonts w:cs="Arial"/>
                <w:sz w:val="14"/>
                <w:szCs w:val="14"/>
              </w:rPr>
            </w:pPr>
            <w:r w:rsidRPr="00E230DC">
              <w:rPr>
                <w:rFonts w:cs="Arial"/>
                <w:i/>
                <w:sz w:val="14"/>
                <w:szCs w:val="14"/>
              </w:rPr>
              <w:t>(member States of the European Union:  Austria, Belgium, Bulgaria, Croatia, Cyprus, Czech Republic, Denmark, Estonia, Finland, France, Germany, Greece, Hungary, Ireland, Italy, Latvia, Lithuania, Luxembourg, Malta, Netherlands, Poland, Portugal, Romania, Slovakia, Slovenia, Spain, Sweden, United Kingdom)</w:t>
            </w:r>
          </w:p>
          <w:p w:rsidR="003117C2" w:rsidRPr="00E230DC" w:rsidRDefault="003117C2" w:rsidP="00DC5E39">
            <w:pPr>
              <w:tabs>
                <w:tab w:val="left" w:pos="284"/>
              </w:tabs>
              <w:ind w:left="284"/>
              <w:jc w:val="left"/>
              <w:rPr>
                <w:rFonts w:cs="Arial"/>
                <w:sz w:val="14"/>
                <w:szCs w:val="16"/>
              </w:rPr>
            </w:pPr>
            <w:r w:rsidRPr="00E230DC">
              <w:rPr>
                <w:rFonts w:cs="Arial"/>
                <w:sz w:val="14"/>
                <w:szCs w:val="16"/>
                <w:vertAlign w:val="superscript"/>
              </w:rPr>
              <w:t>5</w:t>
            </w:r>
            <w:r w:rsidRPr="00E230DC">
              <w:rPr>
                <w:rFonts w:cs="Arial"/>
                <w:sz w:val="14"/>
                <w:szCs w:val="16"/>
              </w:rPr>
              <w:tab/>
              <w:t>Operates a plant variety rights system which covers the territory of its 17 member States.</w:t>
            </w:r>
          </w:p>
          <w:p w:rsidR="00C678ED" w:rsidRPr="00E230DC" w:rsidRDefault="003117C2" w:rsidP="00E230DC">
            <w:pPr>
              <w:spacing w:after="60"/>
              <w:ind w:left="567"/>
              <w:jc w:val="left"/>
              <w:rPr>
                <w:rFonts w:cs="Arial"/>
                <w:i/>
                <w:sz w:val="14"/>
                <w:szCs w:val="14"/>
              </w:rPr>
            </w:pPr>
            <w:r w:rsidRPr="00E230DC">
              <w:rPr>
                <w:rFonts w:cs="Arial"/>
                <w:i/>
                <w:sz w:val="14"/>
                <w:szCs w:val="14"/>
              </w:rPr>
              <w:t>(member States of OAPI:  Benin, Burkina Faso, Cameroon, Central African Republic, Chad, Comoros, Congo, Côte d’Ivoire, Equatorial Guinea, Gabon, Guinea, Guinea</w:t>
            </w:r>
            <w:r w:rsidRPr="00E230DC">
              <w:rPr>
                <w:rFonts w:cs="Arial"/>
                <w:i/>
                <w:sz w:val="14"/>
                <w:szCs w:val="14"/>
              </w:rPr>
              <w:noBreakHyphen/>
              <w:t>Bissau, Mali, Mauritania, Niger, Senegal, Togo)</w:t>
            </w:r>
          </w:p>
        </w:tc>
      </w:tr>
    </w:tbl>
    <w:p w:rsidR="003117C2" w:rsidRDefault="003117C2" w:rsidP="003117C2">
      <w:pPr>
        <w:tabs>
          <w:tab w:val="left" w:pos="284"/>
        </w:tabs>
        <w:spacing w:after="60"/>
        <w:rPr>
          <w:rFonts w:cs="Arial"/>
          <w:sz w:val="14"/>
          <w:szCs w:val="16"/>
        </w:rPr>
      </w:pPr>
    </w:p>
    <w:p w:rsidR="003117C2" w:rsidRPr="00434DB6" w:rsidRDefault="003117C2" w:rsidP="003117C2">
      <w:pPr>
        <w:keepNext/>
        <w:pBdr>
          <w:top w:val="single" w:sz="4" w:space="1" w:color="auto"/>
          <w:left w:val="single" w:sz="4" w:space="1" w:color="auto"/>
          <w:bottom w:val="single" w:sz="4" w:space="1" w:color="auto"/>
          <w:right w:val="single" w:sz="4" w:space="1" w:color="auto"/>
        </w:pBdr>
        <w:jc w:val="center"/>
        <w:rPr>
          <w:rFonts w:cs="Arial"/>
          <w:b/>
          <w:sz w:val="18"/>
          <w:szCs w:val="24"/>
        </w:rPr>
      </w:pPr>
      <w:r w:rsidRPr="00434DB6">
        <w:rPr>
          <w:rFonts w:cs="Arial"/>
          <w:b/>
          <w:sz w:val="18"/>
          <w:szCs w:val="24"/>
        </w:rPr>
        <w:t xml:space="preserve">II.  States and intergovernmental organizations which have initiated the procedure for acceding </w:t>
      </w:r>
      <w:r w:rsidRPr="00434DB6">
        <w:rPr>
          <w:rFonts w:cs="Arial"/>
          <w:b/>
          <w:sz w:val="18"/>
          <w:szCs w:val="24"/>
        </w:rPr>
        <w:br/>
        <w:t>to the UPOV Convention</w:t>
      </w:r>
    </w:p>
    <w:p w:rsidR="003117C2" w:rsidRPr="00434DB6" w:rsidRDefault="003117C2" w:rsidP="003117C2">
      <w:pPr>
        <w:pBdr>
          <w:top w:val="single" w:sz="4" w:space="1" w:color="auto"/>
          <w:left w:val="single" w:sz="4" w:space="1" w:color="auto"/>
          <w:bottom w:val="single" w:sz="4" w:space="1" w:color="auto"/>
          <w:right w:val="single" w:sz="4" w:space="1" w:color="auto"/>
        </w:pBdr>
        <w:rPr>
          <w:sz w:val="16"/>
          <w:szCs w:val="16"/>
        </w:rPr>
      </w:pP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i/>
          <w:sz w:val="16"/>
          <w:szCs w:val="16"/>
        </w:rPr>
      </w:pPr>
      <w:r w:rsidRPr="00434DB6">
        <w:rPr>
          <w:rFonts w:cs="Arial"/>
          <w:i/>
          <w:sz w:val="16"/>
          <w:szCs w:val="16"/>
        </w:rPr>
        <w:t>States (1</w:t>
      </w:r>
      <w:r w:rsidR="00F22257">
        <w:rPr>
          <w:rFonts w:cs="Arial"/>
          <w:i/>
          <w:sz w:val="16"/>
          <w:szCs w:val="16"/>
        </w:rPr>
        <w:t>7</w:t>
      </w:r>
      <w:r w:rsidRPr="00434DB6">
        <w:rPr>
          <w:rFonts w:cs="Arial"/>
          <w:i/>
          <w:sz w:val="16"/>
          <w:szCs w:val="16"/>
        </w:rPr>
        <w:t>):</w:t>
      </w: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sz w:val="16"/>
          <w:szCs w:val="16"/>
        </w:rPr>
      </w:pP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pacing w:val="-2"/>
          <w:sz w:val="16"/>
          <w:szCs w:val="16"/>
        </w:rPr>
      </w:pPr>
      <w:r w:rsidRPr="00434DB6">
        <w:rPr>
          <w:rFonts w:cs="Arial"/>
          <w:spacing w:val="-2"/>
          <w:sz w:val="16"/>
          <w:szCs w:val="16"/>
        </w:rPr>
        <w:t xml:space="preserve">Armenia, </w:t>
      </w:r>
      <w:r w:rsidRPr="00434DB6">
        <w:rPr>
          <w:rFonts w:cs="Arial"/>
          <w:sz w:val="16"/>
          <w:szCs w:val="16"/>
        </w:rPr>
        <w:t xml:space="preserve">Bosnia and Herzegovina, </w:t>
      </w:r>
      <w:r w:rsidRPr="00434DB6">
        <w:rPr>
          <w:rFonts w:cs="Arial"/>
          <w:spacing w:val="-2"/>
          <w:sz w:val="16"/>
          <w:szCs w:val="16"/>
        </w:rPr>
        <w:t xml:space="preserve">Egypt, Ghana, Guatemala, Honduras, India, </w:t>
      </w:r>
      <w:r w:rsidR="00F22257" w:rsidRPr="00434DB6">
        <w:rPr>
          <w:rFonts w:cs="Arial"/>
          <w:sz w:val="16"/>
          <w:szCs w:val="24"/>
        </w:rPr>
        <w:t xml:space="preserve">Iran (Islamic Republic of), </w:t>
      </w:r>
      <w:r w:rsidRPr="00434DB6">
        <w:rPr>
          <w:rFonts w:cs="Arial"/>
          <w:spacing w:val="-2"/>
          <w:sz w:val="16"/>
          <w:szCs w:val="16"/>
        </w:rPr>
        <w:t>Kazakhstan, Malaysia, Mauritius, Montenegro, Philippines, Tajikistan, United Republic of Tanzania, Venezuela (Bolivarian Republic of) and Zimbabwe</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16"/>
        </w:rPr>
      </w:pP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i/>
          <w:spacing w:val="-2"/>
          <w:sz w:val="16"/>
          <w:szCs w:val="16"/>
        </w:rPr>
      </w:pPr>
      <w:r w:rsidRPr="00434DB6">
        <w:rPr>
          <w:rFonts w:cs="Arial"/>
          <w:i/>
          <w:spacing w:val="-2"/>
          <w:sz w:val="16"/>
          <w:szCs w:val="16"/>
        </w:rPr>
        <w:t>Organization (1):</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pacing w:val="-2"/>
          <w:sz w:val="16"/>
          <w:szCs w:val="16"/>
        </w:rPr>
      </w:pP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24"/>
        </w:rPr>
      </w:pPr>
      <w:r w:rsidRPr="00434DB6">
        <w:rPr>
          <w:rFonts w:cs="Arial"/>
          <w:sz w:val="16"/>
          <w:szCs w:val="24"/>
        </w:rPr>
        <w:t xml:space="preserve">African Regional Intellectual Property Organization (ARIPO) </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16"/>
        </w:rPr>
      </w:pPr>
      <w:r w:rsidRPr="00434DB6">
        <w:rPr>
          <w:rFonts w:cs="Arial"/>
          <w:i/>
          <w:sz w:val="16"/>
          <w:szCs w:val="24"/>
        </w:rPr>
        <w:t>(member States of ARIPO (19):  Botswana, Gambia, Ghana, Kenya, Lesotho, Liberia, Malawi, Mozambique, Namibia, Rwanda, Sao Tome and Principe, Sierra Leone, Somalia, Sudan, Swaziland,  Uganda, United Republic of Tanzania, Zambia, Zimbabwe)</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16"/>
        </w:rPr>
      </w:pP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16"/>
        </w:rPr>
      </w:pPr>
    </w:p>
    <w:p w:rsidR="003117C2" w:rsidRPr="00434DB6" w:rsidRDefault="003117C2" w:rsidP="003117C2">
      <w:pPr>
        <w:pBdr>
          <w:top w:val="single" w:sz="4" w:space="1" w:color="auto"/>
          <w:left w:val="single" w:sz="4" w:space="1" w:color="auto"/>
          <w:bottom w:val="single" w:sz="4" w:space="1" w:color="auto"/>
          <w:right w:val="single" w:sz="4" w:space="1" w:color="auto"/>
        </w:pBdr>
        <w:jc w:val="center"/>
        <w:rPr>
          <w:rFonts w:cs="Arial"/>
          <w:b/>
          <w:sz w:val="18"/>
          <w:szCs w:val="24"/>
        </w:rPr>
      </w:pPr>
      <w:r w:rsidRPr="00434DB6">
        <w:rPr>
          <w:rFonts w:cs="Arial"/>
          <w:b/>
          <w:sz w:val="18"/>
          <w:szCs w:val="24"/>
        </w:rPr>
        <w:t xml:space="preserve">III.  States and intergovernmental organizations which have been in contact with the Office of the Union </w:t>
      </w:r>
      <w:r w:rsidRPr="00434DB6">
        <w:rPr>
          <w:rFonts w:cs="Arial"/>
          <w:b/>
          <w:sz w:val="18"/>
          <w:szCs w:val="24"/>
        </w:rPr>
        <w:br/>
        <w:t>for assistance in the development of laws based on the UPOV Convention</w:t>
      </w:r>
    </w:p>
    <w:p w:rsidR="003117C2" w:rsidRPr="00434DB6" w:rsidRDefault="003117C2" w:rsidP="003117C2">
      <w:pPr>
        <w:pBdr>
          <w:top w:val="single" w:sz="4" w:space="1" w:color="auto"/>
          <w:left w:val="single" w:sz="4" w:space="1" w:color="auto"/>
          <w:bottom w:val="single" w:sz="4" w:space="1" w:color="auto"/>
          <w:right w:val="single" w:sz="4" w:space="1" w:color="auto"/>
        </w:pBdr>
        <w:jc w:val="center"/>
        <w:rPr>
          <w:rFonts w:cs="Arial"/>
          <w:b/>
          <w:sz w:val="18"/>
          <w:szCs w:val="24"/>
        </w:rPr>
      </w:pP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i/>
          <w:sz w:val="16"/>
          <w:szCs w:val="24"/>
        </w:rPr>
      </w:pPr>
      <w:r w:rsidRPr="00434DB6">
        <w:rPr>
          <w:rFonts w:cs="Arial"/>
          <w:i/>
          <w:sz w:val="16"/>
          <w:szCs w:val="24"/>
        </w:rPr>
        <w:t>States (2</w:t>
      </w:r>
      <w:r w:rsidR="00F22257">
        <w:rPr>
          <w:rFonts w:cs="Arial"/>
          <w:i/>
          <w:sz w:val="16"/>
          <w:szCs w:val="24"/>
        </w:rPr>
        <w:t>3</w:t>
      </w:r>
      <w:r w:rsidRPr="00434DB6">
        <w:rPr>
          <w:rFonts w:cs="Arial"/>
          <w:i/>
          <w:sz w:val="16"/>
          <w:szCs w:val="24"/>
        </w:rPr>
        <w:t>):</w:t>
      </w: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sz w:val="10"/>
          <w:szCs w:val="24"/>
        </w:rPr>
      </w:pPr>
    </w:p>
    <w:p w:rsidR="003117C2" w:rsidRPr="00434DB6" w:rsidRDefault="003117C2" w:rsidP="003117C2">
      <w:pPr>
        <w:pBdr>
          <w:top w:val="single" w:sz="4" w:space="1" w:color="auto"/>
          <w:left w:val="single" w:sz="4" w:space="1" w:color="auto"/>
          <w:bottom w:val="single" w:sz="4" w:space="1" w:color="auto"/>
          <w:right w:val="single" w:sz="4" w:space="1" w:color="auto"/>
        </w:pBdr>
        <w:suppressAutoHyphens/>
        <w:rPr>
          <w:rFonts w:cs="Arial"/>
          <w:sz w:val="16"/>
          <w:szCs w:val="24"/>
        </w:rPr>
      </w:pPr>
      <w:r w:rsidRPr="00434DB6">
        <w:rPr>
          <w:rFonts w:cs="Arial"/>
          <w:sz w:val="16"/>
          <w:szCs w:val="24"/>
        </w:rPr>
        <w:t xml:space="preserve">Algeria, Bahrain, Barbados, Brunei Darussalam, Cambodia, Cuba, Cyprus, El Salvador, Indonesia, </w:t>
      </w:r>
      <w:r w:rsidR="00F22257">
        <w:rPr>
          <w:rFonts w:cs="Arial"/>
          <w:sz w:val="16"/>
          <w:szCs w:val="24"/>
        </w:rPr>
        <w:t>Iraq, Lao People’s Democratic </w:t>
      </w:r>
      <w:r w:rsidRPr="00434DB6">
        <w:rPr>
          <w:rFonts w:cs="Arial"/>
          <w:sz w:val="16"/>
          <w:szCs w:val="24"/>
        </w:rPr>
        <w:t>Republic, Libya, Mozambique, Myanmar, Namibia, Pakistan, Saudi Arabia, Sudan, Thailand, Tonga, Turkmenistan, United Arab Emirates and Zambia</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24"/>
        </w:rPr>
      </w:pP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i/>
          <w:sz w:val="16"/>
          <w:szCs w:val="24"/>
        </w:rPr>
      </w:pPr>
      <w:r w:rsidRPr="00434DB6">
        <w:rPr>
          <w:rFonts w:cs="Arial"/>
          <w:i/>
          <w:sz w:val="16"/>
          <w:szCs w:val="24"/>
        </w:rPr>
        <w:t>Organization (1):</w:t>
      </w:r>
    </w:p>
    <w:p w:rsidR="003117C2" w:rsidRPr="00434DB6" w:rsidRDefault="003117C2" w:rsidP="003117C2">
      <w:pPr>
        <w:keepNext/>
        <w:pBdr>
          <w:top w:val="single" w:sz="4" w:space="1" w:color="auto"/>
          <w:left w:val="single" w:sz="4" w:space="1" w:color="auto"/>
          <w:bottom w:val="single" w:sz="4" w:space="1" w:color="auto"/>
          <w:right w:val="single" w:sz="4" w:space="1" w:color="auto"/>
        </w:pBdr>
        <w:rPr>
          <w:rFonts w:cs="Arial"/>
          <w:sz w:val="10"/>
          <w:szCs w:val="24"/>
        </w:rPr>
      </w:pP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24"/>
        </w:rPr>
      </w:pPr>
      <w:r w:rsidRPr="00434DB6">
        <w:rPr>
          <w:rFonts w:cs="Arial"/>
          <w:sz w:val="16"/>
          <w:szCs w:val="24"/>
        </w:rPr>
        <w:t xml:space="preserve">Southern African Development Community (SADC) </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24"/>
        </w:rPr>
      </w:pPr>
      <w:r w:rsidRPr="00434DB6">
        <w:rPr>
          <w:rFonts w:cs="Arial"/>
          <w:i/>
          <w:sz w:val="16"/>
          <w:szCs w:val="24"/>
        </w:rPr>
        <w:t xml:space="preserve">(member States of SADC (15):  </w:t>
      </w:r>
      <w:r w:rsidRPr="00434DB6">
        <w:rPr>
          <w:rFonts w:cs="Arial"/>
          <w:i/>
          <w:sz w:val="16"/>
          <w:szCs w:val="24"/>
          <w:lang w:val="en"/>
        </w:rPr>
        <w:t xml:space="preserve">Angola, Botswana, Democratic Republic of the Congo, Lesotho, Madagascar, Malawi, </w:t>
      </w:r>
      <w:r w:rsidRPr="00434DB6">
        <w:rPr>
          <w:rFonts w:cs="Arial"/>
          <w:i/>
          <w:sz w:val="16"/>
          <w:szCs w:val="24"/>
        </w:rPr>
        <w:t xml:space="preserve">Mauritius, Mozambique, Namibia, Seychelles, South Africa, </w:t>
      </w:r>
      <w:r w:rsidRPr="00434DB6">
        <w:rPr>
          <w:rFonts w:cs="Arial"/>
          <w:i/>
          <w:sz w:val="16"/>
          <w:szCs w:val="24"/>
          <w:lang w:val="en"/>
        </w:rPr>
        <w:t>Swaziland, United Republic of Tanzania, Zambia, Zimbabwe)</w:t>
      </w:r>
    </w:p>
    <w:p w:rsidR="003117C2" w:rsidRPr="00434DB6" w:rsidRDefault="003117C2" w:rsidP="003117C2">
      <w:pPr>
        <w:pBdr>
          <w:top w:val="single" w:sz="4" w:space="1" w:color="auto"/>
          <w:left w:val="single" w:sz="4" w:space="1" w:color="auto"/>
          <w:bottom w:val="single" w:sz="4" w:space="1" w:color="auto"/>
          <w:right w:val="single" w:sz="4" w:space="1" w:color="auto"/>
        </w:pBdr>
        <w:rPr>
          <w:rFonts w:cs="Arial"/>
          <w:sz w:val="16"/>
          <w:szCs w:val="24"/>
        </w:rPr>
      </w:pPr>
    </w:p>
    <w:p w:rsidR="003117C2" w:rsidRDefault="003117C2" w:rsidP="003117C2"/>
    <w:p w:rsidR="003117C2" w:rsidRPr="00210F32" w:rsidRDefault="003117C2" w:rsidP="003117C2">
      <w:r>
        <w:t>1.4</w:t>
      </w:r>
      <w:r>
        <w:tab/>
      </w:r>
      <w:r w:rsidRPr="000E5482">
        <w:t>Th</w:t>
      </w:r>
      <w:r>
        <w:t xml:space="preserve">e historic and recent expansion of UPOV, together with the continuing interest of States and organizations to become UPOV members, means that there is a need to review </w:t>
      </w:r>
      <w:r w:rsidRPr="004D2502">
        <w:t>services for enhancing the effectiveness of the UPOV system</w:t>
      </w:r>
      <w:r>
        <w:t xml:space="preserve"> (Sub-program UV.2) and for assistance in the introduction and implementation of the UPOV system (Sub-program UV.3).  The </w:t>
      </w:r>
      <w:r w:rsidRPr="008211E4">
        <w:t>Program and Budget for the 201</w:t>
      </w:r>
      <w:r>
        <w:t>6­2017</w:t>
      </w:r>
      <w:r w:rsidRPr="008211E4">
        <w:t xml:space="preserve"> Biennium</w:t>
      </w:r>
      <w:r>
        <w:t xml:space="preserve"> reflects that need, as</w:t>
      </w:r>
      <w:r w:rsidRPr="00210F32">
        <w:t xml:space="preserve"> provided in the following paragraphs. </w:t>
      </w:r>
    </w:p>
    <w:p w:rsidR="003117C2" w:rsidRDefault="003117C2" w:rsidP="003117C2"/>
    <w:p w:rsidR="003117C2" w:rsidRDefault="003117C2" w:rsidP="003117C2">
      <w:pPr>
        <w:pStyle w:val="Heading2"/>
      </w:pPr>
      <w:r w:rsidRPr="004D2502">
        <w:t>Enhancing the effectiveness of the UPOV system</w:t>
      </w:r>
    </w:p>
    <w:p w:rsidR="003117C2" w:rsidRDefault="003117C2" w:rsidP="003117C2"/>
    <w:p w:rsidR="003117C2" w:rsidRDefault="003117C2" w:rsidP="003117C2">
      <w:pPr>
        <w:rPr>
          <w:color w:val="000000" w:themeColor="text1"/>
        </w:rPr>
      </w:pPr>
      <w:r>
        <w:t>1.5</w:t>
      </w:r>
      <w:r>
        <w:tab/>
      </w:r>
      <w:r w:rsidRPr="0061345D">
        <w:rPr>
          <w:color w:val="000000" w:themeColor="text1"/>
        </w:rPr>
        <w:t xml:space="preserve">The UPOV system continues to expand in terms of the number of members of the Union (see Figures 1 to 3), applications, titles granted and titles in force (see Figure 5).  It is also estimated that, within the members of the Union, protection has been sought for varieties of </w:t>
      </w:r>
      <w:r>
        <w:rPr>
          <w:color w:val="000000" w:themeColor="text1"/>
        </w:rPr>
        <w:t>more than 3,4</w:t>
      </w:r>
      <w:r w:rsidRPr="0061345D">
        <w:rPr>
          <w:color w:val="000000" w:themeColor="text1"/>
        </w:rPr>
        <w:t>00 genera or species</w:t>
      </w:r>
      <w:r>
        <w:rPr>
          <w:color w:val="000000" w:themeColor="text1"/>
        </w:rPr>
        <w:t>.  During the period 2005-2014, that number increased by more than 120 genera/species per year (one new genus/species every three days)</w:t>
      </w:r>
      <w:r w:rsidRPr="0061345D">
        <w:rPr>
          <w:color w:val="000000" w:themeColor="text1"/>
        </w:rPr>
        <w:t xml:space="preserve">.  These figures demonstrate </w:t>
      </w:r>
      <w:r>
        <w:rPr>
          <w:color w:val="000000" w:themeColor="text1"/>
        </w:rPr>
        <w:t xml:space="preserve">one of the reasons </w:t>
      </w:r>
      <w:r w:rsidRPr="0061345D">
        <w:rPr>
          <w:color w:val="000000" w:themeColor="text1"/>
        </w:rPr>
        <w:t xml:space="preserve">why cooperation between members of the Union is a </w:t>
      </w:r>
      <w:r>
        <w:rPr>
          <w:color w:val="000000" w:themeColor="text1"/>
        </w:rPr>
        <w:t>key benefit of UPOV membership.</w:t>
      </w:r>
    </w:p>
    <w:p w:rsidR="003117C2" w:rsidRDefault="003117C2" w:rsidP="003117C2">
      <w:pPr>
        <w:rPr>
          <w:color w:val="000000" w:themeColor="text1"/>
        </w:rPr>
      </w:pP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46"/>
      </w:tblGrid>
      <w:tr w:rsidR="003117C2" w:rsidRPr="005F5BB0" w:rsidTr="00DC5E39">
        <w:trPr>
          <w:cantSplit/>
        </w:trPr>
        <w:tc>
          <w:tcPr>
            <w:tcW w:w="9865" w:type="dxa"/>
            <w:shd w:val="clear" w:color="auto" w:fill="auto"/>
          </w:tcPr>
          <w:p w:rsidR="003117C2" w:rsidRPr="005F5BB0" w:rsidRDefault="003117C2" w:rsidP="00DC5E39">
            <w:pPr>
              <w:keepNext/>
              <w:jc w:val="left"/>
              <w:rPr>
                <w:color w:val="000000" w:themeColor="text1"/>
              </w:rPr>
            </w:pPr>
            <w:r w:rsidRPr="00553841">
              <w:rPr>
                <w:color w:val="000000" w:themeColor="text1"/>
              </w:rPr>
              <w:t>Figure 5:  Number of applications, titles granted and titles in force in members of the Union</w:t>
            </w:r>
          </w:p>
        </w:tc>
      </w:tr>
      <w:tr w:rsidR="003117C2" w:rsidRPr="005F5BB0" w:rsidTr="00DC5E39">
        <w:trPr>
          <w:trHeight w:val="510"/>
        </w:trPr>
        <w:tc>
          <w:tcPr>
            <w:tcW w:w="9865" w:type="dxa"/>
            <w:shd w:val="clear" w:color="auto" w:fill="auto"/>
          </w:tcPr>
          <w:p w:rsidR="003117C2" w:rsidRPr="005F5BB0" w:rsidRDefault="003117C2" w:rsidP="00DC5E39">
            <w:pPr>
              <w:keepNext/>
              <w:jc w:val="center"/>
              <w:rPr>
                <w:color w:val="000000" w:themeColor="text1"/>
              </w:rPr>
            </w:pPr>
            <w:r>
              <w:rPr>
                <w:noProof/>
              </w:rPr>
              <w:drawing>
                <wp:inline distT="0" distB="0" distL="0" distR="0" wp14:anchorId="2BEFECB9" wp14:editId="2E5940BC">
                  <wp:extent cx="6305550" cy="4133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3117C2" w:rsidRDefault="003117C2" w:rsidP="003117C2">
      <w:pPr>
        <w:rPr>
          <w:color w:val="000000" w:themeColor="text1"/>
        </w:rPr>
      </w:pPr>
    </w:p>
    <w:p w:rsidR="003117C2" w:rsidRDefault="003117C2" w:rsidP="003117C2">
      <w:pPr>
        <w:pStyle w:val="Heading3"/>
      </w:pPr>
      <w:r>
        <w:t>Cooperation in Examination</w:t>
      </w:r>
    </w:p>
    <w:p w:rsidR="003117C2" w:rsidRDefault="003117C2" w:rsidP="003117C2">
      <w:pPr>
        <w:rPr>
          <w:color w:val="000000" w:themeColor="text1"/>
        </w:rPr>
      </w:pPr>
    </w:p>
    <w:p w:rsidR="003117C2" w:rsidRPr="007408B3" w:rsidRDefault="003117C2" w:rsidP="003117C2">
      <w:pPr>
        <w:pStyle w:val="Heading4"/>
        <w:rPr>
          <w:lang w:val="en-US"/>
        </w:rPr>
      </w:pPr>
      <w:r w:rsidRPr="007408B3">
        <w:rPr>
          <w:lang w:val="en-US"/>
        </w:rPr>
        <w:t>DUS Examination</w:t>
      </w:r>
    </w:p>
    <w:p w:rsidR="003117C2" w:rsidRDefault="003117C2" w:rsidP="003117C2">
      <w:pPr>
        <w:rPr>
          <w:color w:val="000000" w:themeColor="text1"/>
        </w:rPr>
      </w:pPr>
    </w:p>
    <w:p w:rsidR="003117C2" w:rsidRDefault="003117C2" w:rsidP="003117C2">
      <w:pPr>
        <w:rPr>
          <w:color w:val="000000" w:themeColor="text1"/>
        </w:rPr>
      </w:pPr>
      <w:r w:rsidRPr="00C97817">
        <w:rPr>
          <w:color w:val="000000" w:themeColor="text1"/>
        </w:rPr>
        <w:t>1.6</w:t>
      </w:r>
      <w:r w:rsidRPr="00C97817">
        <w:rPr>
          <w:color w:val="000000" w:themeColor="text1"/>
        </w:rPr>
        <w:tab/>
        <w:t xml:space="preserve">The guidance developed by UPOV for the examination of Distinctness, Uniformity and Stability (“DUS”) promotes the sharing of knowledge and harmonization between members of the Union, thereby facilitating the exchange of DUS reports.  The support provided by the Office of the Union and the cooperation within UPOV is built on the work and support of the individual </w:t>
      </w:r>
      <w:r w:rsidRPr="00C97817">
        <w:rPr>
          <w:color w:val="000000" w:themeColor="text1"/>
          <w:spacing w:val="-2"/>
          <w:szCs w:val="24"/>
        </w:rPr>
        <w:t>members of the Union.  Members of the Union have developed more than 300 Test Guidelines,</w:t>
      </w:r>
      <w:r w:rsidRPr="00C97817">
        <w:rPr>
          <w:color w:val="000000" w:themeColor="text1"/>
        </w:rPr>
        <w:t xml:space="preserve"> which are estimated to cover more than 90% of applications for plant breeders’ rights within the Union.  In addition, members of the Union have provided information on their practical experience in DUS testing for more than 3,300 genera and species on the basis that they are willing to share that experience with other members of the Union.  There are agreements for cooperation in DUS testing between members of the Union in relation to approximately 2,000 genera and species.  The development of such cooperation is indicated in Figure 6.</w:t>
      </w:r>
      <w:r w:rsidRPr="0061345D">
        <w:rPr>
          <w:color w:val="000000" w:themeColor="text1"/>
        </w:rPr>
        <w:t xml:space="preserve">  </w:t>
      </w:r>
    </w:p>
    <w:p w:rsidR="003117C2" w:rsidRDefault="003117C2" w:rsidP="003117C2">
      <w:pPr>
        <w:jc w:val="left"/>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117C2" w:rsidRPr="0099063B" w:rsidTr="00DC5E39">
        <w:tc>
          <w:tcPr>
            <w:tcW w:w="9855" w:type="dxa"/>
          </w:tcPr>
          <w:p w:rsidR="003117C2" w:rsidRPr="0099063B" w:rsidRDefault="003117C2" w:rsidP="00DC5E39">
            <w:pPr>
              <w:keepNext/>
              <w:rPr>
                <w:color w:val="000000" w:themeColor="text1"/>
              </w:rPr>
            </w:pPr>
            <w:r w:rsidRPr="0099063B">
              <w:rPr>
                <w:color w:val="000000" w:themeColor="text1"/>
              </w:rPr>
              <w:t>Figure 6</w:t>
            </w:r>
          </w:p>
        </w:tc>
      </w:tr>
      <w:tr w:rsidR="003117C2" w:rsidRPr="0099063B" w:rsidTr="00DC5E39">
        <w:tc>
          <w:tcPr>
            <w:tcW w:w="9855" w:type="dxa"/>
          </w:tcPr>
          <w:p w:rsidR="003117C2" w:rsidRPr="0099063B" w:rsidRDefault="003117C2" w:rsidP="00DC5E39">
            <w:pPr>
              <w:rPr>
                <w:color w:val="000000" w:themeColor="text1"/>
              </w:rPr>
            </w:pPr>
            <w:r>
              <w:rPr>
                <w:noProof/>
              </w:rPr>
              <w:drawing>
                <wp:inline distT="0" distB="0" distL="0" distR="0" wp14:anchorId="311549BC" wp14:editId="18BA782F">
                  <wp:extent cx="5895975" cy="3852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3117C2" w:rsidRDefault="003117C2" w:rsidP="003117C2">
      <w:pPr>
        <w:rPr>
          <w:color w:val="000000" w:themeColor="text1"/>
        </w:rPr>
      </w:pPr>
    </w:p>
    <w:p w:rsidR="003117C2" w:rsidRPr="003A2934" w:rsidRDefault="003117C2" w:rsidP="003117C2">
      <w:pPr>
        <w:rPr>
          <w:color w:val="000000" w:themeColor="text1"/>
        </w:rPr>
      </w:pPr>
      <w:r w:rsidRPr="003A2934">
        <w:rPr>
          <w:color w:val="000000" w:themeColor="text1"/>
        </w:rPr>
        <w:t>1.7</w:t>
      </w:r>
      <w:r w:rsidRPr="003A2934">
        <w:rPr>
          <w:color w:val="000000" w:themeColor="text1"/>
        </w:rPr>
        <w:tab/>
        <w:t xml:space="preserve">In order to support the development of Test Guidelines, and their use by members of the Union, work in the </w:t>
      </w:r>
      <w:bookmarkStart w:id="5" w:name="OLE_LINK2"/>
      <w:bookmarkStart w:id="6" w:name="OLE_LINK5"/>
      <w:r w:rsidRPr="003A2934">
        <w:rPr>
          <w:snapToGrid w:val="0"/>
          <w:color w:val="000000" w:themeColor="text1"/>
          <w:spacing w:val="-2"/>
          <w:szCs w:val="24"/>
        </w:rPr>
        <w:t>2014­2015</w:t>
      </w:r>
      <w:bookmarkEnd w:id="5"/>
      <w:bookmarkEnd w:id="6"/>
      <w:r w:rsidRPr="003A2934">
        <w:rPr>
          <w:color w:val="000000" w:themeColor="text1"/>
        </w:rPr>
        <w:t xml:space="preserve"> Biennium will continue on the enhancement of the web-based Test Guidelines Template (TG Template).  Collection of information on practical experience and cooperation in DUS examination will continue, for incorporation in the GENIE database, and information on software developed and made available by members of the Union (document UPOV/INF/16) and software and equipment used by members of the Union (document UPOV/INF/22) will continue to be collected and published.</w:t>
      </w:r>
    </w:p>
    <w:p w:rsidR="003117C2" w:rsidRPr="003A2934" w:rsidRDefault="003117C2" w:rsidP="003117C2">
      <w:pPr>
        <w:rPr>
          <w:u w:val="single"/>
        </w:rPr>
      </w:pPr>
    </w:p>
    <w:p w:rsidR="003117C2" w:rsidRPr="00056808" w:rsidRDefault="003117C2" w:rsidP="003117C2">
      <w:r>
        <w:t>1.8</w:t>
      </w:r>
      <w:r>
        <w:tab/>
        <w:t xml:space="preserve">In addition to the measures above, it is planned to develop and pursue a strategy to facilitate cooperation in DUS examination between </w:t>
      </w:r>
      <w:r w:rsidRPr="00DE2A87">
        <w:t>members of the Union</w:t>
      </w:r>
      <w:r>
        <w:t xml:space="preserve">.  Figure 6 demonstrates that the number of plant genera and species for which there are cooperation agreements between </w:t>
      </w:r>
      <w:r w:rsidRPr="00DE2A87">
        <w:t>members of the Union</w:t>
      </w:r>
      <w:r>
        <w:t xml:space="preserve"> has not increased in line with the number of genera and species for which there have been PBR applications and for which practical experience has been </w:t>
      </w:r>
      <w:r w:rsidRPr="003A2934">
        <w:t>notified</w:t>
      </w:r>
      <w:r>
        <w:t xml:space="preserve"> by </w:t>
      </w:r>
      <w:r w:rsidRPr="004A141F">
        <w:t>members of the Union</w:t>
      </w:r>
      <w:r>
        <w:t xml:space="preserve">.  In Figure 6, the large increases in numbers in 2007 and 2011 were almost exclusively as a result of cooperation involving the members States of the </w:t>
      </w:r>
      <w:r w:rsidRPr="004A141F">
        <w:t xml:space="preserve">European Union </w:t>
      </w:r>
      <w:r>
        <w:t xml:space="preserve">and/or </w:t>
      </w:r>
      <w:r w:rsidRPr="004A141F">
        <w:t>Community Plant Variety Office of the European Union (CPVO)</w:t>
      </w:r>
      <w:r>
        <w:t xml:space="preserve">.  </w:t>
      </w:r>
    </w:p>
    <w:p w:rsidR="003117C2" w:rsidRDefault="003117C2" w:rsidP="003117C2">
      <w:pPr>
        <w:rPr>
          <w:snapToGrid w:val="0"/>
        </w:rPr>
      </w:pPr>
    </w:p>
    <w:p w:rsidR="003117C2" w:rsidRPr="007274C3" w:rsidRDefault="003117C2" w:rsidP="003117C2">
      <w:pPr>
        <w:ind w:left="567"/>
        <w:rPr>
          <w:i/>
          <w:snapToGrid w:val="0"/>
        </w:rPr>
      </w:pPr>
      <w:r w:rsidRPr="007274C3">
        <w:rPr>
          <w:i/>
          <w:snapToGrid w:val="0"/>
        </w:rPr>
        <w:t>Variety denominations</w:t>
      </w:r>
    </w:p>
    <w:p w:rsidR="003117C2" w:rsidRDefault="003117C2" w:rsidP="003117C2">
      <w:pPr>
        <w:rPr>
          <w:snapToGrid w:val="0"/>
        </w:rPr>
      </w:pPr>
    </w:p>
    <w:p w:rsidR="003117C2" w:rsidRPr="00056808" w:rsidRDefault="003117C2" w:rsidP="003117C2">
      <w:pPr>
        <w:rPr>
          <w:snapToGrid w:val="0"/>
        </w:rPr>
      </w:pPr>
      <w:r w:rsidRPr="00D47DE4">
        <w:rPr>
          <w:snapToGrid w:val="0"/>
        </w:rPr>
        <w:t>1.9</w:t>
      </w:r>
      <w:r>
        <w:rPr>
          <w:snapToGrid w:val="0"/>
        </w:rPr>
        <w:tab/>
        <w:t xml:space="preserve">In order to facilitate and harmonize the examination of variety denominations by </w:t>
      </w:r>
      <w:r w:rsidRPr="003405AC">
        <w:rPr>
          <w:snapToGrid w:val="0"/>
        </w:rPr>
        <w:t>members of the Union</w:t>
      </w:r>
      <w:r>
        <w:rPr>
          <w:snapToGrid w:val="0"/>
        </w:rPr>
        <w:t xml:space="preserve">, work will continue on the </w:t>
      </w:r>
      <w:r w:rsidRPr="003405AC">
        <w:rPr>
          <w:snapToGrid w:val="0"/>
        </w:rPr>
        <w:t>develop</w:t>
      </w:r>
      <w:r>
        <w:rPr>
          <w:snapToGrid w:val="0"/>
        </w:rPr>
        <w:t>ment of</w:t>
      </w:r>
      <w:r w:rsidRPr="003405AC">
        <w:rPr>
          <w:snapToGrid w:val="0"/>
        </w:rPr>
        <w:t xml:space="preserve"> proposals for a UPOV similarity</w:t>
      </w:r>
      <w:r>
        <w:rPr>
          <w:snapToGrid w:val="0"/>
        </w:rPr>
        <w:t xml:space="preserve"> </w:t>
      </w:r>
      <w:r w:rsidRPr="003405AC">
        <w:rPr>
          <w:snapToGrid w:val="0"/>
        </w:rPr>
        <w:t>search tool for variety deno</w:t>
      </w:r>
      <w:r>
        <w:rPr>
          <w:snapToGrid w:val="0"/>
        </w:rPr>
        <w:t>mination purposes</w:t>
      </w:r>
      <w:r w:rsidRPr="003405AC">
        <w:rPr>
          <w:snapToGrid w:val="0"/>
        </w:rPr>
        <w:t>.</w:t>
      </w:r>
      <w:r>
        <w:rPr>
          <w:snapToGrid w:val="0"/>
        </w:rPr>
        <w:t xml:space="preserve">  Work will also continue on enhancing the quality and quantity of data in the PLUTO </w:t>
      </w:r>
      <w:r w:rsidRPr="0023223B">
        <w:rPr>
          <w:snapToGrid w:val="0"/>
        </w:rPr>
        <w:t>database</w:t>
      </w:r>
      <w:r>
        <w:rPr>
          <w:snapToGrid w:val="0"/>
        </w:rPr>
        <w:t>.</w:t>
      </w:r>
    </w:p>
    <w:p w:rsidR="003117C2" w:rsidRDefault="003117C2" w:rsidP="003117C2">
      <w:pPr>
        <w:rPr>
          <w:snapToGrid w:val="0"/>
        </w:rPr>
      </w:pPr>
    </w:p>
    <w:p w:rsidR="003117C2" w:rsidRPr="007274C3" w:rsidRDefault="003117C2" w:rsidP="003117C2">
      <w:pPr>
        <w:ind w:left="567"/>
        <w:rPr>
          <w:i/>
          <w:snapToGrid w:val="0"/>
        </w:rPr>
      </w:pPr>
      <w:r w:rsidRPr="007274C3">
        <w:rPr>
          <w:i/>
          <w:snapToGrid w:val="0"/>
        </w:rPr>
        <w:t>Facilitating applications</w:t>
      </w:r>
    </w:p>
    <w:p w:rsidR="003117C2" w:rsidRDefault="003117C2" w:rsidP="003117C2"/>
    <w:p w:rsidR="003117C2" w:rsidRDefault="003117C2" w:rsidP="003117C2">
      <w:r>
        <w:t>1.10</w:t>
      </w:r>
      <w:r>
        <w:tab/>
        <w:t xml:space="preserve">In the </w:t>
      </w:r>
      <w:r w:rsidRPr="008211E4">
        <w:t>201</w:t>
      </w:r>
      <w:r>
        <w:t xml:space="preserve">6­2017 </w:t>
      </w:r>
      <w:r w:rsidRPr="008211E4">
        <w:t>Biennium</w:t>
      </w:r>
      <w:r>
        <w:t xml:space="preserve">, it is anticipated that a first version of the UPOV electronic application system will be implemented for selected species and languages, enabling breeders to provide information for PBR applications for participating members of the Union, via the UPOV website.   </w:t>
      </w:r>
    </w:p>
    <w:p w:rsidR="003117C2" w:rsidRDefault="003117C2" w:rsidP="003117C2"/>
    <w:p w:rsidR="003117C2" w:rsidRPr="00AD4802" w:rsidRDefault="003117C2" w:rsidP="003117C2">
      <w:r>
        <w:t>1.11</w:t>
      </w:r>
      <w:r>
        <w:tab/>
        <w:t xml:space="preserve">Subject to approval, the UPOV electronic application system could form the core of an international system of cooperation, which could also build on the initiatives above for facilitating cooperation in examination. </w:t>
      </w:r>
    </w:p>
    <w:p w:rsidR="003117C2" w:rsidRDefault="003117C2" w:rsidP="003117C2">
      <w:pPr>
        <w:rPr>
          <w:snapToGrid w:val="0"/>
        </w:rPr>
      </w:pPr>
      <w:r>
        <w:rPr>
          <w:snapToGrid w:val="0"/>
        </w:rPr>
        <w:br w:type="page"/>
      </w:r>
    </w:p>
    <w:p w:rsidR="003117C2" w:rsidRPr="007274C3" w:rsidRDefault="003117C2" w:rsidP="003117C2">
      <w:pPr>
        <w:ind w:left="567"/>
        <w:rPr>
          <w:i/>
          <w:snapToGrid w:val="0"/>
        </w:rPr>
      </w:pPr>
      <w:r w:rsidRPr="007274C3">
        <w:rPr>
          <w:i/>
          <w:snapToGrid w:val="0"/>
        </w:rPr>
        <w:t>Guidance and information materials</w:t>
      </w:r>
    </w:p>
    <w:p w:rsidR="003117C2" w:rsidRPr="00661401" w:rsidRDefault="003117C2" w:rsidP="003117C2">
      <w:pPr>
        <w:rPr>
          <w:snapToGrid w:val="0"/>
        </w:rPr>
      </w:pPr>
    </w:p>
    <w:p w:rsidR="003117C2" w:rsidRPr="009D64EA" w:rsidRDefault="003117C2" w:rsidP="003117C2">
      <w:pPr>
        <w:rPr>
          <w:rFonts w:cs="Arial"/>
          <w:snapToGrid w:val="0"/>
        </w:rPr>
      </w:pPr>
      <w:r>
        <w:rPr>
          <w:snapToGrid w:val="0"/>
        </w:rPr>
        <w:t>1.12</w:t>
      </w:r>
      <w:r>
        <w:rPr>
          <w:snapToGrid w:val="0"/>
        </w:rPr>
        <w:tab/>
        <w:t xml:space="preserve">UPOV has developed an extensive set of </w:t>
      </w:r>
      <w:r w:rsidRPr="00661401">
        <w:rPr>
          <w:snapToGrid w:val="0"/>
        </w:rPr>
        <w:t>guidance and information</w:t>
      </w:r>
      <w:r>
        <w:rPr>
          <w:snapToGrid w:val="0"/>
        </w:rPr>
        <w:t xml:space="preserve"> </w:t>
      </w:r>
      <w:r w:rsidRPr="00661401">
        <w:rPr>
          <w:snapToGrid w:val="0"/>
        </w:rPr>
        <w:t>materials such as Explanatory Notes (“UPOV/EXN” series), Information Documents (“UPOV/INF” series), the</w:t>
      </w:r>
      <w:r>
        <w:rPr>
          <w:snapToGrid w:val="0"/>
        </w:rPr>
        <w:t xml:space="preserve"> </w:t>
      </w:r>
      <w:r w:rsidRPr="00661401">
        <w:rPr>
          <w:snapToGrid w:val="0"/>
        </w:rPr>
        <w:t>“General Introduction to the Examination of Distinctness, Uniformity and Stability and the Development of</w:t>
      </w:r>
      <w:r>
        <w:rPr>
          <w:snapToGrid w:val="0"/>
        </w:rPr>
        <w:t xml:space="preserve"> </w:t>
      </w:r>
      <w:r w:rsidRPr="00661401">
        <w:rPr>
          <w:snapToGrid w:val="0"/>
        </w:rPr>
        <w:t>Harmonized Descriptions of New Varieties of Plants”, with its associated TGP documents, and</w:t>
      </w:r>
      <w:r>
        <w:rPr>
          <w:snapToGrid w:val="0"/>
        </w:rPr>
        <w:t xml:space="preserve"> </w:t>
      </w:r>
      <w:r w:rsidRPr="00661401">
        <w:rPr>
          <w:snapToGrid w:val="0"/>
        </w:rPr>
        <w:t>Test Guidelines.</w:t>
      </w:r>
      <w:r>
        <w:rPr>
          <w:snapToGrid w:val="0"/>
        </w:rPr>
        <w:t xml:space="preserve">  While the set of </w:t>
      </w:r>
      <w:r w:rsidRPr="00661401">
        <w:rPr>
          <w:snapToGrid w:val="0"/>
        </w:rPr>
        <w:t>guidance and information</w:t>
      </w:r>
      <w:r>
        <w:rPr>
          <w:snapToGrid w:val="0"/>
        </w:rPr>
        <w:t xml:space="preserve"> </w:t>
      </w:r>
      <w:r w:rsidRPr="00661401">
        <w:rPr>
          <w:snapToGrid w:val="0"/>
        </w:rPr>
        <w:t xml:space="preserve">materials </w:t>
      </w:r>
      <w:r>
        <w:rPr>
          <w:snapToGrid w:val="0"/>
        </w:rPr>
        <w:t xml:space="preserve">is now rather extensive, </w:t>
      </w:r>
      <w:r w:rsidR="003B7CA8">
        <w:rPr>
          <w:snapToGrid w:val="0"/>
        </w:rPr>
        <w:t xml:space="preserve">work </w:t>
      </w:r>
      <w:r>
        <w:rPr>
          <w:snapToGrid w:val="0"/>
        </w:rPr>
        <w:t xml:space="preserve">will continue with a view to developing further guidance </w:t>
      </w:r>
      <w:r w:rsidRPr="009D64EA">
        <w:rPr>
          <w:rFonts w:cs="Arial"/>
          <w:snapToGrid w:val="0"/>
        </w:rPr>
        <w:t>and/or information with regard to</w:t>
      </w:r>
      <w:r>
        <w:rPr>
          <w:rFonts w:cs="Arial"/>
          <w:snapToGrid w:val="0"/>
        </w:rPr>
        <w:t xml:space="preserve"> certain</w:t>
      </w:r>
      <w:r w:rsidRPr="009D64EA">
        <w:rPr>
          <w:rFonts w:cs="Arial"/>
          <w:snapToGrid w:val="0"/>
        </w:rPr>
        <w:t xml:space="preserve"> important aspects</w:t>
      </w:r>
      <w:r>
        <w:rPr>
          <w:rFonts w:cs="Arial"/>
          <w:snapToGrid w:val="0"/>
        </w:rPr>
        <w:t>,</w:t>
      </w:r>
      <w:r w:rsidRPr="009D64EA">
        <w:rPr>
          <w:rFonts w:cs="Arial"/>
          <w:snapToGrid w:val="0"/>
        </w:rPr>
        <w:t xml:space="preserve"> such as </w:t>
      </w:r>
      <w:r w:rsidRPr="009D64EA">
        <w:rPr>
          <w:rFonts w:cs="Arial"/>
          <w:snapToGrid w:val="0"/>
          <w:lang w:val="en-GB"/>
        </w:rPr>
        <w:t>essentially derived varieties</w:t>
      </w:r>
      <w:r>
        <w:rPr>
          <w:rFonts w:cs="Arial"/>
          <w:snapToGrid w:val="0"/>
          <w:lang w:val="en-GB"/>
        </w:rPr>
        <w:t>.</w:t>
      </w:r>
    </w:p>
    <w:p w:rsidR="003117C2" w:rsidRPr="00661401" w:rsidRDefault="003117C2" w:rsidP="003117C2">
      <w:pPr>
        <w:rPr>
          <w:snapToGrid w:val="0"/>
        </w:rPr>
      </w:pPr>
    </w:p>
    <w:p w:rsidR="003117C2" w:rsidRPr="00245C53" w:rsidRDefault="003117C2" w:rsidP="003117C2">
      <w:pPr>
        <w:ind w:left="567"/>
      </w:pPr>
      <w:r w:rsidRPr="007274C3">
        <w:rPr>
          <w:i/>
        </w:rPr>
        <w:t>Assistance in the introduction and implementation of the UPOV system</w:t>
      </w:r>
    </w:p>
    <w:p w:rsidR="003117C2" w:rsidRDefault="003117C2" w:rsidP="003117C2">
      <w:pPr>
        <w:rPr>
          <w:snapToGrid w:val="0"/>
        </w:rPr>
      </w:pPr>
    </w:p>
    <w:p w:rsidR="003117C2" w:rsidRPr="00D47DE4" w:rsidRDefault="003117C2" w:rsidP="003117C2">
      <w:r w:rsidRPr="00CA0D85">
        <w:t>1.13</w:t>
      </w:r>
      <w:r w:rsidRPr="00D47DE4">
        <w:tab/>
        <w:t>Satisfying particular needs of members of the Union and potential members of the Union for assistance in the introduction and implementation of the UPOV system within available resources will be based on the following elements</w:t>
      </w:r>
      <w:r>
        <w:t xml:space="preserve"> (see Sub-program UV.3)</w:t>
      </w:r>
      <w:r w:rsidRPr="00D47DE4">
        <w:t xml:space="preserve">: </w:t>
      </w:r>
    </w:p>
    <w:p w:rsidR="003117C2" w:rsidRDefault="003117C2" w:rsidP="003117C2"/>
    <w:p w:rsidR="003117C2" w:rsidRPr="00FB0F8C" w:rsidRDefault="003117C2" w:rsidP="003117C2">
      <w:pPr>
        <w:ind w:left="567"/>
        <w:rPr>
          <w:rStyle w:val="Emphasis"/>
          <w:i w:val="0"/>
        </w:rPr>
      </w:pPr>
      <w:r w:rsidRPr="00FB0F8C">
        <w:rPr>
          <w:rStyle w:val="Emphasis"/>
          <w:i w:val="0"/>
        </w:rPr>
        <w:t>(a)</w:t>
      </w:r>
      <w:r w:rsidRPr="00FB0F8C">
        <w:rPr>
          <w:rStyle w:val="Emphasis"/>
          <w:i w:val="0"/>
        </w:rPr>
        <w:tab/>
        <w:t>Standard training activities organized or co-organized by UPOV</w:t>
      </w:r>
    </w:p>
    <w:p w:rsidR="003117C2" w:rsidRPr="00FB0F8C" w:rsidRDefault="003117C2" w:rsidP="003117C2">
      <w:pPr>
        <w:ind w:left="567"/>
        <w:rPr>
          <w:rStyle w:val="Emphasis"/>
          <w:i w:val="0"/>
        </w:rPr>
      </w:pPr>
    </w:p>
    <w:p w:rsidR="003117C2" w:rsidRPr="00FB0F8C" w:rsidRDefault="003117C2" w:rsidP="003117C2">
      <w:pPr>
        <w:ind w:left="567"/>
        <w:rPr>
          <w:rStyle w:val="Emphasis"/>
          <w:i w:val="0"/>
        </w:rPr>
      </w:pPr>
      <w:r w:rsidRPr="00FB0F8C">
        <w:rPr>
          <w:rStyle w:val="Emphasis"/>
          <w:i w:val="0"/>
        </w:rPr>
        <w:t>(b)</w:t>
      </w:r>
      <w:r w:rsidRPr="00FB0F8C">
        <w:rPr>
          <w:rStyle w:val="Emphasis"/>
          <w:i w:val="0"/>
        </w:rPr>
        <w:tab/>
      </w:r>
      <w:r>
        <w:rPr>
          <w:rStyle w:val="Emphasis"/>
          <w:i w:val="0"/>
        </w:rPr>
        <w:t>T</w:t>
      </w:r>
      <w:r w:rsidRPr="00FB0F8C">
        <w:rPr>
          <w:rStyle w:val="Emphasis"/>
          <w:i w:val="0"/>
        </w:rPr>
        <w:t xml:space="preserve">raining activities </w:t>
      </w:r>
      <w:r>
        <w:rPr>
          <w:rStyle w:val="Emphasis"/>
          <w:i w:val="0"/>
        </w:rPr>
        <w:t xml:space="preserve">developed in conjunction with </w:t>
      </w:r>
      <w:r w:rsidRPr="00FB0F8C">
        <w:rPr>
          <w:rStyle w:val="Emphasis"/>
          <w:i w:val="0"/>
        </w:rPr>
        <w:t>UPOV</w:t>
      </w:r>
    </w:p>
    <w:p w:rsidR="003117C2" w:rsidRPr="00FB0F8C" w:rsidRDefault="003117C2" w:rsidP="003117C2">
      <w:pPr>
        <w:ind w:left="567"/>
        <w:rPr>
          <w:rStyle w:val="Emphasis"/>
          <w:i w:val="0"/>
        </w:rPr>
      </w:pPr>
    </w:p>
    <w:p w:rsidR="003117C2" w:rsidRPr="00FB0F8C" w:rsidRDefault="003117C2" w:rsidP="003117C2">
      <w:pPr>
        <w:ind w:left="567"/>
        <w:rPr>
          <w:rStyle w:val="Emphasis"/>
          <w:i w:val="0"/>
        </w:rPr>
      </w:pPr>
      <w:r w:rsidRPr="00FB0F8C">
        <w:rPr>
          <w:rStyle w:val="Emphasis"/>
          <w:i w:val="0"/>
        </w:rPr>
        <w:t>(c)</w:t>
      </w:r>
      <w:r w:rsidRPr="00FB0F8C">
        <w:rPr>
          <w:rStyle w:val="Emphasis"/>
          <w:i w:val="0"/>
        </w:rPr>
        <w:tab/>
      </w:r>
      <w:r>
        <w:rPr>
          <w:rStyle w:val="Emphasis"/>
          <w:i w:val="0"/>
        </w:rPr>
        <w:t>T</w:t>
      </w:r>
      <w:r w:rsidRPr="00FB0F8C">
        <w:rPr>
          <w:rStyle w:val="Emphasis"/>
          <w:i w:val="0"/>
        </w:rPr>
        <w:t xml:space="preserve">raining activities </w:t>
      </w:r>
      <w:r>
        <w:rPr>
          <w:rStyle w:val="Emphasis"/>
          <w:i w:val="0"/>
        </w:rPr>
        <w:t xml:space="preserve">to which </w:t>
      </w:r>
      <w:r w:rsidRPr="00FB0F8C">
        <w:rPr>
          <w:rStyle w:val="Emphasis"/>
          <w:i w:val="0"/>
        </w:rPr>
        <w:t>UPOV</w:t>
      </w:r>
      <w:r>
        <w:rPr>
          <w:rStyle w:val="Emphasis"/>
          <w:i w:val="0"/>
        </w:rPr>
        <w:t xml:space="preserve"> contributes</w:t>
      </w:r>
      <w:r w:rsidRPr="00D529A4">
        <w:rPr>
          <w:rStyle w:val="Emphasis"/>
        </w:rPr>
        <w:t xml:space="preserve"> </w:t>
      </w:r>
    </w:p>
    <w:p w:rsidR="003117C2" w:rsidRPr="00FB0F8C" w:rsidRDefault="003117C2" w:rsidP="003117C2">
      <w:pPr>
        <w:ind w:left="567"/>
        <w:rPr>
          <w:rStyle w:val="Emphasis"/>
          <w:i w:val="0"/>
        </w:rPr>
      </w:pPr>
    </w:p>
    <w:p w:rsidR="003117C2" w:rsidRPr="00FB0F8C" w:rsidRDefault="003117C2" w:rsidP="003117C2">
      <w:pPr>
        <w:ind w:left="567"/>
        <w:rPr>
          <w:rStyle w:val="Emphasis"/>
          <w:i w:val="0"/>
        </w:rPr>
      </w:pPr>
      <w:r w:rsidRPr="00FB0F8C">
        <w:rPr>
          <w:rStyle w:val="Emphasis"/>
          <w:i w:val="0"/>
        </w:rPr>
        <w:t>(d)</w:t>
      </w:r>
      <w:r w:rsidRPr="00FB0F8C">
        <w:rPr>
          <w:rStyle w:val="Emphasis"/>
          <w:i w:val="0"/>
        </w:rPr>
        <w:tab/>
      </w:r>
      <w:r w:rsidRPr="00D529A4">
        <w:rPr>
          <w:rStyle w:val="Emphasis"/>
        </w:rPr>
        <w:t>In situ</w:t>
      </w:r>
      <w:r w:rsidRPr="00FB0F8C">
        <w:rPr>
          <w:rStyle w:val="Emphasis"/>
          <w:i w:val="0"/>
        </w:rPr>
        <w:t xml:space="preserve"> activities organized by UPOV</w:t>
      </w:r>
    </w:p>
    <w:p w:rsidR="003117C2" w:rsidRPr="00FB0F8C" w:rsidRDefault="003117C2" w:rsidP="003117C2">
      <w:pPr>
        <w:ind w:left="567"/>
        <w:rPr>
          <w:rStyle w:val="Emphasis"/>
          <w:i w:val="0"/>
        </w:rPr>
      </w:pPr>
    </w:p>
    <w:p w:rsidR="003117C2" w:rsidRPr="00FB0F8C" w:rsidRDefault="003117C2" w:rsidP="003117C2">
      <w:pPr>
        <w:ind w:left="567"/>
        <w:rPr>
          <w:rStyle w:val="Emphasis"/>
          <w:i w:val="0"/>
        </w:rPr>
      </w:pPr>
      <w:r w:rsidRPr="00FB0F8C">
        <w:rPr>
          <w:rStyle w:val="Emphasis"/>
          <w:i w:val="0"/>
        </w:rPr>
        <w:t>(e)</w:t>
      </w:r>
      <w:r w:rsidRPr="00FB0F8C">
        <w:rPr>
          <w:rStyle w:val="Emphasis"/>
          <w:i w:val="0"/>
        </w:rPr>
        <w:tab/>
      </w:r>
      <w:r>
        <w:rPr>
          <w:rStyle w:val="Emphasis"/>
          <w:i w:val="0"/>
        </w:rPr>
        <w:t>Resources for training and assistance</w:t>
      </w:r>
    </w:p>
    <w:p w:rsidR="003117C2" w:rsidRDefault="003117C2" w:rsidP="003117C2"/>
    <w:p w:rsidR="003117C2" w:rsidRPr="007274C3" w:rsidRDefault="003117C2" w:rsidP="003117C2">
      <w:pPr>
        <w:ind w:left="567"/>
        <w:rPr>
          <w:i/>
        </w:rPr>
      </w:pPr>
      <w:r w:rsidRPr="007274C3">
        <w:rPr>
          <w:i/>
        </w:rPr>
        <w:t>Communications</w:t>
      </w:r>
    </w:p>
    <w:p w:rsidR="003117C2" w:rsidRDefault="003117C2" w:rsidP="003117C2"/>
    <w:p w:rsidR="003117C2" w:rsidRDefault="003117C2" w:rsidP="003117C2">
      <w:r>
        <w:t>1.14</w:t>
      </w:r>
      <w:r>
        <w:tab/>
        <w:t xml:space="preserve">UPOV’s mission is </w:t>
      </w:r>
      <w:r>
        <w:rPr>
          <w:lang w:val="en"/>
        </w:rPr>
        <w:t xml:space="preserve">to provide and promote an effective system of plant variety protection, with the aim of encouraging the development of new varieties of plants, for the benefit of society.  Therefore, UPOV needs </w:t>
      </w:r>
      <w:r>
        <w:t xml:space="preserve">to explain how the UPOV system encourages the development of new varieties of plants, how new varieties benefit society and the role of the UPOV system </w:t>
      </w:r>
      <w:r w:rsidRPr="006F24A8">
        <w:t xml:space="preserve">in </w:t>
      </w:r>
      <w:r>
        <w:t>relation to agriculture and economic policy</w:t>
      </w:r>
      <w:r w:rsidRPr="006F24A8">
        <w:t>.</w:t>
      </w:r>
      <w:r>
        <w:t xml:space="preserve">  In that regard, </w:t>
      </w:r>
      <w:r w:rsidRPr="006F24A8">
        <w:t xml:space="preserve">UPOV will contribute to the work of relevant </w:t>
      </w:r>
      <w:r>
        <w:t xml:space="preserve">international intergovernmental </w:t>
      </w:r>
      <w:r w:rsidRPr="006F24A8">
        <w:t xml:space="preserve">organizations in order to explain the UPOV system of plant variety protection, with the aim of securing mutual supportiveness.  </w:t>
      </w:r>
      <w:r>
        <w:t xml:space="preserve">   </w:t>
      </w:r>
    </w:p>
    <w:p w:rsidR="003117C2" w:rsidRPr="00DD6106" w:rsidRDefault="003117C2" w:rsidP="003117C2"/>
    <w:p w:rsidR="003117C2" w:rsidRDefault="003117C2" w:rsidP="003117C2">
      <w:pPr>
        <w:rPr>
          <w:snapToGrid w:val="0"/>
        </w:rPr>
      </w:pPr>
      <w:r w:rsidRPr="00DB389A">
        <w:rPr>
          <w:snapToGrid w:val="0"/>
        </w:rPr>
        <w:t>1.15</w:t>
      </w:r>
      <w:r w:rsidRPr="00DB389A">
        <w:rPr>
          <w:snapToGrid w:val="0"/>
        </w:rPr>
        <w:tab/>
        <w:t xml:space="preserve">The </w:t>
      </w:r>
      <w:r>
        <w:rPr>
          <w:snapToGrid w:val="0"/>
        </w:rPr>
        <w:t xml:space="preserve">extensive </w:t>
      </w:r>
      <w:r w:rsidRPr="00DB389A">
        <w:rPr>
          <w:snapToGrid w:val="0"/>
        </w:rPr>
        <w:t xml:space="preserve">guidance material and information developed by UPOV provide a basis for </w:t>
      </w:r>
      <w:r>
        <w:rPr>
          <w:snapToGrid w:val="0"/>
        </w:rPr>
        <w:t xml:space="preserve">explaining </w:t>
      </w:r>
      <w:r w:rsidRPr="00DB389A">
        <w:rPr>
          <w:snapToGrid w:val="0"/>
        </w:rPr>
        <w:t xml:space="preserve">the UPOV system. </w:t>
      </w:r>
      <w:r>
        <w:rPr>
          <w:snapToGrid w:val="0"/>
        </w:rPr>
        <w:t>However, i</w:t>
      </w:r>
      <w:r w:rsidRPr="00942DE6">
        <w:rPr>
          <w:snapToGrid w:val="0"/>
        </w:rPr>
        <w:t>n order to enhance the effectiveness of the website for explaining the UPOV system, stakeholder-focused features, based on existing information, will be introduced on the UPOV website.  Stakeholder-focused features will focus on the particular needs of: breeders; seed producers / plant propagators; farmers; processors, wholesalers and retailers; policy-makers; and the general public.</w:t>
      </w:r>
    </w:p>
    <w:p w:rsidR="003117C2" w:rsidRPr="00DB389A" w:rsidRDefault="003117C2" w:rsidP="003117C2">
      <w:pPr>
        <w:rPr>
          <w:rFonts w:cs="Arial"/>
          <w:snapToGrid w:val="0"/>
        </w:rPr>
      </w:pPr>
    </w:p>
    <w:p w:rsidR="003117C2" w:rsidRDefault="003117C2" w:rsidP="003117C2">
      <w:r w:rsidRPr="00942DE6">
        <w:rPr>
          <w:snapToGrid w:val="0"/>
        </w:rPr>
        <w:t>1.16</w:t>
      </w:r>
      <w:r w:rsidRPr="00942DE6">
        <w:rPr>
          <w:snapToGrid w:val="0"/>
        </w:rPr>
        <w:tab/>
        <w:t>General information, suitable for a wide range of stakeholders, will continue to be develope</w:t>
      </w:r>
      <w:r>
        <w:rPr>
          <w:snapToGrid w:val="0"/>
        </w:rPr>
        <w:t>d.  For example, as appropriat</w:t>
      </w:r>
      <w:r w:rsidRPr="00245C53">
        <w:rPr>
          <w:snapToGrid w:val="0"/>
        </w:rPr>
        <w:t xml:space="preserve">e, </w:t>
      </w:r>
      <w:r w:rsidRPr="00942DE6">
        <w:rPr>
          <w:snapToGrid w:val="0"/>
        </w:rPr>
        <w:t xml:space="preserve">work will continue on answers to frequently-asked questions about the UPOV system and the development of illustrative explanations and examples of the benefits of the UPOV system.  </w:t>
      </w:r>
    </w:p>
    <w:p w:rsidR="003117C2" w:rsidRDefault="003117C2" w:rsidP="003117C2"/>
    <w:p w:rsidR="003117C2" w:rsidRDefault="003117C2" w:rsidP="003117C2"/>
    <w:p w:rsidR="003117C2" w:rsidRDefault="003117C2" w:rsidP="003117C2"/>
    <w:p w:rsidR="003117C2" w:rsidRDefault="003117C2" w:rsidP="003117C2">
      <w:pPr>
        <w:jc w:val="left"/>
        <w:rPr>
          <w:b/>
        </w:rPr>
      </w:pPr>
      <w:r>
        <w:rPr>
          <w:b/>
        </w:rPr>
        <w:br w:type="page"/>
      </w:r>
    </w:p>
    <w:p w:rsidR="003117C2" w:rsidRPr="00DD6106" w:rsidRDefault="003117C2" w:rsidP="003117C2">
      <w:pPr>
        <w:rPr>
          <w:b/>
        </w:rPr>
      </w:pPr>
      <w:r w:rsidRPr="00DD6106">
        <w:rPr>
          <w:b/>
        </w:rPr>
        <w:t>2.</w:t>
      </w:r>
      <w:r w:rsidRPr="00DD6106">
        <w:rPr>
          <w:b/>
        </w:rPr>
        <w:tab/>
        <w:t>OBJECTIVES AND EXPECTED RESULTS BY SUB-PROGRAM</w:t>
      </w:r>
    </w:p>
    <w:p w:rsidR="003117C2" w:rsidRPr="00DD6106" w:rsidRDefault="003117C2" w:rsidP="00311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3117C2" w:rsidRPr="00DD6106" w:rsidRDefault="003117C2" w:rsidP="003117C2">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3117C2" w:rsidRPr="00DD6106" w:rsidRDefault="003117C2" w:rsidP="003117C2"/>
    <w:p w:rsidR="003117C2" w:rsidRPr="00DD6106" w:rsidRDefault="003117C2" w:rsidP="003117C2">
      <w:pPr>
        <w:rPr>
          <w:b/>
        </w:rPr>
      </w:pPr>
      <w:r w:rsidRPr="00DD6106">
        <w:rPr>
          <w:b/>
        </w:rPr>
        <w:t>2.1.1</w:t>
      </w:r>
      <w:r w:rsidRPr="00DD6106">
        <w:rPr>
          <w:b/>
        </w:rPr>
        <w:tab/>
        <w:t>Objectives</w:t>
      </w:r>
    </w:p>
    <w:p w:rsidR="003117C2" w:rsidRPr="00DD6106" w:rsidRDefault="003117C2" w:rsidP="003117C2"/>
    <w:p w:rsidR="003117C2" w:rsidRPr="00DD6106" w:rsidRDefault="003117C2" w:rsidP="003117C2">
      <w:r w:rsidRPr="00DD6106">
        <w:tab/>
        <w:t>(a)</w:t>
      </w:r>
      <w:r w:rsidRPr="00DD6106">
        <w:tab/>
        <w:t>Policy direction and executive management.</w:t>
      </w:r>
    </w:p>
    <w:p w:rsidR="003117C2" w:rsidRPr="00DD6106" w:rsidRDefault="003117C2" w:rsidP="003117C2"/>
    <w:p w:rsidR="003117C2" w:rsidRPr="00DD6106" w:rsidRDefault="003117C2" w:rsidP="003117C2">
      <w:r w:rsidRPr="00DD6106">
        <w:tab/>
        <w:t>(b)</w:t>
      </w:r>
      <w:r w:rsidRPr="00DD6106">
        <w:tab/>
        <w:t>Planning, implementation and evaluation of program and budget.</w:t>
      </w:r>
    </w:p>
    <w:p w:rsidR="003117C2" w:rsidRPr="00DD6106" w:rsidRDefault="003117C2" w:rsidP="003117C2"/>
    <w:p w:rsidR="003117C2" w:rsidRPr="00DD6106" w:rsidRDefault="003117C2" w:rsidP="003117C2">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2.1.2</w:t>
      </w:r>
      <w:r w:rsidRPr="00DD6106">
        <w:rPr>
          <w:b/>
        </w:rPr>
        <w:tab/>
        <w:t>Narrative</w:t>
      </w:r>
    </w:p>
    <w:p w:rsidR="003117C2" w:rsidRPr="00DD6106" w:rsidRDefault="003117C2" w:rsidP="00311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3117C2" w:rsidRDefault="003117C2" w:rsidP="003117C2">
      <w:pPr>
        <w:tabs>
          <w:tab w:val="left" w:pos="567"/>
        </w:tabs>
        <w:rPr>
          <w:spacing w:val="-2"/>
        </w:rPr>
      </w:pPr>
      <w:r>
        <w:t>2.1.2.1</w:t>
      </w:r>
      <w:r>
        <w:tab/>
      </w:r>
      <w:r w:rsidRPr="00DD6106">
        <w:t xml:space="preserve">This sub-program provides the framework for policy making, management and coordination of the activities </w:t>
      </w:r>
      <w:r w:rsidRPr="008B1BFE">
        <w:rPr>
          <w:spacing w:val="-2"/>
        </w:rPr>
        <w:t>within UPOV’s overall program, as established by the Council with the guidance of the Consultative Committee.</w:t>
      </w:r>
    </w:p>
    <w:p w:rsidR="003117C2" w:rsidRDefault="003117C2" w:rsidP="003117C2">
      <w:pPr>
        <w:tabs>
          <w:tab w:val="left" w:pos="567"/>
        </w:tabs>
        <w:rPr>
          <w:spacing w:val="-2"/>
        </w:rPr>
      </w:pPr>
    </w:p>
    <w:p w:rsidR="003117C2" w:rsidRDefault="003117C2" w:rsidP="003117C2">
      <w:pPr>
        <w:tabs>
          <w:tab w:val="left" w:pos="567"/>
        </w:tabs>
      </w:pPr>
      <w:r>
        <w:rPr>
          <w:spacing w:val="-2"/>
        </w:rPr>
        <w:t>2.1.2.2</w:t>
      </w:r>
      <w:r>
        <w:rPr>
          <w:spacing w:val="-2"/>
        </w:rPr>
        <w:tab/>
      </w:r>
      <w:r w:rsidRPr="000E5482">
        <w:t>Th</w:t>
      </w:r>
      <w:r>
        <w:t>e expansion of UPOV, combined with the continuing interest of States and organizations to become UPOV members, means that there is a need to consider further measures to: facilitate applications; facilitate cooperation between UPOV members (see Sub-program UV.2);</w:t>
      </w:r>
      <w:r w:rsidRPr="000517D3">
        <w:t xml:space="preserve"> </w:t>
      </w:r>
      <w:r>
        <w:t xml:space="preserve">and provide assistance in the introduction and implementation of the UPOV system in the most effective way within available resources (see Sub-program UV.3).  </w:t>
      </w:r>
    </w:p>
    <w:p w:rsidR="003117C2" w:rsidRDefault="003117C2" w:rsidP="003117C2">
      <w:pPr>
        <w:tabs>
          <w:tab w:val="left" w:pos="567"/>
        </w:tabs>
      </w:pPr>
    </w:p>
    <w:p w:rsidR="003117C2" w:rsidRDefault="003117C2" w:rsidP="003117C2">
      <w:pPr>
        <w:tabs>
          <w:tab w:val="left" w:pos="567"/>
        </w:tabs>
      </w:pPr>
      <w:r>
        <w:t>2.1.2.3</w:t>
      </w:r>
      <w:r>
        <w:tab/>
        <w:t xml:space="preserve">A key objective in the </w:t>
      </w:r>
      <w:r w:rsidRPr="008B1BFE">
        <w:t>201</w:t>
      </w:r>
      <w:r>
        <w:t>6</w:t>
      </w:r>
      <w:r w:rsidRPr="008B1BFE">
        <w:t>­201</w:t>
      </w:r>
      <w:r>
        <w:t>7</w:t>
      </w:r>
      <w:r w:rsidRPr="008B1BFE">
        <w:t xml:space="preserve"> Biennium</w:t>
      </w:r>
      <w:r>
        <w:t xml:space="preserve"> will be to develop a policy on facilitating applications through the development of an electronic application system and facilitating cooperation in the examination of varieties.  Statistics on applications and grants of plant breeders’ rights are a key performance indicator of the </w:t>
      </w:r>
      <w:r w:rsidRPr="00414477">
        <w:t>effectiveness of the UPOV System</w:t>
      </w:r>
      <w:r>
        <w:t xml:space="preserve">.  For the </w:t>
      </w:r>
      <w:r w:rsidRPr="008211E4">
        <w:t>201</w:t>
      </w:r>
      <w:r>
        <w:t>6­2017</w:t>
      </w:r>
      <w:r w:rsidRPr="008211E4">
        <w:t xml:space="preserve"> Biennium</w:t>
      </w:r>
      <w:r>
        <w:t xml:space="preserve">, statistics by crop type (agriculture, fruit, ornamentals, vegetables and forest trees) are planned to be available as a result of allocation of crop type(s) for UPOV codes (see Sub-program UV.2).    </w:t>
      </w:r>
    </w:p>
    <w:p w:rsidR="003117C2" w:rsidRDefault="003117C2" w:rsidP="003117C2">
      <w:pPr>
        <w:tabs>
          <w:tab w:val="left" w:pos="567"/>
        </w:tabs>
      </w:pPr>
    </w:p>
    <w:p w:rsidR="003117C2" w:rsidRDefault="003117C2" w:rsidP="003117C2">
      <w:pPr>
        <w:tabs>
          <w:tab w:val="left" w:pos="567"/>
        </w:tabs>
      </w:pPr>
      <w:r w:rsidRPr="006B18C0">
        <w:t>2.1.2.4</w:t>
      </w:r>
      <w:r w:rsidRPr="006B18C0">
        <w:tab/>
        <w:t>There will be a need to monitor developments concerning the measures to provide training and assistance in the introduction and implementation of the UPOV system, as agreed in the Program and Budget for the 2016­2017 Biennium.</w:t>
      </w:r>
    </w:p>
    <w:p w:rsidR="003117C2" w:rsidRDefault="003117C2" w:rsidP="003117C2">
      <w:pPr>
        <w:tabs>
          <w:tab w:val="left" w:pos="567"/>
        </w:tabs>
      </w:pPr>
    </w:p>
    <w:p w:rsidR="003117C2" w:rsidRDefault="003117C2" w:rsidP="003117C2">
      <w:pPr>
        <w:tabs>
          <w:tab w:val="left" w:pos="567"/>
        </w:tabs>
      </w:pPr>
      <w:r>
        <w:t>2.1.2.5</w:t>
      </w:r>
      <w:r>
        <w:tab/>
        <w:t xml:space="preserve">The implementation of the communication strategy agreed by the Consultative Committee will continue to be monitored with the aim of improving the level of understanding of the UPOV system.  Policy direction on inter-relations with other organizations will continue to be an important objective in the </w:t>
      </w:r>
      <w:r w:rsidRPr="008B1BFE">
        <w:t>201</w:t>
      </w:r>
      <w:r>
        <w:t>6</w:t>
      </w:r>
      <w:r w:rsidRPr="008B1BFE">
        <w:t>­201</w:t>
      </w:r>
      <w:r>
        <w:t>7</w:t>
      </w:r>
      <w:r w:rsidRPr="008B1BFE">
        <w:t xml:space="preserve"> Biennium</w:t>
      </w:r>
      <w:r>
        <w:t xml:space="preserve"> (see Sub program UV.4).   </w:t>
      </w:r>
    </w:p>
    <w:p w:rsidR="003117C2" w:rsidRDefault="003117C2" w:rsidP="003117C2">
      <w:pPr>
        <w:tabs>
          <w:tab w:val="left" w:pos="567"/>
        </w:tabs>
      </w:pPr>
    </w:p>
    <w:p w:rsidR="003117C2" w:rsidRPr="00DD6106" w:rsidRDefault="003117C2" w:rsidP="00311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3117C2" w:rsidRPr="00DD6106" w:rsidRDefault="003117C2" w:rsidP="00311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3117C2" w:rsidRPr="00DD6106" w:rsidRDefault="003117C2" w:rsidP="00311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3117C2" w:rsidRPr="00DD6106" w:rsidRDefault="003117C2" w:rsidP="003117C2">
      <w:pPr>
        <w:spacing w:after="120"/>
        <w:ind w:left="1276" w:hanging="709"/>
      </w:pPr>
      <w:r w:rsidRPr="00DD6106">
        <w:t>(</w:t>
      </w:r>
      <w:proofErr w:type="spellStart"/>
      <w:r w:rsidRPr="00DD6106">
        <w:t>i</w:t>
      </w:r>
      <w:proofErr w:type="spellEnd"/>
      <w:r w:rsidRPr="00DD6106">
        <w:t>)</w:t>
      </w:r>
      <w:r w:rsidRPr="00DD6106">
        <w:tab/>
        <w:t>Four sessions of the Council and four sessions of the Consultative Committee.</w:t>
      </w:r>
    </w:p>
    <w:p w:rsidR="003117C2" w:rsidRPr="00DD6106" w:rsidRDefault="003117C2" w:rsidP="003117C2">
      <w:pPr>
        <w:spacing w:after="120"/>
        <w:ind w:left="1276" w:hanging="709"/>
      </w:pPr>
      <w:r w:rsidRPr="00DD6106">
        <w:t>(ii)</w:t>
      </w:r>
      <w:r>
        <w:tab/>
      </w:r>
      <w:r w:rsidRPr="00DD6106">
        <w:t xml:space="preserve">Coordination, monitoring and performance assessment of the Program and Budget for the </w:t>
      </w:r>
      <w:r w:rsidRPr="008B1BFE">
        <w:t>201</w:t>
      </w:r>
      <w:r>
        <w:t>6</w:t>
      </w:r>
      <w:r w:rsidRPr="008B1BFE">
        <w:t>­201</w:t>
      </w:r>
      <w:r>
        <w:t>7</w:t>
      </w:r>
      <w:r w:rsidRPr="008B1BFE">
        <w:t xml:space="preserve"> Biennium</w:t>
      </w:r>
      <w:r w:rsidRPr="00DD6106">
        <w:t>.</w:t>
      </w:r>
    </w:p>
    <w:p w:rsidR="003117C2" w:rsidRDefault="003117C2" w:rsidP="003117C2">
      <w:pPr>
        <w:spacing w:after="120"/>
        <w:ind w:left="1276" w:hanging="709"/>
      </w:pPr>
      <w:r w:rsidRPr="00DD6106">
        <w:t>(iii)</w:t>
      </w:r>
      <w:r w:rsidRPr="00DD6106">
        <w:tab/>
        <w:t xml:space="preserve">Preparation and adoption of the Program and Budget for the </w:t>
      </w:r>
      <w:r>
        <w:rPr>
          <w:color w:val="000000"/>
        </w:rPr>
        <w:t>2018</w:t>
      </w:r>
      <w:r>
        <w:rPr>
          <w:color w:val="000000"/>
        </w:rPr>
        <w:noBreakHyphen/>
        <w:t>2019</w:t>
      </w:r>
      <w:r w:rsidRPr="00DD6106">
        <w:rPr>
          <w:color w:val="000000"/>
        </w:rPr>
        <w:t xml:space="preserve"> Biennium</w:t>
      </w:r>
      <w:r w:rsidRPr="00DD6106">
        <w:t>.</w:t>
      </w:r>
    </w:p>
    <w:p w:rsidR="003117C2" w:rsidRDefault="003117C2" w:rsidP="003117C2">
      <w:pPr>
        <w:jc w:val="left"/>
      </w:pPr>
    </w:p>
    <w:p w:rsidR="003117C2" w:rsidRPr="00DD6106" w:rsidRDefault="003117C2" w:rsidP="003117C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2.1.4</w:t>
      </w:r>
      <w:r w:rsidRPr="00DD6106">
        <w:rPr>
          <w:b/>
        </w:rPr>
        <w:tab/>
        <w:t>Expected Results and Performance Indicators</w:t>
      </w:r>
    </w:p>
    <w:p w:rsidR="003117C2" w:rsidRPr="00DD6106" w:rsidRDefault="003117C2" w:rsidP="003117C2">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center"/>
              <w:rPr>
                <w:rFonts w:cs="Arial"/>
                <w:color w:val="000000"/>
                <w:u w:val="single"/>
              </w:rPr>
            </w:pPr>
            <w:r w:rsidRPr="00616FB8">
              <w:rPr>
                <w:rFonts w:cs="Arial"/>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center"/>
              <w:rPr>
                <w:rFonts w:cs="Arial"/>
                <w:color w:val="000000"/>
                <w:u w:val="single"/>
              </w:rPr>
            </w:pPr>
            <w:r w:rsidRPr="00616FB8">
              <w:rPr>
                <w:rFonts w:cs="Arial"/>
                <w:color w:val="000000"/>
                <w:u w:val="single"/>
              </w:rPr>
              <w:t>Performance Indicators</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1.</w:t>
            </w:r>
            <w:r w:rsidRPr="00616FB8">
              <w:rPr>
                <w:rFonts w:cs="Arial"/>
                <w:color w:val="000000"/>
              </w:rPr>
              <w:tab/>
              <w:t>Organization of Council and Consultative Committee sessions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(a)</w:t>
            </w:r>
            <w:r w:rsidRPr="00616FB8">
              <w:rPr>
                <w:rFonts w:cs="Arial"/>
                <w:color w:val="000000"/>
              </w:rPr>
              <w:tab/>
              <w:t>participation in the sessions of the Council and the Consultative Committee.</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2.</w:t>
            </w:r>
            <w:r w:rsidRPr="00616FB8">
              <w:rPr>
                <w:rFonts w:cs="Arial"/>
                <w:color w:val="000000"/>
              </w:rPr>
              <w:tab/>
              <w:t>Organize and monitor the work of UPOV committees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 xml:space="preserve">approve and monitor the work programs of the CAJ, TC, TWPs and </w:t>
            </w:r>
            <w:r w:rsidRPr="00616FB8">
              <w:rPr>
                <w:rFonts w:cs="Arial"/>
                <w:i/>
                <w:color w:val="000000"/>
              </w:rPr>
              <w:t>ad hoc</w:t>
            </w:r>
            <w:r w:rsidRPr="00616FB8">
              <w:rPr>
                <w:rFonts w:cs="Arial"/>
                <w:color w:val="000000"/>
              </w:rPr>
              <w:t xml:space="preserve"> working groups; </w:t>
            </w:r>
          </w:p>
          <w:p w:rsidR="003117C2" w:rsidRPr="00BE1EDE" w:rsidRDefault="00DC5E39" w:rsidP="00DC5E39">
            <w:pPr>
              <w:keepNext/>
              <w:spacing w:after="40"/>
              <w:ind w:left="397" w:hanging="397"/>
              <w:jc w:val="left"/>
              <w:rPr>
                <w:rFonts w:cs="Arial"/>
                <w:color w:val="000000"/>
              </w:rPr>
            </w:pPr>
            <w:r>
              <w:rPr>
                <w:rFonts w:cs="Arial"/>
                <w:color w:val="000000"/>
              </w:rPr>
              <w:t>(b)</w:t>
            </w:r>
            <w:r>
              <w:rPr>
                <w:rFonts w:cs="Arial"/>
                <w:color w:val="000000"/>
              </w:rPr>
              <w:tab/>
              <w:t>e</w:t>
            </w:r>
            <w:r w:rsidR="003117C2" w:rsidRPr="00BE1EDE">
              <w:rPr>
                <w:rFonts w:cs="Arial"/>
                <w:color w:val="000000"/>
              </w:rPr>
              <w:t xml:space="preserve">lect Chairs of the CAJ, TC, TWPs and </w:t>
            </w:r>
            <w:r w:rsidR="003117C2" w:rsidRPr="00BE1EDE">
              <w:rPr>
                <w:rFonts w:cs="Arial"/>
                <w:i/>
                <w:color w:val="000000"/>
              </w:rPr>
              <w:t>ad hoc</w:t>
            </w:r>
            <w:r w:rsidR="003117C2" w:rsidRPr="00BE1EDE">
              <w:rPr>
                <w:rFonts w:cs="Arial"/>
                <w:color w:val="000000"/>
              </w:rPr>
              <w:t xml:space="preserve"> working groups and Vice Chairs of the CAJ and TC; and  </w:t>
            </w:r>
          </w:p>
          <w:p w:rsidR="003117C2" w:rsidRPr="00616FB8" w:rsidRDefault="003117C2" w:rsidP="00DC5E39">
            <w:pPr>
              <w:keepNext/>
              <w:ind w:left="397" w:hanging="397"/>
              <w:jc w:val="left"/>
              <w:rPr>
                <w:rFonts w:cs="Arial"/>
                <w:color w:val="000000"/>
              </w:rPr>
            </w:pPr>
            <w:r w:rsidRPr="00616FB8">
              <w:rPr>
                <w:rFonts w:cs="Arial"/>
                <w:color w:val="000000"/>
              </w:rPr>
              <w:t>(c)</w:t>
            </w:r>
            <w:r w:rsidRPr="00616FB8">
              <w:rPr>
                <w:rFonts w:cs="Arial"/>
                <w:color w:val="000000"/>
              </w:rPr>
              <w:tab/>
              <w:t xml:space="preserve">approve the annual calendars of meetings. </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3.</w:t>
            </w:r>
            <w:r w:rsidRPr="00616FB8">
              <w:rPr>
                <w:rFonts w:cs="Arial"/>
                <w:color w:val="000000"/>
              </w:rPr>
              <w:tab/>
            </w:r>
            <w:r w:rsidRPr="00616FB8">
              <w:rPr>
                <w:rFonts w:cs="Arial"/>
              </w:rPr>
              <w:t>Coordination, monitoring and performance assessment</w:t>
            </w:r>
            <w:r w:rsidRPr="00616FB8">
              <w:rPr>
                <w:rFonts w:cs="Arial"/>
                <w:color w:val="000000"/>
              </w:rPr>
              <w:t xml:space="preserve"> of </w:t>
            </w:r>
            <w:r w:rsidRPr="00616FB8">
              <w:rPr>
                <w:rFonts w:cs="Arial"/>
              </w:rPr>
              <w:t xml:space="preserve">Program and Budget for the </w:t>
            </w:r>
            <w:r w:rsidRPr="00616FB8">
              <w:rPr>
                <w:rFonts w:cs="Arial"/>
                <w:snapToGrid w:val="0"/>
              </w:rPr>
              <w:t>2016­2017</w:t>
            </w:r>
            <w:r w:rsidRPr="00616FB8">
              <w:rPr>
                <w:rFonts w:cs="Arial"/>
              </w:rPr>
              <w:t xml:space="preserve"> Biennium</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(a)</w:t>
            </w:r>
            <w:r w:rsidRPr="00616FB8">
              <w:rPr>
                <w:rFonts w:cs="Arial"/>
                <w:color w:val="000000"/>
              </w:rPr>
              <w:tab/>
              <w:t xml:space="preserve">delivery of program within budget for the </w:t>
            </w:r>
            <w:r w:rsidRPr="00616FB8">
              <w:rPr>
                <w:rFonts w:cs="Arial"/>
                <w:snapToGrid w:val="0"/>
              </w:rPr>
              <w:t>2016­2017</w:t>
            </w:r>
            <w:r w:rsidRPr="00616FB8">
              <w:rPr>
                <w:rFonts w:cs="Arial"/>
              </w:rPr>
              <w:t xml:space="preserve"> </w:t>
            </w:r>
            <w:r w:rsidRPr="00616FB8">
              <w:rPr>
                <w:rFonts w:cs="Arial"/>
                <w:color w:val="000000"/>
              </w:rPr>
              <w:t>Biennium;</w:t>
            </w:r>
          </w:p>
          <w:p w:rsidR="003117C2" w:rsidRPr="00616FB8" w:rsidRDefault="003117C2" w:rsidP="00DC5E39">
            <w:pPr>
              <w:keepNext/>
              <w:ind w:left="397" w:hanging="397"/>
              <w:jc w:val="left"/>
              <w:rPr>
                <w:rFonts w:cs="Arial"/>
                <w:color w:val="000000"/>
              </w:rPr>
            </w:pPr>
            <w:r w:rsidRPr="00616FB8">
              <w:rPr>
                <w:rFonts w:cs="Arial"/>
                <w:color w:val="000000"/>
              </w:rPr>
              <w:t>(b)</w:t>
            </w:r>
            <w:r w:rsidRPr="00616FB8">
              <w:rPr>
                <w:rFonts w:cs="Arial"/>
                <w:color w:val="000000"/>
              </w:rPr>
              <w:tab/>
              <w:t>approve the financial statements; and</w:t>
            </w:r>
          </w:p>
          <w:p w:rsidR="003117C2" w:rsidRPr="00616FB8" w:rsidRDefault="003117C2" w:rsidP="00DC5E39">
            <w:pPr>
              <w:keepNext/>
              <w:ind w:left="397" w:hanging="397"/>
              <w:jc w:val="left"/>
              <w:rPr>
                <w:rFonts w:cs="Arial"/>
                <w:color w:val="000000"/>
              </w:rPr>
            </w:pPr>
            <w:r w:rsidRPr="00616FB8">
              <w:rPr>
                <w:rFonts w:cs="Arial"/>
                <w:color w:val="000000"/>
              </w:rPr>
              <w:t>(c)</w:t>
            </w:r>
            <w:r w:rsidRPr="00616FB8">
              <w:rPr>
                <w:rFonts w:cs="Arial"/>
                <w:color w:val="000000"/>
              </w:rPr>
              <w:tab/>
              <w:t>approve the financial management report.</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4.</w:t>
            </w:r>
            <w:r w:rsidRPr="00616FB8">
              <w:rPr>
                <w:rFonts w:cs="Arial"/>
              </w:rPr>
              <w:t xml:space="preserve"> </w:t>
            </w:r>
            <w:r w:rsidRPr="00616FB8">
              <w:rPr>
                <w:rFonts w:cs="Arial"/>
              </w:rPr>
              <w:tab/>
              <w:t xml:space="preserve">Preparation and adoption of the Program and Budget for the </w:t>
            </w:r>
            <w:r w:rsidRPr="00616FB8">
              <w:rPr>
                <w:rFonts w:cs="Arial"/>
                <w:color w:val="000000"/>
              </w:rPr>
              <w:t>2018</w:t>
            </w:r>
            <w:r w:rsidRPr="00616FB8">
              <w:rPr>
                <w:rFonts w:cs="Arial"/>
                <w:color w:val="000000"/>
              </w:rPr>
              <w:noBreakHyphen/>
              <w:t xml:space="preserve">2019 </w:t>
            </w:r>
            <w:r w:rsidRPr="00616FB8">
              <w:rPr>
                <w:rFonts w:cs="Arial"/>
              </w:rPr>
              <w:t>Biennium</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(a)</w:t>
            </w:r>
            <w:r w:rsidRPr="00616FB8">
              <w:rPr>
                <w:rFonts w:cs="Arial"/>
                <w:color w:val="000000"/>
              </w:rPr>
              <w:tab/>
              <w:t>preparation and adoption of the Program and Budget for the 2018</w:t>
            </w:r>
            <w:r w:rsidRPr="00616FB8">
              <w:rPr>
                <w:rFonts w:cs="Arial"/>
                <w:color w:val="000000"/>
              </w:rPr>
              <w:noBreakHyphen/>
              <w:t>2019 Biennium in accordance with the “Financial Regulations and Rules of UPOV”.</w:t>
            </w:r>
          </w:p>
        </w:tc>
      </w:tr>
      <w:tr w:rsidR="003117C2" w:rsidRPr="00BE1EDE"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ind w:left="397" w:hanging="397"/>
              <w:jc w:val="left"/>
              <w:rPr>
                <w:rFonts w:cs="Arial"/>
                <w:color w:val="000000"/>
              </w:rPr>
            </w:pPr>
            <w:r w:rsidRPr="00616FB8">
              <w:rPr>
                <w:rFonts w:cs="Arial"/>
                <w:color w:val="000000"/>
              </w:rPr>
              <w:t>5.</w:t>
            </w:r>
            <w:r w:rsidRPr="00616FB8">
              <w:rPr>
                <w:rFonts w:cs="Arial"/>
                <w:color w:val="000000"/>
              </w:rPr>
              <w:tab/>
              <w:t>Examination of the conformity of laws, or draft laws, with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3117C2" w:rsidRPr="00BE1EDE" w:rsidRDefault="003117C2" w:rsidP="00DC5E39">
            <w:pPr>
              <w:keepNext/>
              <w:spacing w:after="40"/>
              <w:ind w:left="397" w:hanging="397"/>
              <w:jc w:val="left"/>
              <w:rPr>
                <w:rFonts w:cs="Arial"/>
                <w:color w:val="000000"/>
              </w:rPr>
            </w:pPr>
            <w:r w:rsidRPr="00BE1EDE">
              <w:rPr>
                <w:rFonts w:cs="Arial"/>
                <w:color w:val="000000"/>
              </w:rPr>
              <w:t>(a)</w:t>
            </w:r>
            <w:r w:rsidRPr="00BE1EDE">
              <w:rPr>
                <w:rFonts w:cs="Arial"/>
                <w:color w:val="000000"/>
              </w:rPr>
              <w:tab/>
              <w:t>recommendations by the Consultative Committee; and</w:t>
            </w:r>
          </w:p>
          <w:p w:rsidR="003117C2" w:rsidRPr="00BE1EDE" w:rsidRDefault="003117C2" w:rsidP="00DC5E39">
            <w:pPr>
              <w:keepNext/>
              <w:ind w:left="397" w:hanging="397"/>
              <w:jc w:val="left"/>
              <w:rPr>
                <w:rFonts w:cs="Arial"/>
                <w:color w:val="000000"/>
              </w:rPr>
            </w:pPr>
            <w:r w:rsidRPr="00BE1EDE">
              <w:rPr>
                <w:rFonts w:cs="Arial"/>
                <w:color w:val="000000"/>
              </w:rPr>
              <w:t>(b)</w:t>
            </w:r>
            <w:r w:rsidRPr="00BE1EDE">
              <w:rPr>
                <w:rFonts w:cs="Arial"/>
                <w:color w:val="000000"/>
              </w:rPr>
              <w:tab/>
              <w:t>decisions by the Council.</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Lines/>
              <w:ind w:left="397" w:hanging="397"/>
              <w:jc w:val="left"/>
              <w:rPr>
                <w:rFonts w:cs="Arial"/>
                <w:color w:val="000000"/>
              </w:rPr>
            </w:pPr>
            <w:r w:rsidRPr="00616FB8">
              <w:rPr>
                <w:rFonts w:cs="Arial"/>
                <w:color w:val="000000"/>
              </w:rPr>
              <w:t>6.</w:t>
            </w:r>
            <w:r w:rsidRPr="00616FB8">
              <w:rPr>
                <w:rFonts w:cs="Arial"/>
                <w:color w:val="000000"/>
              </w:rPr>
              <w:tab/>
              <w:t xml:space="preserve">Review of developments concerning applications and grants of plant breeders’ rights </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number of applications;</w:t>
            </w:r>
          </w:p>
          <w:p w:rsidR="003117C2" w:rsidRPr="00616FB8" w:rsidRDefault="003117C2" w:rsidP="00DC5E39">
            <w:pPr>
              <w:keepNext/>
              <w:spacing w:after="40"/>
              <w:ind w:left="397" w:hanging="397"/>
              <w:jc w:val="left"/>
              <w:rPr>
                <w:rFonts w:cs="Arial"/>
                <w:color w:val="000000"/>
              </w:rPr>
            </w:pPr>
            <w:r w:rsidRPr="00616FB8">
              <w:rPr>
                <w:rFonts w:cs="Arial"/>
                <w:color w:val="000000"/>
              </w:rPr>
              <w:t>(b)</w:t>
            </w:r>
            <w:r w:rsidRPr="00616FB8">
              <w:rPr>
                <w:rFonts w:cs="Arial"/>
                <w:color w:val="000000"/>
              </w:rPr>
              <w:tab/>
              <w:t>number of titles granted;</w:t>
            </w:r>
          </w:p>
          <w:p w:rsidR="003117C2" w:rsidRPr="00616FB8" w:rsidRDefault="003117C2" w:rsidP="00DC5E39">
            <w:pPr>
              <w:keepNext/>
              <w:spacing w:after="40"/>
              <w:ind w:left="397" w:hanging="397"/>
              <w:jc w:val="left"/>
              <w:rPr>
                <w:rFonts w:cs="Arial"/>
                <w:color w:val="000000"/>
              </w:rPr>
            </w:pPr>
            <w:r w:rsidRPr="00616FB8">
              <w:rPr>
                <w:rFonts w:cs="Arial"/>
                <w:color w:val="000000"/>
              </w:rPr>
              <w:t>(c)</w:t>
            </w:r>
            <w:r w:rsidRPr="00616FB8">
              <w:rPr>
                <w:rFonts w:cs="Arial"/>
                <w:color w:val="000000"/>
              </w:rPr>
              <w:tab/>
              <w:t>number of titles in force;</w:t>
            </w:r>
          </w:p>
          <w:p w:rsidR="003117C2" w:rsidRPr="00616FB8" w:rsidRDefault="003117C2" w:rsidP="00DC5E39">
            <w:pPr>
              <w:keepNext/>
              <w:spacing w:after="40"/>
              <w:ind w:left="397" w:hanging="397"/>
              <w:jc w:val="left"/>
              <w:rPr>
                <w:rFonts w:cs="Arial"/>
                <w:color w:val="000000"/>
              </w:rPr>
            </w:pPr>
            <w:r w:rsidRPr="00616FB8">
              <w:rPr>
                <w:rFonts w:cs="Arial"/>
                <w:color w:val="000000"/>
              </w:rPr>
              <w:t>(d)</w:t>
            </w:r>
            <w:r w:rsidRPr="00616FB8">
              <w:rPr>
                <w:rFonts w:cs="Arial"/>
                <w:color w:val="000000"/>
              </w:rPr>
              <w:tab/>
              <w:t>number of genera/species protected by members of the Union;</w:t>
            </w:r>
          </w:p>
          <w:p w:rsidR="003117C2" w:rsidRPr="00616FB8" w:rsidRDefault="003117C2" w:rsidP="00DC5E39">
            <w:pPr>
              <w:keepNext/>
              <w:spacing w:after="40"/>
              <w:ind w:left="397" w:hanging="397"/>
              <w:jc w:val="left"/>
              <w:rPr>
                <w:rFonts w:cs="Arial"/>
                <w:color w:val="000000"/>
              </w:rPr>
            </w:pPr>
            <w:r w:rsidRPr="00616FB8">
              <w:rPr>
                <w:rFonts w:cs="Arial"/>
                <w:color w:val="000000"/>
              </w:rPr>
              <w:t>(e)</w:t>
            </w:r>
            <w:r w:rsidRPr="00616FB8">
              <w:rPr>
                <w:rFonts w:cs="Arial"/>
                <w:color w:val="000000"/>
              </w:rPr>
              <w:tab/>
              <w:t xml:space="preserve">number of genera/species for which varieties have been protected; </w:t>
            </w:r>
            <w:r w:rsidR="003B7CA8" w:rsidRPr="00616FB8">
              <w:rPr>
                <w:rFonts w:cs="Arial"/>
                <w:color w:val="000000"/>
              </w:rPr>
              <w:t>and</w:t>
            </w:r>
          </w:p>
          <w:p w:rsidR="003117C2" w:rsidRPr="00616FB8" w:rsidRDefault="003117C2" w:rsidP="003B7CA8">
            <w:pPr>
              <w:keepLines/>
              <w:ind w:left="397" w:hanging="397"/>
              <w:jc w:val="left"/>
              <w:rPr>
                <w:rFonts w:cs="Arial"/>
                <w:color w:val="000000"/>
              </w:rPr>
            </w:pPr>
            <w:r w:rsidRPr="00616FB8">
              <w:rPr>
                <w:rFonts w:cs="Arial"/>
                <w:color w:val="000000"/>
              </w:rPr>
              <w:t>(f)</w:t>
            </w:r>
            <w:r w:rsidRPr="00616FB8">
              <w:rPr>
                <w:rFonts w:cs="Arial"/>
                <w:color w:val="000000"/>
              </w:rPr>
              <w:tab/>
              <w:t>analysis by crop type.</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ind w:left="397" w:hanging="397"/>
              <w:jc w:val="left"/>
              <w:rPr>
                <w:rFonts w:cs="Arial"/>
                <w:color w:val="000000"/>
              </w:rPr>
            </w:pPr>
            <w:r w:rsidRPr="00616FB8">
              <w:rPr>
                <w:rFonts w:cs="Arial"/>
                <w:color w:val="000000"/>
              </w:rPr>
              <w:t>7.</w:t>
            </w:r>
            <w:r w:rsidRPr="00616FB8">
              <w:rPr>
                <w:rFonts w:cs="Arial"/>
                <w:color w:val="000000"/>
              </w:rPr>
              <w:tab/>
              <w:t xml:space="preserve">Policy on </w:t>
            </w:r>
            <w:r w:rsidRPr="00616FB8">
              <w:rPr>
                <w:rFonts w:cs="Arial"/>
              </w:rPr>
              <w:t>facilitating applications through the development of an electronic application system and enhancing cooperation in the examination of varieties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3117C2" w:rsidRPr="00616FB8" w:rsidRDefault="003117C2" w:rsidP="00DC5E39">
            <w:pPr>
              <w:keepNext/>
              <w:spacing w:after="40"/>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3117C2" w:rsidRPr="00616FB8" w:rsidRDefault="003117C2" w:rsidP="00DC5E39">
            <w:pPr>
              <w:ind w:left="397" w:hanging="397"/>
              <w:jc w:val="left"/>
              <w:rPr>
                <w:rFonts w:cs="Arial"/>
                <w:color w:val="000000"/>
              </w:rPr>
            </w:pPr>
            <w:r w:rsidRPr="00616FB8">
              <w:rPr>
                <w:rFonts w:cs="Arial"/>
                <w:color w:val="000000"/>
              </w:rPr>
              <w:t>(c)</w:t>
            </w:r>
            <w:r w:rsidRPr="00616FB8">
              <w:rPr>
                <w:rFonts w:cs="Arial"/>
                <w:color w:val="000000"/>
              </w:rPr>
              <w:tab/>
              <w:t>cooperation between members of the Union in the examination of varieties.</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ind w:left="397" w:hanging="397"/>
              <w:jc w:val="left"/>
              <w:rPr>
                <w:rFonts w:cs="Arial"/>
                <w:color w:val="000000"/>
              </w:rPr>
            </w:pPr>
            <w:r w:rsidRPr="00616FB8">
              <w:rPr>
                <w:rFonts w:cs="Arial"/>
                <w:color w:val="000000"/>
              </w:rPr>
              <w:t>8.</w:t>
            </w:r>
            <w:r w:rsidRPr="00616FB8">
              <w:rPr>
                <w:rFonts w:cs="Arial"/>
                <w:color w:val="000000"/>
              </w:rPr>
              <w:tab/>
              <w:t>Monitoring of measures to provide training and</w:t>
            </w:r>
            <w:r>
              <w:rPr>
                <w:rFonts w:cs="Arial"/>
                <w:color w:val="000000"/>
              </w:rPr>
              <w:t> </w:t>
            </w:r>
            <w:r w:rsidRPr="00616FB8">
              <w:rPr>
                <w:rFonts w:cs="Arial"/>
                <w:color w:val="000000"/>
              </w:rPr>
              <w:t>assistance in the introduction and implementation of the UPOV system</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w:t>
            </w:r>
          </w:p>
          <w:p w:rsidR="003117C2" w:rsidRPr="00616FB8" w:rsidRDefault="003117C2" w:rsidP="00DC5E39">
            <w:pPr>
              <w:keepNext/>
              <w:spacing w:after="40"/>
              <w:ind w:left="397" w:hanging="397"/>
              <w:jc w:val="left"/>
              <w:rPr>
                <w:rFonts w:cs="Arial"/>
                <w:color w:val="000000"/>
              </w:rPr>
            </w:pPr>
            <w:r w:rsidRPr="00616FB8">
              <w:rPr>
                <w:rFonts w:cs="Arial"/>
                <w:color w:val="000000"/>
              </w:rPr>
              <w:t>(b)</w:t>
            </w:r>
            <w:r w:rsidRPr="00616FB8">
              <w:rPr>
                <w:rFonts w:cs="Arial"/>
                <w:color w:val="000000"/>
              </w:rPr>
              <w:tab/>
              <w:t>States that accede to or ratify the 1991 Act of the UPOV Convention; States and organizations that become members of the Union; and number of genera and species protected by members of the Union; and</w:t>
            </w:r>
          </w:p>
          <w:p w:rsidR="003117C2" w:rsidRPr="00616FB8" w:rsidRDefault="003117C2" w:rsidP="00DC5E39">
            <w:pPr>
              <w:ind w:left="397" w:hanging="397"/>
              <w:jc w:val="left"/>
              <w:rPr>
                <w:rFonts w:cs="Arial"/>
                <w:color w:val="000000"/>
              </w:rPr>
            </w:pPr>
            <w:r w:rsidRPr="00616FB8">
              <w:rPr>
                <w:rFonts w:cs="Arial"/>
                <w:color w:val="000000"/>
              </w:rPr>
              <w:t>(</w:t>
            </w:r>
            <w:r w:rsidRPr="00BE1EDE">
              <w:rPr>
                <w:rFonts w:cs="Arial"/>
                <w:color w:val="000000"/>
                <w:spacing w:val="-2"/>
              </w:rPr>
              <w:t>c)</w:t>
            </w:r>
            <w:r w:rsidRPr="00BE1EDE">
              <w:rPr>
                <w:rFonts w:cs="Arial"/>
                <w:color w:val="000000"/>
                <w:spacing w:val="-2"/>
              </w:rPr>
              <w:tab/>
              <w:t>measures to provide training and assistance in the introduction and implementation of the UPOV system.</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ind w:left="397" w:hanging="397"/>
              <w:jc w:val="left"/>
              <w:rPr>
                <w:rFonts w:cs="Arial"/>
                <w:color w:val="000000"/>
              </w:rPr>
            </w:pPr>
            <w:r w:rsidRPr="00616FB8">
              <w:rPr>
                <w:rFonts w:cs="Arial"/>
                <w:color w:val="000000"/>
              </w:rPr>
              <w:t>9.</w:t>
            </w:r>
            <w:r w:rsidRPr="00616FB8">
              <w:rPr>
                <w:rFonts w:cs="Arial"/>
                <w:color w:val="000000"/>
              </w:rPr>
              <w:tab/>
              <w:t>Monitoring the implementation of the communication strategy</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 and</w:t>
            </w:r>
          </w:p>
          <w:p w:rsidR="003117C2" w:rsidRPr="00616FB8" w:rsidRDefault="003117C2" w:rsidP="00DC5E39">
            <w:pPr>
              <w:ind w:left="397" w:hanging="397"/>
              <w:jc w:val="left"/>
              <w:rPr>
                <w:rFonts w:cs="Arial"/>
                <w:color w:val="000000"/>
              </w:rPr>
            </w:pPr>
            <w:r w:rsidRPr="00616FB8">
              <w:rPr>
                <w:rFonts w:cs="Arial"/>
                <w:color w:val="000000"/>
              </w:rPr>
              <w:t>(b)</w:t>
            </w:r>
            <w:r w:rsidRPr="00616FB8">
              <w:rPr>
                <w:rFonts w:cs="Arial"/>
                <w:color w:val="000000"/>
              </w:rPr>
              <w:tab/>
              <w:t xml:space="preserve">recommendations by the Consultative Committee on the communication strategy. </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Lines/>
              <w:ind w:left="397" w:hanging="397"/>
              <w:jc w:val="left"/>
              <w:rPr>
                <w:rFonts w:cs="Arial"/>
                <w:color w:val="000000"/>
              </w:rPr>
            </w:pPr>
            <w:r w:rsidRPr="00616FB8">
              <w:rPr>
                <w:rFonts w:cs="Arial"/>
              </w:rPr>
              <w:t>10.</w:t>
            </w:r>
            <w:r w:rsidRPr="00616FB8">
              <w:rPr>
                <w:rFonts w:cs="Arial"/>
              </w:rPr>
              <w:tab/>
              <w:t>Policy direction on inter-relations with other organizations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w:t>
            </w:r>
            <w:r w:rsidRPr="00BE1EDE">
              <w:rPr>
                <w:rFonts w:cs="Arial"/>
                <w:color w:val="000000"/>
                <w:spacing w:val="-2"/>
              </w:rPr>
              <w:t>a)</w:t>
            </w:r>
            <w:r w:rsidRPr="00BE1EDE">
              <w:rPr>
                <w:rFonts w:cs="Arial"/>
                <w:color w:val="000000"/>
                <w:spacing w:val="-2"/>
              </w:rPr>
              <w:tab/>
              <w:t>recommendations by the Consultative Committee; and</w:t>
            </w:r>
          </w:p>
          <w:p w:rsidR="003117C2" w:rsidRPr="00616FB8" w:rsidRDefault="003117C2" w:rsidP="00DC5E39">
            <w:pPr>
              <w:keepLines/>
              <w:ind w:left="397" w:hanging="397"/>
              <w:jc w:val="left"/>
              <w:rPr>
                <w:rFonts w:cs="Arial"/>
                <w:color w:val="000000"/>
              </w:rPr>
            </w:pPr>
            <w:r w:rsidRPr="00616FB8">
              <w:rPr>
                <w:rFonts w:cs="Arial"/>
                <w:color w:val="000000"/>
              </w:rPr>
              <w:t>(b)</w:t>
            </w:r>
            <w:r w:rsidRPr="00616FB8">
              <w:rPr>
                <w:rFonts w:cs="Arial"/>
                <w:color w:val="000000"/>
              </w:rPr>
              <w:tab/>
              <w:t>decisions by the Council</w:t>
            </w:r>
          </w:p>
        </w:tc>
      </w:tr>
      <w:tr w:rsidR="003117C2" w:rsidRPr="00616FB8"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ind w:left="397" w:hanging="397"/>
              <w:jc w:val="left"/>
              <w:rPr>
                <w:rFonts w:cs="Arial"/>
                <w:color w:val="000000"/>
              </w:rPr>
            </w:pPr>
            <w:r w:rsidRPr="00616FB8">
              <w:rPr>
                <w:rFonts w:cs="Arial"/>
                <w:color w:val="000000"/>
              </w:rPr>
              <w:t>11.</w:t>
            </w:r>
            <w:r w:rsidRPr="00616FB8">
              <w:rPr>
                <w:rFonts w:cs="Arial"/>
                <w:color w:val="000000"/>
              </w:rPr>
              <w:tab/>
              <w:t>Policy on other matters</w:t>
            </w:r>
          </w:p>
        </w:tc>
        <w:tc>
          <w:tcPr>
            <w:tcW w:w="5246" w:type="dxa"/>
            <w:tcBorders>
              <w:top w:val="single" w:sz="4" w:space="0" w:color="000000"/>
              <w:left w:val="single" w:sz="4" w:space="0" w:color="000000"/>
              <w:bottom w:val="single" w:sz="4" w:space="0" w:color="000000"/>
              <w:right w:val="single" w:sz="4" w:space="0" w:color="000000"/>
            </w:tcBorders>
          </w:tcPr>
          <w:p w:rsidR="003117C2" w:rsidRPr="00616FB8" w:rsidRDefault="003117C2" w:rsidP="00DC5E39">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3117C2" w:rsidRPr="00616FB8" w:rsidRDefault="003117C2" w:rsidP="00DC5E39">
            <w:pPr>
              <w:keepNext/>
              <w:spacing w:after="40"/>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3117C2" w:rsidRPr="00616FB8" w:rsidRDefault="003117C2" w:rsidP="00DC5E39">
            <w:pPr>
              <w:ind w:left="397" w:hanging="397"/>
              <w:jc w:val="left"/>
              <w:rPr>
                <w:rFonts w:cs="Arial"/>
                <w:color w:val="000000"/>
              </w:rPr>
            </w:pPr>
            <w:r w:rsidRPr="00616FB8">
              <w:rPr>
                <w:rFonts w:cs="Arial"/>
                <w:color w:val="000000"/>
              </w:rPr>
              <w:t>(c)</w:t>
            </w:r>
            <w:r w:rsidRPr="00616FB8">
              <w:rPr>
                <w:rFonts w:cs="Arial"/>
                <w:color w:val="000000"/>
              </w:rPr>
              <w:tab/>
              <w:t>adoption of information and position papers by the Council.</w:t>
            </w:r>
          </w:p>
        </w:tc>
      </w:tr>
    </w:tbl>
    <w:p w:rsidR="003117C2" w:rsidRDefault="003117C2" w:rsidP="003117C2">
      <w:pPr>
        <w:jc w:val="left"/>
        <w:rPr>
          <w:b/>
        </w:rPr>
      </w:pPr>
      <w:r>
        <w:rPr>
          <w:b/>
        </w:rPr>
        <w:br w:type="page"/>
      </w:r>
    </w:p>
    <w:p w:rsidR="003117C2" w:rsidRPr="00DD6106" w:rsidRDefault="003117C2" w:rsidP="003117C2">
      <w:pPr>
        <w:keepNext/>
        <w:tabs>
          <w:tab w:val="left" w:pos="567"/>
        </w:tabs>
        <w:ind w:left="2835" w:hanging="2835"/>
        <w:rPr>
          <w:b/>
        </w:rPr>
      </w:pP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Services to the Union for Enhancin</w:t>
      </w:r>
      <w:r>
        <w:rPr>
          <w:b/>
          <w:u w:val="single"/>
        </w:rPr>
        <w:t>g the Effectiveness of the UPOV </w:t>
      </w:r>
      <w:r w:rsidRPr="00DD6106">
        <w:rPr>
          <w:b/>
          <w:u w:val="single"/>
        </w:rPr>
        <w:t>System</w:t>
      </w:r>
      <w:r w:rsidRPr="00DD6106">
        <w:rPr>
          <w:b/>
        </w:rPr>
        <w:t xml:space="preserve"> </w:t>
      </w:r>
    </w:p>
    <w:p w:rsidR="003117C2" w:rsidRPr="00DD6106" w:rsidRDefault="003117C2" w:rsidP="003117C2">
      <w:pPr>
        <w:keepNext/>
      </w:pPr>
    </w:p>
    <w:p w:rsidR="003117C2" w:rsidRPr="00DD6106" w:rsidRDefault="003117C2" w:rsidP="003117C2">
      <w:pPr>
        <w:keepNext/>
        <w:rPr>
          <w:b/>
        </w:rPr>
      </w:pPr>
      <w:r w:rsidRPr="00DD6106">
        <w:rPr>
          <w:b/>
        </w:rPr>
        <w:t>2.2.1</w:t>
      </w:r>
      <w:r w:rsidRPr="00DD6106">
        <w:rPr>
          <w:b/>
        </w:rPr>
        <w:tab/>
        <w:t>Objectives:</w:t>
      </w:r>
    </w:p>
    <w:p w:rsidR="003117C2" w:rsidRPr="00DD6106" w:rsidRDefault="003117C2" w:rsidP="003117C2">
      <w:pPr>
        <w:keepNext/>
        <w:ind w:left="142"/>
      </w:pPr>
    </w:p>
    <w:p w:rsidR="003117C2" w:rsidRPr="00DD6106" w:rsidRDefault="003117C2" w:rsidP="003117C2">
      <w:r w:rsidRPr="00DD6106">
        <w:tab/>
        <w:t>(a)</w:t>
      </w:r>
      <w:r w:rsidRPr="00DD6106">
        <w:tab/>
        <w:t>To maintain and improve the effectiveness of the UPOV syste</w:t>
      </w:r>
      <w:r w:rsidRPr="00616FB8">
        <w:t>m;</w:t>
      </w:r>
      <w:r w:rsidRPr="00DD6106">
        <w:t xml:space="preserve"> </w:t>
      </w:r>
    </w:p>
    <w:p w:rsidR="003117C2" w:rsidRPr="00DD6106" w:rsidRDefault="003117C2" w:rsidP="003117C2"/>
    <w:p w:rsidR="003117C2" w:rsidRPr="00DD6106" w:rsidRDefault="003117C2" w:rsidP="003117C2">
      <w:r w:rsidRPr="00DD6106">
        <w:tab/>
        <w:t>(b)</w:t>
      </w:r>
      <w:r w:rsidRPr="00DD6106">
        <w:tab/>
        <w:t>To provide and develop the legal, administrative and technical basis for international cooperation in plant variety protection according to the UPOV Convention.</w:t>
      </w:r>
    </w:p>
    <w:p w:rsidR="003117C2" w:rsidRDefault="003117C2" w:rsidP="003117C2">
      <w:pPr>
        <w:ind w:left="2410" w:hanging="2410"/>
      </w:pPr>
    </w:p>
    <w:p w:rsidR="003117C2" w:rsidRPr="00DD6106" w:rsidRDefault="003117C2" w:rsidP="003117C2">
      <w:pPr>
        <w:ind w:left="2410" w:hanging="2410"/>
      </w:pPr>
    </w:p>
    <w:p w:rsidR="003117C2" w:rsidRPr="00DD6106" w:rsidRDefault="003117C2" w:rsidP="003117C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3117C2" w:rsidRPr="00DD6106" w:rsidRDefault="003117C2" w:rsidP="003117C2"/>
    <w:p w:rsidR="003117C2" w:rsidRPr="006C19ED" w:rsidRDefault="003117C2" w:rsidP="003117C2">
      <w:pPr>
        <w:tabs>
          <w:tab w:val="left" w:pos="851"/>
        </w:tabs>
        <w:rPr>
          <w:color w:val="000000" w:themeColor="text1"/>
          <w:u w:val="single"/>
        </w:rPr>
      </w:pPr>
      <w:r w:rsidRPr="006C19ED">
        <w:rPr>
          <w:color w:val="000000" w:themeColor="text1"/>
          <w:u w:val="single"/>
        </w:rPr>
        <w:t>Introduction</w:t>
      </w:r>
    </w:p>
    <w:p w:rsidR="003117C2" w:rsidRDefault="003117C2" w:rsidP="003117C2">
      <w:pPr>
        <w:tabs>
          <w:tab w:val="left" w:pos="851"/>
        </w:tabs>
        <w:rPr>
          <w:color w:val="000000" w:themeColor="text1"/>
        </w:rPr>
      </w:pPr>
    </w:p>
    <w:p w:rsidR="003117C2" w:rsidRPr="00931087" w:rsidRDefault="003117C2" w:rsidP="003117C2">
      <w:pPr>
        <w:rPr>
          <w:color w:val="000000" w:themeColor="text1"/>
        </w:rPr>
      </w:pPr>
      <w:r w:rsidRPr="00931087">
        <w:rPr>
          <w:color w:val="000000" w:themeColor="text1"/>
        </w:rPr>
        <w:t>2.2.2.1</w:t>
      </w:r>
      <w:r w:rsidRPr="00931087">
        <w:rPr>
          <w:color w:val="000000" w:themeColor="text1"/>
        </w:rPr>
        <w:tab/>
        <w:t xml:space="preserve">This sub-program covers the provision of guidance, information and resources for the operation of the UPOV system of </w:t>
      </w:r>
      <w:r w:rsidRPr="00931087">
        <w:rPr>
          <w:snapToGrid w:val="0"/>
          <w:color w:val="000000" w:themeColor="text1"/>
        </w:rPr>
        <w:t>plant variety protection</w:t>
      </w:r>
      <w:r w:rsidRPr="00931087">
        <w:rPr>
          <w:color w:val="000000" w:themeColor="text1"/>
        </w:rPr>
        <w:t xml:space="preserve">, support for cooperation between members of the Union, the work of the relevant UPOV bodies and measures to facilitate applications for plant breeders’ rights.  </w:t>
      </w:r>
    </w:p>
    <w:p w:rsidR="003117C2" w:rsidRDefault="003117C2" w:rsidP="003117C2">
      <w:pPr>
        <w:tabs>
          <w:tab w:val="left" w:pos="567"/>
        </w:tabs>
        <w:rPr>
          <w:color w:val="000000" w:themeColor="text1"/>
        </w:rPr>
      </w:pPr>
    </w:p>
    <w:p w:rsidR="003117C2" w:rsidRDefault="003117C2" w:rsidP="003117C2">
      <w:pPr>
        <w:tabs>
          <w:tab w:val="left" w:pos="567"/>
        </w:tabs>
        <w:rPr>
          <w:color w:val="000000" w:themeColor="text1"/>
        </w:rPr>
      </w:pPr>
    </w:p>
    <w:p w:rsidR="003117C2" w:rsidRPr="00592C34" w:rsidRDefault="003117C2" w:rsidP="003117C2">
      <w:pPr>
        <w:tabs>
          <w:tab w:val="left" w:pos="851"/>
        </w:tabs>
        <w:rPr>
          <w:bCs/>
          <w:color w:val="000000" w:themeColor="text1"/>
          <w:szCs w:val="24"/>
          <w:u w:val="single"/>
        </w:rPr>
      </w:pPr>
      <w:r w:rsidRPr="00592C34">
        <w:rPr>
          <w:u w:val="single"/>
        </w:rPr>
        <w:t>Guidance and information materials</w:t>
      </w:r>
    </w:p>
    <w:p w:rsidR="003117C2" w:rsidRPr="00931087" w:rsidRDefault="003117C2" w:rsidP="003117C2">
      <w:pPr>
        <w:tabs>
          <w:tab w:val="left" w:pos="851"/>
        </w:tabs>
        <w:rPr>
          <w:bCs/>
          <w:color w:val="000000" w:themeColor="text1"/>
          <w:szCs w:val="24"/>
        </w:rPr>
      </w:pPr>
    </w:p>
    <w:p w:rsidR="003117C2" w:rsidRDefault="003117C2" w:rsidP="003117C2">
      <w:pPr>
        <w:rPr>
          <w:color w:val="000000" w:themeColor="text1"/>
        </w:rPr>
      </w:pPr>
      <w:r w:rsidRPr="00931087">
        <w:rPr>
          <w:color w:val="000000" w:themeColor="text1"/>
        </w:rPr>
        <w:t>2.2.2.</w:t>
      </w:r>
      <w:r>
        <w:rPr>
          <w:color w:val="000000" w:themeColor="text1"/>
        </w:rPr>
        <w:t>2</w:t>
      </w:r>
      <w:r w:rsidRPr="00931087">
        <w:rPr>
          <w:color w:val="000000" w:themeColor="text1"/>
        </w:rPr>
        <w:tab/>
      </w:r>
      <w:r w:rsidRPr="00653738">
        <w:rPr>
          <w:color w:val="000000" w:themeColor="text1"/>
        </w:rPr>
        <w:t>The effectiveness of the UPOV system is enhanced by the provision of guidance and information</w:t>
      </w:r>
      <w:r>
        <w:rPr>
          <w:color w:val="000000" w:themeColor="text1"/>
        </w:rPr>
        <w:t xml:space="preserve"> </w:t>
      </w:r>
      <w:r w:rsidRPr="00653738">
        <w:rPr>
          <w:color w:val="000000" w:themeColor="text1"/>
        </w:rPr>
        <w:t>materials such as Explanatory Notes (“UPOV/EXN” series), Information Documents (“UPOV/INF” series), the</w:t>
      </w:r>
      <w:r>
        <w:rPr>
          <w:color w:val="000000" w:themeColor="text1"/>
        </w:rPr>
        <w:t xml:space="preserve"> </w:t>
      </w:r>
      <w:r w:rsidRPr="00653738">
        <w:rPr>
          <w:color w:val="000000" w:themeColor="text1"/>
        </w:rPr>
        <w:t>“General Introduction to the Examination of Distinctness, Uniformity and Stability and the Development of</w:t>
      </w:r>
      <w:r>
        <w:rPr>
          <w:color w:val="000000" w:themeColor="text1"/>
        </w:rPr>
        <w:t xml:space="preserve"> </w:t>
      </w:r>
      <w:r w:rsidRPr="00653738">
        <w:rPr>
          <w:color w:val="000000" w:themeColor="text1"/>
        </w:rPr>
        <w:t>Harmonized Descriptions of New Varieties of Plants”, with its associated TGP documents, and</w:t>
      </w:r>
      <w:r>
        <w:rPr>
          <w:color w:val="000000" w:themeColor="text1"/>
        </w:rPr>
        <w:t xml:space="preserve"> Tes</w:t>
      </w:r>
      <w:r w:rsidRPr="003A1572">
        <w:rPr>
          <w:color w:val="000000" w:themeColor="text1"/>
        </w:rPr>
        <w:t>t</w:t>
      </w:r>
      <w:r>
        <w:rPr>
          <w:color w:val="000000" w:themeColor="text1"/>
        </w:rPr>
        <w:t> </w:t>
      </w:r>
      <w:r w:rsidRPr="00653738">
        <w:rPr>
          <w:color w:val="000000" w:themeColor="text1"/>
        </w:rPr>
        <w:t>Guidelines. Such materials provide the basis for harmonization and, thereby, facilitate cooperation</w:t>
      </w:r>
      <w:r>
        <w:rPr>
          <w:color w:val="000000" w:themeColor="text1"/>
        </w:rPr>
        <w:t xml:space="preserve"> </w:t>
      </w:r>
      <w:r w:rsidRPr="00653738">
        <w:rPr>
          <w:color w:val="000000" w:themeColor="text1"/>
        </w:rPr>
        <w:t>between members of the Union.</w:t>
      </w:r>
      <w:r>
        <w:rPr>
          <w:color w:val="000000" w:themeColor="text1"/>
        </w:rPr>
        <w:t xml:space="preserve">  </w:t>
      </w:r>
      <w:r w:rsidRPr="00653738">
        <w:rPr>
          <w:color w:val="000000" w:themeColor="text1"/>
        </w:rPr>
        <w:t>The identification of relevant matters for guidance and the development of</w:t>
      </w:r>
      <w:r>
        <w:rPr>
          <w:color w:val="000000" w:themeColor="text1"/>
        </w:rPr>
        <w:t xml:space="preserve"> </w:t>
      </w:r>
      <w:r w:rsidRPr="00653738">
        <w:rPr>
          <w:color w:val="000000" w:themeColor="text1"/>
        </w:rPr>
        <w:t xml:space="preserve">appropriate materials </w:t>
      </w:r>
      <w:r>
        <w:rPr>
          <w:color w:val="000000" w:themeColor="text1"/>
        </w:rPr>
        <w:t>is</w:t>
      </w:r>
      <w:r w:rsidRPr="00653738">
        <w:rPr>
          <w:color w:val="000000" w:themeColor="text1"/>
        </w:rPr>
        <w:t xml:space="preserve"> a key objective of the work of the Administrative and Legal Committee</w:t>
      </w:r>
      <w:r>
        <w:rPr>
          <w:color w:val="000000" w:themeColor="text1"/>
        </w:rPr>
        <w:t xml:space="preserve"> </w:t>
      </w:r>
      <w:r w:rsidRPr="00653738">
        <w:rPr>
          <w:color w:val="000000" w:themeColor="text1"/>
        </w:rPr>
        <w:t>(CAJ), the Technical Committee (TC) and the Technical Working Parties (TWPs). In that respect, the</w:t>
      </w:r>
      <w:r>
        <w:rPr>
          <w:color w:val="000000" w:themeColor="text1"/>
        </w:rPr>
        <w:t xml:space="preserve"> </w:t>
      </w:r>
      <w:r w:rsidRPr="00653738">
        <w:rPr>
          <w:color w:val="000000" w:themeColor="text1"/>
        </w:rPr>
        <w:t>involvement of organizations representing stakeholders is an important means of ensuring that guidance and</w:t>
      </w:r>
      <w:r>
        <w:rPr>
          <w:color w:val="000000" w:themeColor="text1"/>
        </w:rPr>
        <w:t xml:space="preserve"> </w:t>
      </w:r>
      <w:r w:rsidRPr="00653738">
        <w:rPr>
          <w:color w:val="000000" w:themeColor="text1"/>
        </w:rPr>
        <w:t>information is as effective as possible.</w:t>
      </w:r>
    </w:p>
    <w:p w:rsidR="003117C2" w:rsidRDefault="003117C2" w:rsidP="003117C2">
      <w:pPr>
        <w:rPr>
          <w:color w:val="000000" w:themeColor="text1"/>
        </w:rPr>
      </w:pPr>
    </w:p>
    <w:p w:rsidR="003117C2" w:rsidRPr="00C3353A" w:rsidRDefault="003117C2" w:rsidP="003117C2">
      <w:pPr>
        <w:rPr>
          <w:rFonts w:cs="Arial"/>
          <w:snapToGrid w:val="0"/>
          <w:color w:val="000000" w:themeColor="text1"/>
          <w:u w:val="single"/>
        </w:rPr>
      </w:pPr>
      <w:r>
        <w:rPr>
          <w:snapToGrid w:val="0"/>
          <w:color w:val="000000" w:themeColor="text1"/>
        </w:rPr>
        <w:t>2.2.2.3</w:t>
      </w:r>
      <w:r>
        <w:rPr>
          <w:snapToGrid w:val="0"/>
          <w:color w:val="000000" w:themeColor="text1"/>
        </w:rPr>
        <w:tab/>
        <w:t xml:space="preserve">UPOV has developed an extensive set of </w:t>
      </w:r>
      <w:r w:rsidRPr="00661401">
        <w:rPr>
          <w:snapToGrid w:val="0"/>
          <w:color w:val="000000" w:themeColor="text1"/>
        </w:rPr>
        <w:t>guidance and information</w:t>
      </w:r>
      <w:r>
        <w:rPr>
          <w:snapToGrid w:val="0"/>
          <w:color w:val="000000" w:themeColor="text1"/>
        </w:rPr>
        <w:t xml:space="preserve"> </w:t>
      </w:r>
      <w:r w:rsidRPr="00661401">
        <w:rPr>
          <w:snapToGrid w:val="0"/>
          <w:color w:val="000000" w:themeColor="text1"/>
        </w:rPr>
        <w:t>materials.</w:t>
      </w:r>
      <w:r>
        <w:rPr>
          <w:snapToGrid w:val="0"/>
          <w:color w:val="000000" w:themeColor="text1"/>
        </w:rPr>
        <w:t xml:space="preserve">  However, </w:t>
      </w:r>
      <w:r w:rsidRPr="003A2934">
        <w:rPr>
          <w:snapToGrid w:val="0"/>
        </w:rPr>
        <w:t xml:space="preserve">work </w:t>
      </w:r>
      <w:r>
        <w:rPr>
          <w:snapToGrid w:val="0"/>
        </w:rPr>
        <w:t xml:space="preserve">will continue with a view to developing further guidance </w:t>
      </w:r>
      <w:r w:rsidRPr="009D64EA">
        <w:rPr>
          <w:rFonts w:cs="Arial"/>
          <w:snapToGrid w:val="0"/>
        </w:rPr>
        <w:t>and/or information with regard to</w:t>
      </w:r>
      <w:r>
        <w:rPr>
          <w:rFonts w:cs="Arial"/>
          <w:snapToGrid w:val="0"/>
        </w:rPr>
        <w:t xml:space="preserve"> certain</w:t>
      </w:r>
      <w:r w:rsidRPr="009D64EA">
        <w:rPr>
          <w:rFonts w:cs="Arial"/>
          <w:snapToGrid w:val="0"/>
        </w:rPr>
        <w:t xml:space="preserve"> important aspects</w:t>
      </w:r>
      <w:r>
        <w:rPr>
          <w:rFonts w:cs="Arial"/>
          <w:snapToGrid w:val="0"/>
        </w:rPr>
        <w:t>,</w:t>
      </w:r>
      <w:r w:rsidRPr="009D64EA">
        <w:rPr>
          <w:rFonts w:cs="Arial"/>
          <w:snapToGrid w:val="0"/>
        </w:rPr>
        <w:t xml:space="preserve"> such as </w:t>
      </w:r>
      <w:r w:rsidRPr="009D64EA">
        <w:rPr>
          <w:rFonts w:cs="Arial"/>
          <w:snapToGrid w:val="0"/>
          <w:lang w:val="en-GB"/>
        </w:rPr>
        <w:t>essentially derived varieties</w:t>
      </w:r>
      <w:r>
        <w:rPr>
          <w:rFonts w:cs="Arial"/>
          <w:snapToGrid w:val="0"/>
          <w:lang w:val="en-GB"/>
        </w:rPr>
        <w:t>.</w:t>
      </w:r>
    </w:p>
    <w:p w:rsidR="003117C2" w:rsidRPr="00931087" w:rsidRDefault="003117C2" w:rsidP="003117C2"/>
    <w:p w:rsidR="003117C2" w:rsidRDefault="003117C2" w:rsidP="003117C2">
      <w:pPr>
        <w:rPr>
          <w:bCs/>
          <w:color w:val="000000" w:themeColor="text1"/>
          <w:szCs w:val="24"/>
        </w:rPr>
      </w:pPr>
      <w:r w:rsidRPr="00931087">
        <w:rPr>
          <w:bCs/>
          <w:color w:val="000000" w:themeColor="text1"/>
          <w:szCs w:val="24"/>
        </w:rPr>
        <w:t>2.2.</w:t>
      </w:r>
      <w:r w:rsidRPr="00931087">
        <w:rPr>
          <w:color w:val="000000" w:themeColor="text1"/>
        </w:rPr>
        <w:t>2.</w:t>
      </w:r>
      <w:r>
        <w:rPr>
          <w:color w:val="000000" w:themeColor="text1"/>
        </w:rPr>
        <w:t>4</w:t>
      </w:r>
      <w:r w:rsidRPr="00931087">
        <w:rPr>
          <w:bCs/>
          <w:color w:val="000000" w:themeColor="text1"/>
          <w:szCs w:val="24"/>
        </w:rPr>
        <w:tab/>
        <w:t xml:space="preserve">An important aspect for the effective operation of the UPOV system is that all stakeholders, including breeders, seed and plant producers and farmers, have a good understanding of the UPOV system.  The guidance material and information developed by UPOV provide a basis for providing stakeholders with an explanation of the UPOV system and information on its operation.  The communication strategy that addresses the development of communication methods and materials that are suited for a range of stakeholders is covered under </w:t>
      </w:r>
      <w:r w:rsidRPr="00931087">
        <w:rPr>
          <w:color w:val="000000" w:themeColor="text1"/>
        </w:rPr>
        <w:t>Sub Programs UV.1 and UV.3.</w:t>
      </w:r>
      <w:r w:rsidRPr="00FD6E6C">
        <w:rPr>
          <w:bCs/>
          <w:color w:val="000000" w:themeColor="text1"/>
          <w:szCs w:val="24"/>
        </w:rPr>
        <w:t xml:space="preserve">  </w:t>
      </w:r>
    </w:p>
    <w:p w:rsidR="003117C2" w:rsidRPr="00FD6E6C" w:rsidRDefault="003117C2" w:rsidP="003117C2">
      <w:pPr>
        <w:rPr>
          <w:color w:val="000000" w:themeColor="text1"/>
        </w:rPr>
      </w:pPr>
    </w:p>
    <w:p w:rsidR="003117C2" w:rsidRPr="00931087" w:rsidRDefault="003117C2" w:rsidP="003117C2">
      <w:r>
        <w:rPr>
          <w:color w:val="000000" w:themeColor="text1"/>
        </w:rPr>
        <w:t>2.2.2.5</w:t>
      </w:r>
      <w:r>
        <w:rPr>
          <w:color w:val="000000" w:themeColor="text1"/>
        </w:rPr>
        <w:tab/>
      </w:r>
      <w:r>
        <w:t>As explained above, w</w:t>
      </w:r>
      <w:r w:rsidRPr="00931087">
        <w:t>ork will continue on the maintenance and further development of</w:t>
      </w:r>
      <w:r w:rsidRPr="00925D63">
        <w:rPr>
          <w:snapToGrid w:val="0"/>
          <w:color w:val="000000" w:themeColor="text1"/>
        </w:rPr>
        <w:t xml:space="preserve"> </w:t>
      </w:r>
      <w:r w:rsidRPr="00661401">
        <w:rPr>
          <w:snapToGrid w:val="0"/>
          <w:color w:val="000000" w:themeColor="text1"/>
        </w:rPr>
        <w:t>guidance and information</w:t>
      </w:r>
      <w:r w:rsidRPr="00931087">
        <w:t xml:space="preserve"> in the 2016-2017 Biennium</w:t>
      </w:r>
      <w:r>
        <w:t>.</w:t>
      </w:r>
      <w:r w:rsidRPr="00931087">
        <w:t xml:space="preserve"> </w:t>
      </w:r>
      <w:r>
        <w:t xml:space="preserve"> </w:t>
      </w:r>
      <w:r w:rsidRPr="00931087">
        <w:t xml:space="preserve">However, now that </w:t>
      </w:r>
      <w:r>
        <w:t>an extensive</w:t>
      </w:r>
      <w:r w:rsidRPr="00931087">
        <w:t xml:space="preserve"> set of guidance and information materi</w:t>
      </w:r>
      <w:r>
        <w:t>als has been established,</w:t>
      </w:r>
      <w:r w:rsidRPr="00931087">
        <w:t xml:space="preserve"> </w:t>
      </w:r>
      <w:r>
        <w:t>more focus can be placed on other important</w:t>
      </w:r>
      <w:r w:rsidRPr="00931087">
        <w:t xml:space="preserve"> initiatives to </w:t>
      </w:r>
      <w:r w:rsidRPr="00DD6106">
        <w:t>maintain and improve the effectiveness of the UPOV system</w:t>
      </w:r>
      <w:r w:rsidRPr="00931087">
        <w:t xml:space="preserve">. </w:t>
      </w:r>
    </w:p>
    <w:p w:rsidR="003117C2" w:rsidRDefault="003117C2" w:rsidP="003117C2">
      <w:pPr>
        <w:tabs>
          <w:tab w:val="left" w:pos="567"/>
        </w:tabs>
        <w:rPr>
          <w:color w:val="000000" w:themeColor="text1"/>
        </w:rPr>
      </w:pPr>
    </w:p>
    <w:p w:rsidR="003117C2" w:rsidRDefault="003117C2" w:rsidP="003117C2">
      <w:pPr>
        <w:tabs>
          <w:tab w:val="left" w:pos="567"/>
        </w:tabs>
        <w:rPr>
          <w:color w:val="000000" w:themeColor="text1"/>
        </w:rPr>
      </w:pPr>
    </w:p>
    <w:p w:rsidR="003117C2" w:rsidRPr="002B2C51" w:rsidRDefault="003117C2" w:rsidP="003117C2">
      <w:pPr>
        <w:keepNext/>
        <w:tabs>
          <w:tab w:val="left" w:pos="567"/>
        </w:tabs>
        <w:rPr>
          <w:color w:val="000000" w:themeColor="text1"/>
          <w:u w:val="single"/>
        </w:rPr>
      </w:pPr>
      <w:r w:rsidRPr="002B2C51">
        <w:rPr>
          <w:color w:val="000000" w:themeColor="text1"/>
          <w:u w:val="single"/>
        </w:rPr>
        <w:t xml:space="preserve">Cooperation in </w:t>
      </w:r>
      <w:r>
        <w:rPr>
          <w:color w:val="000000" w:themeColor="text1"/>
          <w:u w:val="single"/>
        </w:rPr>
        <w:t xml:space="preserve">DUS </w:t>
      </w:r>
      <w:r w:rsidRPr="002B2C51">
        <w:rPr>
          <w:color w:val="000000" w:themeColor="text1"/>
          <w:u w:val="single"/>
        </w:rPr>
        <w:t>Examination</w:t>
      </w:r>
    </w:p>
    <w:p w:rsidR="003117C2" w:rsidRPr="00931087" w:rsidRDefault="003117C2" w:rsidP="003117C2">
      <w:pPr>
        <w:keepNext/>
        <w:tabs>
          <w:tab w:val="left" w:pos="567"/>
        </w:tabs>
        <w:rPr>
          <w:color w:val="000000" w:themeColor="text1"/>
        </w:rPr>
      </w:pPr>
    </w:p>
    <w:p w:rsidR="003117C2" w:rsidRPr="00931087" w:rsidRDefault="003117C2" w:rsidP="003117C2">
      <w:pPr>
        <w:keepNext/>
        <w:rPr>
          <w:bCs/>
          <w:color w:val="000000" w:themeColor="text1"/>
          <w:szCs w:val="24"/>
        </w:rPr>
      </w:pPr>
      <w:r w:rsidRPr="00931087">
        <w:rPr>
          <w:color w:val="000000" w:themeColor="text1"/>
        </w:rPr>
        <w:t>2.2.2.</w:t>
      </w:r>
      <w:r>
        <w:rPr>
          <w:color w:val="000000" w:themeColor="text1"/>
        </w:rPr>
        <w:t>6</w:t>
      </w:r>
      <w:r w:rsidRPr="00931087">
        <w:rPr>
          <w:snapToGrid w:val="0"/>
          <w:color w:val="000000" w:themeColor="text1"/>
        </w:rPr>
        <w:tab/>
      </w:r>
      <w:r w:rsidRPr="00931087">
        <w:rPr>
          <w:bCs/>
          <w:color w:val="000000" w:themeColor="text1"/>
          <w:szCs w:val="24"/>
        </w:rPr>
        <w:t>Cooperation between members of the Union is a key feature of the UPOV system and is the basis for an efficient system covering all plant genera and species.  Such efficiency is an important means of ensuring that the UPOV system is accessible and affordable for all types of breeders.</w:t>
      </w:r>
    </w:p>
    <w:p w:rsidR="003117C2" w:rsidRPr="00931087" w:rsidRDefault="003117C2" w:rsidP="003117C2">
      <w:pPr>
        <w:tabs>
          <w:tab w:val="left" w:pos="851"/>
        </w:tabs>
        <w:rPr>
          <w:bCs/>
          <w:color w:val="000000" w:themeColor="text1"/>
          <w:szCs w:val="24"/>
        </w:rPr>
      </w:pPr>
    </w:p>
    <w:p w:rsidR="003117C2" w:rsidRPr="00931087" w:rsidRDefault="003117C2" w:rsidP="003117C2">
      <w:pPr>
        <w:rPr>
          <w:bCs/>
          <w:color w:val="000000" w:themeColor="text1"/>
          <w:szCs w:val="24"/>
        </w:rPr>
      </w:pPr>
      <w:r w:rsidRPr="00931087">
        <w:rPr>
          <w:color w:val="000000" w:themeColor="text1"/>
        </w:rPr>
        <w:t>2.2.2.</w:t>
      </w:r>
      <w:r>
        <w:rPr>
          <w:color w:val="000000" w:themeColor="text1"/>
        </w:rPr>
        <w:t>7</w:t>
      </w:r>
      <w:r w:rsidRPr="00931087">
        <w:rPr>
          <w:bCs/>
          <w:color w:val="000000" w:themeColor="text1"/>
          <w:szCs w:val="24"/>
        </w:rPr>
        <w:tab/>
      </w:r>
      <w:r>
        <w:rPr>
          <w:bCs/>
          <w:color w:val="000000" w:themeColor="text1"/>
          <w:szCs w:val="24"/>
        </w:rPr>
        <w:t>C</w:t>
      </w:r>
      <w:r w:rsidRPr="00931087">
        <w:rPr>
          <w:bCs/>
          <w:color w:val="000000" w:themeColor="text1"/>
          <w:szCs w:val="24"/>
        </w:rPr>
        <w:t xml:space="preserve">ooperation within UPOV relies to a major extent on the input of members of the Union.  In particular, experts from members of the Union develop Test Guidelines and share their practical experience with particular plant genera and species, for example in the form of the GENIE database.  These measures facilitate cooperation in the examination of </w:t>
      </w:r>
      <w:r w:rsidRPr="003B1222">
        <w:rPr>
          <w:bCs/>
          <w:color w:val="000000" w:themeColor="text1"/>
          <w:szCs w:val="24"/>
        </w:rPr>
        <w:t>Distinctness, Uniformity and Stability (“DUS”)</w:t>
      </w:r>
      <w:r w:rsidRPr="00931087">
        <w:rPr>
          <w:bCs/>
          <w:color w:val="000000" w:themeColor="text1"/>
          <w:szCs w:val="24"/>
        </w:rPr>
        <w:t xml:space="preserve"> and the </w:t>
      </w:r>
      <w:r>
        <w:rPr>
          <w:bCs/>
          <w:color w:val="000000" w:themeColor="text1"/>
          <w:szCs w:val="24"/>
        </w:rPr>
        <w:t>use</w:t>
      </w:r>
      <w:r w:rsidRPr="00931087">
        <w:rPr>
          <w:bCs/>
          <w:color w:val="000000" w:themeColor="text1"/>
          <w:szCs w:val="24"/>
        </w:rPr>
        <w:t xml:space="preserve"> of </w:t>
      </w:r>
      <w:r>
        <w:rPr>
          <w:bCs/>
          <w:color w:val="000000" w:themeColor="text1"/>
          <w:szCs w:val="24"/>
        </w:rPr>
        <w:t xml:space="preserve">existing </w:t>
      </w:r>
      <w:r w:rsidRPr="00931087">
        <w:rPr>
          <w:bCs/>
          <w:color w:val="000000" w:themeColor="text1"/>
          <w:szCs w:val="24"/>
        </w:rPr>
        <w:t>DUS reports, which is the basis for an efficient system covering all plant genera and species</w:t>
      </w:r>
      <w:r>
        <w:rPr>
          <w:bCs/>
          <w:color w:val="000000" w:themeColor="text1"/>
          <w:szCs w:val="24"/>
        </w:rPr>
        <w:t xml:space="preserve"> that i</w:t>
      </w:r>
      <w:r w:rsidRPr="00931087">
        <w:rPr>
          <w:bCs/>
          <w:color w:val="000000" w:themeColor="text1"/>
          <w:szCs w:val="24"/>
        </w:rPr>
        <w:t xml:space="preserve">s accessible and affordable for all types of breeders.  </w:t>
      </w:r>
    </w:p>
    <w:p w:rsidR="003117C2" w:rsidRDefault="003117C2" w:rsidP="003117C2">
      <w:pPr>
        <w:tabs>
          <w:tab w:val="left" w:pos="851"/>
        </w:tabs>
        <w:rPr>
          <w:bCs/>
          <w:color w:val="000000" w:themeColor="text1"/>
          <w:szCs w:val="24"/>
        </w:rPr>
      </w:pPr>
    </w:p>
    <w:p w:rsidR="003117C2" w:rsidRPr="00931087" w:rsidRDefault="003117C2" w:rsidP="003117C2">
      <w:pPr>
        <w:rPr>
          <w:color w:val="000000" w:themeColor="text1"/>
        </w:rPr>
      </w:pPr>
      <w:r w:rsidRPr="00931087">
        <w:t>2.2.2.</w:t>
      </w:r>
      <w:r>
        <w:t>8</w:t>
      </w:r>
      <w:r w:rsidRPr="00931087">
        <w:rPr>
          <w:color w:val="000000" w:themeColor="text1"/>
        </w:rPr>
        <w:tab/>
        <w:t xml:space="preserve">The following measures to support and enhance cooperation between members of the Union will be pursued in the </w:t>
      </w:r>
      <w:r w:rsidRPr="003A1572">
        <w:rPr>
          <w:color w:val="000000" w:themeColor="text1"/>
        </w:rPr>
        <w:t>2016-2017</w:t>
      </w:r>
      <w:r>
        <w:rPr>
          <w:color w:val="000000" w:themeColor="text1"/>
        </w:rPr>
        <w:t xml:space="preserve"> </w:t>
      </w:r>
      <w:r w:rsidRPr="00931087">
        <w:rPr>
          <w:color w:val="000000" w:themeColor="text1"/>
        </w:rPr>
        <w:t>Biennium:</w:t>
      </w:r>
    </w:p>
    <w:p w:rsidR="003117C2" w:rsidRPr="00931087" w:rsidRDefault="003117C2" w:rsidP="003117C2">
      <w:pPr>
        <w:rPr>
          <w:color w:val="000000" w:themeColor="text1"/>
        </w:rPr>
      </w:pPr>
    </w:p>
    <w:p w:rsidR="003117C2" w:rsidRPr="00931087" w:rsidRDefault="003117C2" w:rsidP="003117C2">
      <w:pPr>
        <w:ind w:left="567"/>
        <w:rPr>
          <w:color w:val="000000" w:themeColor="text1"/>
        </w:rPr>
      </w:pPr>
      <w:r w:rsidRPr="00931087">
        <w:rPr>
          <w:color w:val="000000" w:themeColor="text1"/>
        </w:rPr>
        <w:t>(a)</w:t>
      </w:r>
      <w:r w:rsidRPr="00931087">
        <w:rPr>
          <w:color w:val="000000" w:themeColor="text1"/>
        </w:rPr>
        <w:tab/>
        <w:t>Development of Test Guidelines;</w:t>
      </w:r>
    </w:p>
    <w:p w:rsidR="003117C2" w:rsidRPr="00931087" w:rsidRDefault="003117C2" w:rsidP="003117C2">
      <w:pPr>
        <w:ind w:left="567"/>
        <w:rPr>
          <w:color w:val="000000" w:themeColor="text1"/>
        </w:rPr>
      </w:pPr>
    </w:p>
    <w:p w:rsidR="003117C2" w:rsidRPr="00931087" w:rsidRDefault="003117C2" w:rsidP="003117C2">
      <w:pPr>
        <w:ind w:left="567"/>
        <w:rPr>
          <w:color w:val="000000" w:themeColor="text1"/>
        </w:rPr>
      </w:pPr>
      <w:r w:rsidRPr="00931087">
        <w:rPr>
          <w:color w:val="000000" w:themeColor="text1"/>
        </w:rPr>
        <w:t>(b)</w:t>
      </w:r>
      <w:r w:rsidRPr="00931087">
        <w:rPr>
          <w:color w:val="000000" w:themeColor="text1"/>
        </w:rPr>
        <w:tab/>
        <w:t>Enhancement of the web-based Test Guidelines Template (TG Template) to further facilitate the drafting of Test Guidelines by experts of the members of the Union and the develo</w:t>
      </w:r>
      <w:r>
        <w:rPr>
          <w:color w:val="000000" w:themeColor="text1"/>
        </w:rPr>
        <w:t>pment of individual authorities’</w:t>
      </w:r>
      <w:r w:rsidRPr="00931087">
        <w:rPr>
          <w:color w:val="000000" w:themeColor="text1"/>
        </w:rPr>
        <w:t xml:space="preserve"> test guidelines by members of the Union, while reducing the administrative and translation work for UPOV;</w:t>
      </w:r>
    </w:p>
    <w:p w:rsidR="003117C2" w:rsidRPr="00931087" w:rsidRDefault="003117C2" w:rsidP="003117C2">
      <w:pPr>
        <w:ind w:left="567"/>
        <w:rPr>
          <w:color w:val="000000" w:themeColor="text1"/>
        </w:rPr>
      </w:pPr>
    </w:p>
    <w:p w:rsidR="003117C2" w:rsidRPr="00931087" w:rsidRDefault="003117C2" w:rsidP="003117C2">
      <w:pPr>
        <w:ind w:left="567"/>
        <w:rPr>
          <w:color w:val="000000" w:themeColor="text1"/>
        </w:rPr>
      </w:pPr>
      <w:r w:rsidRPr="00931087">
        <w:rPr>
          <w:color w:val="000000" w:themeColor="text1"/>
        </w:rPr>
        <w:t xml:space="preserve">(c) </w:t>
      </w:r>
      <w:r w:rsidRPr="00931087">
        <w:rPr>
          <w:color w:val="000000" w:themeColor="text1"/>
        </w:rPr>
        <w:tab/>
        <w:t xml:space="preserve">Collection of information on practical experience and cooperation in DUS examination for inclusion in the GENIE database; </w:t>
      </w:r>
    </w:p>
    <w:p w:rsidR="003117C2" w:rsidRPr="00931087" w:rsidRDefault="003117C2" w:rsidP="003117C2">
      <w:pPr>
        <w:ind w:left="567"/>
        <w:rPr>
          <w:color w:val="000000" w:themeColor="text1"/>
        </w:rPr>
      </w:pPr>
    </w:p>
    <w:p w:rsidR="003117C2" w:rsidRPr="00931087" w:rsidRDefault="003117C2" w:rsidP="003117C2">
      <w:pPr>
        <w:ind w:left="567"/>
        <w:rPr>
          <w:color w:val="000000" w:themeColor="text1"/>
        </w:rPr>
      </w:pPr>
      <w:r w:rsidRPr="00931087">
        <w:rPr>
          <w:color w:val="000000" w:themeColor="text1"/>
        </w:rPr>
        <w:t>(d)</w:t>
      </w:r>
      <w:r w:rsidRPr="00931087">
        <w:rPr>
          <w:color w:val="000000" w:themeColor="text1"/>
        </w:rPr>
        <w:tab/>
        <w:t xml:space="preserve">Collection of information on software developed and made available by members of the Union, and software and equipment used by members of the Union, for publication in documents UPOV/INF/16 and </w:t>
      </w:r>
      <w:r w:rsidRPr="00931087">
        <w:t>UPOV/INF/</w:t>
      </w:r>
      <w:r w:rsidRPr="00931087">
        <w:rPr>
          <w:color w:val="000000" w:themeColor="text1"/>
        </w:rPr>
        <w:t>22, respectively.</w:t>
      </w:r>
    </w:p>
    <w:p w:rsidR="003117C2" w:rsidRPr="00931087" w:rsidRDefault="003117C2" w:rsidP="003117C2"/>
    <w:p w:rsidR="003117C2" w:rsidRPr="00931087" w:rsidRDefault="003117C2" w:rsidP="003117C2">
      <w:pPr>
        <w:rPr>
          <w:color w:val="000000" w:themeColor="text1"/>
        </w:rPr>
      </w:pPr>
      <w:r w:rsidRPr="00931087">
        <w:t>2.2.2.</w:t>
      </w:r>
      <w:r>
        <w:t>9</w:t>
      </w:r>
      <w:r>
        <w:tab/>
      </w:r>
      <w:r w:rsidRPr="00931087">
        <w:rPr>
          <w:color w:val="000000" w:themeColor="text1"/>
        </w:rPr>
        <w:t xml:space="preserve">In addition, it is planned to develop and implement a strategy to enhance cooperation in DUS examination between members of the Union (see Sub Program UV.1).  </w:t>
      </w:r>
    </w:p>
    <w:p w:rsidR="003117C2" w:rsidRDefault="003117C2" w:rsidP="003117C2">
      <w:pPr>
        <w:tabs>
          <w:tab w:val="left" w:pos="851"/>
        </w:tabs>
        <w:rPr>
          <w:bCs/>
          <w:color w:val="000000" w:themeColor="text1"/>
          <w:szCs w:val="24"/>
        </w:rPr>
      </w:pPr>
    </w:p>
    <w:p w:rsidR="003117C2" w:rsidRDefault="003117C2" w:rsidP="003117C2">
      <w:pPr>
        <w:tabs>
          <w:tab w:val="left" w:pos="851"/>
        </w:tabs>
        <w:rPr>
          <w:bCs/>
          <w:color w:val="000000" w:themeColor="text1"/>
          <w:szCs w:val="24"/>
        </w:rPr>
      </w:pPr>
    </w:p>
    <w:p w:rsidR="003117C2" w:rsidRPr="00931087" w:rsidRDefault="003117C2" w:rsidP="003117C2">
      <w:pPr>
        <w:pStyle w:val="Heading2"/>
        <w:rPr>
          <w:snapToGrid w:val="0"/>
        </w:rPr>
      </w:pPr>
      <w:r w:rsidRPr="00931087">
        <w:rPr>
          <w:snapToGrid w:val="0"/>
        </w:rPr>
        <w:t>Variety denominations</w:t>
      </w:r>
    </w:p>
    <w:p w:rsidR="003117C2" w:rsidRPr="00931087" w:rsidRDefault="003117C2" w:rsidP="003117C2">
      <w:pPr>
        <w:rPr>
          <w:snapToGrid w:val="0"/>
        </w:rPr>
      </w:pPr>
    </w:p>
    <w:p w:rsidR="003117C2" w:rsidRPr="00931087" w:rsidRDefault="003117C2" w:rsidP="003117C2">
      <w:pPr>
        <w:rPr>
          <w:bCs/>
          <w:color w:val="000000" w:themeColor="text1"/>
          <w:szCs w:val="24"/>
        </w:rPr>
      </w:pPr>
      <w:r w:rsidRPr="00931087">
        <w:rPr>
          <w:color w:val="000000" w:themeColor="text1"/>
        </w:rPr>
        <w:t>2.2.2.</w:t>
      </w:r>
      <w:r>
        <w:rPr>
          <w:color w:val="000000" w:themeColor="text1"/>
        </w:rPr>
        <w:t>10</w:t>
      </w:r>
      <w:r w:rsidRPr="00931087">
        <w:rPr>
          <w:bCs/>
          <w:color w:val="000000" w:themeColor="text1"/>
          <w:szCs w:val="24"/>
        </w:rPr>
        <w:tab/>
      </w:r>
      <w:r>
        <w:rPr>
          <w:bCs/>
          <w:color w:val="000000" w:themeColor="text1"/>
          <w:szCs w:val="24"/>
        </w:rPr>
        <w:t>C</w:t>
      </w:r>
      <w:r w:rsidRPr="00931087">
        <w:rPr>
          <w:bCs/>
          <w:color w:val="000000" w:themeColor="text1"/>
          <w:szCs w:val="24"/>
        </w:rPr>
        <w:t xml:space="preserve">ontribution of data by members of the Union to the Plant Variety Database (PLUTO) provides essential support for the examination of variety denominations.  Those contributions are further enhanced by the contribution of data by the </w:t>
      </w:r>
      <w:proofErr w:type="spellStart"/>
      <w:r w:rsidRPr="00931087">
        <w:rPr>
          <w:bCs/>
          <w:color w:val="000000" w:themeColor="text1"/>
          <w:szCs w:val="24"/>
        </w:rPr>
        <w:t>Organisation</w:t>
      </w:r>
      <w:proofErr w:type="spellEnd"/>
      <w:r w:rsidRPr="00931087">
        <w:rPr>
          <w:bCs/>
          <w:color w:val="000000" w:themeColor="text1"/>
          <w:szCs w:val="24"/>
        </w:rPr>
        <w:t xml:space="preserve"> for Economic Co-operation and Development (OECD) and by the cooperation agreements between UPOV and the World Intellectual Property Organization (WIPO) and between UPOV and the Community Plant Variety Office of the European Union (CPVO). </w:t>
      </w:r>
    </w:p>
    <w:p w:rsidR="003117C2" w:rsidRPr="00931087" w:rsidRDefault="003117C2" w:rsidP="003117C2">
      <w:pPr>
        <w:tabs>
          <w:tab w:val="left" w:pos="851"/>
        </w:tabs>
        <w:rPr>
          <w:bCs/>
          <w:color w:val="000000" w:themeColor="text1"/>
          <w:szCs w:val="24"/>
        </w:rPr>
      </w:pPr>
    </w:p>
    <w:p w:rsidR="003117C2" w:rsidRPr="00931087" w:rsidRDefault="003117C2" w:rsidP="003117C2">
      <w:r w:rsidRPr="00931087">
        <w:t>2.2.2.</w:t>
      </w:r>
      <w:r>
        <w:t>10</w:t>
      </w:r>
      <w:r w:rsidRPr="00931087">
        <w:tab/>
        <w:t xml:space="preserve">The program for improvements to the PLUTO database, as approved by the CAJ and TC, will continue to be implemented and reviewed as appropriate.  In particular, work will continue in order to </w:t>
      </w:r>
      <w:r w:rsidRPr="00931087">
        <w:rPr>
          <w:snapToGrid w:val="0"/>
          <w:color w:val="000000" w:themeColor="text1"/>
        </w:rPr>
        <w:t>enhance the quality and quantity of data in the PLUTO database.</w:t>
      </w:r>
    </w:p>
    <w:p w:rsidR="003117C2" w:rsidRPr="00931087" w:rsidRDefault="003117C2" w:rsidP="003117C2"/>
    <w:p w:rsidR="003117C2" w:rsidRPr="00931087" w:rsidRDefault="003117C2" w:rsidP="003117C2">
      <w:pPr>
        <w:rPr>
          <w:snapToGrid w:val="0"/>
          <w:color w:val="000000" w:themeColor="text1"/>
        </w:rPr>
      </w:pPr>
      <w:r w:rsidRPr="00931087">
        <w:t>2.2.2.</w:t>
      </w:r>
      <w:r>
        <w:t>11</w:t>
      </w:r>
      <w:r w:rsidRPr="00931087">
        <w:tab/>
      </w:r>
      <w:r w:rsidRPr="00931087">
        <w:rPr>
          <w:snapToGrid w:val="0"/>
          <w:color w:val="000000" w:themeColor="text1"/>
        </w:rPr>
        <w:t>In order to facilitate and harmonize the examination of variety denominations by members of the Union, work will continue on the development of proposals for a UPOV similarity search tool for variety denomination purposes and</w:t>
      </w:r>
      <w:r>
        <w:rPr>
          <w:snapToGrid w:val="0"/>
          <w:color w:val="000000" w:themeColor="text1"/>
        </w:rPr>
        <w:t xml:space="preserve">, as appropriate, </w:t>
      </w:r>
      <w:r w:rsidRPr="00931087">
        <w:rPr>
          <w:snapToGrid w:val="0"/>
          <w:color w:val="000000" w:themeColor="text1"/>
        </w:rPr>
        <w:t>consideration will be given to a revision of document UPOV/INF/12 “Explanatory notes on variety denominations under the UPOV Convention”.</w:t>
      </w:r>
    </w:p>
    <w:p w:rsidR="003117C2" w:rsidRDefault="003117C2" w:rsidP="003117C2">
      <w:pPr>
        <w:tabs>
          <w:tab w:val="left" w:pos="851"/>
        </w:tabs>
      </w:pPr>
    </w:p>
    <w:p w:rsidR="003117C2" w:rsidRPr="00931087" w:rsidRDefault="003117C2" w:rsidP="003117C2">
      <w:pPr>
        <w:tabs>
          <w:tab w:val="left" w:pos="851"/>
        </w:tabs>
      </w:pPr>
    </w:p>
    <w:p w:rsidR="003117C2" w:rsidRPr="00EA7895" w:rsidRDefault="003117C2" w:rsidP="003117C2">
      <w:pPr>
        <w:rPr>
          <w:snapToGrid w:val="0"/>
          <w:u w:val="single"/>
        </w:rPr>
      </w:pPr>
      <w:r w:rsidRPr="00EA7895">
        <w:rPr>
          <w:snapToGrid w:val="0"/>
          <w:u w:val="single"/>
        </w:rPr>
        <w:t>Facilitating applications</w:t>
      </w:r>
    </w:p>
    <w:p w:rsidR="003117C2" w:rsidRPr="00931087" w:rsidRDefault="003117C2" w:rsidP="003117C2"/>
    <w:p w:rsidR="003117C2" w:rsidRPr="00931087" w:rsidRDefault="003117C2" w:rsidP="003117C2">
      <w:r w:rsidRPr="00931087">
        <w:t xml:space="preserve">2.2.2.12 </w:t>
      </w:r>
      <w:r w:rsidRPr="00931087">
        <w:tab/>
        <w:t xml:space="preserve">In the 2016­2017 Biennium, subject to approval by the Council, it is anticipated that a first version of the UPOV electronic application system will be implemented for selected species and languages, enabling breeders to provide information for PBR applications for participating members of the Union, via the UPOV website.   </w:t>
      </w:r>
    </w:p>
    <w:p w:rsidR="003117C2" w:rsidRPr="00931087" w:rsidRDefault="003117C2" w:rsidP="003117C2"/>
    <w:p w:rsidR="003117C2" w:rsidRPr="00931087" w:rsidRDefault="003117C2" w:rsidP="003117C2">
      <w:r w:rsidRPr="00931087">
        <w:t>2.2.2.13</w:t>
      </w:r>
      <w:r w:rsidRPr="00931087">
        <w:tab/>
        <w:t>Subject to approval by the Council, the UPOV</w:t>
      </w:r>
      <w:r>
        <w:t xml:space="preserve"> electronic application system c</w:t>
      </w:r>
      <w:r w:rsidRPr="00931087">
        <w:t>ould form the core of an internationa</w:t>
      </w:r>
      <w:r>
        <w:t>l system of cooperation, which c</w:t>
      </w:r>
      <w:r w:rsidRPr="00931087">
        <w:t>ould also integrate the initiatives set out above in relation to cooperation in the examination of DUS and variety denominations.</w:t>
      </w:r>
    </w:p>
    <w:p w:rsidR="003117C2" w:rsidRPr="00931087" w:rsidRDefault="003117C2" w:rsidP="003117C2"/>
    <w:p w:rsidR="003117C2" w:rsidRPr="00931087" w:rsidRDefault="003117C2" w:rsidP="003117C2">
      <w:r w:rsidRPr="00931087">
        <w:t>2.2.2.14</w:t>
      </w:r>
      <w:r w:rsidRPr="00931087">
        <w:tab/>
        <w:t xml:space="preserve">The GENIE and PLUTO databases will be modified </w:t>
      </w:r>
      <w:r w:rsidRPr="003A1572">
        <w:t>in</w:t>
      </w:r>
      <w:r>
        <w:t xml:space="preserve"> </w:t>
      </w:r>
      <w:r w:rsidRPr="00931087">
        <w:t xml:space="preserve">order for statistics by crop type (agriculture, fruit, ornamentals, vegetables and forest trees) to be made available through the allocation of crop type(s) for UPOV codes.  </w:t>
      </w:r>
    </w:p>
    <w:p w:rsidR="003117C2" w:rsidRPr="00931087" w:rsidRDefault="003117C2" w:rsidP="003117C2">
      <w:pPr>
        <w:rPr>
          <w:snapToGrid w:val="0"/>
        </w:rPr>
      </w:pPr>
    </w:p>
    <w:p w:rsidR="003117C2" w:rsidRPr="009D59D4" w:rsidRDefault="003117C2" w:rsidP="003117C2">
      <w:pPr>
        <w:rPr>
          <w:snapToGrid w:val="0"/>
        </w:rPr>
      </w:pPr>
    </w:p>
    <w:p w:rsidR="003117C2" w:rsidRDefault="003117C2" w:rsidP="003117C2">
      <w:pPr>
        <w:jc w:val="left"/>
        <w:rPr>
          <w:b/>
        </w:rPr>
      </w:pPr>
      <w:r>
        <w:rPr>
          <w:b/>
        </w:rPr>
        <w:br w:type="page"/>
      </w:r>
    </w:p>
    <w:p w:rsidR="003117C2" w:rsidRPr="00513371" w:rsidRDefault="003117C2" w:rsidP="003117C2">
      <w:pPr>
        <w:keepNext/>
        <w:rPr>
          <w:b/>
        </w:rPr>
      </w:pPr>
      <w:r w:rsidRPr="00513371">
        <w:rPr>
          <w:b/>
        </w:rPr>
        <w:t>2.2.3</w:t>
      </w:r>
      <w:r w:rsidRPr="00513371">
        <w:rPr>
          <w:b/>
        </w:rPr>
        <w:tab/>
        <w:t>Activities</w:t>
      </w:r>
    </w:p>
    <w:p w:rsidR="003117C2" w:rsidRPr="00513371" w:rsidRDefault="003117C2" w:rsidP="003117C2">
      <w:pPr>
        <w:keepNext/>
      </w:pPr>
    </w:p>
    <w:p w:rsidR="003117C2" w:rsidRPr="00513371" w:rsidRDefault="00F00EF6" w:rsidP="003117C2">
      <w:pPr>
        <w:numPr>
          <w:ilvl w:val="0"/>
          <w:numId w:val="10"/>
        </w:numPr>
        <w:tabs>
          <w:tab w:val="clear" w:pos="720"/>
        </w:tabs>
        <w:spacing w:after="120"/>
        <w:ind w:left="1134" w:hanging="567"/>
      </w:pPr>
      <w:r>
        <w:t>Two to f</w:t>
      </w:r>
      <w:r w:rsidR="003117C2" w:rsidRPr="00513371">
        <w:t>our sessions of the Administrative and Legal Committee, two session</w:t>
      </w:r>
      <w:r w:rsidR="003117C2">
        <w:t>s of the Technical Committee, 12</w:t>
      </w:r>
      <w:r w:rsidR="003117C2" w:rsidRPr="00513371">
        <w:t xml:space="preserve"> sessions of Technical Working Parties, including </w:t>
      </w:r>
      <w:r w:rsidR="003117C2">
        <w:t>two</w:t>
      </w:r>
      <w:r w:rsidR="003117C2" w:rsidRPr="00513371">
        <w:t xml:space="preserve"> session</w:t>
      </w:r>
      <w:r w:rsidR="003117C2">
        <w:t>s</w:t>
      </w:r>
      <w:r w:rsidR="003117C2" w:rsidRPr="00513371">
        <w:t xml:space="preserve"> of the Working Group on Biochemical and Molecular Techniques, and DNA</w:t>
      </w:r>
      <w:r w:rsidR="003117C2" w:rsidRPr="00513371">
        <w:noBreakHyphen/>
        <w:t>Profiling in Particular (BMT), and their respective preparatory workshops.</w:t>
      </w:r>
    </w:p>
    <w:p w:rsidR="003117C2" w:rsidRPr="00513371" w:rsidRDefault="003117C2" w:rsidP="003117C2">
      <w:pPr>
        <w:numPr>
          <w:ilvl w:val="0"/>
          <w:numId w:val="10"/>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3117C2" w:rsidRPr="00513371" w:rsidRDefault="003117C2" w:rsidP="003117C2">
      <w:pPr>
        <w:numPr>
          <w:ilvl w:val="0"/>
          <w:numId w:val="10"/>
        </w:numPr>
        <w:tabs>
          <w:tab w:val="clear" w:pos="720"/>
        </w:tabs>
        <w:spacing w:after="120"/>
        <w:ind w:left="1134" w:hanging="567"/>
      </w:pPr>
      <w:r>
        <w:t>D</w:t>
      </w:r>
      <w:r w:rsidRPr="00513371">
        <w:t>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3117C2" w:rsidRPr="00513371" w:rsidRDefault="003117C2" w:rsidP="003117C2">
      <w:pPr>
        <w:numPr>
          <w:ilvl w:val="0"/>
          <w:numId w:val="10"/>
        </w:numPr>
        <w:tabs>
          <w:tab w:val="clear" w:pos="720"/>
        </w:tabs>
        <w:spacing w:after="120"/>
        <w:ind w:left="1134" w:hanging="567"/>
      </w:pPr>
      <w:r w:rsidRPr="00513371">
        <w:t>Development of Test Guidelines.</w:t>
      </w:r>
    </w:p>
    <w:p w:rsidR="003117C2" w:rsidRPr="00513371" w:rsidRDefault="003117C2" w:rsidP="003117C2">
      <w:pPr>
        <w:numPr>
          <w:ilvl w:val="0"/>
          <w:numId w:val="10"/>
        </w:numPr>
        <w:tabs>
          <w:tab w:val="clear" w:pos="720"/>
        </w:tabs>
        <w:spacing w:after="120"/>
        <w:ind w:left="1134" w:hanging="567"/>
      </w:pPr>
      <w:r w:rsidRPr="00513371">
        <w:t>Assessment of new methods for Distinctness, Uniformity and Stability (DUS) examination.</w:t>
      </w:r>
    </w:p>
    <w:p w:rsidR="003117C2" w:rsidRPr="00513371" w:rsidRDefault="003117C2" w:rsidP="003117C2">
      <w:pPr>
        <w:numPr>
          <w:ilvl w:val="0"/>
          <w:numId w:val="10"/>
        </w:numPr>
        <w:tabs>
          <w:tab w:val="clear" w:pos="720"/>
        </w:tabs>
        <w:spacing w:after="120"/>
        <w:ind w:left="1134" w:hanging="567"/>
      </w:pPr>
      <w:r>
        <w:t>Information and guidance on the</w:t>
      </w:r>
      <w:r w:rsidRPr="00513371">
        <w:t xml:space="preserve"> use of molecular markers in DUS testing and providing a forum for consideration of their use in variety identification and in </w:t>
      </w:r>
      <w:r w:rsidRPr="00513371">
        <w:rPr>
          <w:lang w:val="en-GB"/>
        </w:rPr>
        <w:t>essential derivation</w:t>
      </w:r>
      <w:r w:rsidRPr="00513371">
        <w:t>.</w:t>
      </w:r>
    </w:p>
    <w:p w:rsidR="003117C2" w:rsidRPr="00513371" w:rsidRDefault="003117C2" w:rsidP="003117C2">
      <w:pPr>
        <w:keepLines/>
        <w:numPr>
          <w:ilvl w:val="0"/>
          <w:numId w:val="10"/>
        </w:numPr>
        <w:tabs>
          <w:tab w:val="clear" w:pos="720"/>
        </w:tabs>
        <w:spacing w:after="120"/>
        <w:ind w:left="1134" w:hanging="567"/>
      </w:pPr>
      <w:r w:rsidRPr="00513371">
        <w:t xml:space="preserve">Updating and further development of the </w:t>
      </w:r>
      <w:r>
        <w:t>PLUTO</w:t>
      </w:r>
      <w:r w:rsidRPr="00513371">
        <w:t xml:space="preserve"> Database.</w:t>
      </w:r>
    </w:p>
    <w:p w:rsidR="003117C2" w:rsidRPr="00513371" w:rsidRDefault="003117C2" w:rsidP="003117C2">
      <w:pPr>
        <w:keepLines/>
        <w:numPr>
          <w:ilvl w:val="0"/>
          <w:numId w:val="10"/>
        </w:numPr>
        <w:tabs>
          <w:tab w:val="clear" w:pos="720"/>
        </w:tabs>
        <w:spacing w:after="120"/>
        <w:ind w:left="1134" w:hanging="567"/>
      </w:pPr>
      <w:r w:rsidRPr="00513371">
        <w:t>Updating and further development of the of the GENIE database.</w:t>
      </w:r>
    </w:p>
    <w:p w:rsidR="003117C2" w:rsidRPr="00513371" w:rsidRDefault="003117C2" w:rsidP="003117C2">
      <w:pPr>
        <w:keepLines/>
        <w:numPr>
          <w:ilvl w:val="0"/>
          <w:numId w:val="10"/>
        </w:numPr>
        <w:tabs>
          <w:tab w:val="clear" w:pos="720"/>
        </w:tabs>
        <w:spacing w:after="120"/>
        <w:ind w:left="1134" w:hanging="567"/>
      </w:pPr>
      <w:r w:rsidRPr="00513371">
        <w:t xml:space="preserve">Maintenance of the UPOV Lex </w:t>
      </w:r>
      <w:r w:rsidRPr="003A1572">
        <w:t>database</w:t>
      </w:r>
      <w:r>
        <w:t xml:space="preserve"> </w:t>
      </w:r>
      <w:r w:rsidRPr="00513371">
        <w:t>of legislation</w:t>
      </w:r>
      <w:r>
        <w:t xml:space="preserve"> and relevant notifications</w:t>
      </w:r>
      <w:r w:rsidRPr="00513371">
        <w:t>.</w:t>
      </w:r>
    </w:p>
    <w:p w:rsidR="003117C2" w:rsidRPr="00513371" w:rsidRDefault="003117C2" w:rsidP="003117C2">
      <w:pPr>
        <w:keepLines/>
        <w:numPr>
          <w:ilvl w:val="0"/>
          <w:numId w:val="10"/>
        </w:numPr>
        <w:tabs>
          <w:tab w:val="clear" w:pos="720"/>
        </w:tabs>
        <w:spacing w:after="120"/>
        <w:ind w:left="1134" w:hanging="567"/>
      </w:pPr>
      <w:r w:rsidRPr="00513371">
        <w:t xml:space="preserve">Updating of </w:t>
      </w:r>
      <w:r>
        <w:t xml:space="preserve">the </w:t>
      </w:r>
      <w:r w:rsidRPr="00513371">
        <w:t>UPOV Collection.</w:t>
      </w:r>
    </w:p>
    <w:p w:rsidR="003117C2" w:rsidRPr="00513371" w:rsidRDefault="003117C2" w:rsidP="003117C2">
      <w:pPr>
        <w:keepLines/>
        <w:numPr>
          <w:ilvl w:val="0"/>
          <w:numId w:val="10"/>
        </w:numPr>
        <w:tabs>
          <w:tab w:val="clear" w:pos="720"/>
        </w:tabs>
        <w:spacing w:after="120"/>
        <w:ind w:left="1134" w:hanging="567"/>
      </w:pPr>
      <w:r w:rsidRPr="00513371">
        <w:t xml:space="preserve">Development of </w:t>
      </w:r>
      <w:r>
        <w:t xml:space="preserve">UPOV </w:t>
      </w:r>
      <w:r w:rsidRPr="00513371">
        <w:t xml:space="preserve">electronic application </w:t>
      </w:r>
      <w:r>
        <w:t>system.</w:t>
      </w:r>
    </w:p>
    <w:p w:rsidR="003117C2" w:rsidRDefault="003117C2" w:rsidP="003117C2">
      <w:pPr>
        <w:rPr>
          <w:b/>
          <w:color w:val="000000"/>
        </w:rPr>
      </w:pPr>
    </w:p>
    <w:p w:rsidR="003117C2" w:rsidRPr="00DD6106" w:rsidRDefault="003117C2" w:rsidP="003117C2">
      <w:pPr>
        <w:rPr>
          <w:b/>
          <w:color w:val="000000"/>
        </w:rPr>
      </w:pPr>
    </w:p>
    <w:p w:rsidR="003117C2" w:rsidRPr="00DD6106" w:rsidRDefault="003117C2" w:rsidP="003117C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3117C2" w:rsidRPr="00DD6106" w:rsidRDefault="003117C2" w:rsidP="003117C2">
      <w:pPr>
        <w:keepNext/>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3117C2" w:rsidRPr="00DD6106" w:rsidTr="00DC5E39">
        <w:trPr>
          <w:cantSplit/>
          <w:tblHeader/>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jc w:val="center"/>
              <w:rPr>
                <w:color w:val="000000"/>
                <w:u w:val="single"/>
              </w:rPr>
            </w:pPr>
            <w:r w:rsidRPr="00DD6106">
              <w:rPr>
                <w:color w:val="000000"/>
                <w:u w:val="single"/>
              </w:rPr>
              <w:t>Performance Indicators</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keepNext/>
              <w:ind w:left="397" w:hanging="397"/>
              <w:jc w:val="left"/>
              <w:rPr>
                <w:color w:val="000000"/>
              </w:rPr>
            </w:pPr>
            <w:r w:rsidRPr="003A1572">
              <w:rPr>
                <w:color w:val="000000"/>
              </w:rPr>
              <w:t>1.</w:t>
            </w:r>
            <w:r w:rsidRPr="003A1572">
              <w:rPr>
                <w:color w:val="000000"/>
              </w:rPr>
              <w:tab/>
              <w:t xml:space="preserve">Participation by members of the Union and observers in the work of the UPOV bodies </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ind w:left="397" w:hanging="397"/>
              <w:jc w:val="left"/>
              <w:rPr>
                <w:color w:val="000000"/>
              </w:rPr>
            </w:pPr>
            <w:r w:rsidRPr="00DD6106">
              <w:rPr>
                <w:color w:val="000000"/>
              </w:rPr>
              <w:t>(a)</w:t>
            </w:r>
            <w:r w:rsidRPr="00DD6106">
              <w:rPr>
                <w:color w:val="000000"/>
              </w:rPr>
              <w:tab/>
              <w:t>participation in the Administrative and Legal Committee, Technical Committee and Technical Working Parties and associated preparatory workshops.</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keepNext/>
              <w:ind w:left="397" w:hanging="397"/>
              <w:jc w:val="left"/>
              <w:rPr>
                <w:color w:val="000000"/>
              </w:rPr>
            </w:pPr>
            <w:r w:rsidRPr="003A1572">
              <w:rPr>
                <w:color w:val="000000"/>
              </w:rPr>
              <w:t>2.</w:t>
            </w:r>
            <w:r w:rsidRPr="003A1572">
              <w:rPr>
                <w:color w:val="000000"/>
              </w:rPr>
              <w:tab/>
              <w:t>Guidance on the UPOV Convention and its implementation and information on its application</w:t>
            </w:r>
          </w:p>
        </w:tc>
        <w:tc>
          <w:tcPr>
            <w:tcW w:w="5246" w:type="dxa"/>
            <w:tcBorders>
              <w:top w:val="single" w:sz="4" w:space="0" w:color="000000"/>
              <w:left w:val="single" w:sz="4" w:space="0" w:color="000000"/>
              <w:bottom w:val="single" w:sz="4" w:space="0" w:color="000000"/>
              <w:right w:val="single" w:sz="4" w:space="0" w:color="000000"/>
            </w:tcBorders>
          </w:tcPr>
          <w:p w:rsidR="003117C2" w:rsidRPr="00513371" w:rsidRDefault="003117C2" w:rsidP="00DC5E39">
            <w:pPr>
              <w:spacing w:after="60"/>
              <w:ind w:left="397" w:hanging="397"/>
              <w:jc w:val="left"/>
              <w:rPr>
                <w:color w:val="000000"/>
              </w:rPr>
            </w:pPr>
            <w:r w:rsidRPr="00513371">
              <w:rPr>
                <w:color w:val="000000"/>
              </w:rPr>
              <w:t>(a)</w:t>
            </w:r>
            <w:r w:rsidRPr="00513371">
              <w:rPr>
                <w:color w:val="000000"/>
              </w:rPr>
              <w:tab/>
              <w:t>adoption of new or revised information materials concerning the UPOV Convention;</w:t>
            </w:r>
          </w:p>
          <w:p w:rsidR="003117C2" w:rsidRPr="00513371" w:rsidRDefault="003117C2" w:rsidP="00DC5E39">
            <w:pPr>
              <w:spacing w:after="60"/>
              <w:ind w:left="397" w:hanging="397"/>
              <w:jc w:val="left"/>
              <w:rPr>
                <w:color w:val="000000"/>
              </w:rPr>
            </w:pPr>
            <w:r w:rsidRPr="00513371">
              <w:rPr>
                <w:color w:val="000000"/>
              </w:rPr>
              <w:t>(</w:t>
            </w:r>
            <w:r>
              <w:rPr>
                <w:color w:val="000000"/>
              </w:rPr>
              <w:t>b</w:t>
            </w:r>
            <w:r w:rsidRPr="00513371">
              <w:rPr>
                <w:color w:val="000000"/>
              </w:rPr>
              <w:t>)</w:t>
            </w:r>
            <w:r w:rsidRPr="00513371">
              <w:rPr>
                <w:color w:val="000000"/>
              </w:rPr>
              <w:tab/>
              <w:t>publication of the UPOV Gazette and Newsletter;</w:t>
            </w:r>
          </w:p>
          <w:p w:rsidR="003117C2" w:rsidRDefault="003117C2" w:rsidP="00DC5E39">
            <w:pPr>
              <w:spacing w:after="60"/>
              <w:ind w:left="397" w:hanging="397"/>
              <w:jc w:val="left"/>
              <w:rPr>
                <w:color w:val="000000"/>
              </w:rPr>
            </w:pPr>
            <w:r>
              <w:rPr>
                <w:color w:val="000000"/>
              </w:rPr>
              <w:t>(c</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w:t>
            </w:r>
            <w:r>
              <w:rPr>
                <w:color w:val="000000"/>
              </w:rPr>
              <w:t xml:space="preserve">mbers of the Union in UPOV Lex; </w:t>
            </w:r>
          </w:p>
          <w:p w:rsidR="003117C2" w:rsidRPr="00513371" w:rsidRDefault="003117C2" w:rsidP="00DC5E39">
            <w:pPr>
              <w:ind w:left="397" w:hanging="397"/>
              <w:jc w:val="left"/>
              <w:rPr>
                <w:color w:val="000000"/>
              </w:rPr>
            </w:pPr>
            <w:r>
              <w:rPr>
                <w:color w:val="000000"/>
              </w:rPr>
              <w:t>(d</w:t>
            </w:r>
            <w:r w:rsidRPr="00DD6106">
              <w:rPr>
                <w:color w:val="000000"/>
              </w:rPr>
              <w:t>)</w:t>
            </w:r>
            <w:r w:rsidRPr="00DD6106">
              <w:rPr>
                <w:color w:val="000000"/>
              </w:rPr>
              <w:tab/>
              <w:t>availability of UPOV documents and materials in languages other than the UPOV languages (English, French, German and Spanish).</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keepNext/>
              <w:ind w:left="397" w:hanging="397"/>
              <w:jc w:val="left"/>
              <w:rPr>
                <w:color w:val="000000"/>
              </w:rPr>
            </w:pPr>
            <w:r w:rsidRPr="003A1572">
              <w:rPr>
                <w:color w:val="000000"/>
              </w:rPr>
              <w:t>3.</w:t>
            </w:r>
            <w:r w:rsidRPr="003A1572">
              <w:rPr>
                <w:color w:val="000000"/>
              </w:rPr>
              <w:tab/>
              <w:t>Guidance on the examination of varieties</w:t>
            </w:r>
          </w:p>
        </w:tc>
        <w:tc>
          <w:tcPr>
            <w:tcW w:w="5246" w:type="dxa"/>
            <w:tcBorders>
              <w:top w:val="single" w:sz="4" w:space="0" w:color="000000"/>
              <w:left w:val="single" w:sz="4" w:space="0" w:color="000000"/>
              <w:bottom w:val="single" w:sz="4" w:space="0" w:color="000000"/>
              <w:right w:val="single" w:sz="4" w:space="0" w:color="000000"/>
            </w:tcBorders>
          </w:tcPr>
          <w:p w:rsidR="003117C2" w:rsidRPr="00513371" w:rsidRDefault="003117C2" w:rsidP="00DC5E39">
            <w:pPr>
              <w:spacing w:after="60"/>
              <w:ind w:left="397" w:hanging="397"/>
              <w:jc w:val="left"/>
              <w:rPr>
                <w:color w:val="000000"/>
              </w:rPr>
            </w:pPr>
            <w:r w:rsidRPr="00513371">
              <w:rPr>
                <w:color w:val="000000"/>
              </w:rPr>
              <w:t>(a)</w:t>
            </w:r>
            <w:r w:rsidRPr="00513371">
              <w:rPr>
                <w:color w:val="000000"/>
              </w:rPr>
              <w:tab/>
              <w:t>adoption of new or revised TGP documents and information materials;</w:t>
            </w:r>
          </w:p>
          <w:p w:rsidR="003117C2" w:rsidRPr="00513371" w:rsidRDefault="003117C2" w:rsidP="00DC5E39">
            <w:pPr>
              <w:spacing w:after="60"/>
              <w:ind w:left="397" w:hanging="397"/>
              <w:jc w:val="left"/>
              <w:rPr>
                <w:color w:val="000000"/>
              </w:rPr>
            </w:pPr>
            <w:r w:rsidRPr="00513371">
              <w:rPr>
                <w:color w:val="000000"/>
              </w:rPr>
              <w:t>(b)</w:t>
            </w:r>
            <w:r w:rsidRPr="00513371">
              <w:rPr>
                <w:color w:val="000000"/>
              </w:rPr>
              <w:tab/>
              <w:t>adoption of new or revised Test Guidelines;</w:t>
            </w:r>
          </w:p>
          <w:p w:rsidR="003117C2" w:rsidRPr="00513371" w:rsidRDefault="003117C2" w:rsidP="00DC5E39">
            <w:pPr>
              <w:spacing w:after="60"/>
              <w:ind w:left="397" w:hanging="397"/>
              <w:jc w:val="left"/>
              <w:rPr>
                <w:color w:val="000000"/>
              </w:rPr>
            </w:pPr>
            <w:r w:rsidRPr="00513371">
              <w:rPr>
                <w:color w:val="000000"/>
              </w:rPr>
              <w:t>(c)</w:t>
            </w:r>
            <w:r w:rsidRPr="00513371">
              <w:rPr>
                <w:color w:val="000000"/>
              </w:rPr>
              <w:tab/>
              <w:t xml:space="preserve">number of </w:t>
            </w:r>
            <w:r>
              <w:rPr>
                <w:color w:val="000000"/>
              </w:rPr>
              <w:t xml:space="preserve">PBR </w:t>
            </w:r>
            <w:r w:rsidRPr="00513371">
              <w:rPr>
                <w:color w:val="000000"/>
              </w:rPr>
              <w:t>appli</w:t>
            </w:r>
            <w:r>
              <w:rPr>
                <w:color w:val="000000"/>
              </w:rPr>
              <w:t>cations covered by adopted Test </w:t>
            </w:r>
            <w:r w:rsidRPr="00513371">
              <w:rPr>
                <w:color w:val="000000"/>
              </w:rPr>
              <w:t>Guidelines</w:t>
            </w:r>
            <w:r>
              <w:rPr>
                <w:color w:val="000000"/>
              </w:rPr>
              <w:t>;</w:t>
            </w:r>
          </w:p>
          <w:p w:rsidR="003117C2" w:rsidRDefault="003117C2" w:rsidP="00DC5E39">
            <w:pPr>
              <w:spacing w:after="60"/>
              <w:ind w:left="397" w:hanging="397"/>
              <w:jc w:val="left"/>
              <w:rPr>
                <w:color w:val="000000"/>
              </w:rPr>
            </w:pPr>
            <w:r>
              <w:rPr>
                <w:color w:val="000000"/>
              </w:rPr>
              <w:t>(d)</w:t>
            </w:r>
            <w:r>
              <w:rPr>
                <w:color w:val="000000"/>
              </w:rPr>
              <w:tab/>
              <w:t xml:space="preserve">number of </w:t>
            </w:r>
            <w:r w:rsidRPr="00832AF3">
              <w:rPr>
                <w:color w:val="000000"/>
              </w:rPr>
              <w:t>Test Guidelines</w:t>
            </w:r>
            <w:r>
              <w:rPr>
                <w:color w:val="000000"/>
              </w:rPr>
              <w:t xml:space="preserve"> under development in the TWPs</w:t>
            </w:r>
          </w:p>
          <w:p w:rsidR="003117C2" w:rsidRDefault="003117C2" w:rsidP="00DC5E39">
            <w:pPr>
              <w:spacing w:after="60"/>
              <w:ind w:left="397" w:hanging="397"/>
              <w:jc w:val="left"/>
              <w:rPr>
                <w:color w:val="000000"/>
              </w:rPr>
            </w:pPr>
            <w:r>
              <w:rPr>
                <w:color w:val="000000"/>
              </w:rPr>
              <w:t>(e</w:t>
            </w:r>
            <w:r w:rsidRPr="00DD6106">
              <w:rPr>
                <w:color w:val="000000"/>
              </w:rPr>
              <w:t>)</w:t>
            </w:r>
            <w:r w:rsidRPr="00DD6106">
              <w:rPr>
                <w:color w:val="000000"/>
              </w:rPr>
              <w:tab/>
              <w:t>participation in the d</w:t>
            </w:r>
            <w:r>
              <w:rPr>
                <w:color w:val="000000"/>
              </w:rPr>
              <w:t>evelopment of Test Guidelines;</w:t>
            </w:r>
          </w:p>
          <w:p w:rsidR="003117C2" w:rsidRDefault="003117C2" w:rsidP="00DC5E39">
            <w:pPr>
              <w:spacing w:after="60"/>
              <w:ind w:left="397" w:hanging="397"/>
              <w:jc w:val="left"/>
              <w:rPr>
                <w:color w:val="000000" w:themeColor="text1"/>
              </w:rPr>
            </w:pPr>
            <w:r>
              <w:rPr>
                <w:color w:val="000000"/>
              </w:rPr>
              <w:t>(f)</w:t>
            </w:r>
            <w:r>
              <w:rPr>
                <w:color w:val="000000"/>
              </w:rPr>
              <w:tab/>
              <w:t xml:space="preserve">development of  </w:t>
            </w:r>
            <w:r w:rsidRPr="00931087">
              <w:rPr>
                <w:color w:val="000000" w:themeColor="text1"/>
              </w:rPr>
              <w:t>web-based Test Guidelines Template (TG Template)</w:t>
            </w:r>
            <w:r>
              <w:rPr>
                <w:color w:val="000000" w:themeColor="text1"/>
              </w:rPr>
              <w:t xml:space="preserve"> with facility for:</w:t>
            </w:r>
          </w:p>
          <w:p w:rsidR="003117C2" w:rsidRDefault="003117C2" w:rsidP="00DC5E39">
            <w:pPr>
              <w:spacing w:after="60"/>
              <w:ind w:left="794" w:hanging="397"/>
              <w:jc w:val="left"/>
              <w:rPr>
                <w:color w:val="000000" w:themeColor="text1"/>
              </w:rPr>
            </w:pPr>
            <w:r>
              <w:rPr>
                <w:color w:val="000000" w:themeColor="text1"/>
              </w:rPr>
              <w:t>(</w:t>
            </w:r>
            <w:proofErr w:type="spellStart"/>
            <w:r>
              <w:rPr>
                <w:color w:val="000000" w:themeColor="text1"/>
              </w:rPr>
              <w:t>i</w:t>
            </w:r>
            <w:proofErr w:type="spellEnd"/>
            <w:r>
              <w:rPr>
                <w:color w:val="000000" w:themeColor="text1"/>
              </w:rPr>
              <w:t>)</w:t>
            </w:r>
            <w:r>
              <w:rPr>
                <w:color w:val="000000" w:themeColor="text1"/>
              </w:rPr>
              <w:tab/>
              <w:t>translation in UPOV languages;</w:t>
            </w:r>
          </w:p>
          <w:p w:rsidR="003117C2" w:rsidRPr="00513371" w:rsidRDefault="003117C2" w:rsidP="00DC5E39">
            <w:pPr>
              <w:ind w:left="794" w:hanging="397"/>
              <w:jc w:val="left"/>
              <w:rPr>
                <w:color w:val="000000"/>
              </w:rPr>
            </w:pPr>
            <w:r>
              <w:rPr>
                <w:color w:val="000000" w:themeColor="text1"/>
              </w:rPr>
              <w:t>(ii)</w:t>
            </w:r>
            <w:r>
              <w:rPr>
                <w:color w:val="000000" w:themeColor="text1"/>
              </w:rPr>
              <w:tab/>
              <w:t xml:space="preserve">use by </w:t>
            </w:r>
            <w:r w:rsidRPr="00925D63">
              <w:rPr>
                <w:color w:val="000000" w:themeColor="text1"/>
              </w:rPr>
              <w:t>members of the Union</w:t>
            </w:r>
            <w:r>
              <w:rPr>
                <w:color w:val="000000" w:themeColor="text1"/>
              </w:rPr>
              <w:t xml:space="preserve"> in the preparation of </w:t>
            </w:r>
            <w:r w:rsidRPr="00925D63">
              <w:rPr>
                <w:color w:val="000000" w:themeColor="text1"/>
              </w:rPr>
              <w:t>individual authorities’ test guidelines</w:t>
            </w:r>
            <w:r w:rsidRPr="003A1572">
              <w:rPr>
                <w:color w:val="000000" w:themeColor="text1"/>
              </w:rPr>
              <w:t>.</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keepNext/>
              <w:ind w:left="397" w:hanging="397"/>
              <w:jc w:val="left"/>
              <w:rPr>
                <w:color w:val="000000"/>
              </w:rPr>
            </w:pPr>
            <w:r w:rsidRPr="003A1572">
              <w:rPr>
                <w:color w:val="000000"/>
              </w:rPr>
              <w:t>4.</w:t>
            </w:r>
            <w:r w:rsidRPr="003A1572">
              <w:rPr>
                <w:color w:val="000000"/>
              </w:rPr>
              <w:tab/>
              <w:t>Cooperation in DUS examination</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spacing w:after="60"/>
              <w:ind w:left="397" w:hanging="397"/>
              <w:jc w:val="left"/>
              <w:rPr>
                <w:color w:val="000000"/>
              </w:rPr>
            </w:pPr>
            <w:r w:rsidRPr="00DD6106">
              <w:rPr>
                <w:color w:val="000000"/>
              </w:rPr>
              <w:t>(a)</w:t>
            </w:r>
            <w:r w:rsidRPr="00DD6106">
              <w:rPr>
                <w:color w:val="000000"/>
              </w:rPr>
              <w:tab/>
              <w:t>plant genera and species for which members of the</w:t>
            </w:r>
            <w:r>
              <w:rPr>
                <w:color w:val="000000"/>
              </w:rPr>
              <w:t> </w:t>
            </w:r>
            <w:r w:rsidRPr="00DD6106">
              <w:rPr>
                <w:color w:val="000000"/>
              </w:rPr>
              <w:t>Union have practical experience</w:t>
            </w:r>
            <w:r>
              <w:rPr>
                <w:color w:val="000000"/>
              </w:rPr>
              <w:t xml:space="preserve"> included in GENIE </w:t>
            </w:r>
            <w:r w:rsidRPr="00A15192">
              <w:rPr>
                <w:color w:val="000000"/>
              </w:rPr>
              <w:t>database</w:t>
            </w:r>
            <w:r w:rsidRPr="00DD6106">
              <w:rPr>
                <w:color w:val="000000"/>
              </w:rPr>
              <w:t>;</w:t>
            </w:r>
          </w:p>
          <w:p w:rsidR="003117C2" w:rsidRPr="00DD6106" w:rsidRDefault="003117C2" w:rsidP="00DC5E39">
            <w:pPr>
              <w:ind w:left="397" w:hanging="397"/>
              <w:jc w:val="left"/>
              <w:rPr>
                <w:color w:val="000000"/>
              </w:rPr>
            </w:pPr>
            <w:r w:rsidRPr="00DD6106">
              <w:rPr>
                <w:color w:val="000000"/>
              </w:rPr>
              <w:t>(b)</w:t>
            </w:r>
            <w:r w:rsidRPr="00DD6106">
              <w:rPr>
                <w:color w:val="000000"/>
              </w:rPr>
              <w:tab/>
              <w:t>plant genera and species for which members of the</w:t>
            </w:r>
            <w:r>
              <w:rPr>
                <w:color w:val="000000"/>
              </w:rPr>
              <w:t> </w:t>
            </w:r>
            <w:r w:rsidRPr="00DD6106">
              <w:rPr>
                <w:color w:val="000000"/>
              </w:rPr>
              <w:t>Uni</w:t>
            </w:r>
            <w:r>
              <w:rPr>
                <w:color w:val="000000"/>
              </w:rPr>
              <w:t xml:space="preserve">on cooperate in DUS examination included in GENIE </w:t>
            </w:r>
            <w:r w:rsidRPr="00A15192">
              <w:rPr>
                <w:color w:val="000000"/>
              </w:rPr>
              <w:t>database</w:t>
            </w:r>
            <w:r>
              <w:rPr>
                <w:color w:val="000000"/>
              </w:rPr>
              <w:t>.</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keepNext/>
              <w:ind w:left="397" w:hanging="397"/>
              <w:jc w:val="left"/>
              <w:rPr>
                <w:color w:val="000000"/>
              </w:rPr>
            </w:pPr>
            <w:r w:rsidRPr="003A1572">
              <w:rPr>
                <w:color w:val="000000"/>
              </w:rPr>
              <w:t>5.</w:t>
            </w:r>
            <w:r w:rsidRPr="003A1572">
              <w:rPr>
                <w:color w:val="000000"/>
              </w:rPr>
              <w:tab/>
              <w:t>Cooperation in examination of variety denominations</w:t>
            </w:r>
          </w:p>
        </w:tc>
        <w:tc>
          <w:tcPr>
            <w:tcW w:w="5246" w:type="dxa"/>
            <w:tcBorders>
              <w:top w:val="single" w:sz="4" w:space="0" w:color="000000"/>
              <w:left w:val="single" w:sz="4" w:space="0" w:color="000000"/>
              <w:bottom w:val="single" w:sz="4" w:space="0" w:color="000000"/>
              <w:right w:val="single" w:sz="4" w:space="0" w:color="000000"/>
            </w:tcBorders>
          </w:tcPr>
          <w:p w:rsidR="003117C2" w:rsidRDefault="003117C2" w:rsidP="00DC5E39">
            <w:pPr>
              <w:spacing w:after="40"/>
              <w:ind w:left="397" w:hanging="397"/>
              <w:jc w:val="left"/>
              <w:rPr>
                <w:color w:val="000000"/>
              </w:rPr>
            </w:pPr>
            <w:r>
              <w:rPr>
                <w:color w:val="000000"/>
              </w:rPr>
              <w:t>(a)</w:t>
            </w:r>
            <w:r>
              <w:rPr>
                <w:color w:val="000000"/>
              </w:rPr>
              <w:tab/>
              <w:t xml:space="preserve">quantity and quality of data in PLUTO </w:t>
            </w:r>
            <w:r w:rsidRPr="00EF0C7F">
              <w:rPr>
                <w:color w:val="000000"/>
              </w:rPr>
              <w:t>database</w:t>
            </w:r>
            <w:r>
              <w:rPr>
                <w:color w:val="000000"/>
              </w:rPr>
              <w:t>:</w:t>
            </w:r>
          </w:p>
          <w:p w:rsidR="003117C2" w:rsidRDefault="003117C2" w:rsidP="00DC5E39">
            <w:pPr>
              <w:spacing w:after="40"/>
              <w:ind w:left="794" w:hanging="397"/>
              <w:jc w:val="left"/>
              <w:rPr>
                <w:color w:val="000000"/>
              </w:rPr>
            </w:pPr>
            <w:r>
              <w:rPr>
                <w:color w:val="000000"/>
              </w:rPr>
              <w:t>(</w:t>
            </w:r>
            <w:proofErr w:type="spellStart"/>
            <w:r>
              <w:rPr>
                <w:color w:val="000000"/>
              </w:rPr>
              <w:t>i</w:t>
            </w:r>
            <w:proofErr w:type="spellEnd"/>
            <w:r>
              <w:rPr>
                <w:color w:val="000000"/>
              </w:rPr>
              <w:t>)</w:t>
            </w:r>
            <w:r>
              <w:rPr>
                <w:color w:val="000000"/>
              </w:rPr>
              <w:tab/>
              <w:t>number of contributors</w:t>
            </w:r>
          </w:p>
          <w:p w:rsidR="003117C2" w:rsidRDefault="003117C2" w:rsidP="00DC5E39">
            <w:pPr>
              <w:spacing w:after="40"/>
              <w:ind w:left="794" w:hanging="397"/>
              <w:jc w:val="left"/>
              <w:rPr>
                <w:color w:val="000000"/>
              </w:rPr>
            </w:pPr>
            <w:r>
              <w:rPr>
                <w:color w:val="000000"/>
              </w:rPr>
              <w:t>(ii)</w:t>
            </w:r>
            <w:r>
              <w:rPr>
                <w:color w:val="000000"/>
              </w:rPr>
              <w:tab/>
              <w:t xml:space="preserve">number of new submissions </w:t>
            </w:r>
          </w:p>
          <w:p w:rsidR="003117C2" w:rsidRDefault="003117C2" w:rsidP="00DC5E39">
            <w:pPr>
              <w:spacing w:after="40"/>
              <w:ind w:left="794" w:hanging="397"/>
              <w:jc w:val="left"/>
              <w:rPr>
                <w:color w:val="000000"/>
              </w:rPr>
            </w:pPr>
            <w:r>
              <w:rPr>
                <w:color w:val="000000"/>
              </w:rPr>
              <w:t>(iii)</w:t>
            </w:r>
            <w:r>
              <w:rPr>
                <w:color w:val="000000"/>
              </w:rPr>
              <w:tab/>
              <w:t>number of records</w:t>
            </w:r>
          </w:p>
          <w:p w:rsidR="003117C2" w:rsidRDefault="003117C2" w:rsidP="00DC5E39">
            <w:pPr>
              <w:spacing w:after="40"/>
              <w:ind w:left="794" w:hanging="397"/>
              <w:jc w:val="left"/>
              <w:rPr>
                <w:color w:val="000000"/>
              </w:rPr>
            </w:pPr>
            <w:r>
              <w:rPr>
                <w:color w:val="000000"/>
              </w:rPr>
              <w:t>(iv)</w:t>
            </w:r>
            <w:r>
              <w:rPr>
                <w:color w:val="000000"/>
              </w:rPr>
              <w:tab/>
              <w:t>number of mandatory items provided</w:t>
            </w:r>
          </w:p>
          <w:p w:rsidR="003117C2" w:rsidRDefault="003117C2" w:rsidP="00DC5E39">
            <w:pPr>
              <w:spacing w:after="40"/>
              <w:ind w:left="794" w:hanging="397"/>
              <w:jc w:val="left"/>
              <w:rPr>
                <w:color w:val="000000"/>
              </w:rPr>
            </w:pPr>
            <w:r>
              <w:rPr>
                <w:color w:val="000000"/>
              </w:rPr>
              <w:t>(v)</w:t>
            </w:r>
            <w:r>
              <w:rPr>
                <w:color w:val="000000"/>
              </w:rPr>
              <w:tab/>
              <w:t>number of non-mandatory items provided</w:t>
            </w:r>
          </w:p>
          <w:p w:rsidR="003117C2" w:rsidRDefault="003117C2" w:rsidP="00DC5E39">
            <w:pPr>
              <w:spacing w:after="60"/>
              <w:ind w:left="794" w:hanging="397"/>
              <w:jc w:val="left"/>
              <w:rPr>
                <w:color w:val="000000"/>
              </w:rPr>
            </w:pPr>
            <w:r>
              <w:rPr>
                <w:color w:val="000000"/>
              </w:rPr>
              <w:t>(vi)</w:t>
            </w:r>
            <w:r>
              <w:rPr>
                <w:color w:val="000000"/>
              </w:rPr>
              <w:tab/>
              <w:t>annual edition of CD-ROM version</w:t>
            </w:r>
          </w:p>
          <w:p w:rsidR="003117C2" w:rsidRPr="00513371" w:rsidRDefault="003117C2" w:rsidP="00DC5E39">
            <w:pPr>
              <w:ind w:left="397" w:hanging="397"/>
              <w:jc w:val="left"/>
              <w:rPr>
                <w:color w:val="000000"/>
              </w:rPr>
            </w:pPr>
            <w:r>
              <w:rPr>
                <w:color w:val="000000"/>
              </w:rPr>
              <w:t>(b)</w:t>
            </w:r>
            <w:r>
              <w:rPr>
                <w:color w:val="000000"/>
              </w:rPr>
              <w:tab/>
              <w:t xml:space="preserve">development and approval by the Council of a </w:t>
            </w:r>
            <w:r w:rsidRPr="003405AC">
              <w:rPr>
                <w:snapToGrid w:val="0"/>
                <w:color w:val="000000" w:themeColor="text1"/>
              </w:rPr>
              <w:t>UPOV similarity</w:t>
            </w:r>
            <w:r>
              <w:rPr>
                <w:snapToGrid w:val="0"/>
                <w:color w:val="000000" w:themeColor="text1"/>
              </w:rPr>
              <w:t xml:space="preserve"> </w:t>
            </w:r>
            <w:r w:rsidRPr="003405AC">
              <w:rPr>
                <w:snapToGrid w:val="0"/>
                <w:color w:val="000000" w:themeColor="text1"/>
              </w:rPr>
              <w:t>search tool</w:t>
            </w:r>
            <w:r>
              <w:rPr>
                <w:snapToGrid w:val="0"/>
                <w:color w:val="000000" w:themeColor="text1"/>
              </w:rPr>
              <w:t xml:space="preserve"> </w:t>
            </w:r>
            <w:r w:rsidRPr="003405AC">
              <w:rPr>
                <w:snapToGrid w:val="0"/>
                <w:color w:val="000000" w:themeColor="text1"/>
              </w:rPr>
              <w:t>for variety deno</w:t>
            </w:r>
            <w:r>
              <w:rPr>
                <w:snapToGrid w:val="0"/>
                <w:color w:val="000000" w:themeColor="text1"/>
              </w:rPr>
              <w:t xml:space="preserve">minations and inclusion in PLUTO </w:t>
            </w:r>
            <w:r w:rsidRPr="00C24456">
              <w:rPr>
                <w:snapToGrid w:val="0"/>
                <w:color w:val="000000" w:themeColor="text1"/>
              </w:rPr>
              <w:t>database</w:t>
            </w:r>
            <w:r w:rsidRPr="003A1572">
              <w:rPr>
                <w:snapToGrid w:val="0"/>
                <w:color w:val="000000" w:themeColor="text1"/>
              </w:rPr>
              <w:t>.</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3A1572" w:rsidRDefault="003117C2" w:rsidP="00DC5E39">
            <w:pPr>
              <w:ind w:left="397" w:hanging="397"/>
              <w:jc w:val="left"/>
              <w:rPr>
                <w:color w:val="000000"/>
              </w:rPr>
            </w:pPr>
            <w:r w:rsidRPr="003A1572">
              <w:rPr>
                <w:color w:val="000000"/>
              </w:rPr>
              <w:t>6.</w:t>
            </w:r>
            <w:r w:rsidRPr="003A1572">
              <w:rPr>
                <w:color w:val="000000"/>
              </w:rPr>
              <w:tab/>
              <w:t xml:space="preserve">Facilitating applications for plant breeders’ rights </w:t>
            </w:r>
          </w:p>
        </w:tc>
        <w:tc>
          <w:tcPr>
            <w:tcW w:w="5246" w:type="dxa"/>
            <w:tcBorders>
              <w:top w:val="single" w:sz="4" w:space="0" w:color="000000"/>
              <w:left w:val="single" w:sz="4" w:space="0" w:color="000000"/>
              <w:bottom w:val="single" w:sz="4" w:space="0" w:color="000000"/>
              <w:right w:val="single" w:sz="4" w:space="0" w:color="000000"/>
            </w:tcBorders>
          </w:tcPr>
          <w:p w:rsidR="003117C2" w:rsidRDefault="003117C2" w:rsidP="00DC5E39">
            <w:pPr>
              <w:spacing w:after="60"/>
              <w:ind w:left="397" w:hanging="397"/>
              <w:jc w:val="left"/>
            </w:pPr>
            <w:r w:rsidRPr="00513371">
              <w:rPr>
                <w:color w:val="000000"/>
              </w:rPr>
              <w:t>(</w:t>
            </w:r>
            <w:r>
              <w:rPr>
                <w:color w:val="000000"/>
              </w:rPr>
              <w:t>a</w:t>
            </w:r>
            <w:r w:rsidRPr="00513371">
              <w:rPr>
                <w:color w:val="000000"/>
              </w:rPr>
              <w:t>)</w:t>
            </w:r>
            <w:r w:rsidRPr="00513371">
              <w:rPr>
                <w:color w:val="000000"/>
              </w:rPr>
              <w:tab/>
            </w:r>
            <w:r w:rsidRPr="00513371">
              <w:t xml:space="preserve">development </w:t>
            </w:r>
            <w:r>
              <w:t xml:space="preserve">and approval by the Council </w:t>
            </w:r>
            <w:r w:rsidRPr="00513371">
              <w:t xml:space="preserve">of </w:t>
            </w:r>
            <w:r>
              <w:t xml:space="preserve">an electronic application system </w:t>
            </w:r>
            <w:r w:rsidRPr="00A87F09">
              <w:t>for selected species and languages, enabling breeders to provide information for PBR applications for participating members of the Union, via the UPOV website</w:t>
            </w:r>
            <w:r>
              <w:t>;</w:t>
            </w:r>
          </w:p>
          <w:p w:rsidR="003117C2" w:rsidRPr="00513371" w:rsidRDefault="003117C2" w:rsidP="00DC5E39">
            <w:pPr>
              <w:ind w:left="397" w:hanging="397"/>
              <w:jc w:val="left"/>
              <w:rPr>
                <w:color w:val="000000"/>
              </w:rPr>
            </w:pPr>
            <w:r>
              <w:t>(b)</w:t>
            </w:r>
            <w:r>
              <w:tab/>
            </w:r>
            <w:r w:rsidRPr="00A87F09">
              <w:t>allocation of crop type(s) for UPOV codes</w:t>
            </w:r>
            <w:r>
              <w:t xml:space="preserve"> and modification of t</w:t>
            </w:r>
            <w:r w:rsidRPr="00A87F09">
              <w:t xml:space="preserve">he GENIE and PLUTO databases </w:t>
            </w:r>
            <w:r>
              <w:t>to enable</w:t>
            </w:r>
            <w:r w:rsidRPr="00A87F09">
              <w:t xml:space="preserve"> statistics </w:t>
            </w:r>
            <w:r>
              <w:t xml:space="preserve">to be provided </w:t>
            </w:r>
            <w:r w:rsidRPr="00A87F09">
              <w:t>by crop type (agriculture, fruit, ornamental</w:t>
            </w:r>
            <w:r>
              <w:t>s, vegetables and forest trees)</w:t>
            </w:r>
            <w:r w:rsidRPr="00A87F09">
              <w:t xml:space="preserve">.  </w:t>
            </w:r>
          </w:p>
        </w:tc>
      </w:tr>
    </w:tbl>
    <w:p w:rsidR="003117C2" w:rsidRDefault="003117C2" w:rsidP="003117C2">
      <w:pPr>
        <w:jc w:val="left"/>
        <w:rPr>
          <w:b/>
        </w:rPr>
      </w:pPr>
      <w:r>
        <w:rPr>
          <w:b/>
        </w:rPr>
        <w:br w:type="page"/>
      </w:r>
    </w:p>
    <w:p w:rsidR="003117C2" w:rsidRPr="00DD6106" w:rsidRDefault="003117C2" w:rsidP="003117C2">
      <w:pPr>
        <w:keepNext/>
        <w:tabs>
          <w:tab w:val="left" w:pos="567"/>
        </w:tabs>
        <w:ind w:left="2835" w:hanging="2835"/>
        <w:rPr>
          <w:b/>
        </w:rPr>
      </w:pPr>
      <w:r w:rsidRPr="00DD6106">
        <w:rPr>
          <w:b/>
        </w:rPr>
        <w:t>2.3</w:t>
      </w:r>
      <w:r w:rsidRPr="00DD6106">
        <w:rPr>
          <w:b/>
        </w:rPr>
        <w:tab/>
      </w:r>
      <w:r w:rsidRPr="00DD6106">
        <w:rPr>
          <w:b/>
          <w:u w:val="single"/>
        </w:rPr>
        <w:t>Sub-program UV.3</w:t>
      </w:r>
      <w:r w:rsidRPr="00DD6106">
        <w:rPr>
          <w:b/>
        </w:rPr>
        <w:t>:</w:t>
      </w:r>
      <w:r w:rsidRPr="00DD6106">
        <w:rPr>
          <w:b/>
        </w:rPr>
        <w:tab/>
      </w:r>
      <w:r w:rsidRPr="00DD6106">
        <w:rPr>
          <w:b/>
          <w:u w:val="single"/>
        </w:rPr>
        <w:t>Assistance in the Introduction and Implementation of the UPOV System</w:t>
      </w:r>
    </w:p>
    <w:p w:rsidR="003117C2" w:rsidRPr="00DD6106" w:rsidRDefault="003117C2" w:rsidP="003117C2"/>
    <w:p w:rsidR="003117C2" w:rsidRPr="00DD6106" w:rsidRDefault="003117C2" w:rsidP="003117C2">
      <w:pPr>
        <w:keepNext/>
        <w:rPr>
          <w:b/>
        </w:rPr>
      </w:pPr>
      <w:r w:rsidRPr="00DD6106">
        <w:rPr>
          <w:b/>
        </w:rPr>
        <w:t>2.3.1</w:t>
      </w:r>
      <w:r w:rsidRPr="00DD6106">
        <w:rPr>
          <w:b/>
        </w:rPr>
        <w:tab/>
        <w:t>Objectives</w:t>
      </w:r>
    </w:p>
    <w:p w:rsidR="003117C2" w:rsidRPr="00DD6106" w:rsidRDefault="003117C2" w:rsidP="003117C2">
      <w:pPr>
        <w:keepNext/>
      </w:pPr>
    </w:p>
    <w:p w:rsidR="003117C2" w:rsidRPr="00DD6106" w:rsidRDefault="003117C2" w:rsidP="003117C2">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3117C2" w:rsidRPr="00DD6106" w:rsidRDefault="003117C2" w:rsidP="003117C2"/>
    <w:p w:rsidR="003117C2" w:rsidRPr="00DD6106" w:rsidRDefault="003117C2" w:rsidP="003117C2">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3117C2" w:rsidRPr="00DD6106" w:rsidRDefault="003117C2" w:rsidP="003117C2"/>
    <w:p w:rsidR="003117C2" w:rsidRPr="00DD6106" w:rsidRDefault="003117C2" w:rsidP="003117C2">
      <w:r w:rsidRPr="00DD6106">
        <w:tab/>
        <w:t>(c)</w:t>
      </w:r>
      <w:r w:rsidRPr="00DD6106">
        <w:tab/>
        <w:t>To assist States and organizations in their accession to the 1991 Act of the UPOV Convention.</w:t>
      </w:r>
    </w:p>
    <w:p w:rsidR="003117C2" w:rsidRPr="00DD6106" w:rsidRDefault="003117C2" w:rsidP="003117C2"/>
    <w:p w:rsidR="003117C2" w:rsidRPr="00513371" w:rsidRDefault="003117C2" w:rsidP="003117C2">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3117C2" w:rsidRDefault="003117C2" w:rsidP="003117C2">
      <w:pPr>
        <w:jc w:val="left"/>
      </w:pPr>
    </w:p>
    <w:p w:rsidR="003117C2" w:rsidRDefault="003117C2" w:rsidP="003117C2">
      <w:pPr>
        <w:jc w:val="left"/>
      </w:pPr>
    </w:p>
    <w:p w:rsidR="003117C2" w:rsidRPr="00513371" w:rsidRDefault="003117C2" w:rsidP="003117C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3117C2" w:rsidRDefault="003117C2" w:rsidP="003117C2"/>
    <w:p w:rsidR="003117C2" w:rsidRPr="00E003E4" w:rsidRDefault="003117C2" w:rsidP="003117C2">
      <w:pPr>
        <w:tabs>
          <w:tab w:val="left" w:pos="851"/>
        </w:tabs>
        <w:rPr>
          <w:color w:val="000000" w:themeColor="text1"/>
          <w:u w:val="single"/>
        </w:rPr>
      </w:pPr>
      <w:r w:rsidRPr="00E003E4">
        <w:rPr>
          <w:color w:val="000000" w:themeColor="text1"/>
          <w:u w:val="single"/>
        </w:rPr>
        <w:t>Introduction</w:t>
      </w:r>
    </w:p>
    <w:p w:rsidR="003117C2" w:rsidRDefault="003117C2" w:rsidP="003117C2">
      <w:pPr>
        <w:tabs>
          <w:tab w:val="left" w:pos="851"/>
        </w:tabs>
        <w:rPr>
          <w:color w:val="000000" w:themeColor="text1"/>
        </w:rPr>
      </w:pPr>
    </w:p>
    <w:p w:rsidR="003117C2" w:rsidRPr="00443397" w:rsidRDefault="003117C2" w:rsidP="003117C2">
      <w:pPr>
        <w:rPr>
          <w:color w:val="000000" w:themeColor="text1"/>
        </w:rPr>
      </w:pPr>
      <w:r w:rsidRPr="00443397">
        <w:rPr>
          <w:color w:val="000000" w:themeColor="text1"/>
        </w:rPr>
        <w:t>2.3.2.1</w:t>
      </w:r>
      <w:r w:rsidRPr="00443397">
        <w:rPr>
          <w:color w:val="000000" w:themeColor="text1"/>
        </w:rPr>
        <w:tab/>
        <w:t xml:space="preserve">This sub-program covers the assistance provided in response to requests by members of the Union and potential members of the Union.  Satisfying the demand for assistance in the introduction and implementation of the UPOV system within available resources relies on the use </w:t>
      </w:r>
      <w:r>
        <w:rPr>
          <w:color w:val="000000" w:themeColor="text1"/>
        </w:rPr>
        <w:t xml:space="preserve">of </w:t>
      </w:r>
      <w:r w:rsidRPr="00443397">
        <w:rPr>
          <w:color w:val="000000" w:themeColor="text1"/>
        </w:rPr>
        <w:t xml:space="preserve">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   </w:t>
      </w:r>
    </w:p>
    <w:p w:rsidR="003117C2" w:rsidRPr="00443397" w:rsidRDefault="003117C2" w:rsidP="003117C2"/>
    <w:p w:rsidR="003117C2" w:rsidRPr="00443397" w:rsidRDefault="003117C2" w:rsidP="003117C2">
      <w:pPr>
        <w:rPr>
          <w:color w:val="000000" w:themeColor="text1"/>
        </w:rPr>
      </w:pPr>
      <w:r w:rsidRPr="00443397">
        <w:rPr>
          <w:color w:val="000000" w:themeColor="text1"/>
        </w:rPr>
        <w:t>2.3.2.2</w:t>
      </w:r>
      <w:r>
        <w:rPr>
          <w:color w:val="FF0000"/>
        </w:rPr>
        <w:tab/>
      </w:r>
      <w:r w:rsidRPr="00443397">
        <w:rPr>
          <w:color w:val="000000" w:themeColor="text1"/>
        </w:rPr>
        <w:t>The priority for providing assistance by the Office of the Union is as follows:</w:t>
      </w:r>
    </w:p>
    <w:p w:rsidR="003117C2" w:rsidRPr="00443397" w:rsidRDefault="003117C2" w:rsidP="003117C2">
      <w:pPr>
        <w:rPr>
          <w:color w:val="000000" w:themeColor="text1"/>
        </w:rPr>
      </w:pPr>
    </w:p>
    <w:p w:rsidR="003117C2" w:rsidRPr="00443397" w:rsidRDefault="003117C2" w:rsidP="003117C2">
      <w:pPr>
        <w:spacing w:after="120"/>
        <w:ind w:left="567"/>
        <w:rPr>
          <w:color w:val="000000" w:themeColor="text1"/>
        </w:rPr>
      </w:pPr>
      <w:r w:rsidRPr="00443397">
        <w:rPr>
          <w:color w:val="000000" w:themeColor="text1"/>
        </w:rPr>
        <w:t>(</w:t>
      </w:r>
      <w:proofErr w:type="spellStart"/>
      <w:r w:rsidRPr="00443397">
        <w:rPr>
          <w:color w:val="000000" w:themeColor="text1"/>
        </w:rPr>
        <w:t>i</w:t>
      </w:r>
      <w:proofErr w:type="spellEnd"/>
      <w:r w:rsidRPr="00443397">
        <w:rPr>
          <w:color w:val="000000" w:themeColor="text1"/>
        </w:rPr>
        <w:t>)</w:t>
      </w:r>
      <w:r w:rsidRPr="00443397">
        <w:rPr>
          <w:color w:val="000000" w:themeColor="text1"/>
        </w:rPr>
        <w:tab/>
        <w:t>assistance to existing members of the Union;</w:t>
      </w:r>
    </w:p>
    <w:p w:rsidR="003117C2" w:rsidRPr="00443397" w:rsidRDefault="003117C2" w:rsidP="003117C2">
      <w:pPr>
        <w:spacing w:after="120"/>
        <w:ind w:left="567"/>
        <w:rPr>
          <w:color w:val="000000" w:themeColor="text1"/>
        </w:rPr>
      </w:pPr>
      <w:r w:rsidRPr="00443397">
        <w:rPr>
          <w:color w:val="000000" w:themeColor="text1"/>
        </w:rPr>
        <w:t>(ii)</w:t>
      </w:r>
      <w:r w:rsidRPr="00443397">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3117C2" w:rsidRPr="00443397" w:rsidRDefault="003117C2" w:rsidP="003117C2">
      <w:pPr>
        <w:tabs>
          <w:tab w:val="left" w:pos="567"/>
        </w:tabs>
        <w:ind w:left="567"/>
        <w:rPr>
          <w:color w:val="000000" w:themeColor="text1"/>
        </w:rPr>
      </w:pPr>
      <w:r w:rsidRPr="00443397">
        <w:rPr>
          <w:color w:val="000000" w:themeColor="text1"/>
        </w:rPr>
        <w:t>(iii)</w:t>
      </w:r>
      <w:r w:rsidRPr="00443397">
        <w:rPr>
          <w:color w:val="000000" w:themeColor="text1"/>
        </w:rPr>
        <w:tab/>
        <w:t xml:space="preserve">assistance to States and certain organizations that are not members of the Union, in the implementation of legislation that has received a positive decision of the Council, according to their commitment to accede to the UPOV Convention.  </w:t>
      </w:r>
    </w:p>
    <w:p w:rsidR="003117C2" w:rsidRDefault="003117C2" w:rsidP="003117C2">
      <w:pPr>
        <w:tabs>
          <w:tab w:val="left" w:pos="567"/>
        </w:tabs>
        <w:ind w:left="567"/>
        <w:rPr>
          <w:color w:val="000000" w:themeColor="text1"/>
        </w:rPr>
      </w:pPr>
    </w:p>
    <w:p w:rsidR="003117C2" w:rsidRPr="00443397" w:rsidRDefault="003117C2" w:rsidP="003117C2">
      <w:pPr>
        <w:tabs>
          <w:tab w:val="left" w:pos="567"/>
        </w:tabs>
        <w:ind w:left="567"/>
        <w:rPr>
          <w:color w:val="000000" w:themeColor="text1"/>
        </w:rPr>
      </w:pPr>
    </w:p>
    <w:p w:rsidR="003117C2" w:rsidRPr="00443397" w:rsidRDefault="003117C2" w:rsidP="003117C2">
      <w:pPr>
        <w:rPr>
          <w:u w:val="single"/>
        </w:rPr>
      </w:pPr>
      <w:r w:rsidRPr="00443397">
        <w:rPr>
          <w:u w:val="single"/>
        </w:rPr>
        <w:t>Resources</w:t>
      </w:r>
    </w:p>
    <w:p w:rsidR="003117C2" w:rsidRPr="00443397" w:rsidRDefault="003117C2" w:rsidP="003117C2"/>
    <w:p w:rsidR="003117C2" w:rsidRPr="00443397" w:rsidRDefault="003117C2" w:rsidP="003117C2">
      <w:pPr>
        <w:keepNext/>
        <w:rPr>
          <w:color w:val="000000" w:themeColor="text1"/>
        </w:rPr>
      </w:pPr>
      <w:r w:rsidRPr="00443397">
        <w:rPr>
          <w:color w:val="000000" w:themeColor="text1"/>
        </w:rPr>
        <w:t>2.3.2.3</w:t>
      </w:r>
      <w:r w:rsidRPr="00443397">
        <w:rPr>
          <w:color w:val="000000" w:themeColor="text1"/>
        </w:rPr>
        <w:tab/>
        <w:t>A major feature of this sub-program is to provide a framework within which the Office of the Union can efficiently supplement its resources with financial resources and support in kind made available by members of the Union and other bodies.  In general, the support can be categorized as follows:</w:t>
      </w:r>
    </w:p>
    <w:p w:rsidR="003117C2" w:rsidRPr="00443397" w:rsidRDefault="003117C2" w:rsidP="003117C2">
      <w:pPr>
        <w:tabs>
          <w:tab w:val="left" w:pos="567"/>
        </w:tabs>
        <w:spacing w:line="360" w:lineRule="auto"/>
        <w:rPr>
          <w:color w:val="000000" w:themeColor="text1"/>
        </w:rPr>
      </w:pPr>
    </w:p>
    <w:p w:rsidR="003117C2" w:rsidRPr="00443397" w:rsidRDefault="003117C2" w:rsidP="003117C2">
      <w:pPr>
        <w:keepNext/>
        <w:tabs>
          <w:tab w:val="left" w:pos="567"/>
        </w:tabs>
        <w:rPr>
          <w:i/>
          <w:color w:val="000000" w:themeColor="text1"/>
        </w:rPr>
      </w:pPr>
      <w:r w:rsidRPr="00443397">
        <w:rPr>
          <w:i/>
          <w:color w:val="000000" w:themeColor="text1"/>
        </w:rPr>
        <w:t>Extra-budgetary financial resources</w:t>
      </w:r>
    </w:p>
    <w:p w:rsidR="003117C2" w:rsidRPr="00443397" w:rsidRDefault="003117C2" w:rsidP="003117C2">
      <w:pPr>
        <w:keepNext/>
        <w:tabs>
          <w:tab w:val="left" w:pos="567"/>
        </w:tabs>
        <w:rPr>
          <w:color w:val="000000" w:themeColor="text1"/>
        </w:rPr>
      </w:pPr>
    </w:p>
    <w:p w:rsidR="003117C2" w:rsidRPr="00443397" w:rsidRDefault="003117C2" w:rsidP="003117C2">
      <w:pPr>
        <w:keepNext/>
        <w:rPr>
          <w:color w:val="000000" w:themeColor="text1"/>
        </w:rPr>
      </w:pPr>
      <w:r w:rsidRPr="00443397">
        <w:rPr>
          <w:color w:val="000000" w:themeColor="text1"/>
        </w:rPr>
        <w:t>2.3.2.4</w:t>
      </w:r>
      <w:r w:rsidRPr="00443397">
        <w:rPr>
          <w:color w:val="000000" w:themeColor="text1"/>
        </w:rPr>
        <w:tab/>
        <w:t>UPOV greatly benefits from additional financial resources provided, for example, in the form of Funds-in-Trust.   Funds-in-Trust are voluntary financial donations provided to UPOV by a member of the Union, usually provided to finance a specific program of activities mutually agreed between the Office of the Union and the donor member of the Union.  In recognition that Funds-in-Trust involve UPOV staff or other resources, the Office of the Union and the member of the Union concerned jointly develop a program of activities in accordance with the policy and priorities set by the UPOV Council.</w:t>
      </w:r>
    </w:p>
    <w:p w:rsidR="003117C2" w:rsidRPr="00443397" w:rsidRDefault="003117C2" w:rsidP="003117C2">
      <w:pPr>
        <w:tabs>
          <w:tab w:val="left" w:pos="567"/>
        </w:tabs>
        <w:rPr>
          <w:color w:val="000000" w:themeColor="text1"/>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371"/>
      </w:tblGrid>
      <w:tr w:rsidR="003117C2" w:rsidRPr="00443397" w:rsidTr="00DC5E39">
        <w:trPr>
          <w:cantSplit/>
        </w:trPr>
        <w:tc>
          <w:tcPr>
            <w:tcW w:w="7371" w:type="dxa"/>
          </w:tcPr>
          <w:p w:rsidR="003117C2" w:rsidRPr="00443397" w:rsidRDefault="003117C2" w:rsidP="00DC5E39">
            <w:pPr>
              <w:tabs>
                <w:tab w:val="left" w:pos="567"/>
              </w:tabs>
              <w:rPr>
                <w:color w:val="000000" w:themeColor="text1"/>
              </w:rPr>
            </w:pPr>
            <w:r w:rsidRPr="00443397">
              <w:rPr>
                <w:color w:val="000000" w:themeColor="text1"/>
              </w:rPr>
              <w:t>Examples</w:t>
            </w:r>
            <w:r w:rsidRPr="00443397">
              <w:rPr>
                <w:rStyle w:val="FootnoteReference"/>
                <w:color w:val="000000" w:themeColor="text1"/>
              </w:rPr>
              <w:footnoteReference w:id="3"/>
            </w:r>
            <w:r w:rsidRPr="00443397">
              <w:rPr>
                <w:color w:val="000000" w:themeColor="text1"/>
              </w:rPr>
              <w:t>:</w:t>
            </w:r>
          </w:p>
          <w:p w:rsidR="003117C2" w:rsidRPr="00443397" w:rsidRDefault="003117C2" w:rsidP="00DC5E39">
            <w:pPr>
              <w:tabs>
                <w:tab w:val="left" w:pos="567"/>
              </w:tabs>
              <w:rPr>
                <w:color w:val="000000" w:themeColor="text1"/>
              </w:rPr>
            </w:pPr>
          </w:p>
          <w:p w:rsidR="003117C2" w:rsidRPr="00443397" w:rsidRDefault="003117C2" w:rsidP="00DC5E39">
            <w:pPr>
              <w:numPr>
                <w:ilvl w:val="0"/>
                <w:numId w:val="9"/>
              </w:numPr>
              <w:tabs>
                <w:tab w:val="clear" w:pos="720"/>
                <w:tab w:val="left" w:pos="601"/>
              </w:tabs>
              <w:spacing w:after="120"/>
              <w:ind w:left="601" w:hanging="244"/>
              <w:rPr>
                <w:color w:val="000000" w:themeColor="text1"/>
              </w:rPr>
            </w:pPr>
            <w:r w:rsidRPr="00443397">
              <w:rPr>
                <w:color w:val="000000" w:themeColor="text1"/>
              </w:rPr>
              <w:t>The Funds-in-Trust provided by the Japanese Government for activities in the Asian region</w:t>
            </w:r>
          </w:p>
          <w:p w:rsidR="003117C2" w:rsidRPr="00443397" w:rsidRDefault="003117C2" w:rsidP="00DC5E39">
            <w:pPr>
              <w:numPr>
                <w:ilvl w:val="0"/>
                <w:numId w:val="9"/>
              </w:numPr>
              <w:tabs>
                <w:tab w:val="left" w:pos="601"/>
              </w:tabs>
              <w:spacing w:after="120"/>
              <w:rPr>
                <w:color w:val="000000" w:themeColor="text1"/>
              </w:rPr>
            </w:pPr>
            <w:r w:rsidRPr="00443397">
              <w:rPr>
                <w:color w:val="000000" w:themeColor="text1"/>
              </w:rPr>
              <w:t>The Funds-in-Trust provided by the Ministry of Economic Affairs of the Kingdom of the Netherlands (</w:t>
            </w:r>
            <w:r w:rsidRPr="00443397">
              <w:rPr>
                <w:rFonts w:cs="Arial"/>
                <w:color w:val="000000" w:themeColor="text1"/>
              </w:rPr>
              <w:t>Netherlands</w:t>
            </w:r>
            <w:r w:rsidRPr="00443397">
              <w:rPr>
                <w:color w:val="000000" w:themeColor="text1"/>
              </w:rPr>
              <w:t>)</w:t>
            </w:r>
          </w:p>
          <w:p w:rsidR="003117C2" w:rsidRPr="00443397" w:rsidRDefault="003117C2" w:rsidP="00DC5E39">
            <w:pPr>
              <w:numPr>
                <w:ilvl w:val="0"/>
                <w:numId w:val="9"/>
              </w:numPr>
              <w:tabs>
                <w:tab w:val="clear" w:pos="720"/>
                <w:tab w:val="left" w:pos="601"/>
              </w:tabs>
              <w:ind w:left="601" w:hanging="244"/>
              <w:rPr>
                <w:color w:val="000000" w:themeColor="text1"/>
              </w:rPr>
            </w:pPr>
            <w:r w:rsidRPr="00443397">
              <w:rPr>
                <w:color w:val="000000" w:themeColor="text1"/>
              </w:rPr>
              <w:t>Memorandum of Understanding between the United States Patent and Trademark Office (USPTO) and UPOV</w:t>
            </w:r>
          </w:p>
        </w:tc>
      </w:tr>
    </w:tbl>
    <w:p w:rsidR="003117C2" w:rsidRPr="00443397" w:rsidRDefault="003117C2" w:rsidP="003117C2">
      <w:pPr>
        <w:spacing w:line="360" w:lineRule="auto"/>
      </w:pPr>
    </w:p>
    <w:p w:rsidR="003117C2" w:rsidRPr="00443397" w:rsidRDefault="003117C2" w:rsidP="003117C2">
      <w:pPr>
        <w:keepNext/>
        <w:tabs>
          <w:tab w:val="left" w:pos="567"/>
        </w:tabs>
        <w:rPr>
          <w:i/>
          <w:color w:val="000000" w:themeColor="text1"/>
        </w:rPr>
      </w:pPr>
      <w:r w:rsidRPr="00443397">
        <w:rPr>
          <w:i/>
          <w:color w:val="000000" w:themeColor="text1"/>
        </w:rPr>
        <w:t>Support from members of the Union</w:t>
      </w:r>
    </w:p>
    <w:p w:rsidR="003117C2" w:rsidRPr="00443397" w:rsidRDefault="003117C2" w:rsidP="003117C2">
      <w:pPr>
        <w:keepNext/>
        <w:tabs>
          <w:tab w:val="left" w:pos="567"/>
        </w:tabs>
        <w:rPr>
          <w:color w:val="000000" w:themeColor="text1"/>
        </w:rPr>
      </w:pPr>
    </w:p>
    <w:p w:rsidR="003117C2" w:rsidRPr="00443397" w:rsidRDefault="003117C2" w:rsidP="003117C2">
      <w:pPr>
        <w:rPr>
          <w:color w:val="000000" w:themeColor="text1"/>
        </w:rPr>
      </w:pPr>
      <w:r w:rsidRPr="00443397">
        <w:rPr>
          <w:color w:val="000000" w:themeColor="text1"/>
        </w:rPr>
        <w:t>2.3.2.5</w:t>
      </w:r>
      <w:r w:rsidRPr="00443397">
        <w:rPr>
          <w:color w:val="000000" w:themeColor="text1"/>
        </w:rPr>
        <w:tab/>
      </w:r>
      <w:r w:rsidR="00124828" w:rsidRPr="00124828">
        <w:rPr>
          <w:color w:val="000000" w:themeColor="text1"/>
        </w:rPr>
        <w:t>An essential resource for the work of UPOV is the support in kind provided by many members of the Union in the form of experts acting as lecturers in UPOV activities and tutors in distance learning courses.</w:t>
      </w:r>
      <w:r w:rsidR="00E11396">
        <w:rPr>
          <w:color w:val="000000" w:themeColor="text1"/>
        </w:rPr>
        <w:t xml:space="preserve"> Support in the form of suitably</w:t>
      </w:r>
      <w:r w:rsidR="00124828" w:rsidRPr="00124828">
        <w:rPr>
          <w:color w:val="000000" w:themeColor="text1"/>
        </w:rPr>
        <w:t xml:space="preserve"> qualified officials, fully funded by members of the Union through medium-term internships and/or the Junior Profes</w:t>
      </w:r>
      <w:r w:rsidR="00124828">
        <w:rPr>
          <w:color w:val="000000" w:themeColor="text1"/>
        </w:rPr>
        <w:t>sional Officer (JPO) program</w:t>
      </w:r>
      <w:r w:rsidR="00124828" w:rsidRPr="00124828">
        <w:rPr>
          <w:color w:val="000000" w:themeColor="text1"/>
        </w:rPr>
        <w:t>, are also a potential source of support that will be considered, as appropriate.</w:t>
      </w:r>
    </w:p>
    <w:p w:rsidR="003117C2" w:rsidRPr="00443397" w:rsidRDefault="003117C2" w:rsidP="003117C2">
      <w:pPr>
        <w:spacing w:line="360" w:lineRule="auto"/>
      </w:pPr>
    </w:p>
    <w:p w:rsidR="003117C2" w:rsidRPr="00443397" w:rsidRDefault="003117C2" w:rsidP="003117C2">
      <w:pPr>
        <w:keepNext/>
        <w:tabs>
          <w:tab w:val="left" w:pos="567"/>
        </w:tabs>
        <w:rPr>
          <w:i/>
          <w:color w:val="000000" w:themeColor="text1"/>
        </w:rPr>
      </w:pPr>
      <w:r w:rsidRPr="00443397">
        <w:rPr>
          <w:i/>
          <w:color w:val="000000" w:themeColor="text1"/>
        </w:rPr>
        <w:t>Training courses on plant variety protection</w:t>
      </w:r>
    </w:p>
    <w:p w:rsidR="003117C2" w:rsidRPr="00443397" w:rsidRDefault="003117C2" w:rsidP="003117C2"/>
    <w:p w:rsidR="003117C2" w:rsidRPr="00443397" w:rsidRDefault="003117C2" w:rsidP="003117C2">
      <w:pPr>
        <w:rPr>
          <w:rFonts w:cs="Arial"/>
          <w:color w:val="000000" w:themeColor="text1"/>
          <w:spacing w:val="-2"/>
        </w:rPr>
      </w:pPr>
      <w:r w:rsidRPr="00443397">
        <w:rPr>
          <w:color w:val="000000" w:themeColor="text1"/>
        </w:rPr>
        <w:t>2.3.2.6</w:t>
      </w:r>
      <w:r w:rsidRPr="00443397">
        <w:rPr>
          <w:rFonts w:cs="Arial"/>
          <w:color w:val="000000" w:themeColor="text1"/>
        </w:rPr>
        <w:tab/>
        <w:t>A number of members of the Union provide training courses in plant variety protection accordi</w:t>
      </w:r>
      <w:r>
        <w:rPr>
          <w:rFonts w:cs="Arial"/>
          <w:color w:val="000000" w:themeColor="text1"/>
        </w:rPr>
        <w:t>ng to the UPOV Convention (e.g.</w:t>
      </w:r>
      <w:r w:rsidRPr="00443397">
        <w:rPr>
          <w:rFonts w:cs="Arial"/>
          <w:color w:val="000000" w:themeColor="text1"/>
        </w:rPr>
        <w:t xml:space="preserve"> the “Training Course on the Protection of Plant Breeders’ Rights”, organized by the Japan International Cooperation Agency (JICA) (Japan);  the “</w:t>
      </w:r>
      <w:r w:rsidRPr="00443397">
        <w:rPr>
          <w:rFonts w:cs="Arial"/>
          <w:i/>
          <w:color w:val="000000" w:themeColor="text1"/>
        </w:rPr>
        <w:t xml:space="preserve">Taller </w:t>
      </w:r>
      <w:proofErr w:type="spellStart"/>
      <w:r w:rsidRPr="00443397">
        <w:rPr>
          <w:rFonts w:cs="Arial"/>
          <w:i/>
          <w:color w:val="000000" w:themeColor="text1"/>
        </w:rPr>
        <w:t>internacional</w:t>
      </w:r>
      <w:proofErr w:type="spellEnd"/>
      <w:r w:rsidRPr="00443397">
        <w:rPr>
          <w:rFonts w:cs="Arial"/>
          <w:i/>
          <w:color w:val="000000" w:themeColor="text1"/>
        </w:rPr>
        <w:t xml:space="preserve"> de </w:t>
      </w:r>
      <w:proofErr w:type="spellStart"/>
      <w:r w:rsidRPr="00443397">
        <w:rPr>
          <w:rFonts w:cs="Arial"/>
          <w:i/>
          <w:color w:val="000000" w:themeColor="text1"/>
        </w:rPr>
        <w:t>evaluación</w:t>
      </w:r>
      <w:proofErr w:type="spellEnd"/>
      <w:r w:rsidRPr="00443397">
        <w:rPr>
          <w:rFonts w:cs="Arial"/>
          <w:i/>
          <w:color w:val="000000" w:themeColor="text1"/>
        </w:rPr>
        <w:t xml:space="preserve"> de </w:t>
      </w:r>
      <w:r w:rsidRPr="003A1572">
        <w:rPr>
          <w:rFonts w:cs="Arial"/>
          <w:i/>
          <w:color w:val="000000" w:themeColor="text1"/>
        </w:rPr>
        <w:t>la </w:t>
      </w:r>
      <w:proofErr w:type="spellStart"/>
      <w:r w:rsidRPr="003A1572">
        <w:rPr>
          <w:rFonts w:cs="Arial"/>
          <w:i/>
          <w:color w:val="000000" w:themeColor="text1"/>
        </w:rPr>
        <w:t>distinción</w:t>
      </w:r>
      <w:proofErr w:type="spellEnd"/>
      <w:r w:rsidRPr="003A1572">
        <w:rPr>
          <w:rFonts w:cs="Arial"/>
          <w:i/>
          <w:color w:val="000000" w:themeColor="text1"/>
        </w:rPr>
        <w:t xml:space="preserve">, </w:t>
      </w:r>
      <w:proofErr w:type="spellStart"/>
      <w:r w:rsidRPr="003A1572">
        <w:rPr>
          <w:rFonts w:cs="Arial"/>
          <w:i/>
          <w:color w:val="000000" w:themeColor="text1"/>
        </w:rPr>
        <w:t>homogeneidad</w:t>
      </w:r>
      <w:proofErr w:type="spellEnd"/>
      <w:r w:rsidRPr="003A1572">
        <w:rPr>
          <w:rFonts w:cs="Arial"/>
          <w:i/>
          <w:color w:val="000000" w:themeColor="text1"/>
        </w:rPr>
        <w:t xml:space="preserve"> y </w:t>
      </w:r>
      <w:proofErr w:type="spellStart"/>
      <w:r w:rsidRPr="003A1572">
        <w:rPr>
          <w:rFonts w:cs="Arial"/>
          <w:i/>
          <w:color w:val="000000" w:themeColor="text1"/>
        </w:rPr>
        <w:t>estabilidad</w:t>
      </w:r>
      <w:proofErr w:type="spellEnd"/>
      <w:r w:rsidRPr="003A1572">
        <w:rPr>
          <w:rFonts w:cs="Arial"/>
          <w:i/>
          <w:color w:val="000000" w:themeColor="text1"/>
        </w:rPr>
        <w:t xml:space="preserve"> (DHE) de </w:t>
      </w:r>
      <w:proofErr w:type="spellStart"/>
      <w:r w:rsidRPr="003A1572">
        <w:rPr>
          <w:rFonts w:cs="Arial"/>
          <w:i/>
          <w:color w:val="000000" w:themeColor="text1"/>
        </w:rPr>
        <w:t>variedades</w:t>
      </w:r>
      <w:proofErr w:type="spellEnd"/>
      <w:r w:rsidRPr="003A1572">
        <w:rPr>
          <w:rFonts w:cs="Arial"/>
          <w:i/>
          <w:color w:val="000000" w:themeColor="text1"/>
        </w:rPr>
        <w:t xml:space="preserve"> </w:t>
      </w:r>
      <w:proofErr w:type="spellStart"/>
      <w:r w:rsidRPr="003A1572">
        <w:rPr>
          <w:rFonts w:cs="Arial"/>
          <w:i/>
          <w:color w:val="000000" w:themeColor="text1"/>
        </w:rPr>
        <w:t>vegetales</w:t>
      </w:r>
      <w:proofErr w:type="spellEnd"/>
      <w:r w:rsidRPr="003A1572">
        <w:rPr>
          <w:rFonts w:cs="Arial"/>
          <w:color w:val="000000" w:themeColor="text1"/>
        </w:rPr>
        <w:t xml:space="preserve">” organized by the </w:t>
      </w:r>
      <w:proofErr w:type="spellStart"/>
      <w:r w:rsidRPr="003A1572">
        <w:rPr>
          <w:rFonts w:cs="Arial"/>
          <w:i/>
          <w:color w:val="000000" w:themeColor="text1"/>
        </w:rPr>
        <w:t>Servicio</w:t>
      </w:r>
      <w:proofErr w:type="spellEnd"/>
      <w:r w:rsidRPr="003A1572">
        <w:rPr>
          <w:rFonts w:cs="Arial"/>
          <w:i/>
          <w:color w:val="000000" w:themeColor="text1"/>
        </w:rPr>
        <w:t xml:space="preserve"> Nacional de </w:t>
      </w:r>
      <w:proofErr w:type="spellStart"/>
      <w:r w:rsidRPr="003A1572">
        <w:rPr>
          <w:rFonts w:cs="Arial"/>
          <w:i/>
          <w:color w:val="000000" w:themeColor="text1"/>
        </w:rPr>
        <w:t>Inspección</w:t>
      </w:r>
      <w:proofErr w:type="spellEnd"/>
      <w:r w:rsidRPr="003A1572">
        <w:rPr>
          <w:rFonts w:cs="Arial"/>
          <w:i/>
          <w:color w:val="000000" w:themeColor="text1"/>
        </w:rPr>
        <w:t xml:space="preserve"> y </w:t>
      </w:r>
      <w:proofErr w:type="spellStart"/>
      <w:r w:rsidRPr="003A1572">
        <w:rPr>
          <w:rFonts w:cs="Arial"/>
          <w:i/>
          <w:color w:val="000000" w:themeColor="text1"/>
        </w:rPr>
        <w:t>Certificación</w:t>
      </w:r>
      <w:proofErr w:type="spellEnd"/>
      <w:r w:rsidRPr="003A1572">
        <w:rPr>
          <w:rFonts w:cs="Arial"/>
          <w:i/>
          <w:color w:val="000000" w:themeColor="text1"/>
        </w:rPr>
        <w:t xml:space="preserve"> de </w:t>
      </w:r>
      <w:proofErr w:type="spellStart"/>
      <w:r w:rsidRPr="003A1572">
        <w:rPr>
          <w:rFonts w:cs="Arial"/>
          <w:i/>
          <w:color w:val="000000" w:themeColor="text1"/>
        </w:rPr>
        <w:t>Semillas</w:t>
      </w:r>
      <w:proofErr w:type="spellEnd"/>
      <w:r w:rsidRPr="003A1572">
        <w:rPr>
          <w:rFonts w:cs="Arial"/>
          <w:color w:val="000000" w:themeColor="text1"/>
        </w:rPr>
        <w:t xml:space="preserve"> (SNICS) and the </w:t>
      </w:r>
      <w:proofErr w:type="spellStart"/>
      <w:r w:rsidRPr="003A1572">
        <w:rPr>
          <w:rFonts w:cs="Arial"/>
          <w:i/>
          <w:color w:val="000000" w:themeColor="text1"/>
        </w:rPr>
        <w:t>Colegio</w:t>
      </w:r>
      <w:proofErr w:type="spellEnd"/>
      <w:r w:rsidRPr="003A1572">
        <w:rPr>
          <w:rFonts w:cs="Arial"/>
          <w:i/>
          <w:color w:val="000000" w:themeColor="text1"/>
        </w:rPr>
        <w:t xml:space="preserve"> de </w:t>
      </w:r>
      <w:proofErr w:type="spellStart"/>
      <w:r w:rsidRPr="003A1572">
        <w:rPr>
          <w:rFonts w:cs="Arial"/>
          <w:i/>
          <w:color w:val="000000" w:themeColor="text1"/>
        </w:rPr>
        <w:t>Postgraduados</w:t>
      </w:r>
      <w:proofErr w:type="spellEnd"/>
      <w:r w:rsidRPr="003A1572">
        <w:rPr>
          <w:rFonts w:cs="Arial"/>
          <w:color w:val="000000" w:themeColor="text1"/>
        </w:rPr>
        <w:t xml:space="preserve"> (Mexico);  the “Plant Variety Protection Course”, organized by </w:t>
      </w:r>
      <w:proofErr w:type="spellStart"/>
      <w:r w:rsidRPr="003A1572">
        <w:rPr>
          <w:rFonts w:cs="Arial"/>
          <w:color w:val="000000" w:themeColor="text1"/>
        </w:rPr>
        <w:t>Naktuinbouw</w:t>
      </w:r>
      <w:proofErr w:type="spellEnd"/>
      <w:r w:rsidRPr="003A1572">
        <w:rPr>
          <w:rFonts w:cs="Arial"/>
          <w:color w:val="000000" w:themeColor="text1"/>
        </w:rPr>
        <w:t xml:space="preserve"> (Netherlands);  the “Training Course on Plant Variety Protection”, organized by the Korean Seed &amp; Variety Service (KSVS) and the Korean International Cooperation Agency (KOICA) (Republic of Korea); the  </w:t>
      </w:r>
      <w:r w:rsidRPr="003A1572">
        <w:rPr>
          <w:rFonts w:cs="Arial"/>
          <w:i/>
          <w:iCs/>
        </w:rPr>
        <w:t>“</w:t>
      </w:r>
      <w:proofErr w:type="spellStart"/>
      <w:r w:rsidRPr="003A1572">
        <w:rPr>
          <w:rFonts w:cs="Arial"/>
          <w:i/>
          <w:iCs/>
        </w:rPr>
        <w:t>Curso</w:t>
      </w:r>
      <w:proofErr w:type="spellEnd"/>
      <w:r w:rsidRPr="003A1572">
        <w:rPr>
          <w:rFonts w:cs="Arial"/>
          <w:i/>
          <w:iCs/>
        </w:rPr>
        <w:t xml:space="preserve"> de </w:t>
      </w:r>
      <w:proofErr w:type="spellStart"/>
      <w:r w:rsidRPr="003A1572">
        <w:rPr>
          <w:rFonts w:cs="Arial"/>
          <w:i/>
          <w:iCs/>
        </w:rPr>
        <w:t>Formación</w:t>
      </w:r>
      <w:proofErr w:type="spellEnd"/>
      <w:r w:rsidRPr="003A1572">
        <w:rPr>
          <w:rFonts w:cs="Arial"/>
          <w:i/>
          <w:iCs/>
        </w:rPr>
        <w:t xml:space="preserve"> de </w:t>
      </w:r>
      <w:proofErr w:type="spellStart"/>
      <w:r w:rsidRPr="003A1572">
        <w:rPr>
          <w:rFonts w:cs="Arial"/>
          <w:i/>
          <w:iCs/>
        </w:rPr>
        <w:t>Capacitadores</w:t>
      </w:r>
      <w:proofErr w:type="spellEnd"/>
      <w:r w:rsidRPr="003A1572">
        <w:rPr>
          <w:rFonts w:cs="Arial"/>
          <w:i/>
          <w:iCs/>
        </w:rPr>
        <w:t xml:space="preserve"> para </w:t>
      </w:r>
      <w:proofErr w:type="spellStart"/>
      <w:r w:rsidRPr="003A1572">
        <w:rPr>
          <w:rFonts w:cs="Arial"/>
          <w:i/>
          <w:iCs/>
        </w:rPr>
        <w:t>Países</w:t>
      </w:r>
      <w:proofErr w:type="spellEnd"/>
      <w:r w:rsidRPr="003A1572">
        <w:rPr>
          <w:rFonts w:cs="Arial"/>
          <w:i/>
          <w:iCs/>
        </w:rPr>
        <w:t xml:space="preserve"> </w:t>
      </w:r>
      <w:proofErr w:type="spellStart"/>
      <w:r w:rsidRPr="003A1572">
        <w:rPr>
          <w:rFonts w:cs="Arial"/>
          <w:i/>
          <w:iCs/>
        </w:rPr>
        <w:t>Iberoamericanos</w:t>
      </w:r>
      <w:proofErr w:type="spellEnd"/>
      <w:r w:rsidRPr="003A1572">
        <w:rPr>
          <w:rFonts w:cs="Arial"/>
          <w:i/>
          <w:iCs/>
        </w:rPr>
        <w:t xml:space="preserve">: </w:t>
      </w:r>
      <w:proofErr w:type="spellStart"/>
      <w:r w:rsidRPr="003A1572">
        <w:rPr>
          <w:rFonts w:cs="Arial"/>
          <w:i/>
          <w:iCs/>
        </w:rPr>
        <w:t>Protección</w:t>
      </w:r>
      <w:proofErr w:type="spellEnd"/>
      <w:r w:rsidRPr="003A1572">
        <w:rPr>
          <w:rFonts w:cs="Arial"/>
          <w:i/>
          <w:iCs/>
        </w:rPr>
        <w:t xml:space="preserve"> de </w:t>
      </w:r>
      <w:proofErr w:type="spellStart"/>
      <w:r w:rsidRPr="003A1572">
        <w:rPr>
          <w:rFonts w:cs="Arial"/>
          <w:i/>
          <w:iCs/>
        </w:rPr>
        <w:t>Obtenciones</w:t>
      </w:r>
      <w:proofErr w:type="spellEnd"/>
      <w:r w:rsidRPr="003A1572">
        <w:rPr>
          <w:rFonts w:cs="Arial"/>
          <w:i/>
          <w:iCs/>
        </w:rPr>
        <w:t xml:space="preserve"> </w:t>
      </w:r>
      <w:proofErr w:type="spellStart"/>
      <w:r w:rsidRPr="003A1572">
        <w:rPr>
          <w:rFonts w:cs="Arial"/>
          <w:i/>
          <w:iCs/>
        </w:rPr>
        <w:t>Vegetales</w:t>
      </w:r>
      <w:proofErr w:type="spellEnd"/>
      <w:r w:rsidRPr="003A1572">
        <w:rPr>
          <w:rFonts w:cs="Arial"/>
          <w:i/>
          <w:iCs/>
        </w:rPr>
        <w:t xml:space="preserve"> </w:t>
      </w:r>
      <w:proofErr w:type="spellStart"/>
      <w:r w:rsidRPr="003A1572">
        <w:rPr>
          <w:rFonts w:cs="Arial"/>
          <w:i/>
          <w:iCs/>
        </w:rPr>
        <w:t>según</w:t>
      </w:r>
      <w:proofErr w:type="spellEnd"/>
      <w:r w:rsidRPr="003A1572">
        <w:rPr>
          <w:rFonts w:cs="Arial"/>
          <w:i/>
          <w:iCs/>
        </w:rPr>
        <w:t xml:space="preserve"> el </w:t>
      </w:r>
      <w:proofErr w:type="spellStart"/>
      <w:r w:rsidRPr="003A1572">
        <w:rPr>
          <w:rFonts w:cs="Arial"/>
          <w:i/>
          <w:iCs/>
        </w:rPr>
        <w:t>Convenio</w:t>
      </w:r>
      <w:proofErr w:type="spellEnd"/>
      <w:r w:rsidRPr="003A1572">
        <w:rPr>
          <w:rFonts w:cs="Arial"/>
          <w:i/>
          <w:iCs/>
        </w:rPr>
        <w:t xml:space="preserve"> de la UPOV y </w:t>
      </w:r>
      <w:proofErr w:type="spellStart"/>
      <w:r w:rsidRPr="003A1572">
        <w:rPr>
          <w:rFonts w:cs="Arial"/>
          <w:i/>
          <w:iCs/>
        </w:rPr>
        <w:t>Formas</w:t>
      </w:r>
      <w:proofErr w:type="spellEnd"/>
      <w:r w:rsidRPr="003A1572">
        <w:rPr>
          <w:rFonts w:cs="Arial"/>
          <w:i/>
          <w:iCs/>
        </w:rPr>
        <w:t xml:space="preserve"> </w:t>
      </w:r>
      <w:proofErr w:type="spellStart"/>
      <w:r w:rsidRPr="003A1572">
        <w:rPr>
          <w:rFonts w:cs="Arial"/>
          <w:i/>
          <w:iCs/>
        </w:rPr>
        <w:t>Complementarias</w:t>
      </w:r>
      <w:proofErr w:type="spellEnd"/>
      <w:r w:rsidRPr="003A1572">
        <w:rPr>
          <w:rFonts w:cs="Arial"/>
          <w:i/>
          <w:iCs/>
        </w:rPr>
        <w:t xml:space="preserve"> de </w:t>
      </w:r>
      <w:proofErr w:type="spellStart"/>
      <w:r w:rsidRPr="003A1572">
        <w:rPr>
          <w:rFonts w:cs="Arial"/>
          <w:i/>
          <w:iCs/>
        </w:rPr>
        <w:t>Propiedad</w:t>
      </w:r>
      <w:proofErr w:type="spellEnd"/>
      <w:r w:rsidRPr="003A1572">
        <w:rPr>
          <w:rFonts w:cs="Arial"/>
          <w:i/>
          <w:iCs/>
        </w:rPr>
        <w:t xml:space="preserve"> </w:t>
      </w:r>
      <w:proofErr w:type="spellStart"/>
      <w:r w:rsidRPr="003A1572">
        <w:rPr>
          <w:rFonts w:cs="Arial"/>
          <w:i/>
          <w:iCs/>
        </w:rPr>
        <w:t>Intelectual</w:t>
      </w:r>
      <w:proofErr w:type="spellEnd"/>
      <w:r w:rsidRPr="003A1572">
        <w:rPr>
          <w:rFonts w:cs="Arial"/>
          <w:i/>
          <w:iCs/>
        </w:rPr>
        <w:t>”</w:t>
      </w:r>
      <w:r w:rsidRPr="003A1572">
        <w:rPr>
          <w:rFonts w:cs="Arial"/>
          <w:color w:val="000000" w:themeColor="text1"/>
        </w:rPr>
        <w:t xml:space="preserve">, organized by the </w:t>
      </w:r>
      <w:proofErr w:type="spellStart"/>
      <w:r w:rsidRPr="003A1572">
        <w:rPr>
          <w:rFonts w:cs="Arial"/>
          <w:i/>
          <w:color w:val="000000" w:themeColor="text1"/>
        </w:rPr>
        <w:t>Instituto</w:t>
      </w:r>
      <w:proofErr w:type="spellEnd"/>
      <w:r w:rsidRPr="003A1572">
        <w:rPr>
          <w:rFonts w:cs="Arial"/>
          <w:i/>
          <w:color w:val="000000" w:themeColor="text1"/>
        </w:rPr>
        <w:t xml:space="preserve"> Nacional de </w:t>
      </w:r>
      <w:proofErr w:type="spellStart"/>
      <w:r w:rsidRPr="003A1572">
        <w:rPr>
          <w:rFonts w:cs="Arial"/>
          <w:i/>
          <w:color w:val="000000" w:themeColor="text1"/>
        </w:rPr>
        <w:t>Semillas</w:t>
      </w:r>
      <w:proofErr w:type="spellEnd"/>
      <w:r w:rsidRPr="003A1572">
        <w:rPr>
          <w:rFonts w:cs="Arial"/>
          <w:color w:val="000000" w:themeColor="text1"/>
        </w:rPr>
        <w:t xml:space="preserve"> (INASE)</w:t>
      </w:r>
      <w:r w:rsidRPr="00443397">
        <w:rPr>
          <w:rFonts w:cs="Arial"/>
          <w:color w:val="000000" w:themeColor="text1"/>
        </w:rPr>
        <w:t xml:space="preserve"> (Uruguay), the </w:t>
      </w:r>
      <w:proofErr w:type="spellStart"/>
      <w:r w:rsidRPr="00443397">
        <w:rPr>
          <w:rFonts w:cs="Arial"/>
          <w:i/>
          <w:color w:val="000000" w:themeColor="text1"/>
        </w:rPr>
        <w:t>Oficina</w:t>
      </w:r>
      <w:proofErr w:type="spellEnd"/>
      <w:r w:rsidRPr="00443397">
        <w:rPr>
          <w:rFonts w:cs="Arial"/>
          <w:i/>
          <w:color w:val="000000" w:themeColor="text1"/>
        </w:rPr>
        <w:t xml:space="preserve"> Española de </w:t>
      </w:r>
      <w:proofErr w:type="spellStart"/>
      <w:r w:rsidRPr="00443397">
        <w:rPr>
          <w:rFonts w:cs="Arial"/>
          <w:i/>
          <w:color w:val="000000" w:themeColor="text1"/>
        </w:rPr>
        <w:t>Variedades</w:t>
      </w:r>
      <w:proofErr w:type="spellEnd"/>
      <w:r w:rsidRPr="00443397">
        <w:rPr>
          <w:rFonts w:cs="Arial"/>
          <w:i/>
          <w:color w:val="000000" w:themeColor="text1"/>
        </w:rPr>
        <w:t xml:space="preserve"> </w:t>
      </w:r>
      <w:proofErr w:type="spellStart"/>
      <w:r w:rsidRPr="00443397">
        <w:rPr>
          <w:rFonts w:cs="Arial"/>
          <w:i/>
          <w:color w:val="000000" w:themeColor="text1"/>
        </w:rPr>
        <w:t>Vegetales</w:t>
      </w:r>
      <w:proofErr w:type="spellEnd"/>
      <w:r w:rsidRPr="00443397">
        <w:rPr>
          <w:rFonts w:cs="Arial"/>
          <w:color w:val="000000" w:themeColor="text1"/>
        </w:rPr>
        <w:t xml:space="preserve"> (OEVV) (Spain), the </w:t>
      </w:r>
      <w:proofErr w:type="spellStart"/>
      <w:r w:rsidRPr="00443397">
        <w:rPr>
          <w:rFonts w:cs="Arial"/>
          <w:i/>
          <w:color w:val="000000" w:themeColor="text1"/>
        </w:rPr>
        <w:t>Agencia</w:t>
      </w:r>
      <w:proofErr w:type="spellEnd"/>
      <w:r w:rsidRPr="00443397">
        <w:rPr>
          <w:rFonts w:cs="Arial"/>
          <w:i/>
          <w:color w:val="000000" w:themeColor="text1"/>
        </w:rPr>
        <w:t xml:space="preserve"> Española de </w:t>
      </w:r>
      <w:proofErr w:type="spellStart"/>
      <w:r w:rsidRPr="00443397">
        <w:rPr>
          <w:rFonts w:cs="Arial"/>
          <w:i/>
          <w:color w:val="000000" w:themeColor="text1"/>
        </w:rPr>
        <w:t>Cooperación</w:t>
      </w:r>
      <w:proofErr w:type="spellEnd"/>
      <w:r w:rsidRPr="00443397">
        <w:rPr>
          <w:rFonts w:cs="Arial"/>
          <w:i/>
          <w:color w:val="000000" w:themeColor="text1"/>
        </w:rPr>
        <w:t xml:space="preserve"> </w:t>
      </w:r>
      <w:proofErr w:type="spellStart"/>
      <w:r w:rsidRPr="00443397">
        <w:rPr>
          <w:rFonts w:cs="Arial"/>
          <w:i/>
          <w:color w:val="000000" w:themeColor="text1"/>
        </w:rPr>
        <w:t>Internacional</w:t>
      </w:r>
      <w:proofErr w:type="spellEnd"/>
      <w:r w:rsidRPr="00443397">
        <w:rPr>
          <w:rFonts w:cs="Arial"/>
          <w:color w:val="000000" w:themeColor="text1"/>
        </w:rPr>
        <w:t xml:space="preserve"> </w:t>
      </w:r>
      <w:r w:rsidRPr="00443397">
        <w:rPr>
          <w:rFonts w:cs="Arial"/>
          <w:i/>
          <w:color w:val="000000" w:themeColor="text1"/>
        </w:rPr>
        <w:t xml:space="preserve">para el </w:t>
      </w:r>
      <w:proofErr w:type="spellStart"/>
      <w:r w:rsidRPr="00443397">
        <w:rPr>
          <w:rFonts w:cs="Arial"/>
          <w:i/>
          <w:color w:val="000000" w:themeColor="text1"/>
        </w:rPr>
        <w:t>Desarrollo</w:t>
      </w:r>
      <w:proofErr w:type="spellEnd"/>
      <w:r w:rsidRPr="00443397">
        <w:rPr>
          <w:rFonts w:cs="Arial"/>
          <w:color w:val="000000" w:themeColor="text1"/>
        </w:rPr>
        <w:t xml:space="preserve"> (AECID) (Spain) </w:t>
      </w:r>
      <w:r w:rsidRPr="00443397">
        <w:rPr>
          <w:rFonts w:cs="Arial"/>
          <w:color w:val="000000" w:themeColor="text1"/>
          <w:spacing w:val="-2"/>
        </w:rPr>
        <w:t>and the World Intellectual Property Organization (WIPO)</w:t>
      </w:r>
      <w:r w:rsidRPr="00443397">
        <w:rPr>
          <w:rFonts w:cs="Arial"/>
          <w:color w:val="000000" w:themeColor="text1"/>
        </w:rPr>
        <w:t xml:space="preserve">;  and the “Plant Variety Protection Under UPOV Convention” course, organized by the </w:t>
      </w:r>
      <w:r w:rsidRPr="00443397">
        <w:rPr>
          <w:rFonts w:cs="Arial"/>
          <w:color w:val="000000" w:themeColor="text1"/>
          <w:spacing w:val="-2"/>
        </w:rPr>
        <w:t>USPTO Global Intellectual Property Academy).</w:t>
      </w:r>
    </w:p>
    <w:p w:rsidR="003117C2" w:rsidRPr="00443397" w:rsidRDefault="003117C2" w:rsidP="003117C2">
      <w:pPr>
        <w:tabs>
          <w:tab w:val="left" w:pos="567"/>
        </w:tabs>
        <w:spacing w:line="360" w:lineRule="auto"/>
        <w:rPr>
          <w:rFonts w:cs="Arial"/>
          <w:color w:val="000000" w:themeColor="text1"/>
        </w:rPr>
      </w:pPr>
    </w:p>
    <w:p w:rsidR="003117C2" w:rsidRPr="00443397" w:rsidRDefault="003117C2" w:rsidP="003117C2">
      <w:pPr>
        <w:keepNext/>
        <w:tabs>
          <w:tab w:val="left" w:pos="567"/>
        </w:tabs>
        <w:rPr>
          <w:i/>
          <w:color w:val="000000" w:themeColor="text1"/>
        </w:rPr>
      </w:pPr>
      <w:r w:rsidRPr="00443397">
        <w:rPr>
          <w:i/>
          <w:color w:val="000000" w:themeColor="text1"/>
        </w:rPr>
        <w:t>Cooperation with other organizations and bodies</w:t>
      </w:r>
    </w:p>
    <w:p w:rsidR="003117C2" w:rsidRPr="00443397" w:rsidRDefault="003117C2" w:rsidP="003117C2"/>
    <w:p w:rsidR="003117C2" w:rsidRPr="00443397" w:rsidRDefault="003117C2" w:rsidP="003117C2">
      <w:pPr>
        <w:rPr>
          <w:color w:val="000000" w:themeColor="text1"/>
        </w:rPr>
      </w:pPr>
      <w:r w:rsidRPr="00443397">
        <w:rPr>
          <w:color w:val="000000" w:themeColor="text1"/>
        </w:rPr>
        <w:t>2.3.2.7</w:t>
      </w:r>
      <w:r w:rsidRPr="00443397">
        <w:rPr>
          <w:color w:val="000000" w:themeColor="text1"/>
        </w:rPr>
        <w:tab/>
        <w:t xml:space="preserve">UPOV’s cooperation with the World Intellectual Property Organization (WIPO) is an important means of providing assistance to States and relevant organizations in an effective way.  </w:t>
      </w:r>
    </w:p>
    <w:p w:rsidR="003117C2" w:rsidRPr="00443397" w:rsidRDefault="003117C2" w:rsidP="003117C2">
      <w:pPr>
        <w:rPr>
          <w:color w:val="000000" w:themeColor="text1"/>
        </w:rPr>
      </w:pPr>
    </w:p>
    <w:p w:rsidR="003117C2" w:rsidRPr="00443397" w:rsidRDefault="003117C2" w:rsidP="003117C2">
      <w:pPr>
        <w:rPr>
          <w:color w:val="000000" w:themeColor="text1"/>
        </w:rPr>
      </w:pPr>
      <w:r w:rsidRPr="00443397">
        <w:rPr>
          <w:color w:val="000000" w:themeColor="text1"/>
        </w:rPr>
        <w:t>2.3.2.8</w:t>
      </w:r>
      <w:r w:rsidRPr="00443397">
        <w:rPr>
          <w:color w:val="000000" w:themeColor="text1"/>
        </w:rPr>
        <w:tab/>
        <w:t xml:space="preserve">The </w:t>
      </w:r>
      <w:r w:rsidRPr="00443397">
        <w:rPr>
          <w:color w:val="000000" w:themeColor="text1"/>
          <w:szCs w:val="24"/>
        </w:rPr>
        <w:t>East Asia Plant Variety Protection (EAPVP) Forum</w:t>
      </w:r>
      <w:r w:rsidRPr="00443397">
        <w:rPr>
          <w:color w:val="000000" w:themeColor="text1"/>
        </w:rPr>
        <w:t xml:space="preserve"> works </w:t>
      </w:r>
      <w:r w:rsidRPr="00443397">
        <w:rPr>
          <w:color w:val="000000" w:themeColor="text1"/>
          <w:szCs w:val="24"/>
        </w:rPr>
        <w:t xml:space="preserve">to facilitate the improvement of the implementation and the harmonization of the plant variety protection system in the Asian region and the </w:t>
      </w:r>
      <w:r w:rsidRPr="00443397">
        <w:rPr>
          <w:color w:val="000000" w:themeColor="text1"/>
        </w:rPr>
        <w:t>Office of the Union will continue to work with the Forum</w:t>
      </w:r>
      <w:r w:rsidR="005933D4">
        <w:rPr>
          <w:color w:val="000000" w:themeColor="text1"/>
        </w:rPr>
        <w:t xml:space="preserve"> in accordance with the priorities for providing assistance</w:t>
      </w:r>
      <w:r w:rsidRPr="00443397">
        <w:rPr>
          <w:color w:val="000000" w:themeColor="text1"/>
          <w:szCs w:val="24"/>
        </w:rPr>
        <w:t>.</w:t>
      </w:r>
      <w:r w:rsidRPr="00443397">
        <w:rPr>
          <w:color w:val="000000" w:themeColor="text1"/>
        </w:rPr>
        <w:t xml:space="preserve"> </w:t>
      </w:r>
    </w:p>
    <w:p w:rsidR="003117C2" w:rsidRDefault="003117C2" w:rsidP="003117C2"/>
    <w:p w:rsidR="003117C2" w:rsidRPr="00443397" w:rsidRDefault="003117C2" w:rsidP="003117C2"/>
    <w:p w:rsidR="003117C2" w:rsidRPr="00443397" w:rsidRDefault="003117C2" w:rsidP="003117C2">
      <w:pPr>
        <w:rPr>
          <w:u w:val="single"/>
        </w:rPr>
      </w:pPr>
      <w:r w:rsidRPr="00443397">
        <w:rPr>
          <w:u w:val="single"/>
        </w:rPr>
        <w:t xml:space="preserve">Strategy for </w:t>
      </w:r>
      <w:r w:rsidRPr="00616FB8">
        <w:rPr>
          <w:u w:val="single"/>
        </w:rPr>
        <w:t>Training and A</w:t>
      </w:r>
      <w:r w:rsidRPr="00443397">
        <w:rPr>
          <w:u w:val="single"/>
        </w:rPr>
        <w:t>ssistance</w:t>
      </w:r>
    </w:p>
    <w:p w:rsidR="003117C2" w:rsidRPr="00443397" w:rsidRDefault="003117C2" w:rsidP="003117C2"/>
    <w:p w:rsidR="003117C2" w:rsidRPr="00B63232" w:rsidRDefault="003117C2" w:rsidP="003117C2">
      <w:r w:rsidRPr="00443397">
        <w:t>2.3.2.9</w:t>
      </w:r>
      <w:r w:rsidRPr="00443397">
        <w:tab/>
        <w:t xml:space="preserve">In order to utilize available resources in the most effective way, the Office of the Union will continue to prioritize its activities and to explore synergies in its activities with members of the Union and other partners according to the following strategy:   </w:t>
      </w:r>
    </w:p>
    <w:p w:rsidR="003117C2" w:rsidRPr="00443397" w:rsidRDefault="003117C2" w:rsidP="003117C2">
      <w:pPr>
        <w:spacing w:line="360" w:lineRule="auto"/>
      </w:pPr>
    </w:p>
    <w:p w:rsidR="003117C2" w:rsidRPr="00616FB8" w:rsidRDefault="003117C2" w:rsidP="003117C2">
      <w:pPr>
        <w:rPr>
          <w:i/>
        </w:rPr>
      </w:pPr>
      <w:r w:rsidRPr="00616FB8">
        <w:rPr>
          <w:i/>
        </w:rPr>
        <w:t>Standard training activities organized or co-organized by UPOV</w:t>
      </w:r>
    </w:p>
    <w:p w:rsidR="003117C2" w:rsidRPr="00443397" w:rsidRDefault="003117C2" w:rsidP="003117C2"/>
    <w:p w:rsidR="003117C2" w:rsidRPr="00443397" w:rsidRDefault="003117C2" w:rsidP="003117C2">
      <w:r w:rsidRPr="00443397">
        <w:rPr>
          <w:color w:val="000000" w:themeColor="text1"/>
        </w:rPr>
        <w:t>2.3.2.10</w:t>
      </w:r>
      <w:r w:rsidRPr="00443397">
        <w:tab/>
        <w:t>The UPOV distance learning courses are a particularly effective means of providing high quality training to large numbers of participants and will continue to be a cornerstone of UPOV’s training and assistance strategy.  The incorporation of UPOV distance learning courses into UPOV activities and activities organized by others (see below) will also be an important part of the strategy.  In recognition of the limitation of UPOV staff resources, out-sourcing of administration and tutoring services will be organized according to available funds.</w:t>
      </w:r>
    </w:p>
    <w:p w:rsidR="003117C2" w:rsidRPr="00443397" w:rsidRDefault="003117C2" w:rsidP="003117C2"/>
    <w:p w:rsidR="003117C2" w:rsidRPr="00443397" w:rsidRDefault="003117C2" w:rsidP="003117C2">
      <w:r w:rsidRPr="00443397">
        <w:rPr>
          <w:color w:val="000000" w:themeColor="text1"/>
        </w:rPr>
        <w:t>2.3.2.11</w:t>
      </w:r>
      <w:r w:rsidRPr="00443397">
        <w:tab/>
        <w:t>A further mechanism to make the most effective use of UPOV staff resources and the existing knowledge and experience within members of the Union, is to train non-UPOV staff to act as trainers (training of trainers).  Training</w:t>
      </w:r>
      <w:r>
        <w:t xml:space="preserve"> courses for</w:t>
      </w:r>
      <w:r w:rsidRPr="00443397">
        <w:t xml:space="preserve"> trainers in appropriate languages </w:t>
      </w:r>
      <w:r>
        <w:t>will be organized</w:t>
      </w:r>
      <w:r w:rsidRPr="00443397">
        <w:t xml:space="preserve"> according to available funds.   </w:t>
      </w:r>
    </w:p>
    <w:p w:rsidR="003117C2" w:rsidRPr="00443397" w:rsidRDefault="003117C2" w:rsidP="003117C2">
      <w:pPr>
        <w:spacing w:line="360" w:lineRule="auto"/>
      </w:pPr>
    </w:p>
    <w:p w:rsidR="003117C2" w:rsidRPr="00616FB8" w:rsidRDefault="003117C2" w:rsidP="003117C2">
      <w:pPr>
        <w:keepNext/>
        <w:rPr>
          <w:i/>
        </w:rPr>
      </w:pPr>
      <w:r w:rsidRPr="00616FB8">
        <w:rPr>
          <w:i/>
        </w:rPr>
        <w:t>Training activities developed in conjunction with UPOV</w:t>
      </w:r>
    </w:p>
    <w:p w:rsidR="003117C2" w:rsidRPr="00443397" w:rsidRDefault="003117C2" w:rsidP="003117C2">
      <w:pPr>
        <w:keepNext/>
      </w:pPr>
    </w:p>
    <w:p w:rsidR="003117C2" w:rsidRPr="00443397" w:rsidRDefault="003117C2" w:rsidP="003117C2">
      <w:r w:rsidRPr="00443397">
        <w:rPr>
          <w:color w:val="000000" w:themeColor="text1"/>
        </w:rPr>
        <w:t>2.3.2.12</w:t>
      </w:r>
      <w:r w:rsidRPr="00443397">
        <w:tab/>
        <w:t xml:space="preserve">A number of members of the Union provide important assistance to States and relevant organizations.  Therefore, the Office of the Union will work with such members of the Union to develop activities to be organized </w:t>
      </w:r>
      <w:r w:rsidRPr="00616FB8">
        <w:t>with</w:t>
      </w:r>
      <w:r>
        <w:t xml:space="preserve"> </w:t>
      </w:r>
      <w:r w:rsidRPr="00443397">
        <w:t xml:space="preserve">the members of the Union concerned and for which UPOV will fund suitable participants according to available funds.  </w:t>
      </w:r>
    </w:p>
    <w:p w:rsidR="003117C2" w:rsidRDefault="003117C2" w:rsidP="003117C2">
      <w:pPr>
        <w:pStyle w:val="Heading3"/>
      </w:pPr>
    </w:p>
    <w:p w:rsidR="003117C2" w:rsidRPr="00616FB8" w:rsidRDefault="003117C2" w:rsidP="003117C2">
      <w:pPr>
        <w:keepNext/>
        <w:rPr>
          <w:i/>
        </w:rPr>
      </w:pPr>
      <w:r w:rsidRPr="00616FB8">
        <w:rPr>
          <w:i/>
        </w:rPr>
        <w:t>Training activities to which UPOV contributes</w:t>
      </w:r>
    </w:p>
    <w:p w:rsidR="003117C2" w:rsidRPr="00443397" w:rsidRDefault="003117C2" w:rsidP="003117C2">
      <w:pPr>
        <w:keepNext/>
      </w:pPr>
    </w:p>
    <w:p w:rsidR="003117C2" w:rsidRPr="00443397" w:rsidRDefault="003117C2" w:rsidP="003117C2">
      <w:r>
        <w:rPr>
          <w:color w:val="000000" w:themeColor="text1"/>
        </w:rPr>
        <w:t>2.3.2.13</w:t>
      </w:r>
      <w:r w:rsidRPr="00443397">
        <w:tab/>
        <w:t xml:space="preserve">In the case of activities </w:t>
      </w:r>
      <w:r>
        <w:t xml:space="preserve">developed and </w:t>
      </w:r>
      <w:r w:rsidRPr="00443397">
        <w:t>organized by members of the Union without the direct involvement of the Office of the Union, it is a matter for each member of the Union to decide on the activities that it wishes to pursue.  Where invited, the Office of the Union will contribute to such activities as appropriate according to the priorities that the Council has established for assistance.</w:t>
      </w:r>
    </w:p>
    <w:p w:rsidR="003117C2" w:rsidRPr="00443397" w:rsidRDefault="003117C2" w:rsidP="003117C2"/>
    <w:p w:rsidR="003117C2" w:rsidRPr="00443397" w:rsidRDefault="003117C2" w:rsidP="003117C2">
      <w:r>
        <w:rPr>
          <w:color w:val="000000" w:themeColor="text1"/>
        </w:rPr>
        <w:t>2.3.2.14</w:t>
      </w:r>
      <w:r w:rsidRPr="00443397">
        <w:tab/>
        <w:t xml:space="preserve">The Office of the Union will explore possibilities for </w:t>
      </w:r>
      <w:r>
        <w:t xml:space="preserve">increasing the number of </w:t>
      </w:r>
      <w:r w:rsidRPr="00443397">
        <w:t xml:space="preserve">academic institutes </w:t>
      </w:r>
      <w:r>
        <w:t>that</w:t>
      </w:r>
      <w:r w:rsidRPr="00443397">
        <w:t xml:space="preserve"> incorporate information on the UPOV system in relevant courses.    </w:t>
      </w:r>
    </w:p>
    <w:p w:rsidR="003117C2" w:rsidRPr="00443397" w:rsidRDefault="003117C2" w:rsidP="003117C2">
      <w:pPr>
        <w:spacing w:line="360" w:lineRule="auto"/>
      </w:pPr>
    </w:p>
    <w:p w:rsidR="003117C2" w:rsidRPr="00616FB8" w:rsidRDefault="003117C2" w:rsidP="003117C2">
      <w:pPr>
        <w:keepNext/>
        <w:rPr>
          <w:i/>
        </w:rPr>
      </w:pPr>
      <w:r w:rsidRPr="00616FB8">
        <w:t xml:space="preserve">In situ </w:t>
      </w:r>
      <w:r w:rsidRPr="00616FB8">
        <w:rPr>
          <w:i/>
        </w:rPr>
        <w:t>activities organized by UPOV</w:t>
      </w:r>
    </w:p>
    <w:p w:rsidR="003117C2" w:rsidRPr="00443397" w:rsidRDefault="003117C2" w:rsidP="003117C2">
      <w:pPr>
        <w:keepNext/>
      </w:pPr>
    </w:p>
    <w:p w:rsidR="003117C2" w:rsidRPr="00443397" w:rsidRDefault="003117C2" w:rsidP="003117C2">
      <w:r>
        <w:rPr>
          <w:color w:val="000000" w:themeColor="text1"/>
        </w:rPr>
        <w:t>2.3.2.15</w:t>
      </w:r>
      <w:r w:rsidRPr="00443397">
        <w:tab/>
        <w:t xml:space="preserve">It will continue to be necessary to conduct </w:t>
      </w:r>
      <w:r w:rsidRPr="00443397">
        <w:rPr>
          <w:i/>
        </w:rPr>
        <w:t>in situ</w:t>
      </w:r>
      <w:r w:rsidRPr="00443397">
        <w:t xml:space="preserve"> activities for certain needs, e.g. awareness-raising activities for local participants.  Such activities can involve substantial resources for organization of the venue, accommodation, travel arrangements</w:t>
      </w:r>
      <w:r w:rsidR="00E22750">
        <w:t>,</w:t>
      </w:r>
      <w:r w:rsidRPr="00443397">
        <w:t xml:space="preserve"> etc.  The Office of the </w:t>
      </w:r>
      <w:r w:rsidR="005933D4">
        <w:t>Union will explore means of out</w:t>
      </w:r>
      <w:r w:rsidR="005933D4">
        <w:noBreakHyphen/>
      </w:r>
      <w:r w:rsidRPr="00443397">
        <w:t xml:space="preserve">sourcing </w:t>
      </w:r>
      <w:r>
        <w:t xml:space="preserve">the </w:t>
      </w:r>
      <w:r w:rsidRPr="00443397">
        <w:t xml:space="preserve">organizational work.    </w:t>
      </w:r>
    </w:p>
    <w:p w:rsidR="003117C2" w:rsidRDefault="003117C2" w:rsidP="003117C2">
      <w:pPr>
        <w:spacing w:line="360" w:lineRule="auto"/>
      </w:pPr>
    </w:p>
    <w:p w:rsidR="003117C2" w:rsidRPr="00616FB8" w:rsidRDefault="003117C2" w:rsidP="003117C2">
      <w:pPr>
        <w:keepNext/>
        <w:rPr>
          <w:i/>
        </w:rPr>
      </w:pPr>
      <w:r w:rsidRPr="00616FB8">
        <w:rPr>
          <w:i/>
        </w:rPr>
        <w:t>Resources for training and assistance</w:t>
      </w:r>
    </w:p>
    <w:p w:rsidR="003117C2" w:rsidRPr="00443397" w:rsidRDefault="003117C2" w:rsidP="003117C2">
      <w:pPr>
        <w:keepNext/>
      </w:pPr>
    </w:p>
    <w:p w:rsidR="003117C2" w:rsidRDefault="003117C2" w:rsidP="003117C2">
      <w:pPr>
        <w:rPr>
          <w:color w:val="000000" w:themeColor="text1"/>
        </w:rPr>
      </w:pPr>
      <w:r w:rsidRPr="00443397">
        <w:rPr>
          <w:color w:val="000000" w:themeColor="text1"/>
        </w:rPr>
        <w:t>2.3.2.16</w:t>
      </w:r>
      <w:r w:rsidRPr="00443397">
        <w:rPr>
          <w:color w:val="000000" w:themeColor="text1"/>
        </w:rPr>
        <w:tab/>
        <w:t>In o</w:t>
      </w:r>
      <w:r>
        <w:rPr>
          <w:color w:val="000000" w:themeColor="text1"/>
        </w:rPr>
        <w:t xml:space="preserve">rder to improve the effectiveness of those persons providing training and assistance on the UPOV system, the </w:t>
      </w:r>
      <w:r w:rsidRPr="00124CC4">
        <w:rPr>
          <w:color w:val="000000" w:themeColor="text1"/>
        </w:rPr>
        <w:t>Office of the Union</w:t>
      </w:r>
      <w:r>
        <w:rPr>
          <w:color w:val="000000" w:themeColor="text1"/>
        </w:rPr>
        <w:t xml:space="preserve"> will develop training materials (e.g. standard presentations and links to relevant UPOV materials) that will be available online. </w:t>
      </w:r>
    </w:p>
    <w:p w:rsidR="003117C2" w:rsidRDefault="003117C2" w:rsidP="003117C2">
      <w:pPr>
        <w:jc w:val="left"/>
      </w:pPr>
    </w:p>
    <w:p w:rsidR="003117C2" w:rsidRDefault="003117C2" w:rsidP="003117C2">
      <w:pPr>
        <w:jc w:val="left"/>
      </w:pPr>
    </w:p>
    <w:p w:rsidR="003117C2" w:rsidRPr="00DD6106" w:rsidRDefault="003117C2" w:rsidP="003117C2">
      <w:pPr>
        <w:rPr>
          <w:b/>
        </w:rPr>
      </w:pPr>
      <w:r w:rsidRPr="00DD6106">
        <w:rPr>
          <w:b/>
        </w:rPr>
        <w:t>2.3.3</w:t>
      </w:r>
      <w:r w:rsidRPr="00DD6106">
        <w:rPr>
          <w:b/>
        </w:rPr>
        <w:tab/>
        <w:t>Activities</w:t>
      </w:r>
    </w:p>
    <w:p w:rsidR="003117C2" w:rsidRPr="00DD6106" w:rsidRDefault="003117C2" w:rsidP="003117C2"/>
    <w:p w:rsidR="003117C2" w:rsidRPr="00DD6106" w:rsidRDefault="003117C2" w:rsidP="003117C2">
      <w:pPr>
        <w:numPr>
          <w:ilvl w:val="0"/>
          <w:numId w:val="11"/>
        </w:numPr>
        <w:tabs>
          <w:tab w:val="clear" w:pos="720"/>
        </w:tabs>
        <w:spacing w:after="120"/>
        <w:ind w:left="1134" w:hanging="567"/>
      </w:pPr>
      <w:r w:rsidRPr="00DD6106">
        <w:t>Ass</w:t>
      </w:r>
      <w:r>
        <w:t>istance in drafting legislation.</w:t>
      </w:r>
    </w:p>
    <w:p w:rsidR="003117C2" w:rsidRPr="00DD6106" w:rsidRDefault="003117C2" w:rsidP="003117C2">
      <w:pPr>
        <w:numPr>
          <w:ilvl w:val="0"/>
          <w:numId w:val="11"/>
        </w:numPr>
        <w:tabs>
          <w:tab w:val="clear" w:pos="720"/>
        </w:tabs>
        <w:spacing w:after="120"/>
        <w:ind w:left="1134" w:hanging="567"/>
      </w:pPr>
      <w:r w:rsidRPr="00DD6106">
        <w:t>Development and operation of distance</w:t>
      </w:r>
      <w:r>
        <w:t xml:space="preserve"> learning courses.</w:t>
      </w:r>
    </w:p>
    <w:p w:rsidR="003117C2" w:rsidRDefault="003117C2" w:rsidP="003117C2">
      <w:pPr>
        <w:numPr>
          <w:ilvl w:val="0"/>
          <w:numId w:val="11"/>
        </w:numPr>
        <w:tabs>
          <w:tab w:val="clear" w:pos="720"/>
        </w:tabs>
        <w:spacing w:after="120"/>
        <w:ind w:left="1134" w:hanging="567"/>
      </w:pPr>
      <w:r w:rsidRPr="002C0995">
        <w:t>Tra</w:t>
      </w:r>
      <w:r>
        <w:t>ining and assistance activities.</w:t>
      </w:r>
    </w:p>
    <w:p w:rsidR="003117C2" w:rsidRPr="002C0995" w:rsidRDefault="003117C2" w:rsidP="003117C2">
      <w:pPr>
        <w:numPr>
          <w:ilvl w:val="0"/>
          <w:numId w:val="11"/>
        </w:numPr>
        <w:tabs>
          <w:tab w:val="clear" w:pos="720"/>
        </w:tabs>
        <w:spacing w:after="120"/>
        <w:ind w:left="1134" w:hanging="567"/>
      </w:pPr>
      <w:r>
        <w:t>Development of training resources for trainers</w:t>
      </w:r>
    </w:p>
    <w:p w:rsidR="003117C2" w:rsidRPr="002C0995" w:rsidRDefault="003117C2" w:rsidP="003117C2">
      <w:pPr>
        <w:numPr>
          <w:ilvl w:val="0"/>
          <w:numId w:val="11"/>
        </w:numPr>
        <w:tabs>
          <w:tab w:val="clear" w:pos="720"/>
        </w:tabs>
        <w:spacing w:after="120"/>
        <w:ind w:left="1134" w:hanging="567"/>
      </w:pPr>
      <w:r w:rsidRPr="002C0995">
        <w:t>Support for projects to introduc</w:t>
      </w:r>
      <w:r>
        <w:t>e and implement the UPOV system.</w:t>
      </w:r>
    </w:p>
    <w:p w:rsidR="003117C2" w:rsidRPr="00AC22FC" w:rsidRDefault="003117C2" w:rsidP="003117C2">
      <w:pPr>
        <w:numPr>
          <w:ilvl w:val="0"/>
          <w:numId w:val="11"/>
        </w:numPr>
        <w:tabs>
          <w:tab w:val="clear" w:pos="720"/>
        </w:tabs>
        <w:spacing w:after="120"/>
        <w:ind w:hanging="180"/>
      </w:pPr>
      <w:r w:rsidRPr="00AC22FC">
        <w:rPr>
          <w:snapToGrid w:val="0"/>
        </w:rPr>
        <w:t>Awareness-raising events.</w:t>
      </w:r>
    </w:p>
    <w:p w:rsidR="003117C2" w:rsidRDefault="003117C2" w:rsidP="003117C2">
      <w:pPr>
        <w:tabs>
          <w:tab w:val="left" w:pos="567"/>
        </w:tabs>
      </w:pPr>
    </w:p>
    <w:p w:rsidR="003117C2" w:rsidRPr="00DD6106" w:rsidRDefault="003117C2" w:rsidP="003117C2">
      <w:pPr>
        <w:tabs>
          <w:tab w:val="left" w:pos="567"/>
        </w:tabs>
      </w:pPr>
    </w:p>
    <w:p w:rsidR="003117C2" w:rsidRPr="00DD6106" w:rsidRDefault="003117C2" w:rsidP="003117C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2.3.4</w:t>
      </w:r>
      <w:r w:rsidRPr="00DD6106">
        <w:rPr>
          <w:b/>
        </w:rPr>
        <w:tab/>
        <w:t>Expected Results and Performance Indicators</w:t>
      </w:r>
    </w:p>
    <w:p w:rsidR="003117C2" w:rsidRPr="00DD6106" w:rsidRDefault="003117C2" w:rsidP="003117C2">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3117C2" w:rsidRPr="00DD6106" w:rsidTr="00DC5E39">
        <w:trPr>
          <w:cantSplit/>
          <w:tblHeader/>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jc w:val="center"/>
              <w:rPr>
                <w:color w:val="000000"/>
                <w:u w:val="single"/>
              </w:rPr>
            </w:pPr>
            <w:r w:rsidRPr="00DD6106">
              <w:rPr>
                <w:color w:val="000000"/>
                <w:u w:val="single"/>
              </w:rPr>
              <w:t>Performance Indicators</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sidRPr="00DD6106">
              <w:rPr>
                <w:color w:val="000000"/>
              </w:rPr>
              <w:t>1.</w:t>
            </w:r>
            <w:r w:rsidRPr="00DD6106">
              <w:rPr>
                <w:color w:val="000000"/>
              </w:rPr>
              <w:tab/>
              <w:t xml:space="preserve">Raising awareness of the role of plant variety protection in accordance with the UPOV Convention </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spacing w:after="60"/>
              <w:ind w:left="397" w:hanging="397"/>
              <w:jc w:val="left"/>
              <w:rPr>
                <w:color w:val="000000"/>
              </w:rPr>
            </w:pPr>
            <w:r>
              <w:rPr>
                <w:color w:val="000000"/>
              </w:rPr>
              <w:t>(a</w:t>
            </w:r>
            <w:r w:rsidRPr="00DD6106">
              <w:rPr>
                <w:color w:val="000000"/>
              </w:rPr>
              <w:t xml:space="preserve">) </w:t>
            </w:r>
            <w:r w:rsidRPr="00DD6106">
              <w:rPr>
                <w:color w:val="000000"/>
              </w:rPr>
              <w:tab/>
            </w:r>
            <w:r w:rsidRPr="00DD6106">
              <w:t>States and organizations</w:t>
            </w:r>
            <w:r w:rsidRPr="00DD6106">
              <w:rPr>
                <w:color w:val="000000"/>
              </w:rPr>
              <w:t xml:space="preserve"> provided with information at UPOV activities;</w:t>
            </w:r>
          </w:p>
          <w:p w:rsidR="003117C2" w:rsidRPr="00DD6106" w:rsidRDefault="003117C2" w:rsidP="00DC5E39">
            <w:pPr>
              <w:spacing w:after="60"/>
              <w:ind w:left="397" w:hanging="397"/>
              <w:jc w:val="left"/>
              <w:rPr>
                <w:color w:val="000000"/>
              </w:rPr>
            </w:pPr>
            <w:r>
              <w:rPr>
                <w:color w:val="000000"/>
              </w:rPr>
              <w:t>(b</w:t>
            </w:r>
            <w:r w:rsidRPr="00DD6106">
              <w:rPr>
                <w:color w:val="000000"/>
              </w:rPr>
              <w:t>)</w:t>
            </w:r>
            <w:r w:rsidRPr="00DD6106">
              <w:rPr>
                <w:color w:val="000000"/>
              </w:rPr>
              <w:tab/>
            </w:r>
            <w:r w:rsidRPr="00DD6106">
              <w:t>States and organizations</w:t>
            </w:r>
            <w:r w:rsidRPr="00DD6106">
              <w:rPr>
                <w:color w:val="000000"/>
              </w:rPr>
              <w:t xml:space="preserve"> that contact the Office of the Union for assistance in the development of legislation on plant variety protection;</w:t>
            </w:r>
          </w:p>
          <w:p w:rsidR="003117C2" w:rsidRPr="00DD6106" w:rsidRDefault="003117C2" w:rsidP="00DC5E39">
            <w:pPr>
              <w:spacing w:after="60"/>
              <w:ind w:left="397" w:hanging="397"/>
              <w:jc w:val="left"/>
            </w:pPr>
            <w:r>
              <w:t>(c</w:t>
            </w:r>
            <w:r w:rsidRPr="00DD6106">
              <w:t>)</w:t>
            </w:r>
            <w:r w:rsidRPr="00DD6106">
              <w:tab/>
              <w:t>States and organizations that initiate with the Council of UPOV the procedure for becoming members of the Union;</w:t>
            </w:r>
          </w:p>
          <w:p w:rsidR="003117C2" w:rsidRPr="00DD6106" w:rsidRDefault="003117C2" w:rsidP="00DC5E39">
            <w:pPr>
              <w:ind w:left="397" w:hanging="397"/>
              <w:jc w:val="left"/>
            </w:pPr>
            <w:r>
              <w:t>(d</w:t>
            </w:r>
            <w:r w:rsidRPr="00DD6106">
              <w:t>)</w:t>
            </w:r>
            <w:r w:rsidRPr="00DD6106">
              <w:tab/>
              <w:t>participation in UPOV awareness-raising activities, or activities involving</w:t>
            </w:r>
            <w:r w:rsidRPr="00DD6106">
              <w:rPr>
                <w:color w:val="000000"/>
              </w:rPr>
              <w:t xml:space="preserve"> UPOV staff or UPOV trainers on behalf of UPOV staff</w:t>
            </w:r>
            <w:r w:rsidRPr="00DD6106">
              <w:t>.</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246" w:type="dxa"/>
            <w:tcBorders>
              <w:top w:val="single" w:sz="4" w:space="0" w:color="000000"/>
              <w:left w:val="single" w:sz="4" w:space="0" w:color="000000"/>
              <w:bottom w:val="single" w:sz="4" w:space="0" w:color="000000"/>
              <w:right w:val="single" w:sz="4" w:space="0" w:color="000000"/>
            </w:tcBorders>
          </w:tcPr>
          <w:p w:rsidR="003117C2" w:rsidRDefault="003117C2" w:rsidP="00DC5E39">
            <w:pPr>
              <w:spacing w:after="60"/>
              <w:ind w:left="397" w:hanging="397"/>
              <w:jc w:val="left"/>
              <w:rPr>
                <w:color w:val="000000"/>
              </w:rPr>
            </w:pPr>
            <w:r>
              <w:rPr>
                <w:color w:val="000000"/>
              </w:rPr>
              <w:t>(a</w:t>
            </w:r>
            <w:r w:rsidRPr="00DD6106">
              <w:rPr>
                <w:color w:val="000000"/>
              </w:rPr>
              <w:t>)</w:t>
            </w:r>
            <w:r w:rsidRPr="00DD6106">
              <w:rPr>
                <w:color w:val="000000"/>
              </w:rPr>
              <w:tab/>
              <w:t>mee</w:t>
            </w:r>
            <w:r>
              <w:rPr>
                <w:color w:val="000000"/>
              </w:rPr>
              <w:t>tings with government officials to discuss legislative matters</w:t>
            </w:r>
          </w:p>
          <w:p w:rsidR="003117C2" w:rsidRPr="00DD6106" w:rsidRDefault="003117C2" w:rsidP="00DC5E39">
            <w:pPr>
              <w:spacing w:after="60"/>
              <w:ind w:left="397" w:hanging="397"/>
              <w:jc w:val="left"/>
              <w:rPr>
                <w:color w:val="000000"/>
              </w:rPr>
            </w:pPr>
            <w:r w:rsidRPr="00DD6106">
              <w:rPr>
                <w:color w:val="000000"/>
              </w:rPr>
              <w:t>(</w:t>
            </w:r>
            <w:r>
              <w:rPr>
                <w:color w:val="000000"/>
              </w:rPr>
              <w:t>b</w:t>
            </w:r>
            <w:r w:rsidRPr="00DD6106">
              <w:rPr>
                <w:color w:val="000000"/>
              </w:rPr>
              <w:t xml:space="preserve">) </w:t>
            </w:r>
            <w:r w:rsidRPr="00DD6106">
              <w:rPr>
                <w:color w:val="000000"/>
              </w:rPr>
              <w:tab/>
            </w:r>
            <w:r w:rsidRPr="00DD6106">
              <w:t>States and organizations</w:t>
            </w:r>
            <w:r w:rsidRPr="00DD6106">
              <w:rPr>
                <w:color w:val="000000"/>
              </w:rPr>
              <w:t xml:space="preserve"> provided with comments on laws;</w:t>
            </w:r>
          </w:p>
          <w:p w:rsidR="003117C2" w:rsidRPr="00DD6106" w:rsidRDefault="003117C2" w:rsidP="00DC5E39">
            <w:pPr>
              <w:keepNext/>
              <w:ind w:left="397" w:hanging="397"/>
              <w:jc w:val="left"/>
            </w:pPr>
            <w:r>
              <w:t>(c</w:t>
            </w:r>
            <w:r w:rsidRPr="00DD6106">
              <w:t>)</w:t>
            </w:r>
            <w:r w:rsidRPr="00DD6106">
              <w:tab/>
              <w:t>States and organizations receiving a positive advice from the Council of UPOV;</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sidRPr="00DD6106">
              <w:t>3.</w:t>
            </w:r>
            <w:r w:rsidRPr="00DD6106">
              <w:tab/>
              <w:t>Assistance to States and organizations in the accession to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spacing w:after="60"/>
              <w:ind w:left="397" w:hanging="397"/>
              <w:jc w:val="left"/>
            </w:pPr>
            <w:r w:rsidRPr="00DD6106">
              <w:t>(a)</w:t>
            </w:r>
            <w:r w:rsidRPr="00DD6106">
              <w:tab/>
              <w:t>States that accede to or ratify the 1991 Act of the UPOV Convention;</w:t>
            </w:r>
          </w:p>
          <w:p w:rsidR="003117C2" w:rsidRPr="00DD6106" w:rsidRDefault="003117C2" w:rsidP="00DC5E39">
            <w:pPr>
              <w:keepNext/>
              <w:ind w:left="397" w:hanging="397"/>
              <w:jc w:val="left"/>
              <w:rPr>
                <w:color w:val="000000"/>
              </w:rPr>
            </w:pPr>
            <w:r w:rsidRPr="00DD6106">
              <w:t>(b)</w:t>
            </w:r>
            <w:r w:rsidRPr="00DD6106">
              <w:tab/>
              <w:t>States and organizations that become members of the Union.</w:t>
            </w:r>
          </w:p>
        </w:tc>
      </w:tr>
      <w:tr w:rsidR="003117C2" w:rsidRPr="00DD6106" w:rsidTr="00DC5E39">
        <w:trPr>
          <w:cantSplit/>
        </w:trPr>
        <w:tc>
          <w:tcPr>
            <w:tcW w:w="464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24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spacing w:after="60"/>
              <w:ind w:left="397" w:hanging="397"/>
              <w:jc w:val="left"/>
              <w:rPr>
                <w:color w:val="000000"/>
              </w:rPr>
            </w:pPr>
            <w:r w:rsidRPr="00DD6106">
              <w:rPr>
                <w:color w:val="000000"/>
              </w:rPr>
              <w:t>(a)</w:t>
            </w:r>
            <w:r w:rsidRPr="00DD6106">
              <w:rPr>
                <w:color w:val="000000"/>
              </w:rPr>
              <w:tab/>
              <w:t>participation in distance learning courses;</w:t>
            </w:r>
          </w:p>
          <w:p w:rsidR="003117C2" w:rsidRPr="00DD6106" w:rsidRDefault="003117C2" w:rsidP="00DC5E39">
            <w:pPr>
              <w:spacing w:after="60"/>
              <w:ind w:left="397" w:hanging="397"/>
              <w:jc w:val="left"/>
              <w:rPr>
                <w:color w:val="000000"/>
              </w:rPr>
            </w:pPr>
            <w:bookmarkStart w:id="7" w:name="OLE_LINK3"/>
            <w:bookmarkStart w:id="8" w:name="OLE_LINK4"/>
            <w:r w:rsidRPr="00DD6106">
              <w:rPr>
                <w:color w:val="000000"/>
              </w:rPr>
              <w:t>(</w:t>
            </w:r>
            <w:r>
              <w:rPr>
                <w:color w:val="000000"/>
              </w:rPr>
              <w:t>b</w:t>
            </w:r>
            <w:r w:rsidRPr="00DD6106">
              <w:rPr>
                <w:color w:val="000000"/>
              </w:rPr>
              <w:t>)</w:t>
            </w:r>
            <w:r w:rsidRPr="00DD6106">
              <w:rPr>
                <w:color w:val="000000"/>
              </w:rPr>
              <w:tab/>
              <w:t xml:space="preserve">training </w:t>
            </w:r>
            <w:r>
              <w:rPr>
                <w:color w:val="000000"/>
              </w:rPr>
              <w:t xml:space="preserve">of </w:t>
            </w:r>
            <w:r w:rsidRPr="00DD6106">
              <w:rPr>
                <w:color w:val="000000"/>
              </w:rPr>
              <w:t>trainers;</w:t>
            </w:r>
          </w:p>
          <w:p w:rsidR="003117C2" w:rsidRDefault="003117C2" w:rsidP="00DC5E39">
            <w:pPr>
              <w:spacing w:after="60"/>
              <w:ind w:left="397" w:hanging="397"/>
              <w:jc w:val="left"/>
              <w:rPr>
                <w:color w:val="000000"/>
              </w:rPr>
            </w:pPr>
            <w:r>
              <w:rPr>
                <w:color w:val="000000"/>
              </w:rPr>
              <w:t>(c)</w:t>
            </w:r>
            <w:r>
              <w:rPr>
                <w:color w:val="000000"/>
              </w:rPr>
              <w:tab/>
            </w:r>
            <w:r w:rsidRPr="00730C27">
              <w:rPr>
                <w:color w:val="000000"/>
              </w:rPr>
              <w:t xml:space="preserve">training activities </w:t>
            </w:r>
            <w:r>
              <w:rPr>
                <w:color w:val="000000"/>
              </w:rPr>
              <w:t xml:space="preserve">developed in conjunction with </w:t>
            </w:r>
            <w:r w:rsidRPr="00730C27">
              <w:rPr>
                <w:color w:val="000000"/>
              </w:rPr>
              <w:t>UPOV</w:t>
            </w:r>
            <w:r w:rsidRPr="003A1572">
              <w:rPr>
                <w:color w:val="000000"/>
              </w:rPr>
              <w:t>;</w:t>
            </w:r>
          </w:p>
          <w:p w:rsidR="003117C2" w:rsidRPr="00DD6106" w:rsidRDefault="003117C2" w:rsidP="00DC5E39">
            <w:pPr>
              <w:spacing w:after="60"/>
              <w:ind w:left="397" w:hanging="397"/>
              <w:jc w:val="left"/>
              <w:rPr>
                <w:color w:val="000000"/>
              </w:rPr>
            </w:pPr>
            <w:r>
              <w:rPr>
                <w:color w:val="000000"/>
              </w:rPr>
              <w:t>(d</w:t>
            </w:r>
            <w:r w:rsidRPr="00DD6106">
              <w:rPr>
                <w:color w:val="000000"/>
              </w:rPr>
              <w:t>)</w:t>
            </w:r>
            <w:r w:rsidRPr="00DD6106">
              <w:rPr>
                <w:color w:val="000000"/>
              </w:rPr>
              <w:tab/>
              <w:t>participation by observer States and organizations in the CAJ, TC, TWPs and the associated preparatory workshops;</w:t>
            </w:r>
          </w:p>
          <w:bookmarkEnd w:id="7"/>
          <w:bookmarkEnd w:id="8"/>
          <w:p w:rsidR="003117C2" w:rsidRPr="00DD6106" w:rsidRDefault="003117C2" w:rsidP="00DC5E39">
            <w:pPr>
              <w:spacing w:after="60"/>
              <w:ind w:left="397" w:hanging="397"/>
              <w:jc w:val="left"/>
              <w:rPr>
                <w:color w:val="000000"/>
              </w:rPr>
            </w:pPr>
            <w:r>
              <w:rPr>
                <w:color w:val="000000"/>
              </w:rPr>
              <w:t>(e</w:t>
            </w:r>
            <w:r w:rsidRPr="00DD6106">
              <w:rPr>
                <w:color w:val="000000"/>
              </w:rPr>
              <w:t>)</w:t>
            </w:r>
            <w:r w:rsidRPr="00DD6106">
              <w:rPr>
                <w:color w:val="000000"/>
              </w:rPr>
              <w:tab/>
              <w:t>participation in UPOV activities;</w:t>
            </w:r>
          </w:p>
          <w:p w:rsidR="003117C2" w:rsidRDefault="003117C2" w:rsidP="00DC5E39">
            <w:pPr>
              <w:spacing w:after="60"/>
              <w:ind w:left="397" w:hanging="397"/>
              <w:jc w:val="left"/>
              <w:rPr>
                <w:color w:val="000000"/>
              </w:rPr>
            </w:pPr>
            <w:r>
              <w:rPr>
                <w:color w:val="000000"/>
              </w:rPr>
              <w:t>(f</w:t>
            </w:r>
            <w:r w:rsidRPr="00DD6106">
              <w:rPr>
                <w:color w:val="000000"/>
              </w:rPr>
              <w:t>)</w:t>
            </w:r>
            <w:r w:rsidRPr="00DD6106">
              <w:rPr>
                <w:color w:val="000000"/>
              </w:rPr>
              <w:tab/>
              <w:t>participation in activities involving UPOV staff or UPOV trainers on behalf of UPOV staff;</w:t>
            </w:r>
          </w:p>
          <w:p w:rsidR="003117C2" w:rsidRPr="00DD6106" w:rsidRDefault="003117C2" w:rsidP="00DC5E39">
            <w:pPr>
              <w:spacing w:after="60"/>
              <w:ind w:left="397" w:hanging="397"/>
              <w:jc w:val="left"/>
              <w:rPr>
                <w:color w:val="000000"/>
              </w:rPr>
            </w:pPr>
            <w:r>
              <w:rPr>
                <w:color w:val="000000"/>
              </w:rPr>
              <w:t>(g)</w:t>
            </w:r>
            <w:r>
              <w:rPr>
                <w:color w:val="000000"/>
              </w:rPr>
              <w:tab/>
              <w:t xml:space="preserve">academic courses featuring the UPOV system of </w:t>
            </w:r>
            <w:r w:rsidRPr="00332736">
              <w:rPr>
                <w:snapToGrid w:val="0"/>
                <w:color w:val="000000"/>
              </w:rPr>
              <w:t>plant variety protection</w:t>
            </w:r>
            <w:r>
              <w:rPr>
                <w:snapToGrid w:val="0"/>
                <w:color w:val="000000"/>
              </w:rPr>
              <w:t>;</w:t>
            </w:r>
          </w:p>
          <w:p w:rsidR="003117C2" w:rsidRPr="00DD6106" w:rsidRDefault="003117C2" w:rsidP="00DC5E39">
            <w:pPr>
              <w:keepNext/>
              <w:ind w:left="397" w:hanging="397"/>
              <w:jc w:val="left"/>
              <w:rPr>
                <w:color w:val="000000"/>
              </w:rPr>
            </w:pPr>
            <w:r w:rsidRPr="00DD6106">
              <w:rPr>
                <w:color w:val="000000"/>
              </w:rPr>
              <w:t>(f)</w:t>
            </w:r>
            <w:r w:rsidRPr="00DD6106">
              <w:rPr>
                <w:color w:val="000000"/>
              </w:rPr>
              <w:tab/>
              <w:t>implementation of projects with partner organizations and donors</w:t>
            </w:r>
            <w:r w:rsidRPr="003A1572">
              <w:rPr>
                <w:color w:val="000000"/>
              </w:rPr>
              <w:t>.</w:t>
            </w:r>
          </w:p>
        </w:tc>
      </w:tr>
    </w:tbl>
    <w:p w:rsidR="003117C2" w:rsidRPr="00DD6106" w:rsidRDefault="003117C2" w:rsidP="003117C2"/>
    <w:p w:rsidR="003117C2" w:rsidRDefault="003117C2" w:rsidP="003117C2">
      <w:pPr>
        <w:jc w:val="left"/>
        <w:rPr>
          <w:b/>
        </w:rPr>
      </w:pPr>
      <w:r>
        <w:rPr>
          <w:b/>
        </w:rPr>
        <w:br w:type="page"/>
      </w:r>
    </w:p>
    <w:p w:rsidR="003117C2" w:rsidRPr="00DD6106" w:rsidRDefault="003117C2" w:rsidP="003117C2">
      <w:pPr>
        <w:keepNext/>
        <w:tabs>
          <w:tab w:val="left" w:pos="567"/>
        </w:tabs>
        <w:ind w:left="2835" w:hanging="2835"/>
        <w:rPr>
          <w:b/>
          <w:u w:val="single"/>
        </w:rPr>
      </w:pPr>
      <w:r w:rsidRPr="00DD6106">
        <w:rPr>
          <w:b/>
        </w:rPr>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3117C2" w:rsidRPr="00DD6106" w:rsidRDefault="003117C2" w:rsidP="003117C2">
      <w:pPr>
        <w:keepNext/>
      </w:pPr>
    </w:p>
    <w:p w:rsidR="003117C2" w:rsidRPr="00DD6106" w:rsidRDefault="003117C2" w:rsidP="003117C2">
      <w:pPr>
        <w:keepNext/>
        <w:rPr>
          <w:b/>
          <w:color w:val="000000"/>
        </w:rPr>
      </w:pPr>
      <w:r w:rsidRPr="00DD6106">
        <w:rPr>
          <w:b/>
          <w:color w:val="000000"/>
        </w:rPr>
        <w:t>2.4.1</w:t>
      </w:r>
      <w:r w:rsidRPr="00DD6106">
        <w:rPr>
          <w:b/>
          <w:color w:val="000000"/>
        </w:rPr>
        <w:tab/>
        <w:t>Objectives</w:t>
      </w:r>
    </w:p>
    <w:p w:rsidR="003117C2" w:rsidRPr="00DD6106" w:rsidRDefault="003117C2" w:rsidP="003117C2">
      <w:pPr>
        <w:keepNext/>
        <w:tabs>
          <w:tab w:val="num" w:pos="567"/>
        </w:tabs>
      </w:pPr>
    </w:p>
    <w:p w:rsidR="003117C2" w:rsidRPr="006F24A8" w:rsidRDefault="003117C2" w:rsidP="003117C2">
      <w:r w:rsidRPr="00DD6106">
        <w:tab/>
        <w:t>(a)</w:t>
      </w:r>
      <w:r w:rsidRPr="00DD6106">
        <w:tab/>
      </w:r>
      <w:r w:rsidRPr="006F24A8">
        <w:t>To broaden and enhance the understanding of the UPOV sys</w:t>
      </w:r>
      <w:r>
        <w:t>tem of plant variety protection.</w:t>
      </w:r>
    </w:p>
    <w:p w:rsidR="003117C2" w:rsidRPr="006F24A8" w:rsidRDefault="003117C2" w:rsidP="003117C2"/>
    <w:p w:rsidR="003117C2" w:rsidRPr="006F24A8" w:rsidRDefault="003117C2" w:rsidP="003117C2">
      <w:r w:rsidRPr="006F24A8">
        <w:tab/>
        <w:t>(b)</w:t>
      </w:r>
      <w:r w:rsidRPr="006F24A8">
        <w:tab/>
        <w:t>To provide information on the UPOV Convention to other intergovernmental organizations, with the aim of achieving mutual supportiveness with other international treaties.</w:t>
      </w:r>
    </w:p>
    <w:p w:rsidR="003117C2" w:rsidRDefault="003117C2" w:rsidP="003117C2"/>
    <w:p w:rsidR="003117C2" w:rsidRPr="006F24A8" w:rsidRDefault="003117C2" w:rsidP="003117C2"/>
    <w:p w:rsidR="003117C2" w:rsidRPr="006F24A8" w:rsidRDefault="003117C2" w:rsidP="003117C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3117C2" w:rsidRDefault="003117C2" w:rsidP="003117C2">
      <w:pPr>
        <w:tabs>
          <w:tab w:val="left" w:pos="567"/>
        </w:tabs>
      </w:pPr>
    </w:p>
    <w:p w:rsidR="003117C2" w:rsidRDefault="003117C2" w:rsidP="003117C2">
      <w:pPr>
        <w:pStyle w:val="Heading2"/>
      </w:pPr>
      <w:r>
        <w:t>Introduction</w:t>
      </w:r>
    </w:p>
    <w:p w:rsidR="003117C2" w:rsidRPr="00FA1FDD" w:rsidRDefault="003117C2" w:rsidP="003117C2">
      <w:pPr>
        <w:tabs>
          <w:tab w:val="left" w:pos="567"/>
        </w:tabs>
        <w:rPr>
          <w:spacing w:val="-2"/>
        </w:rPr>
      </w:pPr>
    </w:p>
    <w:p w:rsidR="003117C2" w:rsidRPr="007C33EB" w:rsidRDefault="003117C2" w:rsidP="003117C2">
      <w:r w:rsidRPr="00FA1FDD">
        <w:rPr>
          <w:spacing w:val="-2"/>
        </w:rPr>
        <w:t>2.4.2.1</w:t>
      </w:r>
      <w:r w:rsidRPr="00FA1FDD">
        <w:rPr>
          <w:spacing w:val="-2"/>
        </w:rPr>
        <w:tab/>
        <w:t xml:space="preserve">UPOV’s mission is </w:t>
      </w:r>
      <w:r w:rsidRPr="00FA1FDD">
        <w:rPr>
          <w:spacing w:val="-2"/>
          <w:lang w:val="en"/>
        </w:rPr>
        <w:t xml:space="preserve">to provide and promote an effective system of plant variety protection, with the aim of encouraging the development of new varieties of plants, for the benefit of society.  </w:t>
      </w:r>
      <w:r w:rsidR="00AC4D3E">
        <w:rPr>
          <w:spacing w:val="-2"/>
        </w:rPr>
        <w:t>The aim of this Sub</w:t>
      </w:r>
      <w:r w:rsidR="00AC4D3E">
        <w:rPr>
          <w:spacing w:val="-2"/>
        </w:rPr>
        <w:noBreakHyphen/>
      </w:r>
      <w:r w:rsidRPr="00FA1FDD">
        <w:rPr>
          <w:spacing w:val="-2"/>
        </w:rPr>
        <w:t xml:space="preserve">program is to explain how the UPOV system encourages the development of new varieties of plants, how new varieties benefit society and the role of the UPOV system in relation to agriculture and economic policy. </w:t>
      </w:r>
    </w:p>
    <w:p w:rsidR="003117C2" w:rsidRDefault="003117C2" w:rsidP="003117C2">
      <w:pPr>
        <w:tabs>
          <w:tab w:val="left" w:pos="851"/>
        </w:tabs>
      </w:pPr>
    </w:p>
    <w:p w:rsidR="003117C2" w:rsidRPr="007C33EB" w:rsidRDefault="003117C2" w:rsidP="003117C2">
      <w:pPr>
        <w:tabs>
          <w:tab w:val="left" w:pos="851"/>
        </w:tabs>
      </w:pPr>
    </w:p>
    <w:p w:rsidR="003117C2" w:rsidRPr="007C33EB" w:rsidRDefault="003117C2" w:rsidP="003117C2">
      <w:pPr>
        <w:pStyle w:val="Heading2"/>
      </w:pPr>
      <w:r w:rsidRPr="007C33EB">
        <w:t>Communications with Stakeholders</w:t>
      </w:r>
    </w:p>
    <w:p w:rsidR="003117C2" w:rsidRPr="007C33EB" w:rsidRDefault="003117C2" w:rsidP="003117C2">
      <w:pPr>
        <w:tabs>
          <w:tab w:val="left" w:pos="851"/>
        </w:tabs>
      </w:pPr>
    </w:p>
    <w:p w:rsidR="003117C2" w:rsidRPr="007C33EB" w:rsidRDefault="003117C2" w:rsidP="003117C2">
      <w:pPr>
        <w:rPr>
          <w:rFonts w:cs="Arial"/>
          <w:snapToGrid w:val="0"/>
        </w:rPr>
      </w:pPr>
      <w:r w:rsidRPr="007C33EB">
        <w:t>2.4.2.2</w:t>
      </w:r>
      <w:r w:rsidRPr="007C33EB">
        <w:tab/>
        <w:t>General information, suitable for a wide range of stakeholders, will continue to be developed.  For example, work will continue on answers to frequently-asked questions about the UPOV system and the development of illustrative explanations and examples of the benefits of the UPOV system. As appropriate, UPOV will contribute to artic</w:t>
      </w:r>
      <w:r w:rsidR="00AC4D3E">
        <w:t>les in relevant publications.</w:t>
      </w:r>
    </w:p>
    <w:p w:rsidR="003117C2" w:rsidRPr="007C33EB" w:rsidRDefault="003117C2" w:rsidP="003117C2">
      <w:pPr>
        <w:spacing w:line="360" w:lineRule="auto"/>
        <w:rPr>
          <w:rFonts w:cs="Arial"/>
          <w:snapToGrid w:val="0"/>
        </w:rPr>
      </w:pPr>
    </w:p>
    <w:p w:rsidR="003117C2" w:rsidRPr="007C33EB" w:rsidRDefault="003117C2" w:rsidP="003117C2">
      <w:pPr>
        <w:rPr>
          <w:rFonts w:cs="Arial"/>
          <w:snapToGrid w:val="0"/>
        </w:rPr>
      </w:pPr>
      <w:r w:rsidRPr="007C33EB">
        <w:t>2.4.2.3</w:t>
      </w:r>
      <w:r w:rsidRPr="007C33EB">
        <w:tab/>
        <w:t xml:space="preserve">UPOV’s website is an important means of communication with all UPOV’s stakeholders and will be updated with suitable new materials in order to explain the importance of </w:t>
      </w:r>
      <w:r w:rsidRPr="007C33EB">
        <w:rPr>
          <w:snapToGrid w:val="0"/>
        </w:rPr>
        <w:t>plant variety protection</w:t>
      </w:r>
      <w:r w:rsidRPr="007C33EB">
        <w:t xml:space="preserve">. </w:t>
      </w:r>
      <w:r w:rsidRPr="007C33EB">
        <w:rPr>
          <w:snapToGrid w:val="0"/>
        </w:rPr>
        <w:t>In order to enhance the effectiveness of the website for explaining the UPOV system, stakeholder-focused features, based on existing information, will be introduced on the UPOV website.  Stakeholder-focused features will focus on the particular needs of: b</w:t>
      </w:r>
      <w:r w:rsidRPr="007C33EB">
        <w:rPr>
          <w:rFonts w:cs="Arial"/>
          <w:snapToGrid w:val="0"/>
        </w:rPr>
        <w:t xml:space="preserve">reeders; seed producers / plant propagators; farmers; processors, wholesalers and retailers; policy-makers; and the general public. </w:t>
      </w:r>
    </w:p>
    <w:p w:rsidR="003117C2" w:rsidRPr="007C33EB" w:rsidRDefault="003117C2" w:rsidP="003117C2">
      <w:pPr>
        <w:rPr>
          <w:rFonts w:cs="Arial"/>
          <w:snapToGrid w:val="0"/>
        </w:rPr>
      </w:pPr>
    </w:p>
    <w:p w:rsidR="003117C2" w:rsidRPr="007C33EB" w:rsidRDefault="003117C2" w:rsidP="003117C2">
      <w:r w:rsidRPr="007C33EB">
        <w:t>2.4.2.4</w:t>
      </w:r>
      <w:r w:rsidRPr="007C33EB">
        <w:tab/>
        <w:t xml:space="preserve">UPOV will also continue to communicate with non-governmental organizations representing stakeholders: </w:t>
      </w:r>
    </w:p>
    <w:p w:rsidR="003117C2" w:rsidRPr="007C33EB" w:rsidRDefault="003117C2" w:rsidP="003117C2">
      <w:pPr>
        <w:tabs>
          <w:tab w:val="left" w:pos="851"/>
        </w:tabs>
      </w:pPr>
    </w:p>
    <w:p w:rsidR="003117C2" w:rsidRPr="00680B62" w:rsidRDefault="003117C2" w:rsidP="003117C2">
      <w:pPr>
        <w:pStyle w:val="ListParagraph"/>
        <w:numPr>
          <w:ilvl w:val="0"/>
          <w:numId w:val="15"/>
        </w:numPr>
        <w:tabs>
          <w:tab w:val="left" w:pos="851"/>
        </w:tabs>
        <w:ind w:left="567"/>
        <w:rPr>
          <w:rFonts w:cs="Arial"/>
          <w:snapToGrid w:val="0"/>
        </w:rPr>
      </w:pPr>
      <w:r w:rsidRPr="007C33EB">
        <w:rPr>
          <w:snapToGrid w:val="0"/>
        </w:rPr>
        <w:t>B</w:t>
      </w:r>
      <w:r w:rsidRPr="007C33EB">
        <w:rPr>
          <w:rFonts w:cs="Arial"/>
          <w:snapToGrid w:val="0"/>
        </w:rPr>
        <w:t xml:space="preserve">reeders/ seed producers/ plant propagators: including the International Community of Breeders of Asexually Reproduced Ornamental and Fruit-Tree Varieties (CIOPORA), International Seed Federation (ISF), </w:t>
      </w:r>
      <w:proofErr w:type="spellStart"/>
      <w:r w:rsidRPr="007C33EB">
        <w:rPr>
          <w:rFonts w:cs="Arial"/>
          <w:snapToGrid w:val="0"/>
        </w:rPr>
        <w:t>CropLife</w:t>
      </w:r>
      <w:proofErr w:type="spellEnd"/>
      <w:r w:rsidRPr="007C33EB">
        <w:rPr>
          <w:rFonts w:cs="Arial"/>
          <w:snapToGrid w:val="0"/>
        </w:rPr>
        <w:t xml:space="preserve"> International, International Association of Horticultural Producers (AIPH), African Seed Trade Association (AFSTA), Asia and Pacific Seed Association (APSA), European Seed Association (ESA), </w:t>
      </w:r>
      <w:proofErr w:type="spellStart"/>
      <w:r w:rsidRPr="007C33EB">
        <w:rPr>
          <w:i/>
          <w:snapToGrid w:val="0"/>
        </w:rPr>
        <w:t>Federación</w:t>
      </w:r>
      <w:proofErr w:type="spellEnd"/>
      <w:r w:rsidRPr="007C33EB">
        <w:rPr>
          <w:i/>
          <w:snapToGrid w:val="0"/>
        </w:rPr>
        <w:t xml:space="preserve"> </w:t>
      </w:r>
      <w:proofErr w:type="spellStart"/>
      <w:r w:rsidRPr="007C33EB">
        <w:rPr>
          <w:i/>
          <w:snapToGrid w:val="0"/>
        </w:rPr>
        <w:t>Latinoamericana</w:t>
      </w:r>
      <w:proofErr w:type="spellEnd"/>
      <w:r w:rsidRPr="007C33EB">
        <w:rPr>
          <w:i/>
          <w:snapToGrid w:val="0"/>
        </w:rPr>
        <w:t xml:space="preserve"> de </w:t>
      </w:r>
      <w:proofErr w:type="spellStart"/>
      <w:r w:rsidRPr="007C33EB">
        <w:rPr>
          <w:i/>
          <w:snapToGrid w:val="0"/>
        </w:rPr>
        <w:t>Asociaciones</w:t>
      </w:r>
      <w:proofErr w:type="spellEnd"/>
      <w:r w:rsidRPr="007C33EB">
        <w:rPr>
          <w:i/>
          <w:snapToGrid w:val="0"/>
        </w:rPr>
        <w:t xml:space="preserve"> de </w:t>
      </w:r>
      <w:proofErr w:type="spellStart"/>
      <w:r w:rsidRPr="007C33EB">
        <w:rPr>
          <w:i/>
          <w:snapToGrid w:val="0"/>
        </w:rPr>
        <w:t>Semillistas</w:t>
      </w:r>
      <w:proofErr w:type="spellEnd"/>
      <w:r w:rsidRPr="007C33EB">
        <w:rPr>
          <w:snapToGrid w:val="0"/>
        </w:rPr>
        <w:t xml:space="preserve"> </w:t>
      </w:r>
      <w:r w:rsidRPr="007C33EB">
        <w:t>(FELAS),</w:t>
      </w:r>
      <w:r w:rsidRPr="007C33EB">
        <w:rPr>
          <w:rFonts w:cs="Arial"/>
          <w:snapToGrid w:val="0"/>
        </w:rPr>
        <w:t xml:space="preserve"> Seed Ass</w:t>
      </w:r>
      <w:r>
        <w:rPr>
          <w:rFonts w:cs="Arial"/>
          <w:snapToGrid w:val="0"/>
        </w:rPr>
        <w:t>ociation of the Americas (SAA).</w:t>
      </w:r>
    </w:p>
    <w:p w:rsidR="003117C2" w:rsidRPr="00680B62" w:rsidRDefault="003117C2" w:rsidP="003117C2">
      <w:pPr>
        <w:pStyle w:val="ListParagraph"/>
        <w:tabs>
          <w:tab w:val="left" w:pos="851"/>
        </w:tabs>
        <w:ind w:left="567"/>
        <w:rPr>
          <w:rFonts w:cs="Arial"/>
          <w:snapToGrid w:val="0"/>
        </w:rPr>
      </w:pPr>
    </w:p>
    <w:p w:rsidR="003117C2" w:rsidRPr="003A1572" w:rsidRDefault="005933D4" w:rsidP="003117C2">
      <w:pPr>
        <w:pStyle w:val="ListParagraph"/>
        <w:numPr>
          <w:ilvl w:val="0"/>
          <w:numId w:val="15"/>
        </w:numPr>
        <w:tabs>
          <w:tab w:val="left" w:pos="851"/>
        </w:tabs>
        <w:ind w:left="567"/>
        <w:rPr>
          <w:rFonts w:cs="Arial"/>
          <w:snapToGrid w:val="0"/>
        </w:rPr>
      </w:pPr>
      <w:r>
        <w:rPr>
          <w:rFonts w:cs="Arial"/>
          <w:snapToGrid w:val="0"/>
        </w:rPr>
        <w:t xml:space="preserve">Farmers:  </w:t>
      </w:r>
      <w:r w:rsidR="003117C2" w:rsidRPr="003A1572">
        <w:rPr>
          <w:rFonts w:cs="Arial"/>
          <w:snapToGrid w:val="0"/>
        </w:rPr>
        <w:t xml:space="preserve">Association for Plant Breeding for the Benefit of Society (APBREBES), World Farmers‘ </w:t>
      </w:r>
      <w:proofErr w:type="spellStart"/>
      <w:r w:rsidR="003117C2" w:rsidRPr="003A1572">
        <w:rPr>
          <w:rFonts w:cs="Arial"/>
          <w:snapToGrid w:val="0"/>
        </w:rPr>
        <w:t>Organisation</w:t>
      </w:r>
      <w:proofErr w:type="spellEnd"/>
      <w:r w:rsidR="003117C2" w:rsidRPr="003A1572">
        <w:rPr>
          <w:rFonts w:cs="Arial"/>
          <w:snapToGrid w:val="0"/>
        </w:rPr>
        <w:t xml:space="preserve"> (WFO), Committee of Agricultural Organizations in the European Union (COPA), General Committee for Agricultural Co-operation in the European Union (COGECA), European Coordination Via </w:t>
      </w:r>
      <w:proofErr w:type="spellStart"/>
      <w:r w:rsidR="003117C2" w:rsidRPr="003A1572">
        <w:rPr>
          <w:rFonts w:cs="Arial"/>
          <w:snapToGrid w:val="0"/>
        </w:rPr>
        <w:t>Campesina</w:t>
      </w:r>
      <w:proofErr w:type="spellEnd"/>
      <w:r w:rsidR="003117C2" w:rsidRPr="003A1572">
        <w:rPr>
          <w:rFonts w:cs="Arial"/>
          <w:snapToGrid w:val="0"/>
        </w:rPr>
        <w:t xml:space="preserve"> (ECVC).</w:t>
      </w:r>
    </w:p>
    <w:p w:rsidR="003117C2" w:rsidRDefault="003117C2" w:rsidP="003117C2">
      <w:pPr>
        <w:tabs>
          <w:tab w:val="left" w:pos="851"/>
        </w:tabs>
      </w:pPr>
    </w:p>
    <w:p w:rsidR="003117C2" w:rsidRPr="007C33EB" w:rsidRDefault="003117C2" w:rsidP="003117C2">
      <w:pPr>
        <w:tabs>
          <w:tab w:val="left" w:pos="851"/>
        </w:tabs>
      </w:pPr>
    </w:p>
    <w:p w:rsidR="003117C2" w:rsidRPr="007C33EB" w:rsidRDefault="003117C2" w:rsidP="003117C2">
      <w:pPr>
        <w:pStyle w:val="Heading2"/>
      </w:pPr>
      <w:r w:rsidRPr="007C33EB">
        <w:t>Communications with other organizations</w:t>
      </w:r>
    </w:p>
    <w:p w:rsidR="003117C2" w:rsidRPr="007C33EB" w:rsidRDefault="003117C2" w:rsidP="003117C2">
      <w:pPr>
        <w:tabs>
          <w:tab w:val="left" w:pos="851"/>
        </w:tabs>
      </w:pPr>
    </w:p>
    <w:p w:rsidR="003117C2" w:rsidRPr="00B33FEA" w:rsidRDefault="003117C2" w:rsidP="003117C2">
      <w:r w:rsidRPr="007C33EB">
        <w:t>2.4.2.5</w:t>
      </w:r>
      <w:r w:rsidRPr="007C33EB">
        <w:tab/>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International Treaty on Plant Genetic Resources for Food and Agriculture (ITPGRFA).</w:t>
      </w:r>
      <w:r>
        <w:t xml:space="preserve"> </w:t>
      </w:r>
      <w:r w:rsidRPr="00B33FEA">
        <w:t xml:space="preserve"> The role of plant variety protection for public sector research institutes means that UPOV will seek to develop and maintain contacts with relevant centers of the Consultative Group on International Agricultural Research (CGIAR).</w:t>
      </w:r>
    </w:p>
    <w:p w:rsidR="003117C2" w:rsidRPr="007C33EB" w:rsidRDefault="003117C2" w:rsidP="003117C2">
      <w:pPr>
        <w:tabs>
          <w:tab w:val="left" w:pos="851"/>
        </w:tabs>
      </w:pPr>
    </w:p>
    <w:p w:rsidR="003117C2" w:rsidRPr="00DD6106" w:rsidRDefault="003117C2" w:rsidP="003117C2">
      <w:r w:rsidRPr="007C33EB">
        <w:t>2.4.2.6</w:t>
      </w:r>
      <w:r w:rsidRPr="007C33EB">
        <w:tab/>
        <w:t xml:space="preserve">With regard to organizations in the seed sector, UPOV’s cooperation with the </w:t>
      </w:r>
      <w:proofErr w:type="spellStart"/>
      <w:r w:rsidRPr="007C33EB">
        <w:t>Organisation</w:t>
      </w:r>
      <w:proofErr w:type="spellEnd"/>
      <w:r w:rsidRPr="007C33EB">
        <w:t xml:space="preserve"> for Economic Co-operation and Development (OECD), in respect of the OECD’s Seed Schemes, and with the International Seed Testing Association (ISTA), are of particular importance in relation to technical matters, e.g. DUS examination, variety denominations and the role of molecular markers in variety examination and identification.  In relation to variety denominations, cooperation with the International Commission for the Nomenclature of Cultivated Plants of the International Union for Biological Sciences (IUBS) (ICNCP) is also of relevance.</w:t>
      </w:r>
      <w:r>
        <w:t xml:space="preserve"> </w:t>
      </w:r>
      <w:r w:rsidRPr="00DD6106">
        <w:t xml:space="preserve">  </w:t>
      </w:r>
    </w:p>
    <w:p w:rsidR="003117C2" w:rsidRDefault="003117C2" w:rsidP="003117C2"/>
    <w:p w:rsidR="003117C2" w:rsidRPr="00DD6106" w:rsidRDefault="003117C2" w:rsidP="003117C2"/>
    <w:p w:rsidR="003117C2" w:rsidRPr="00DD6106" w:rsidRDefault="003117C2" w:rsidP="003117C2">
      <w:pPr>
        <w:keepNext/>
        <w:rPr>
          <w:b/>
        </w:rPr>
      </w:pPr>
      <w:r w:rsidRPr="00DD6106">
        <w:rPr>
          <w:b/>
        </w:rPr>
        <w:t>2.4.3</w:t>
      </w:r>
      <w:r w:rsidRPr="00DD6106">
        <w:rPr>
          <w:b/>
        </w:rPr>
        <w:tab/>
        <w:t>Activities</w:t>
      </w:r>
    </w:p>
    <w:p w:rsidR="003117C2" w:rsidRPr="00DD6106" w:rsidRDefault="003117C2" w:rsidP="003117C2">
      <w:pPr>
        <w:keepNext/>
      </w:pPr>
    </w:p>
    <w:p w:rsidR="003117C2" w:rsidRPr="00DD6106" w:rsidRDefault="003117C2" w:rsidP="003117C2">
      <w:pPr>
        <w:numPr>
          <w:ilvl w:val="0"/>
          <w:numId w:val="12"/>
        </w:numPr>
        <w:tabs>
          <w:tab w:val="clear" w:pos="720"/>
        </w:tabs>
        <w:spacing w:after="120"/>
        <w:ind w:left="1134" w:hanging="504"/>
      </w:pPr>
      <w:r w:rsidRPr="00DD6106">
        <w:t>Participation in meetings with intergovernmental and</w:t>
      </w:r>
      <w:r>
        <w:t xml:space="preserve"> non-governmental organizations.</w:t>
      </w:r>
    </w:p>
    <w:p w:rsidR="003117C2" w:rsidRPr="00DD6106" w:rsidRDefault="003117C2" w:rsidP="003117C2">
      <w:pPr>
        <w:numPr>
          <w:ilvl w:val="0"/>
          <w:numId w:val="12"/>
        </w:numPr>
        <w:tabs>
          <w:tab w:val="clear" w:pos="720"/>
        </w:tabs>
        <w:spacing w:after="120"/>
        <w:ind w:left="1134" w:hanging="504"/>
      </w:pPr>
      <w:r w:rsidRPr="00DD6106">
        <w:t xml:space="preserve">Provision of comments and information to other </w:t>
      </w:r>
      <w:r>
        <w:t>organizations.</w:t>
      </w:r>
    </w:p>
    <w:p w:rsidR="003117C2" w:rsidRPr="00DD6106" w:rsidRDefault="003117C2" w:rsidP="003117C2">
      <w:pPr>
        <w:numPr>
          <w:ilvl w:val="0"/>
          <w:numId w:val="12"/>
        </w:numPr>
        <w:spacing w:after="120"/>
        <w:ind w:left="1134" w:hanging="505"/>
      </w:pPr>
      <w:r>
        <w:t>Maintenance and further development</w:t>
      </w:r>
      <w:r w:rsidRPr="00DD6106">
        <w:t xml:space="preserve"> of </w:t>
      </w:r>
      <w:r>
        <w:t xml:space="preserve">the </w:t>
      </w:r>
      <w:r w:rsidRPr="00DD6106">
        <w:t>UPOV website</w:t>
      </w:r>
      <w:r>
        <w:t>, including stakeholder-focused features</w:t>
      </w:r>
    </w:p>
    <w:p w:rsidR="003117C2" w:rsidRPr="00513371" w:rsidRDefault="003117C2" w:rsidP="003117C2">
      <w:pPr>
        <w:pStyle w:val="ListParagraph"/>
        <w:numPr>
          <w:ilvl w:val="0"/>
          <w:numId w:val="12"/>
        </w:numPr>
        <w:spacing w:after="120"/>
        <w:ind w:left="1134" w:hanging="505"/>
        <w:contextualSpacing w:val="0"/>
      </w:pPr>
      <w:r w:rsidRPr="00513371">
        <w:t xml:space="preserve">Development and dissemination of information material for </w:t>
      </w:r>
      <w:r w:rsidRPr="001D3D5C">
        <w:rPr>
          <w:bCs/>
          <w:szCs w:val="24"/>
        </w:rPr>
        <w:t>stakeholders.</w:t>
      </w:r>
    </w:p>
    <w:p w:rsidR="003117C2" w:rsidRPr="00DD6106" w:rsidRDefault="003117C2" w:rsidP="003117C2">
      <w:pPr>
        <w:pStyle w:val="ListParagraph"/>
        <w:numPr>
          <w:ilvl w:val="0"/>
          <w:numId w:val="12"/>
        </w:numPr>
        <w:spacing w:after="120"/>
        <w:ind w:left="1134" w:hanging="504"/>
      </w:pPr>
      <w:r w:rsidRPr="00DD6106">
        <w:t>Seminars or symposia on relevant topics</w:t>
      </w:r>
      <w:r>
        <w:t>.</w:t>
      </w:r>
    </w:p>
    <w:p w:rsidR="003117C2" w:rsidRDefault="003117C2" w:rsidP="003117C2"/>
    <w:p w:rsidR="003117C2" w:rsidRDefault="003117C2" w:rsidP="003117C2"/>
    <w:p w:rsidR="003117C2" w:rsidRPr="00DD6106" w:rsidRDefault="003117C2" w:rsidP="003117C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2.4.4</w:t>
      </w:r>
      <w:r w:rsidRPr="00DD6106">
        <w:rPr>
          <w:b/>
        </w:rPr>
        <w:tab/>
        <w:t>Expected Results and Performance Indicators</w:t>
      </w:r>
    </w:p>
    <w:p w:rsidR="003117C2" w:rsidRDefault="003117C2" w:rsidP="003117C2">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3117C2" w:rsidRPr="00DD6106" w:rsidTr="00DC5E39">
        <w:trPr>
          <w:cantSplit/>
          <w:tblHeader/>
        </w:trPr>
        <w:tc>
          <w:tcPr>
            <w:tcW w:w="450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center"/>
              <w:rPr>
                <w:color w:val="000000"/>
                <w:u w:val="single"/>
              </w:rPr>
            </w:pPr>
            <w:r w:rsidRPr="00DD6106">
              <w:rPr>
                <w:color w:val="000000"/>
                <w:u w:val="single"/>
              </w:rPr>
              <w:t>Expected Results</w:t>
            </w:r>
          </w:p>
        </w:tc>
        <w:tc>
          <w:tcPr>
            <w:tcW w:w="5386"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center"/>
              <w:rPr>
                <w:color w:val="000000"/>
                <w:u w:val="single"/>
              </w:rPr>
            </w:pPr>
            <w:r w:rsidRPr="00DD6106">
              <w:rPr>
                <w:color w:val="000000"/>
                <w:u w:val="single"/>
              </w:rPr>
              <w:t>Performance Indicators</w:t>
            </w:r>
          </w:p>
        </w:tc>
      </w:tr>
      <w:tr w:rsidR="003117C2" w:rsidRPr="00DD6106" w:rsidTr="00DC5E39">
        <w:trPr>
          <w:cantSplit/>
        </w:trPr>
        <w:tc>
          <w:tcPr>
            <w:tcW w:w="450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sidRPr="00DD6106">
              <w:rPr>
                <w:color w:val="000000"/>
              </w:rPr>
              <w:t>1.</w:t>
            </w:r>
            <w:r w:rsidRPr="00DD6106">
              <w:rPr>
                <w:color w:val="000000"/>
              </w:rPr>
              <w:tab/>
            </w:r>
            <w:r>
              <w:rPr>
                <w:color w:val="000000"/>
              </w:rPr>
              <w:t xml:space="preserve">Broaden public </w:t>
            </w:r>
            <w:r w:rsidRPr="00DD6106">
              <w:rPr>
                <w:color w:val="000000"/>
              </w:rPr>
              <w:t>understanding of UPOV’s role and activities</w:t>
            </w:r>
          </w:p>
        </w:tc>
        <w:tc>
          <w:tcPr>
            <w:tcW w:w="5386" w:type="dxa"/>
            <w:tcBorders>
              <w:top w:val="single" w:sz="4" w:space="0" w:color="000000"/>
              <w:left w:val="single" w:sz="4" w:space="0" w:color="000000"/>
              <w:bottom w:val="single" w:sz="4" w:space="0" w:color="000000"/>
              <w:right w:val="single" w:sz="4" w:space="0" w:color="000000"/>
            </w:tcBorders>
          </w:tcPr>
          <w:p w:rsidR="003117C2" w:rsidRDefault="003117C2" w:rsidP="00DC5E39">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the general public,</w:t>
            </w:r>
            <w:r w:rsidRPr="002C0995">
              <w:rPr>
                <w:color w:val="000000"/>
              </w:rPr>
              <w:t xml:space="preserve"> on UPOV website and through other media</w:t>
            </w:r>
            <w:r>
              <w:rPr>
                <w:color w:val="000000"/>
              </w:rPr>
              <w:t>;</w:t>
            </w:r>
          </w:p>
          <w:p w:rsidR="003117C2" w:rsidRPr="00DD6106" w:rsidRDefault="003117C2" w:rsidP="00DC5E39">
            <w:pPr>
              <w:keepNext/>
              <w:ind w:left="397" w:hanging="397"/>
              <w:jc w:val="left"/>
              <w:rPr>
                <w:color w:val="000000"/>
              </w:rPr>
            </w:pPr>
            <w:r>
              <w:rPr>
                <w:color w:val="000000"/>
              </w:rPr>
              <w:t>(b)</w:t>
            </w:r>
            <w:r>
              <w:rPr>
                <w:color w:val="000000"/>
              </w:rPr>
              <w:tab/>
              <w:t>visits to general public features on UPOV website.</w:t>
            </w:r>
          </w:p>
        </w:tc>
      </w:tr>
      <w:tr w:rsidR="003117C2" w:rsidRPr="00DD6106" w:rsidTr="00DC5E39">
        <w:trPr>
          <w:cantSplit/>
        </w:trPr>
        <w:tc>
          <w:tcPr>
            <w:tcW w:w="4503" w:type="dxa"/>
            <w:tcBorders>
              <w:top w:val="single" w:sz="4" w:space="0" w:color="000000"/>
              <w:left w:val="single" w:sz="4" w:space="0" w:color="000000"/>
              <w:bottom w:val="single" w:sz="4" w:space="0" w:color="000000"/>
              <w:right w:val="single" w:sz="4" w:space="0" w:color="000000"/>
            </w:tcBorders>
          </w:tcPr>
          <w:p w:rsidR="003117C2" w:rsidRPr="00DD6106" w:rsidRDefault="003117C2" w:rsidP="00DC5E39">
            <w:pPr>
              <w:keepNext/>
              <w:ind w:left="397" w:hanging="397"/>
              <w:jc w:val="left"/>
              <w:rPr>
                <w:color w:val="000000"/>
              </w:rPr>
            </w:pPr>
            <w:r>
              <w:rPr>
                <w:color w:val="000000"/>
              </w:rPr>
              <w:t>2</w:t>
            </w:r>
            <w:r w:rsidRPr="00DD6106">
              <w:rPr>
                <w:color w:val="000000"/>
              </w:rPr>
              <w:t>.</w:t>
            </w:r>
            <w:r w:rsidRPr="00DD6106">
              <w:rPr>
                <w:color w:val="000000"/>
              </w:rPr>
              <w:tab/>
            </w:r>
            <w:r>
              <w:rPr>
                <w:color w:val="000000"/>
              </w:rPr>
              <w:t xml:space="preserve">Enhance </w:t>
            </w:r>
            <w:r w:rsidRPr="00DD6106">
              <w:rPr>
                <w:color w:val="000000"/>
              </w:rPr>
              <w:t>understanding of UPOV’s role and activities</w:t>
            </w:r>
            <w:r>
              <w:rPr>
                <w:color w:val="000000"/>
              </w:rPr>
              <w:t xml:space="preserve"> for stakeholders </w:t>
            </w:r>
          </w:p>
        </w:tc>
        <w:tc>
          <w:tcPr>
            <w:tcW w:w="5386" w:type="dxa"/>
            <w:tcBorders>
              <w:top w:val="single" w:sz="4" w:space="0" w:color="000000"/>
              <w:left w:val="single" w:sz="4" w:space="0" w:color="000000"/>
              <w:bottom w:val="single" w:sz="4" w:space="0" w:color="000000"/>
              <w:right w:val="single" w:sz="4" w:space="0" w:color="000000"/>
            </w:tcBorders>
          </w:tcPr>
          <w:p w:rsidR="003117C2" w:rsidRPr="00536237" w:rsidRDefault="003117C2" w:rsidP="00DC5E39">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w:t>
            </w:r>
            <w:r w:rsidRPr="0080364F">
              <w:rPr>
                <w:color w:val="000000"/>
              </w:rPr>
              <w:t>breeders, seed producers / plant propagators, farmers, pro</w:t>
            </w:r>
            <w:r w:rsidRPr="00536237">
              <w:rPr>
                <w:color w:val="000000"/>
              </w:rPr>
              <w:t>cessors/wholesalers/retailers and policy-makers, on UPOV website and through other media;</w:t>
            </w:r>
          </w:p>
          <w:p w:rsidR="003117C2" w:rsidRPr="00536237" w:rsidRDefault="003117C2" w:rsidP="00DC5E39">
            <w:pPr>
              <w:keepNext/>
              <w:spacing w:after="60"/>
              <w:ind w:left="397" w:hanging="397"/>
              <w:jc w:val="left"/>
              <w:rPr>
                <w:color w:val="000000"/>
              </w:rPr>
            </w:pPr>
            <w:r w:rsidRPr="00536237">
              <w:rPr>
                <w:color w:val="000000"/>
              </w:rPr>
              <w:t>(b)</w:t>
            </w:r>
            <w:r w:rsidRPr="00536237">
              <w:rPr>
                <w:color w:val="000000"/>
              </w:rPr>
              <w:tab/>
              <w:t>articles in relevant publications to which UPOV has contributed;</w:t>
            </w:r>
          </w:p>
          <w:p w:rsidR="003117C2" w:rsidRPr="00536237" w:rsidRDefault="003117C2" w:rsidP="00DC5E39">
            <w:pPr>
              <w:keepNext/>
              <w:spacing w:after="60"/>
              <w:ind w:left="397" w:hanging="397"/>
              <w:jc w:val="left"/>
              <w:rPr>
                <w:color w:val="000000"/>
              </w:rPr>
            </w:pPr>
            <w:r w:rsidRPr="00536237">
              <w:rPr>
                <w:color w:val="000000"/>
              </w:rPr>
              <w:t>(c)</w:t>
            </w:r>
            <w:r w:rsidRPr="00536237">
              <w:rPr>
                <w:color w:val="000000"/>
              </w:rPr>
              <w:tab/>
              <w:t>stakeholder-focused features on the UPOV website;</w:t>
            </w:r>
          </w:p>
          <w:p w:rsidR="003117C2" w:rsidRPr="00536237" w:rsidRDefault="003117C2" w:rsidP="00DC5E39">
            <w:pPr>
              <w:keepNext/>
              <w:spacing w:after="60"/>
              <w:ind w:left="397" w:hanging="397"/>
              <w:jc w:val="left"/>
              <w:rPr>
                <w:color w:val="000000"/>
              </w:rPr>
            </w:pPr>
            <w:r w:rsidRPr="00536237">
              <w:rPr>
                <w:color w:val="000000"/>
              </w:rPr>
              <w:t>(d)</w:t>
            </w:r>
            <w:r w:rsidRPr="00536237">
              <w:rPr>
                <w:color w:val="000000"/>
              </w:rPr>
              <w:tab/>
              <w:t>participation by stakeholders in seminars and symposia;</w:t>
            </w:r>
          </w:p>
          <w:p w:rsidR="003117C2" w:rsidRPr="00DD6106" w:rsidRDefault="003117C2" w:rsidP="00DC5E39">
            <w:pPr>
              <w:ind w:left="397" w:hanging="397"/>
              <w:jc w:val="left"/>
              <w:rPr>
                <w:color w:val="000000"/>
              </w:rPr>
            </w:pPr>
            <w:r w:rsidRPr="00536237">
              <w:rPr>
                <w:color w:val="000000"/>
              </w:rPr>
              <w:t xml:space="preserve">(e) </w:t>
            </w:r>
            <w:r w:rsidRPr="00536237">
              <w:rPr>
                <w:color w:val="000000"/>
              </w:rPr>
              <w:tab/>
              <w:t>participation at meetings of, and with, relevant stakeholders.</w:t>
            </w:r>
          </w:p>
        </w:tc>
      </w:tr>
      <w:tr w:rsidR="003117C2" w:rsidRPr="00DD6106" w:rsidTr="00DC5E39">
        <w:trPr>
          <w:cantSplit/>
        </w:trPr>
        <w:tc>
          <w:tcPr>
            <w:tcW w:w="4503" w:type="dxa"/>
            <w:tcBorders>
              <w:top w:val="single" w:sz="4" w:space="0" w:color="000000"/>
              <w:left w:val="single" w:sz="4" w:space="0" w:color="000000"/>
              <w:bottom w:val="single" w:sz="4" w:space="0" w:color="000000"/>
              <w:right w:val="single" w:sz="4" w:space="0" w:color="000000"/>
            </w:tcBorders>
          </w:tcPr>
          <w:p w:rsidR="003117C2" w:rsidRDefault="003117C2" w:rsidP="00DC5E39">
            <w:pPr>
              <w:keepNext/>
              <w:ind w:left="397" w:hanging="397"/>
              <w:jc w:val="left"/>
              <w:rPr>
                <w:color w:val="000000"/>
              </w:rPr>
            </w:pPr>
            <w:r>
              <w:rPr>
                <w:color w:val="000000"/>
              </w:rPr>
              <w:t>3.</w:t>
            </w:r>
            <w:r>
              <w:rPr>
                <w:color w:val="000000"/>
              </w:rPr>
              <w:tab/>
              <w:t xml:space="preserve">Enhance </w:t>
            </w:r>
            <w:r w:rsidRPr="00DD6106">
              <w:rPr>
                <w:color w:val="000000"/>
              </w:rPr>
              <w:t>understanding of UPOV’s role and activities</w:t>
            </w:r>
            <w:r>
              <w:rPr>
                <w:color w:val="000000"/>
              </w:rPr>
              <w:t xml:space="preserve"> with other organizations</w:t>
            </w:r>
          </w:p>
        </w:tc>
        <w:tc>
          <w:tcPr>
            <w:tcW w:w="5386" w:type="dxa"/>
            <w:tcBorders>
              <w:top w:val="single" w:sz="4" w:space="0" w:color="000000"/>
              <w:left w:val="single" w:sz="4" w:space="0" w:color="000000"/>
              <w:bottom w:val="single" w:sz="4" w:space="0" w:color="000000"/>
              <w:right w:val="single" w:sz="4" w:space="0" w:color="000000"/>
            </w:tcBorders>
          </w:tcPr>
          <w:p w:rsidR="003117C2" w:rsidRPr="00D9330A" w:rsidRDefault="003117C2" w:rsidP="00DC5E39">
            <w:pPr>
              <w:keepNext/>
              <w:spacing w:after="60"/>
              <w:ind w:left="397" w:hanging="397"/>
              <w:jc w:val="left"/>
              <w:rPr>
                <w:color w:val="000000"/>
              </w:rPr>
            </w:pPr>
            <w:r w:rsidRPr="00D9330A">
              <w:rPr>
                <w:color w:val="000000"/>
              </w:rPr>
              <w:t>(a) participation at meetings of, and with, relevant</w:t>
            </w:r>
            <w:r>
              <w:rPr>
                <w:color w:val="000000"/>
              </w:rPr>
              <w:t xml:space="preserve"> </w:t>
            </w:r>
            <w:r w:rsidRPr="00D9330A">
              <w:rPr>
                <w:color w:val="000000"/>
              </w:rPr>
              <w:t>organizations;</w:t>
            </w:r>
          </w:p>
          <w:p w:rsidR="003117C2" w:rsidRPr="00DD6106" w:rsidRDefault="003117C2" w:rsidP="00DC5E39">
            <w:pPr>
              <w:ind w:left="397" w:hanging="397"/>
              <w:jc w:val="left"/>
              <w:rPr>
                <w:color w:val="000000"/>
              </w:rPr>
            </w:pPr>
            <w:r w:rsidRPr="00D9330A">
              <w:rPr>
                <w:color w:val="000000"/>
              </w:rPr>
              <w:t>(b) contributions made to relevant organizations.</w:t>
            </w:r>
          </w:p>
        </w:tc>
      </w:tr>
    </w:tbl>
    <w:p w:rsidR="003117C2" w:rsidRDefault="003117C2" w:rsidP="003117C2">
      <w:pPr>
        <w:keepNext/>
        <w:rPr>
          <w:b/>
        </w:rPr>
      </w:pPr>
    </w:p>
    <w:p w:rsidR="003117C2" w:rsidRDefault="003117C2" w:rsidP="003117C2">
      <w:pPr>
        <w:jc w:val="left"/>
        <w:rPr>
          <w:b/>
        </w:rPr>
      </w:pPr>
      <w:r>
        <w:rPr>
          <w:b/>
        </w:rPr>
        <w:br w:type="page"/>
      </w:r>
    </w:p>
    <w:p w:rsidR="003117C2" w:rsidRPr="006F24A8" w:rsidRDefault="003117C2" w:rsidP="003117C2">
      <w:pPr>
        <w:keepNext/>
        <w:rPr>
          <w:b/>
        </w:rPr>
      </w:pPr>
      <w:r w:rsidRPr="006F24A8">
        <w:rPr>
          <w:b/>
        </w:rPr>
        <w:t>3.</w:t>
      </w:r>
      <w:r w:rsidRPr="006F24A8">
        <w:rPr>
          <w:b/>
        </w:rPr>
        <w:tab/>
        <w:t>PROPOSED BUDGET</w:t>
      </w:r>
    </w:p>
    <w:p w:rsidR="003117C2" w:rsidRPr="00C97817" w:rsidRDefault="003117C2" w:rsidP="003117C2">
      <w:pPr>
        <w:keepNext/>
      </w:pPr>
    </w:p>
    <w:p w:rsidR="003117C2" w:rsidRPr="00C97817" w:rsidRDefault="003117C2" w:rsidP="003117C2">
      <w:pPr>
        <w:rPr>
          <w:spacing w:val="-2"/>
          <w:szCs w:val="24"/>
        </w:rPr>
      </w:pPr>
      <w:r w:rsidRPr="002D2395">
        <w:t>3.1</w:t>
      </w:r>
      <w:r w:rsidRPr="002D2395">
        <w:tab/>
      </w:r>
      <w:r w:rsidRPr="002D2395">
        <w:rPr>
          <w:spacing w:val="-2"/>
          <w:szCs w:val="24"/>
        </w:rPr>
        <w:t xml:space="preserve">The proposed budget for the </w:t>
      </w:r>
      <w:r w:rsidRPr="002D2395">
        <w:rPr>
          <w:snapToGrid w:val="0"/>
          <w:spacing w:val="-2"/>
          <w:szCs w:val="24"/>
        </w:rPr>
        <w:t>2016­2017</w:t>
      </w:r>
      <w:r w:rsidRPr="002D2395">
        <w:rPr>
          <w:spacing w:val="-2"/>
          <w:szCs w:val="24"/>
        </w:rPr>
        <w:t xml:space="preserve"> Biennium anticipates an income of 6,8</w:t>
      </w:r>
      <w:r w:rsidR="00AC4D3E" w:rsidRPr="002D2395">
        <w:rPr>
          <w:spacing w:val="-2"/>
          <w:szCs w:val="24"/>
        </w:rPr>
        <w:t>23</w:t>
      </w:r>
      <w:r w:rsidRPr="002D2395">
        <w:rPr>
          <w:spacing w:val="-2"/>
          <w:szCs w:val="24"/>
        </w:rPr>
        <w:t xml:space="preserve">,000 Swiss francs compared to the 2014­2015 budget of 6,794,000 Swiss francs (see </w:t>
      </w:r>
      <w:r w:rsidRPr="002D2395">
        <w:rPr>
          <w:b/>
          <w:spacing w:val="-2"/>
          <w:szCs w:val="24"/>
        </w:rPr>
        <w:t>Tables 1 and 2</w:t>
      </w:r>
      <w:r w:rsidRPr="002D2395">
        <w:rPr>
          <w:spacing w:val="-2"/>
          <w:szCs w:val="24"/>
        </w:rPr>
        <w:t>).</w:t>
      </w:r>
      <w:r w:rsidRPr="00C97817">
        <w:rPr>
          <w:spacing w:val="-2"/>
          <w:szCs w:val="24"/>
        </w:rPr>
        <w:t xml:space="preserve">    </w:t>
      </w:r>
    </w:p>
    <w:p w:rsidR="003117C2" w:rsidRPr="00C97817" w:rsidRDefault="003117C2" w:rsidP="003117C2">
      <w:pPr>
        <w:rPr>
          <w:spacing w:val="-2"/>
          <w:szCs w:val="24"/>
        </w:rPr>
      </w:pPr>
    </w:p>
    <w:p w:rsidR="003117C2" w:rsidRPr="00C97817" w:rsidRDefault="003117C2" w:rsidP="003117C2">
      <w:pPr>
        <w:jc w:val="center"/>
        <w:rPr>
          <w:rFonts w:cs="Arial"/>
          <w:b/>
          <w:bCs/>
        </w:rPr>
      </w:pPr>
      <w:r w:rsidRPr="00C97817">
        <w:rPr>
          <w:rFonts w:cs="Arial"/>
          <w:b/>
          <w:bCs/>
        </w:rPr>
        <w:t>Table 1:  Income and Expenditure 2012-2013, 2014-2015 and 2016-2017</w:t>
      </w:r>
    </w:p>
    <w:p w:rsidR="003117C2" w:rsidRDefault="003117C2" w:rsidP="003117C2">
      <w:pPr>
        <w:jc w:val="center"/>
        <w:rPr>
          <w:rFonts w:cs="Arial"/>
          <w:i/>
          <w:iCs/>
        </w:rPr>
      </w:pPr>
      <w:r w:rsidRPr="00C97817">
        <w:rPr>
          <w:rFonts w:cs="Arial"/>
          <w:i/>
          <w:iCs/>
        </w:rPr>
        <w:t>(in thousands of Swiss francs)</w:t>
      </w:r>
    </w:p>
    <w:p w:rsidR="003117C2" w:rsidRDefault="003117C2" w:rsidP="003117C2">
      <w:pPr>
        <w:jc w:val="center"/>
        <w:rPr>
          <w:spacing w:val="-2"/>
          <w:szCs w:val="24"/>
        </w:rPr>
      </w:pPr>
    </w:p>
    <w:tbl>
      <w:tblPr>
        <w:tblW w:w="9603" w:type="dxa"/>
        <w:tblInd w:w="93" w:type="dxa"/>
        <w:tblLayout w:type="fixed"/>
        <w:tblCellMar>
          <w:top w:w="57" w:type="dxa"/>
          <w:left w:w="57" w:type="dxa"/>
          <w:bottom w:w="28" w:type="dxa"/>
          <w:right w:w="57" w:type="dxa"/>
        </w:tblCellMar>
        <w:tblLook w:val="04A0" w:firstRow="1" w:lastRow="0" w:firstColumn="1" w:lastColumn="0" w:noHBand="0" w:noVBand="1"/>
      </w:tblPr>
      <w:tblGrid>
        <w:gridCol w:w="3559"/>
        <w:gridCol w:w="1508"/>
        <w:gridCol w:w="1560"/>
        <w:gridCol w:w="708"/>
        <w:gridCol w:w="709"/>
        <w:gridCol w:w="1559"/>
      </w:tblGrid>
      <w:tr w:rsidR="003117C2" w:rsidRPr="0064770E" w:rsidTr="00DC5E39">
        <w:tc>
          <w:tcPr>
            <w:tcW w:w="3559" w:type="dxa"/>
            <w:tcBorders>
              <w:top w:val="single" w:sz="4" w:space="0" w:color="auto"/>
              <w:left w:val="single" w:sz="4" w:space="0" w:color="auto"/>
              <w:right w:val="nil"/>
            </w:tcBorders>
            <w:shd w:val="clear" w:color="auto" w:fill="auto"/>
            <w:hideMark/>
          </w:tcPr>
          <w:p w:rsidR="003117C2" w:rsidRPr="0064770E" w:rsidRDefault="003117C2" w:rsidP="00DC5E39">
            <w:pPr>
              <w:jc w:val="left"/>
              <w:rPr>
                <w:rFonts w:cs="Arial"/>
                <w:b/>
                <w:bCs/>
                <w:i/>
                <w:iCs/>
                <w:sz w:val="18"/>
              </w:rPr>
            </w:pPr>
          </w:p>
        </w:tc>
        <w:tc>
          <w:tcPr>
            <w:tcW w:w="1508" w:type="dxa"/>
            <w:tcBorders>
              <w:top w:val="single" w:sz="4" w:space="0" w:color="auto"/>
              <w:left w:val="single" w:sz="4" w:space="0" w:color="auto"/>
              <w:right w:val="nil"/>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2012-2013</w:t>
            </w:r>
            <w:r w:rsidRPr="0064770E">
              <w:rPr>
                <w:rFonts w:cs="Arial"/>
                <w:b/>
                <w:bCs/>
                <w:i/>
                <w:iCs/>
                <w:color w:val="000000"/>
                <w:sz w:val="18"/>
              </w:rPr>
              <w:br/>
              <w:t>Actual</w:t>
            </w:r>
          </w:p>
        </w:tc>
        <w:tc>
          <w:tcPr>
            <w:tcW w:w="1560" w:type="dxa"/>
            <w:tcBorders>
              <w:top w:val="single" w:sz="4" w:space="0" w:color="auto"/>
              <w:left w:val="single" w:sz="4" w:space="0" w:color="auto"/>
              <w:right w:val="nil"/>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2014-2015</w:t>
            </w:r>
            <w:r w:rsidRPr="0064770E">
              <w:rPr>
                <w:rFonts w:cs="Arial"/>
                <w:b/>
                <w:bCs/>
                <w:i/>
                <w:iCs/>
                <w:color w:val="000000"/>
                <w:sz w:val="18"/>
              </w:rPr>
              <w:br/>
              <w:t>Budget</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Variation</w:t>
            </w:r>
          </w:p>
        </w:tc>
        <w:tc>
          <w:tcPr>
            <w:tcW w:w="1559" w:type="dxa"/>
            <w:tcBorders>
              <w:top w:val="single" w:sz="4" w:space="0" w:color="auto"/>
              <w:left w:val="single" w:sz="4" w:space="0" w:color="auto"/>
              <w:right w:val="single" w:sz="4" w:space="0" w:color="auto"/>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2016-2017</w:t>
            </w:r>
            <w:r w:rsidRPr="0064770E">
              <w:rPr>
                <w:rFonts w:cs="Arial"/>
                <w:b/>
                <w:bCs/>
                <w:i/>
                <w:iCs/>
                <w:color w:val="000000"/>
                <w:sz w:val="18"/>
              </w:rPr>
              <w:br/>
              <w:t>Proposed</w:t>
            </w:r>
          </w:p>
        </w:tc>
      </w:tr>
      <w:tr w:rsidR="003117C2" w:rsidRPr="0064770E" w:rsidTr="00DC5E39">
        <w:tc>
          <w:tcPr>
            <w:tcW w:w="3559" w:type="dxa"/>
            <w:tcBorders>
              <w:top w:val="nil"/>
              <w:left w:val="single" w:sz="4" w:space="0" w:color="auto"/>
              <w:bottom w:val="single" w:sz="4" w:space="0" w:color="auto"/>
              <w:right w:val="nil"/>
            </w:tcBorders>
            <w:shd w:val="clear" w:color="auto" w:fill="auto"/>
            <w:vAlign w:val="bottom"/>
            <w:hideMark/>
          </w:tcPr>
          <w:p w:rsidR="003117C2" w:rsidRPr="0064770E" w:rsidRDefault="003117C2" w:rsidP="00DC5E39">
            <w:pPr>
              <w:jc w:val="left"/>
              <w:rPr>
                <w:rFonts w:cs="Arial"/>
                <w:b/>
                <w:bCs/>
                <w:i/>
                <w:iCs/>
                <w:sz w:val="18"/>
              </w:rPr>
            </w:pPr>
            <w:r w:rsidRPr="0064770E">
              <w:rPr>
                <w:rFonts w:cs="Arial"/>
                <w:b/>
                <w:bCs/>
                <w:i/>
                <w:iCs/>
                <w:sz w:val="18"/>
              </w:rPr>
              <w:t> </w:t>
            </w:r>
          </w:p>
        </w:tc>
        <w:tc>
          <w:tcPr>
            <w:tcW w:w="1508" w:type="dxa"/>
            <w:tcBorders>
              <w:top w:val="nil"/>
              <w:left w:val="single" w:sz="4" w:space="0" w:color="auto"/>
              <w:bottom w:val="single" w:sz="4" w:space="0" w:color="auto"/>
              <w:right w:val="nil"/>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A</w:t>
            </w:r>
          </w:p>
        </w:tc>
        <w:tc>
          <w:tcPr>
            <w:tcW w:w="1560" w:type="dxa"/>
            <w:tcBorders>
              <w:top w:val="nil"/>
              <w:left w:val="single" w:sz="4" w:space="0" w:color="auto"/>
              <w:bottom w:val="single" w:sz="4" w:space="0" w:color="auto"/>
              <w:right w:val="nil"/>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B</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C</w:t>
            </w:r>
          </w:p>
        </w:tc>
        <w:tc>
          <w:tcPr>
            <w:tcW w:w="709" w:type="dxa"/>
            <w:tcBorders>
              <w:top w:val="single" w:sz="4" w:space="0" w:color="auto"/>
              <w:left w:val="nil"/>
              <w:bottom w:val="single" w:sz="4" w:space="0" w:color="auto"/>
              <w:right w:val="nil"/>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C/B</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D=B+C</w:t>
            </w:r>
          </w:p>
        </w:tc>
      </w:tr>
      <w:tr w:rsidR="003117C2" w:rsidRPr="00EF6A4B" w:rsidTr="00DC5E39">
        <w:tc>
          <w:tcPr>
            <w:tcW w:w="3559" w:type="dxa"/>
            <w:tcBorders>
              <w:top w:val="nil"/>
              <w:left w:val="single" w:sz="4" w:space="0" w:color="auto"/>
              <w:bottom w:val="nil"/>
              <w:right w:val="nil"/>
            </w:tcBorders>
            <w:shd w:val="clear" w:color="auto" w:fill="auto"/>
            <w:hideMark/>
          </w:tcPr>
          <w:p w:rsidR="003117C2" w:rsidRPr="00EF6A4B" w:rsidRDefault="003117C2" w:rsidP="00DC5E39">
            <w:pPr>
              <w:jc w:val="left"/>
              <w:rPr>
                <w:rFonts w:cs="Arial"/>
                <w:sz w:val="10"/>
              </w:rPr>
            </w:pPr>
            <w:r w:rsidRPr="00EF6A4B">
              <w:rPr>
                <w:rFonts w:cs="Arial"/>
                <w:sz w:val="10"/>
              </w:rPr>
              <w:t> </w:t>
            </w:r>
          </w:p>
        </w:tc>
        <w:tc>
          <w:tcPr>
            <w:tcW w:w="1508" w:type="dxa"/>
            <w:tcBorders>
              <w:top w:val="single" w:sz="4" w:space="0" w:color="auto"/>
              <w:left w:val="single" w:sz="4" w:space="0" w:color="auto"/>
              <w:bottom w:val="nil"/>
              <w:right w:val="single" w:sz="4" w:space="0" w:color="auto"/>
            </w:tcBorders>
            <w:shd w:val="clear" w:color="auto" w:fill="auto"/>
            <w:hideMark/>
          </w:tcPr>
          <w:p w:rsidR="003117C2" w:rsidRPr="00EF6A4B" w:rsidRDefault="003117C2" w:rsidP="00DC5E39">
            <w:pPr>
              <w:rPr>
                <w:rFonts w:cs="Arial"/>
                <w:sz w:val="10"/>
              </w:rPr>
            </w:pPr>
            <w:r w:rsidRPr="00EF6A4B">
              <w:rPr>
                <w:rFonts w:cs="Arial"/>
                <w:sz w:val="10"/>
              </w:rPr>
              <w:t> </w:t>
            </w:r>
          </w:p>
        </w:tc>
        <w:tc>
          <w:tcPr>
            <w:tcW w:w="1560" w:type="dxa"/>
            <w:tcBorders>
              <w:top w:val="single" w:sz="4" w:space="0" w:color="auto"/>
              <w:left w:val="single" w:sz="4" w:space="0" w:color="auto"/>
              <w:bottom w:val="nil"/>
              <w:right w:val="single" w:sz="4" w:space="0" w:color="auto"/>
            </w:tcBorders>
            <w:shd w:val="clear" w:color="auto" w:fill="auto"/>
            <w:hideMark/>
          </w:tcPr>
          <w:p w:rsidR="003117C2" w:rsidRPr="00EF6A4B" w:rsidRDefault="003117C2" w:rsidP="00DC5E39">
            <w:pPr>
              <w:rPr>
                <w:rFonts w:cs="Arial"/>
                <w:sz w:val="10"/>
              </w:rPr>
            </w:pPr>
            <w:r w:rsidRPr="00EF6A4B">
              <w:rPr>
                <w:rFonts w:cs="Arial"/>
                <w:sz w:val="10"/>
              </w:rPr>
              <w:t> </w:t>
            </w:r>
          </w:p>
        </w:tc>
        <w:tc>
          <w:tcPr>
            <w:tcW w:w="708" w:type="dxa"/>
            <w:tcBorders>
              <w:top w:val="single" w:sz="4" w:space="0" w:color="auto"/>
              <w:left w:val="single" w:sz="4" w:space="0" w:color="auto"/>
              <w:bottom w:val="nil"/>
              <w:right w:val="single" w:sz="4" w:space="0" w:color="auto"/>
            </w:tcBorders>
            <w:shd w:val="clear" w:color="auto" w:fill="auto"/>
            <w:hideMark/>
          </w:tcPr>
          <w:p w:rsidR="003117C2" w:rsidRPr="00EF6A4B" w:rsidRDefault="003117C2" w:rsidP="00DC5E39">
            <w:pPr>
              <w:rPr>
                <w:rFonts w:cs="Arial"/>
                <w:sz w:val="10"/>
              </w:rPr>
            </w:pPr>
            <w:r w:rsidRPr="00EF6A4B">
              <w:rPr>
                <w:rFonts w:cs="Arial"/>
                <w:sz w:val="10"/>
              </w:rPr>
              <w:t> </w:t>
            </w:r>
          </w:p>
        </w:tc>
        <w:tc>
          <w:tcPr>
            <w:tcW w:w="709" w:type="dxa"/>
            <w:tcBorders>
              <w:top w:val="single" w:sz="4" w:space="0" w:color="auto"/>
              <w:left w:val="single" w:sz="4" w:space="0" w:color="auto"/>
              <w:bottom w:val="nil"/>
              <w:right w:val="nil"/>
            </w:tcBorders>
            <w:shd w:val="clear" w:color="auto" w:fill="auto"/>
            <w:hideMark/>
          </w:tcPr>
          <w:p w:rsidR="003117C2" w:rsidRPr="00EF6A4B" w:rsidRDefault="003117C2" w:rsidP="00DC5E39">
            <w:pPr>
              <w:rPr>
                <w:rFonts w:cs="Arial"/>
                <w:sz w:val="10"/>
              </w:rPr>
            </w:pPr>
            <w:r w:rsidRPr="00EF6A4B">
              <w:rPr>
                <w:rFonts w:cs="Arial"/>
                <w:sz w:val="10"/>
              </w:rPr>
              <w:t> </w:t>
            </w:r>
          </w:p>
        </w:tc>
        <w:tc>
          <w:tcPr>
            <w:tcW w:w="1559" w:type="dxa"/>
            <w:tcBorders>
              <w:top w:val="nil"/>
              <w:left w:val="single" w:sz="4" w:space="0" w:color="auto"/>
              <w:bottom w:val="nil"/>
              <w:right w:val="single" w:sz="4" w:space="0" w:color="auto"/>
            </w:tcBorders>
            <w:shd w:val="clear" w:color="auto" w:fill="auto"/>
            <w:hideMark/>
          </w:tcPr>
          <w:p w:rsidR="003117C2" w:rsidRPr="00EF6A4B" w:rsidRDefault="003117C2" w:rsidP="00DC5E39">
            <w:pPr>
              <w:rPr>
                <w:rFonts w:cs="Arial"/>
                <w:sz w:val="10"/>
              </w:rPr>
            </w:pPr>
            <w:r w:rsidRPr="00EF6A4B">
              <w:rPr>
                <w:rFonts w:cs="Arial"/>
                <w:sz w:val="10"/>
              </w:rPr>
              <w:t> </w:t>
            </w:r>
          </w:p>
        </w:tc>
      </w:tr>
      <w:tr w:rsidR="003117C2" w:rsidRPr="002D2395" w:rsidTr="00DC5E39">
        <w:tc>
          <w:tcPr>
            <w:tcW w:w="3559" w:type="dxa"/>
            <w:tcBorders>
              <w:top w:val="nil"/>
              <w:left w:val="single" w:sz="4" w:space="0" w:color="auto"/>
              <w:bottom w:val="nil"/>
              <w:right w:val="nil"/>
            </w:tcBorders>
            <w:shd w:val="clear" w:color="auto" w:fill="auto"/>
            <w:vAlign w:val="bottom"/>
            <w:hideMark/>
          </w:tcPr>
          <w:p w:rsidR="003117C2" w:rsidRPr="002D2395" w:rsidRDefault="003117C2" w:rsidP="00DC5E39">
            <w:pPr>
              <w:jc w:val="left"/>
              <w:rPr>
                <w:rFonts w:cs="Arial"/>
                <w:sz w:val="18"/>
              </w:rPr>
            </w:pPr>
            <w:r w:rsidRPr="002D2395">
              <w:rPr>
                <w:rFonts w:cs="Arial"/>
                <w:sz w:val="18"/>
              </w:rPr>
              <w:t>1. Income</w:t>
            </w:r>
          </w:p>
        </w:tc>
        <w:tc>
          <w:tcPr>
            <w:tcW w:w="1508" w:type="dxa"/>
            <w:tcBorders>
              <w:top w:val="nil"/>
              <w:left w:val="single" w:sz="4" w:space="0" w:color="auto"/>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6,791</w:t>
            </w:r>
          </w:p>
        </w:tc>
        <w:tc>
          <w:tcPr>
            <w:tcW w:w="1560" w:type="dxa"/>
            <w:tcBorders>
              <w:top w:val="nil"/>
              <w:left w:val="single" w:sz="4" w:space="0" w:color="auto"/>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6,794</w:t>
            </w:r>
          </w:p>
        </w:tc>
        <w:tc>
          <w:tcPr>
            <w:tcW w:w="708" w:type="dxa"/>
            <w:tcBorders>
              <w:top w:val="nil"/>
              <w:left w:val="single" w:sz="4" w:space="0" w:color="auto"/>
              <w:right w:val="single" w:sz="4" w:space="0" w:color="auto"/>
            </w:tcBorders>
            <w:shd w:val="clear" w:color="auto" w:fill="auto"/>
            <w:vAlign w:val="bottom"/>
            <w:hideMark/>
          </w:tcPr>
          <w:p w:rsidR="003117C2" w:rsidRPr="002D2395" w:rsidRDefault="00AC4D3E" w:rsidP="00DC5E39">
            <w:pPr>
              <w:ind w:right="113"/>
              <w:jc w:val="right"/>
              <w:rPr>
                <w:rFonts w:cs="Arial"/>
                <w:color w:val="000000"/>
                <w:sz w:val="18"/>
              </w:rPr>
            </w:pPr>
            <w:r w:rsidRPr="002D2395">
              <w:rPr>
                <w:rFonts w:cs="Arial"/>
                <w:color w:val="000000"/>
                <w:sz w:val="18"/>
              </w:rPr>
              <w:t>29</w:t>
            </w:r>
          </w:p>
        </w:tc>
        <w:tc>
          <w:tcPr>
            <w:tcW w:w="709" w:type="dxa"/>
            <w:tcBorders>
              <w:top w:val="nil"/>
              <w:left w:val="single" w:sz="4" w:space="0" w:color="auto"/>
              <w:right w:val="nil"/>
            </w:tcBorders>
            <w:shd w:val="clear" w:color="auto" w:fill="auto"/>
            <w:vAlign w:val="bottom"/>
            <w:hideMark/>
          </w:tcPr>
          <w:p w:rsidR="003117C2" w:rsidRPr="002D2395" w:rsidRDefault="003117C2" w:rsidP="00E90FB5">
            <w:pPr>
              <w:ind w:right="57"/>
              <w:jc w:val="right"/>
              <w:rPr>
                <w:rFonts w:cs="Arial"/>
                <w:color w:val="000000"/>
                <w:sz w:val="18"/>
              </w:rPr>
            </w:pPr>
            <w:r w:rsidRPr="002D2395">
              <w:rPr>
                <w:rFonts w:cs="Arial"/>
                <w:color w:val="000000"/>
                <w:sz w:val="18"/>
              </w:rPr>
              <w:t>0.</w:t>
            </w:r>
            <w:r w:rsidR="00E90FB5" w:rsidRPr="002D2395">
              <w:rPr>
                <w:rFonts w:cs="Arial"/>
                <w:color w:val="000000"/>
                <w:sz w:val="18"/>
              </w:rPr>
              <w:t>4</w:t>
            </w:r>
            <w:r w:rsidRPr="002D2395">
              <w:rPr>
                <w:rFonts w:cs="Arial"/>
                <w:color w:val="000000"/>
                <w:sz w:val="18"/>
              </w:rPr>
              <w:t>%</w:t>
            </w:r>
          </w:p>
        </w:tc>
        <w:tc>
          <w:tcPr>
            <w:tcW w:w="1559" w:type="dxa"/>
            <w:tcBorders>
              <w:top w:val="nil"/>
              <w:left w:val="single" w:sz="4" w:space="0" w:color="auto"/>
              <w:right w:val="single" w:sz="4" w:space="0" w:color="auto"/>
            </w:tcBorders>
            <w:shd w:val="clear" w:color="auto" w:fill="auto"/>
            <w:vAlign w:val="bottom"/>
            <w:hideMark/>
          </w:tcPr>
          <w:p w:rsidR="003117C2" w:rsidRPr="002D2395" w:rsidRDefault="003117C2" w:rsidP="00AC4D3E">
            <w:pPr>
              <w:ind w:right="170"/>
              <w:jc w:val="right"/>
              <w:rPr>
                <w:rFonts w:cs="Arial"/>
                <w:color w:val="000000"/>
                <w:sz w:val="18"/>
              </w:rPr>
            </w:pPr>
            <w:r w:rsidRPr="002D2395">
              <w:rPr>
                <w:rFonts w:cs="Arial"/>
                <w:color w:val="000000"/>
                <w:sz w:val="18"/>
              </w:rPr>
              <w:t>6,8</w:t>
            </w:r>
            <w:r w:rsidR="00AC4D3E" w:rsidRPr="002D2395">
              <w:rPr>
                <w:rFonts w:cs="Arial"/>
                <w:color w:val="000000"/>
                <w:sz w:val="18"/>
              </w:rPr>
              <w:t>23</w:t>
            </w:r>
          </w:p>
        </w:tc>
      </w:tr>
      <w:tr w:rsidR="003117C2" w:rsidRPr="0064770E" w:rsidTr="00DC5E39">
        <w:tc>
          <w:tcPr>
            <w:tcW w:w="3559" w:type="dxa"/>
            <w:tcBorders>
              <w:top w:val="nil"/>
              <w:left w:val="single" w:sz="4" w:space="0" w:color="auto"/>
              <w:bottom w:val="nil"/>
              <w:right w:val="nil"/>
            </w:tcBorders>
            <w:shd w:val="clear" w:color="auto" w:fill="auto"/>
            <w:vAlign w:val="bottom"/>
            <w:hideMark/>
          </w:tcPr>
          <w:p w:rsidR="003117C2" w:rsidRPr="002D2395" w:rsidRDefault="003117C2" w:rsidP="00DC5E39">
            <w:pPr>
              <w:jc w:val="left"/>
              <w:rPr>
                <w:rFonts w:cs="Arial"/>
                <w:sz w:val="18"/>
              </w:rPr>
            </w:pPr>
            <w:r w:rsidRPr="002D2395">
              <w:rPr>
                <w:rFonts w:cs="Arial"/>
                <w:sz w:val="18"/>
              </w:rPr>
              <w:t>2. Expenditure</w:t>
            </w:r>
          </w:p>
        </w:tc>
        <w:tc>
          <w:tcPr>
            <w:tcW w:w="1508" w:type="dxa"/>
            <w:tcBorders>
              <w:top w:val="nil"/>
              <w:left w:val="single" w:sz="4" w:space="0" w:color="auto"/>
              <w:bottom w:val="dotted" w:sz="4" w:space="0" w:color="auto"/>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6,285</w:t>
            </w:r>
          </w:p>
        </w:tc>
        <w:tc>
          <w:tcPr>
            <w:tcW w:w="1560" w:type="dxa"/>
            <w:tcBorders>
              <w:top w:val="nil"/>
              <w:left w:val="single" w:sz="4" w:space="0" w:color="auto"/>
              <w:bottom w:val="dotted" w:sz="4" w:space="0" w:color="auto"/>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6,794</w:t>
            </w:r>
          </w:p>
        </w:tc>
        <w:tc>
          <w:tcPr>
            <w:tcW w:w="708" w:type="dxa"/>
            <w:tcBorders>
              <w:top w:val="nil"/>
              <w:left w:val="single" w:sz="4" w:space="0" w:color="auto"/>
              <w:bottom w:val="dotted" w:sz="4" w:space="0" w:color="auto"/>
              <w:right w:val="single" w:sz="4" w:space="0" w:color="auto"/>
            </w:tcBorders>
            <w:shd w:val="clear" w:color="auto" w:fill="auto"/>
            <w:vAlign w:val="bottom"/>
            <w:hideMark/>
          </w:tcPr>
          <w:p w:rsidR="003117C2" w:rsidRPr="002D2395" w:rsidRDefault="00AC4D3E" w:rsidP="00DC5E39">
            <w:pPr>
              <w:ind w:right="113"/>
              <w:jc w:val="right"/>
              <w:rPr>
                <w:rFonts w:cs="Arial"/>
                <w:color w:val="000000"/>
                <w:sz w:val="18"/>
              </w:rPr>
            </w:pPr>
            <w:r w:rsidRPr="002D2395">
              <w:rPr>
                <w:rFonts w:cs="Arial"/>
                <w:color w:val="000000"/>
                <w:sz w:val="18"/>
              </w:rPr>
              <w:t>29</w:t>
            </w:r>
          </w:p>
        </w:tc>
        <w:tc>
          <w:tcPr>
            <w:tcW w:w="709" w:type="dxa"/>
            <w:tcBorders>
              <w:top w:val="nil"/>
              <w:left w:val="single" w:sz="4" w:space="0" w:color="auto"/>
              <w:bottom w:val="dotted" w:sz="4" w:space="0" w:color="auto"/>
              <w:right w:val="nil"/>
            </w:tcBorders>
            <w:shd w:val="clear" w:color="auto" w:fill="auto"/>
            <w:vAlign w:val="bottom"/>
            <w:hideMark/>
          </w:tcPr>
          <w:p w:rsidR="003117C2" w:rsidRPr="002D2395" w:rsidRDefault="00E90FB5" w:rsidP="00DC5E39">
            <w:pPr>
              <w:ind w:right="57"/>
              <w:jc w:val="right"/>
              <w:rPr>
                <w:rFonts w:cs="Arial"/>
                <w:color w:val="000000"/>
                <w:sz w:val="18"/>
              </w:rPr>
            </w:pPr>
            <w:r w:rsidRPr="002D2395">
              <w:rPr>
                <w:rFonts w:cs="Arial"/>
                <w:color w:val="000000"/>
                <w:sz w:val="18"/>
              </w:rPr>
              <w:t>0.4</w:t>
            </w:r>
            <w:r w:rsidR="003117C2" w:rsidRPr="002D2395">
              <w:rPr>
                <w:rFonts w:cs="Arial"/>
                <w:color w:val="000000"/>
                <w:sz w:val="18"/>
              </w:rPr>
              <w:t>%</w:t>
            </w:r>
          </w:p>
        </w:tc>
        <w:tc>
          <w:tcPr>
            <w:tcW w:w="1559" w:type="dxa"/>
            <w:tcBorders>
              <w:top w:val="nil"/>
              <w:left w:val="single" w:sz="4" w:space="0" w:color="auto"/>
              <w:bottom w:val="dotted" w:sz="4" w:space="0" w:color="auto"/>
              <w:right w:val="single" w:sz="4" w:space="0" w:color="auto"/>
            </w:tcBorders>
            <w:shd w:val="clear" w:color="auto" w:fill="auto"/>
            <w:vAlign w:val="bottom"/>
            <w:hideMark/>
          </w:tcPr>
          <w:p w:rsidR="003117C2" w:rsidRPr="0064770E" w:rsidRDefault="003117C2" w:rsidP="00AC4D3E">
            <w:pPr>
              <w:ind w:right="170"/>
              <w:jc w:val="right"/>
              <w:rPr>
                <w:rFonts w:cs="Arial"/>
                <w:color w:val="000000"/>
                <w:sz w:val="18"/>
              </w:rPr>
            </w:pPr>
            <w:r w:rsidRPr="002D2395">
              <w:rPr>
                <w:rFonts w:cs="Arial"/>
                <w:color w:val="000000"/>
                <w:sz w:val="18"/>
              </w:rPr>
              <w:t>6,8</w:t>
            </w:r>
            <w:r w:rsidR="00AC4D3E" w:rsidRPr="002D2395">
              <w:rPr>
                <w:rFonts w:cs="Arial"/>
                <w:color w:val="000000"/>
                <w:sz w:val="18"/>
              </w:rPr>
              <w:t>23</w:t>
            </w:r>
          </w:p>
        </w:tc>
      </w:tr>
      <w:tr w:rsidR="003117C2" w:rsidRPr="0064770E" w:rsidTr="00DC5E39">
        <w:tc>
          <w:tcPr>
            <w:tcW w:w="3559" w:type="dxa"/>
            <w:tcBorders>
              <w:top w:val="nil"/>
              <w:left w:val="single" w:sz="4" w:space="0" w:color="auto"/>
              <w:bottom w:val="single" w:sz="4" w:space="0" w:color="auto"/>
              <w:right w:val="nil"/>
            </w:tcBorders>
            <w:shd w:val="clear" w:color="auto" w:fill="auto"/>
            <w:vAlign w:val="bottom"/>
            <w:hideMark/>
          </w:tcPr>
          <w:p w:rsidR="003117C2" w:rsidRPr="0064770E" w:rsidRDefault="003117C2" w:rsidP="00DC5E39">
            <w:pPr>
              <w:jc w:val="left"/>
              <w:rPr>
                <w:rFonts w:cs="Arial"/>
                <w:b/>
                <w:bCs/>
                <w:sz w:val="18"/>
              </w:rPr>
            </w:pPr>
            <w:r w:rsidRPr="0064770E">
              <w:rPr>
                <w:rFonts w:cs="Arial"/>
                <w:b/>
                <w:bCs/>
                <w:sz w:val="18"/>
              </w:rPr>
              <w:t>Difference (1-2)</w:t>
            </w:r>
          </w:p>
        </w:tc>
        <w:tc>
          <w:tcPr>
            <w:tcW w:w="1508"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506</w:t>
            </w:r>
          </w:p>
        </w:tc>
        <w:tc>
          <w:tcPr>
            <w:tcW w:w="1560"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284"/>
              <w:jc w:val="right"/>
              <w:rPr>
                <w:rFonts w:cs="Arial"/>
                <w:b/>
                <w:bCs/>
                <w:color w:val="000000"/>
                <w:sz w:val="18"/>
              </w:rPr>
            </w:pPr>
            <w:r w:rsidRPr="0064770E">
              <w:rPr>
                <w:rFonts w:cs="Arial"/>
                <w:b/>
                <w:bCs/>
                <w:color w:val="000000"/>
                <w:sz w:val="18"/>
              </w:rPr>
              <w:t>-</w:t>
            </w:r>
          </w:p>
        </w:tc>
        <w:tc>
          <w:tcPr>
            <w:tcW w:w="708"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113"/>
              <w:jc w:val="right"/>
              <w:rPr>
                <w:rFonts w:cs="Arial"/>
                <w:b/>
                <w:bCs/>
                <w:color w:val="000000"/>
                <w:sz w:val="18"/>
              </w:rPr>
            </w:pPr>
            <w:r w:rsidRPr="0064770E">
              <w:rPr>
                <w:rFonts w:cs="Arial"/>
                <w:b/>
                <w:bCs/>
                <w:color w:val="000000"/>
                <w:sz w:val="18"/>
              </w:rPr>
              <w:t>-</w:t>
            </w:r>
          </w:p>
        </w:tc>
        <w:tc>
          <w:tcPr>
            <w:tcW w:w="709" w:type="dxa"/>
            <w:tcBorders>
              <w:top w:val="dotted" w:sz="4" w:space="0" w:color="auto"/>
              <w:left w:val="single" w:sz="4" w:space="0" w:color="auto"/>
              <w:bottom w:val="single" w:sz="4" w:space="0" w:color="auto"/>
              <w:right w:val="nil"/>
            </w:tcBorders>
            <w:shd w:val="clear" w:color="auto" w:fill="auto"/>
            <w:vAlign w:val="bottom"/>
            <w:hideMark/>
          </w:tcPr>
          <w:p w:rsidR="003117C2" w:rsidRPr="0064770E" w:rsidRDefault="003117C2" w:rsidP="00DC5E39">
            <w:pPr>
              <w:ind w:right="57"/>
              <w:jc w:val="right"/>
              <w:rPr>
                <w:rFonts w:cs="Arial"/>
                <w:b/>
                <w:bCs/>
                <w:color w:val="000000"/>
                <w:sz w:val="18"/>
              </w:rPr>
            </w:pPr>
            <w:r w:rsidRPr="0064770E">
              <w:rPr>
                <w:rFonts w:cs="Arial"/>
                <w:b/>
                <w:bCs/>
                <w:color w:val="000000"/>
                <w:sz w:val="18"/>
              </w:rPr>
              <w:t>0.0%</w:t>
            </w:r>
          </w:p>
        </w:tc>
        <w:tc>
          <w:tcPr>
            <w:tcW w:w="1559"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170"/>
              <w:jc w:val="right"/>
              <w:rPr>
                <w:rFonts w:cs="Arial"/>
                <w:b/>
                <w:bCs/>
                <w:color w:val="000000"/>
                <w:sz w:val="18"/>
              </w:rPr>
            </w:pPr>
            <w:r w:rsidRPr="0064770E">
              <w:rPr>
                <w:rFonts w:cs="Arial"/>
                <w:b/>
                <w:bCs/>
                <w:color w:val="000000"/>
                <w:sz w:val="18"/>
              </w:rPr>
              <w:t>-</w:t>
            </w:r>
          </w:p>
        </w:tc>
      </w:tr>
      <w:tr w:rsidR="003117C2" w:rsidRPr="0064770E" w:rsidTr="00DC5E39">
        <w:tc>
          <w:tcPr>
            <w:tcW w:w="3559"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jc w:val="left"/>
              <w:rPr>
                <w:rFonts w:cs="Arial"/>
                <w:b/>
                <w:bCs/>
                <w:sz w:val="18"/>
              </w:rPr>
            </w:pPr>
            <w:r w:rsidRPr="0064770E">
              <w:rPr>
                <w:rFonts w:cs="Arial"/>
                <w:b/>
                <w:bCs/>
                <w:sz w:val="18"/>
              </w:rPr>
              <w:t>3. Working Capital Fund</w:t>
            </w:r>
          </w:p>
        </w:tc>
        <w:tc>
          <w:tcPr>
            <w:tcW w:w="1508"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537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ED21D4">
            <w:pPr>
              <w:ind w:right="284"/>
              <w:jc w:val="right"/>
              <w:rPr>
                <w:rFonts w:cs="Arial"/>
                <w:b/>
                <w:bCs/>
                <w:color w:val="000000"/>
                <w:sz w:val="18"/>
              </w:rPr>
            </w:pPr>
            <w:r w:rsidRPr="0064770E">
              <w:rPr>
                <w:rFonts w:cs="Arial"/>
                <w:b/>
                <w:bCs/>
                <w:color w:val="000000"/>
                <w:sz w:val="18"/>
              </w:rPr>
              <w:t>54</w:t>
            </w:r>
            <w:r w:rsidR="00ED21D4">
              <w:rPr>
                <w:rFonts w:cs="Arial"/>
                <w:b/>
                <w:bCs/>
                <w:color w:val="000000"/>
                <w:sz w:val="18"/>
              </w:rPr>
              <w:t>3</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113"/>
              <w:jc w:val="right"/>
              <w:rPr>
                <w:rFonts w:cs="Arial"/>
                <w:b/>
                <w:bCs/>
                <w:color w:val="000000"/>
                <w:sz w:val="18"/>
              </w:rPr>
            </w:pPr>
            <w:r w:rsidRPr="0064770E">
              <w:rPr>
                <w:rFonts w:cs="Arial"/>
                <w:b/>
                <w:bCs/>
                <w:color w:val="000000"/>
                <w:sz w:val="18"/>
              </w:rPr>
              <w:t>3</w:t>
            </w:r>
          </w:p>
        </w:tc>
        <w:tc>
          <w:tcPr>
            <w:tcW w:w="709" w:type="dxa"/>
            <w:tcBorders>
              <w:top w:val="nil"/>
              <w:left w:val="single" w:sz="4" w:space="0" w:color="auto"/>
              <w:bottom w:val="single" w:sz="4" w:space="0" w:color="auto"/>
              <w:right w:val="nil"/>
            </w:tcBorders>
            <w:shd w:val="clear" w:color="auto" w:fill="auto"/>
            <w:vAlign w:val="bottom"/>
            <w:hideMark/>
          </w:tcPr>
          <w:p w:rsidR="003117C2" w:rsidRPr="0064770E" w:rsidRDefault="003117C2" w:rsidP="00DC5E39">
            <w:pPr>
              <w:ind w:right="57"/>
              <w:jc w:val="right"/>
              <w:rPr>
                <w:rFonts w:cs="Arial"/>
                <w:b/>
                <w:bCs/>
                <w:color w:val="000000"/>
                <w:sz w:val="18"/>
              </w:rPr>
            </w:pPr>
            <w:r w:rsidRPr="0064770E">
              <w:rPr>
                <w:rFonts w:cs="Arial"/>
                <w:b/>
                <w:bCs/>
                <w:color w:val="000000"/>
                <w:sz w:val="18"/>
              </w:rPr>
              <w:t>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ind w:right="170"/>
              <w:jc w:val="right"/>
              <w:rPr>
                <w:rFonts w:cs="Arial"/>
                <w:b/>
                <w:bCs/>
                <w:color w:val="000000"/>
                <w:sz w:val="18"/>
              </w:rPr>
            </w:pPr>
            <w:r>
              <w:rPr>
                <w:rFonts w:cs="Arial"/>
                <w:b/>
                <w:bCs/>
                <w:color w:val="000000"/>
                <w:sz w:val="18"/>
              </w:rPr>
              <w:t>546</w:t>
            </w:r>
          </w:p>
        </w:tc>
      </w:tr>
    </w:tbl>
    <w:p w:rsidR="003117C2" w:rsidRDefault="003117C2" w:rsidP="003117C2">
      <w:pPr>
        <w:rPr>
          <w:spacing w:val="-2"/>
          <w:szCs w:val="24"/>
        </w:rPr>
      </w:pPr>
    </w:p>
    <w:p w:rsidR="003117C2" w:rsidRDefault="003117C2" w:rsidP="003117C2">
      <w:pPr>
        <w:rPr>
          <w:spacing w:val="-2"/>
          <w:szCs w:val="24"/>
        </w:rPr>
      </w:pPr>
      <w:r w:rsidRPr="00C3197F">
        <w:rPr>
          <w:spacing w:val="-2"/>
          <w:szCs w:val="24"/>
        </w:rPr>
        <w:t>3.2</w:t>
      </w:r>
      <w:r w:rsidRPr="00C3197F">
        <w:rPr>
          <w:spacing w:val="-2"/>
          <w:szCs w:val="24"/>
        </w:rPr>
        <w:tab/>
        <w:t>Expenditure is estimated at the same amount as the expected income.</w:t>
      </w:r>
    </w:p>
    <w:p w:rsidR="003117C2" w:rsidRDefault="003117C2" w:rsidP="003117C2">
      <w:pPr>
        <w:rPr>
          <w:spacing w:val="-2"/>
          <w:szCs w:val="24"/>
        </w:rPr>
      </w:pPr>
    </w:p>
    <w:p w:rsidR="003117C2" w:rsidRPr="00D32307" w:rsidRDefault="003117C2" w:rsidP="003117C2">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w:t>
      </w:r>
      <w:r w:rsidRPr="00271533">
        <w:rPr>
          <w:spacing w:val="-2"/>
          <w:szCs w:val="24"/>
        </w:rPr>
        <w:t>4/3 “</w:t>
      </w:r>
      <w:r w:rsidRPr="00DD6106">
        <w:rPr>
          <w:spacing w:val="-2"/>
          <w:szCs w:val="24"/>
        </w:rPr>
        <w:t xml:space="preserve">Financial Regulations and Rules of UPOV”, Regulation 4.6, states that “[…]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  The necessary arrangements would be made for consideration by the Consultative Committee and the Council </w:t>
      </w:r>
      <w:r w:rsidRPr="00D32307">
        <w:rPr>
          <w:spacing w:val="-2"/>
          <w:szCs w:val="24"/>
        </w:rPr>
        <w:t xml:space="preserve">if that situation is applicable at the closure of the </w:t>
      </w:r>
      <w:r w:rsidRPr="00C058E1">
        <w:rPr>
          <w:snapToGrid w:val="0"/>
          <w:spacing w:val="-2"/>
          <w:szCs w:val="24"/>
        </w:rPr>
        <w:t>201</w:t>
      </w:r>
      <w:r>
        <w:rPr>
          <w:snapToGrid w:val="0"/>
          <w:spacing w:val="-2"/>
          <w:szCs w:val="24"/>
        </w:rPr>
        <w:t>6</w:t>
      </w:r>
      <w:r w:rsidRPr="00C058E1">
        <w:rPr>
          <w:snapToGrid w:val="0"/>
          <w:spacing w:val="-2"/>
          <w:szCs w:val="24"/>
        </w:rPr>
        <w:t>­201</w:t>
      </w:r>
      <w:r>
        <w:rPr>
          <w:snapToGrid w:val="0"/>
          <w:spacing w:val="-2"/>
          <w:szCs w:val="24"/>
        </w:rPr>
        <w:t>7</w:t>
      </w:r>
      <w:r w:rsidRPr="00C058E1">
        <w:rPr>
          <w:spacing w:val="-2"/>
          <w:szCs w:val="24"/>
        </w:rPr>
        <w:t xml:space="preserve"> </w:t>
      </w:r>
      <w:r w:rsidRPr="00D32307">
        <w:rPr>
          <w:spacing w:val="-2"/>
          <w:szCs w:val="24"/>
        </w:rPr>
        <w:t xml:space="preserve">Biennium. </w:t>
      </w:r>
    </w:p>
    <w:p w:rsidR="003117C2" w:rsidRPr="00D32307" w:rsidRDefault="003117C2" w:rsidP="003117C2">
      <w:pPr>
        <w:rPr>
          <w:spacing w:val="-2"/>
          <w:szCs w:val="24"/>
        </w:rPr>
      </w:pPr>
    </w:p>
    <w:p w:rsidR="003117C2" w:rsidRPr="00D32307" w:rsidRDefault="003117C2" w:rsidP="003117C2">
      <w:r w:rsidRPr="00D32307">
        <w:rPr>
          <w:spacing w:val="-2"/>
          <w:szCs w:val="24"/>
        </w:rPr>
        <w:t>3.4</w:t>
      </w:r>
      <w:r w:rsidRPr="00D32307">
        <w:rPr>
          <w:spacing w:val="-2"/>
          <w:szCs w:val="24"/>
        </w:rPr>
        <w:tab/>
        <w:t xml:space="preserve">The estimates for Personnel Resources and Non-Personnel Resources </w:t>
      </w:r>
      <w:r>
        <w:rPr>
          <w:spacing w:val="-2"/>
          <w:szCs w:val="24"/>
        </w:rPr>
        <w:t>are based on</w:t>
      </w:r>
      <w:r w:rsidRPr="00D32307">
        <w:rPr>
          <w:spacing w:val="-2"/>
          <w:szCs w:val="24"/>
        </w:rPr>
        <w:t xml:space="preserve"> the </w:t>
      </w:r>
      <w:r w:rsidRPr="00D32307">
        <w:t>inte</w:t>
      </w:r>
      <w:r>
        <w:t>rim financial statement for 2014</w:t>
      </w:r>
      <w:r w:rsidRPr="00D32307">
        <w:t>.</w:t>
      </w:r>
    </w:p>
    <w:p w:rsidR="003117C2" w:rsidRDefault="003117C2" w:rsidP="003117C2">
      <w:pPr>
        <w:rPr>
          <w:spacing w:val="-2"/>
          <w:szCs w:val="24"/>
        </w:rPr>
      </w:pPr>
    </w:p>
    <w:p w:rsidR="003117C2" w:rsidRDefault="003117C2" w:rsidP="003117C2">
      <w:pPr>
        <w:jc w:val="center"/>
        <w:rPr>
          <w:rFonts w:cs="Arial"/>
          <w:b/>
          <w:bCs/>
        </w:rPr>
      </w:pPr>
      <w:r w:rsidRPr="0064770E">
        <w:rPr>
          <w:rFonts w:cs="Arial"/>
          <w:b/>
          <w:bCs/>
        </w:rPr>
        <w:t>Table 2:  Structure of proposed budget 2016-2017 as compared to 2012-2013 and 2014-2015</w:t>
      </w:r>
    </w:p>
    <w:p w:rsidR="003117C2" w:rsidRDefault="003117C2" w:rsidP="003117C2">
      <w:pPr>
        <w:jc w:val="center"/>
        <w:rPr>
          <w:spacing w:val="-2"/>
          <w:szCs w:val="24"/>
        </w:rPr>
      </w:pPr>
      <w:r w:rsidRPr="0064770E">
        <w:rPr>
          <w:rFonts w:cs="Arial"/>
          <w:i/>
          <w:iCs/>
        </w:rPr>
        <w:t>(in thousands of Swiss francs)</w:t>
      </w:r>
    </w:p>
    <w:p w:rsidR="003117C2" w:rsidRDefault="003117C2" w:rsidP="003117C2">
      <w:pPr>
        <w:rPr>
          <w:spacing w:val="-2"/>
          <w:szCs w:val="24"/>
        </w:rPr>
      </w:pPr>
    </w:p>
    <w:tbl>
      <w:tblPr>
        <w:tblW w:w="9603" w:type="dxa"/>
        <w:tblInd w:w="93" w:type="dxa"/>
        <w:tblLayout w:type="fixed"/>
        <w:tblCellMar>
          <w:top w:w="57" w:type="dxa"/>
          <w:left w:w="57" w:type="dxa"/>
          <w:bottom w:w="28" w:type="dxa"/>
          <w:right w:w="57" w:type="dxa"/>
        </w:tblCellMar>
        <w:tblLook w:val="04A0" w:firstRow="1" w:lastRow="0" w:firstColumn="1" w:lastColumn="0" w:noHBand="0" w:noVBand="1"/>
      </w:tblPr>
      <w:tblGrid>
        <w:gridCol w:w="3559"/>
        <w:gridCol w:w="1508"/>
        <w:gridCol w:w="1560"/>
        <w:gridCol w:w="708"/>
        <w:gridCol w:w="709"/>
        <w:gridCol w:w="1559"/>
      </w:tblGrid>
      <w:tr w:rsidR="003117C2" w:rsidRPr="0064770E" w:rsidTr="00DC5E39">
        <w:tc>
          <w:tcPr>
            <w:tcW w:w="3559" w:type="dxa"/>
            <w:tcBorders>
              <w:top w:val="single" w:sz="4" w:space="0" w:color="auto"/>
              <w:left w:val="single" w:sz="4" w:space="0" w:color="auto"/>
              <w:right w:val="nil"/>
            </w:tcBorders>
            <w:shd w:val="clear" w:color="auto" w:fill="auto"/>
            <w:hideMark/>
          </w:tcPr>
          <w:p w:rsidR="003117C2" w:rsidRPr="0064770E" w:rsidRDefault="003117C2" w:rsidP="00DC5E39">
            <w:pPr>
              <w:jc w:val="left"/>
              <w:rPr>
                <w:rFonts w:cs="Arial"/>
                <w:b/>
                <w:bCs/>
                <w:sz w:val="18"/>
              </w:rPr>
            </w:pPr>
            <w:r w:rsidRPr="0064770E">
              <w:rPr>
                <w:rFonts w:cs="Arial"/>
                <w:b/>
                <w:bCs/>
                <w:sz w:val="18"/>
              </w:rPr>
              <w:t> </w:t>
            </w:r>
          </w:p>
        </w:tc>
        <w:tc>
          <w:tcPr>
            <w:tcW w:w="1508" w:type="dxa"/>
            <w:tcBorders>
              <w:top w:val="single" w:sz="4" w:space="0" w:color="auto"/>
              <w:left w:val="single" w:sz="4" w:space="0" w:color="auto"/>
              <w:right w:val="single" w:sz="4" w:space="0" w:color="auto"/>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2012-2013</w:t>
            </w:r>
            <w:r>
              <w:rPr>
                <w:rFonts w:cs="Arial"/>
                <w:b/>
                <w:bCs/>
                <w:i/>
                <w:iCs/>
                <w:color w:val="000000"/>
                <w:sz w:val="18"/>
              </w:rPr>
              <w:br/>
            </w:r>
            <w:r w:rsidRPr="0064770E">
              <w:rPr>
                <w:rFonts w:cs="Arial"/>
                <w:b/>
                <w:bCs/>
                <w:i/>
                <w:iCs/>
                <w:color w:val="000000"/>
                <w:sz w:val="18"/>
              </w:rPr>
              <w:t>Actual</w:t>
            </w:r>
          </w:p>
        </w:tc>
        <w:tc>
          <w:tcPr>
            <w:tcW w:w="1560" w:type="dxa"/>
            <w:tcBorders>
              <w:top w:val="single" w:sz="4" w:space="0" w:color="auto"/>
              <w:left w:val="nil"/>
              <w:right w:val="single" w:sz="4" w:space="0" w:color="auto"/>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2014-2015</w:t>
            </w:r>
            <w:r>
              <w:rPr>
                <w:rFonts w:cs="Arial"/>
                <w:b/>
                <w:bCs/>
                <w:i/>
                <w:iCs/>
                <w:color w:val="000000"/>
                <w:sz w:val="18"/>
              </w:rPr>
              <w:br/>
            </w:r>
            <w:r w:rsidRPr="0064770E">
              <w:rPr>
                <w:rFonts w:cs="Arial"/>
                <w:b/>
                <w:bCs/>
                <w:i/>
                <w:iCs/>
                <w:color w:val="000000"/>
                <w:sz w:val="18"/>
              </w:rPr>
              <w:t>Budget</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3117C2" w:rsidRPr="0064770E" w:rsidRDefault="003117C2" w:rsidP="00DC5E39">
            <w:pPr>
              <w:jc w:val="center"/>
              <w:rPr>
                <w:rFonts w:cs="Arial"/>
                <w:b/>
                <w:bCs/>
                <w:i/>
                <w:iCs/>
                <w:color w:val="000000"/>
                <w:sz w:val="18"/>
              </w:rPr>
            </w:pPr>
            <w:r>
              <w:rPr>
                <w:rFonts w:cs="Arial"/>
                <w:b/>
                <w:bCs/>
                <w:i/>
                <w:iCs/>
                <w:color w:val="000000"/>
                <w:sz w:val="18"/>
              </w:rPr>
              <w:t>Variation</w:t>
            </w:r>
          </w:p>
        </w:tc>
        <w:tc>
          <w:tcPr>
            <w:tcW w:w="1559" w:type="dxa"/>
            <w:tcBorders>
              <w:top w:val="single" w:sz="4" w:space="0" w:color="auto"/>
              <w:left w:val="nil"/>
              <w:right w:val="single" w:sz="4" w:space="0" w:color="auto"/>
            </w:tcBorders>
            <w:shd w:val="clear" w:color="auto" w:fill="auto"/>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2016-2017</w:t>
            </w:r>
            <w:r>
              <w:rPr>
                <w:rFonts w:cs="Arial"/>
                <w:b/>
                <w:bCs/>
                <w:i/>
                <w:iCs/>
                <w:color w:val="000000"/>
                <w:sz w:val="18"/>
              </w:rPr>
              <w:br/>
            </w:r>
            <w:r w:rsidRPr="0064770E">
              <w:rPr>
                <w:rFonts w:cs="Arial"/>
                <w:b/>
                <w:bCs/>
                <w:i/>
                <w:iCs/>
                <w:color w:val="000000"/>
                <w:sz w:val="18"/>
              </w:rPr>
              <w:t>Proposed</w:t>
            </w:r>
          </w:p>
        </w:tc>
      </w:tr>
      <w:tr w:rsidR="003117C2" w:rsidRPr="0064770E" w:rsidTr="00DC5E39">
        <w:tc>
          <w:tcPr>
            <w:tcW w:w="3559" w:type="dxa"/>
            <w:tcBorders>
              <w:top w:val="nil"/>
              <w:left w:val="single" w:sz="4" w:space="0" w:color="auto"/>
              <w:bottom w:val="single" w:sz="4" w:space="0" w:color="auto"/>
              <w:right w:val="nil"/>
            </w:tcBorders>
            <w:shd w:val="clear" w:color="auto" w:fill="auto"/>
            <w:hideMark/>
          </w:tcPr>
          <w:p w:rsidR="003117C2" w:rsidRPr="0064770E" w:rsidRDefault="003117C2" w:rsidP="00DC5E39">
            <w:pPr>
              <w:jc w:val="left"/>
              <w:rPr>
                <w:rFonts w:cs="Arial"/>
                <w:b/>
                <w:bCs/>
                <w:sz w:val="18"/>
              </w:rPr>
            </w:pPr>
            <w:r w:rsidRPr="0064770E">
              <w:rPr>
                <w:rFonts w:cs="Arial"/>
                <w:b/>
                <w:bCs/>
                <w:sz w:val="18"/>
              </w:rPr>
              <w:t> </w:t>
            </w:r>
          </w:p>
        </w:tc>
        <w:tc>
          <w:tcPr>
            <w:tcW w:w="1508" w:type="dxa"/>
            <w:tcBorders>
              <w:top w:val="nil"/>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A</w:t>
            </w:r>
          </w:p>
        </w:tc>
        <w:tc>
          <w:tcPr>
            <w:tcW w:w="1560" w:type="dxa"/>
            <w:tcBorders>
              <w:top w:val="nil"/>
              <w:left w:val="nil"/>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B</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C</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C/B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DC5E39">
            <w:pPr>
              <w:jc w:val="center"/>
              <w:rPr>
                <w:rFonts w:cs="Arial"/>
                <w:b/>
                <w:bCs/>
                <w:i/>
                <w:iCs/>
                <w:color w:val="000000"/>
                <w:sz w:val="18"/>
              </w:rPr>
            </w:pPr>
            <w:r w:rsidRPr="0064770E">
              <w:rPr>
                <w:rFonts w:cs="Arial"/>
                <w:b/>
                <w:bCs/>
                <w:i/>
                <w:iCs/>
                <w:color w:val="000000"/>
                <w:sz w:val="18"/>
              </w:rPr>
              <w:t>D=B+C</w:t>
            </w:r>
          </w:p>
        </w:tc>
      </w:tr>
      <w:tr w:rsidR="003117C2" w:rsidRPr="00EF6A4B" w:rsidTr="00DC5E39">
        <w:tc>
          <w:tcPr>
            <w:tcW w:w="3559"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jc w:val="left"/>
              <w:rPr>
                <w:rFonts w:cs="Arial"/>
                <w:sz w:val="10"/>
              </w:rPr>
            </w:pPr>
            <w:r w:rsidRPr="0064770E">
              <w:rPr>
                <w:rFonts w:cs="Arial"/>
                <w:sz w:val="10"/>
              </w:rPr>
              <w:t> </w:t>
            </w:r>
          </w:p>
        </w:tc>
        <w:tc>
          <w:tcPr>
            <w:tcW w:w="1508"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rPr>
                <w:rFonts w:cs="Arial"/>
                <w:sz w:val="10"/>
              </w:rPr>
            </w:pPr>
          </w:p>
        </w:tc>
        <w:tc>
          <w:tcPr>
            <w:tcW w:w="1560"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rPr>
                <w:rFonts w:cs="Arial"/>
                <w:sz w:val="10"/>
              </w:rPr>
            </w:pPr>
          </w:p>
        </w:tc>
        <w:tc>
          <w:tcPr>
            <w:tcW w:w="708"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jc w:val="right"/>
              <w:rPr>
                <w:rFonts w:cs="Arial"/>
                <w:sz w:val="10"/>
              </w:rPr>
            </w:pPr>
            <w:r w:rsidRPr="0064770E">
              <w:rPr>
                <w:rFonts w:cs="Arial"/>
                <w:sz w:val="10"/>
              </w:rPr>
              <w:t> </w:t>
            </w:r>
          </w:p>
        </w:tc>
        <w:tc>
          <w:tcPr>
            <w:tcW w:w="709"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rPr>
                <w:rFonts w:cs="Arial"/>
                <w:sz w:val="10"/>
              </w:rPr>
            </w:pPr>
          </w:p>
        </w:tc>
        <w:tc>
          <w:tcPr>
            <w:tcW w:w="1559" w:type="dxa"/>
            <w:tcBorders>
              <w:top w:val="single" w:sz="4" w:space="0" w:color="auto"/>
              <w:left w:val="single" w:sz="4" w:space="0" w:color="auto"/>
              <w:bottom w:val="nil"/>
              <w:right w:val="single" w:sz="4" w:space="0" w:color="auto"/>
            </w:tcBorders>
            <w:shd w:val="clear" w:color="auto" w:fill="auto"/>
            <w:hideMark/>
          </w:tcPr>
          <w:p w:rsidR="003117C2" w:rsidRPr="0064770E" w:rsidRDefault="003117C2" w:rsidP="00DC5E39">
            <w:pPr>
              <w:rPr>
                <w:rFonts w:cs="Arial"/>
                <w:sz w:val="10"/>
              </w:rPr>
            </w:pPr>
            <w:r w:rsidRPr="0064770E">
              <w:rPr>
                <w:rFonts w:cs="Arial"/>
                <w:sz w:val="10"/>
              </w:rPr>
              <w:t> </w:t>
            </w:r>
          </w:p>
        </w:tc>
      </w:tr>
      <w:tr w:rsidR="003117C2" w:rsidRPr="0064770E" w:rsidTr="00DC5E39">
        <w:tc>
          <w:tcPr>
            <w:tcW w:w="355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jc w:val="left"/>
              <w:rPr>
                <w:rFonts w:cs="Arial"/>
                <w:b/>
                <w:bCs/>
                <w:sz w:val="18"/>
              </w:rPr>
            </w:pPr>
            <w:r w:rsidRPr="0064770E">
              <w:rPr>
                <w:rFonts w:cs="Arial"/>
                <w:b/>
                <w:bCs/>
                <w:sz w:val="18"/>
              </w:rPr>
              <w:t>1. Personnel Resources</w:t>
            </w:r>
          </w:p>
        </w:tc>
        <w:tc>
          <w:tcPr>
            <w:tcW w:w="1508"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 xml:space="preserve">4,048 </w:t>
            </w:r>
          </w:p>
        </w:tc>
        <w:tc>
          <w:tcPr>
            <w:tcW w:w="1560"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 xml:space="preserve">4,425 </w:t>
            </w:r>
          </w:p>
        </w:tc>
        <w:tc>
          <w:tcPr>
            <w:tcW w:w="708"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170"/>
              <w:jc w:val="right"/>
              <w:rPr>
                <w:rFonts w:cs="Arial"/>
                <w:b/>
                <w:bCs/>
                <w:color w:val="000000"/>
                <w:sz w:val="18"/>
              </w:rPr>
            </w:pPr>
            <w:r w:rsidRPr="0064770E">
              <w:rPr>
                <w:rFonts w:cs="Arial"/>
                <w:b/>
                <w:bCs/>
                <w:color w:val="000000"/>
                <w:sz w:val="18"/>
              </w:rPr>
              <w:t xml:space="preserve">-72 </w:t>
            </w:r>
          </w:p>
        </w:tc>
        <w:tc>
          <w:tcPr>
            <w:tcW w:w="70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jc w:val="right"/>
              <w:rPr>
                <w:rFonts w:cs="Arial"/>
                <w:b/>
                <w:bCs/>
                <w:color w:val="000000"/>
                <w:sz w:val="18"/>
              </w:rPr>
            </w:pPr>
            <w:r w:rsidRPr="0064770E">
              <w:rPr>
                <w:rFonts w:cs="Arial"/>
                <w:b/>
                <w:bCs/>
                <w:color w:val="000000"/>
                <w:sz w:val="18"/>
              </w:rPr>
              <w:t>-1.6%</w:t>
            </w:r>
          </w:p>
        </w:tc>
        <w:tc>
          <w:tcPr>
            <w:tcW w:w="155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284"/>
              <w:jc w:val="right"/>
              <w:rPr>
                <w:rFonts w:cs="Arial"/>
                <w:b/>
                <w:bCs/>
                <w:color w:val="000000"/>
                <w:sz w:val="18"/>
              </w:rPr>
            </w:pPr>
            <w:r w:rsidRPr="0064770E">
              <w:rPr>
                <w:rFonts w:cs="Arial"/>
                <w:b/>
                <w:bCs/>
                <w:color w:val="000000"/>
                <w:sz w:val="18"/>
              </w:rPr>
              <w:t xml:space="preserve">4,353 </w:t>
            </w:r>
          </w:p>
        </w:tc>
      </w:tr>
      <w:tr w:rsidR="003117C2" w:rsidRPr="0064770E" w:rsidTr="00DC5E39">
        <w:tc>
          <w:tcPr>
            <w:tcW w:w="355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jc w:val="left"/>
              <w:rPr>
                <w:rFonts w:cs="Arial"/>
                <w:b/>
                <w:bCs/>
                <w:sz w:val="18"/>
              </w:rPr>
            </w:pPr>
            <w:r w:rsidRPr="0064770E">
              <w:rPr>
                <w:rFonts w:cs="Arial"/>
                <w:b/>
                <w:bCs/>
                <w:sz w:val="18"/>
              </w:rPr>
              <w:t>2. Non-Personnel Resources</w:t>
            </w:r>
          </w:p>
        </w:tc>
        <w:tc>
          <w:tcPr>
            <w:tcW w:w="1508"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 xml:space="preserve">2,237 </w:t>
            </w:r>
          </w:p>
        </w:tc>
        <w:tc>
          <w:tcPr>
            <w:tcW w:w="1560"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DC5E39">
            <w:pPr>
              <w:ind w:right="454"/>
              <w:jc w:val="right"/>
              <w:rPr>
                <w:rFonts w:cs="Arial"/>
                <w:b/>
                <w:bCs/>
                <w:color w:val="000000"/>
                <w:sz w:val="18"/>
              </w:rPr>
            </w:pPr>
            <w:r w:rsidRPr="0064770E">
              <w:rPr>
                <w:rFonts w:cs="Arial"/>
                <w:b/>
                <w:bCs/>
                <w:color w:val="000000"/>
                <w:sz w:val="18"/>
              </w:rPr>
              <w:t xml:space="preserve">2,369 </w:t>
            </w:r>
          </w:p>
        </w:tc>
        <w:tc>
          <w:tcPr>
            <w:tcW w:w="708" w:type="dxa"/>
            <w:tcBorders>
              <w:top w:val="nil"/>
              <w:left w:val="single" w:sz="4" w:space="0" w:color="auto"/>
              <w:bottom w:val="nil"/>
              <w:right w:val="single" w:sz="4" w:space="0" w:color="auto"/>
            </w:tcBorders>
            <w:shd w:val="clear" w:color="auto" w:fill="auto"/>
            <w:vAlign w:val="bottom"/>
            <w:hideMark/>
          </w:tcPr>
          <w:p w:rsidR="003117C2" w:rsidRPr="0064770E" w:rsidRDefault="00ED21D4" w:rsidP="00ED21D4">
            <w:pPr>
              <w:ind w:right="170"/>
              <w:jc w:val="right"/>
              <w:rPr>
                <w:rFonts w:cs="Arial"/>
                <w:b/>
                <w:bCs/>
                <w:color w:val="000000"/>
                <w:sz w:val="18"/>
              </w:rPr>
            </w:pPr>
            <w:r w:rsidRPr="0064770E">
              <w:rPr>
                <w:rFonts w:cs="Arial"/>
                <w:b/>
                <w:bCs/>
                <w:color w:val="000000"/>
                <w:sz w:val="18"/>
              </w:rPr>
              <w:t>1</w:t>
            </w:r>
            <w:r>
              <w:rPr>
                <w:rFonts w:cs="Arial"/>
                <w:b/>
                <w:bCs/>
                <w:color w:val="000000"/>
                <w:sz w:val="18"/>
              </w:rPr>
              <w:t>01</w:t>
            </w:r>
            <w:r w:rsidRPr="0064770E">
              <w:rPr>
                <w:rFonts w:cs="Arial"/>
                <w:b/>
                <w:bCs/>
                <w:color w:val="000000"/>
                <w:sz w:val="18"/>
              </w:rPr>
              <w:t xml:space="preserve"> </w:t>
            </w:r>
          </w:p>
        </w:tc>
        <w:tc>
          <w:tcPr>
            <w:tcW w:w="70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ED21D4">
            <w:pPr>
              <w:jc w:val="right"/>
              <w:rPr>
                <w:rFonts w:cs="Arial"/>
                <w:b/>
                <w:bCs/>
                <w:color w:val="000000"/>
                <w:sz w:val="18"/>
              </w:rPr>
            </w:pPr>
            <w:r w:rsidRPr="0064770E">
              <w:rPr>
                <w:rFonts w:cs="Arial"/>
                <w:b/>
                <w:bCs/>
                <w:color w:val="000000"/>
                <w:sz w:val="18"/>
              </w:rPr>
              <w:t>4.</w:t>
            </w:r>
            <w:r w:rsidR="00ED21D4">
              <w:rPr>
                <w:rFonts w:cs="Arial"/>
                <w:b/>
                <w:bCs/>
                <w:color w:val="000000"/>
                <w:sz w:val="18"/>
              </w:rPr>
              <w:t>3</w:t>
            </w:r>
            <w:r w:rsidRPr="0064770E">
              <w:rPr>
                <w:rFonts w:cs="Arial"/>
                <w:b/>
                <w:bCs/>
                <w:color w:val="000000"/>
                <w:sz w:val="18"/>
              </w:rPr>
              <w:t>%</w:t>
            </w:r>
          </w:p>
        </w:tc>
        <w:tc>
          <w:tcPr>
            <w:tcW w:w="1559" w:type="dxa"/>
            <w:tcBorders>
              <w:top w:val="nil"/>
              <w:left w:val="single" w:sz="4" w:space="0" w:color="auto"/>
              <w:bottom w:val="nil"/>
              <w:right w:val="single" w:sz="4" w:space="0" w:color="auto"/>
            </w:tcBorders>
            <w:shd w:val="clear" w:color="auto" w:fill="auto"/>
            <w:vAlign w:val="bottom"/>
            <w:hideMark/>
          </w:tcPr>
          <w:p w:rsidR="003117C2" w:rsidRPr="0064770E" w:rsidRDefault="003117C2" w:rsidP="00ED21D4">
            <w:pPr>
              <w:ind w:right="284"/>
              <w:jc w:val="right"/>
              <w:rPr>
                <w:rFonts w:cs="Arial"/>
                <w:b/>
                <w:bCs/>
                <w:color w:val="000000"/>
                <w:sz w:val="18"/>
              </w:rPr>
            </w:pPr>
            <w:r w:rsidRPr="0064770E">
              <w:rPr>
                <w:rFonts w:cs="Arial"/>
                <w:b/>
                <w:bCs/>
                <w:color w:val="000000"/>
                <w:sz w:val="18"/>
              </w:rPr>
              <w:t>2,</w:t>
            </w:r>
            <w:r w:rsidR="00ED21D4" w:rsidRPr="0064770E">
              <w:rPr>
                <w:rFonts w:cs="Arial"/>
                <w:b/>
                <w:bCs/>
                <w:color w:val="000000"/>
                <w:sz w:val="18"/>
              </w:rPr>
              <w:t>4</w:t>
            </w:r>
            <w:r w:rsidR="00ED21D4">
              <w:rPr>
                <w:rFonts w:cs="Arial"/>
                <w:b/>
                <w:bCs/>
                <w:color w:val="000000"/>
                <w:sz w:val="18"/>
              </w:rPr>
              <w:t>70</w:t>
            </w:r>
            <w:r w:rsidR="00ED21D4" w:rsidRPr="0064770E">
              <w:rPr>
                <w:rFonts w:cs="Arial"/>
                <w:b/>
                <w:bCs/>
                <w:color w:val="000000"/>
                <w:sz w:val="18"/>
              </w:rPr>
              <w:t xml:space="preserve"> </w:t>
            </w:r>
          </w:p>
        </w:tc>
      </w:tr>
      <w:tr w:rsidR="003117C2" w:rsidRPr="002D2395" w:rsidTr="00DC5E39">
        <w:tc>
          <w:tcPr>
            <w:tcW w:w="3559" w:type="dxa"/>
            <w:tcBorders>
              <w:top w:val="nil"/>
              <w:left w:val="single" w:sz="4" w:space="0" w:color="auto"/>
              <w:bottom w:val="nil"/>
              <w:right w:val="single" w:sz="4" w:space="0" w:color="auto"/>
            </w:tcBorders>
            <w:shd w:val="clear" w:color="auto" w:fill="auto"/>
            <w:noWrap/>
            <w:vAlign w:val="bottom"/>
            <w:hideMark/>
          </w:tcPr>
          <w:p w:rsidR="003117C2" w:rsidRPr="002D2395" w:rsidRDefault="003117C2" w:rsidP="00DC5E39">
            <w:pPr>
              <w:jc w:val="left"/>
              <w:rPr>
                <w:rFonts w:cs="Arial"/>
                <w:i/>
                <w:iCs/>
                <w:sz w:val="18"/>
              </w:rPr>
            </w:pPr>
            <w:r w:rsidRPr="002D2395">
              <w:rPr>
                <w:rFonts w:cs="Arial"/>
                <w:i/>
                <w:iCs/>
                <w:sz w:val="18"/>
              </w:rPr>
              <w:t>Interns</w:t>
            </w:r>
            <w:r w:rsidR="004F001B" w:rsidRPr="002D2395">
              <w:rPr>
                <w:rFonts w:cs="Arial"/>
                <w:i/>
                <w:iCs/>
                <w:sz w:val="18"/>
              </w:rPr>
              <w:t>hips and Fellowships</w:t>
            </w:r>
          </w:p>
        </w:tc>
        <w:tc>
          <w:tcPr>
            <w:tcW w:w="15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 </w:t>
            </w:r>
          </w:p>
        </w:tc>
        <w:tc>
          <w:tcPr>
            <w:tcW w:w="156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 </w:t>
            </w:r>
          </w:p>
        </w:tc>
        <w:tc>
          <w:tcPr>
            <w:tcW w:w="708" w:type="dxa"/>
            <w:tcBorders>
              <w:top w:val="nil"/>
              <w:left w:val="single" w:sz="4" w:space="0" w:color="auto"/>
              <w:bottom w:val="nil"/>
              <w:right w:val="single" w:sz="4" w:space="0" w:color="auto"/>
            </w:tcBorders>
            <w:shd w:val="clear" w:color="auto" w:fill="auto"/>
            <w:vAlign w:val="bottom"/>
            <w:hideMark/>
          </w:tcPr>
          <w:p w:rsidR="003117C2" w:rsidRPr="002D2395" w:rsidRDefault="00E90FB5" w:rsidP="00DC5E39">
            <w:pPr>
              <w:ind w:right="170"/>
              <w:jc w:val="right"/>
              <w:rPr>
                <w:rFonts w:cs="Arial"/>
                <w:color w:val="000000"/>
                <w:sz w:val="18"/>
              </w:rPr>
            </w:pPr>
            <w:r w:rsidRPr="002D2395">
              <w:rPr>
                <w:rFonts w:cs="Arial"/>
                <w:color w:val="000000"/>
                <w:sz w:val="18"/>
              </w:rPr>
              <w:t>38</w:t>
            </w:r>
            <w:r w:rsidR="003117C2" w:rsidRPr="002D2395">
              <w:rPr>
                <w:rFonts w:cs="Arial"/>
                <w:color w:val="000000"/>
                <w:sz w:val="18"/>
              </w:rPr>
              <w:t xml:space="preserve"> </w:t>
            </w:r>
          </w:p>
        </w:tc>
        <w:tc>
          <w:tcPr>
            <w:tcW w:w="70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rPr>
            </w:pPr>
            <w:r w:rsidRPr="002D2395">
              <w:rPr>
                <w:rFonts w:cs="Arial"/>
                <w:color w:val="000000"/>
                <w:sz w:val="18"/>
              </w:rPr>
              <w:t>-</w:t>
            </w:r>
          </w:p>
        </w:tc>
        <w:tc>
          <w:tcPr>
            <w:tcW w:w="1559" w:type="dxa"/>
            <w:tcBorders>
              <w:top w:val="nil"/>
              <w:left w:val="single" w:sz="4" w:space="0" w:color="auto"/>
              <w:bottom w:val="nil"/>
              <w:right w:val="single" w:sz="4" w:space="0" w:color="auto"/>
            </w:tcBorders>
            <w:shd w:val="clear" w:color="auto" w:fill="auto"/>
            <w:vAlign w:val="bottom"/>
            <w:hideMark/>
          </w:tcPr>
          <w:p w:rsidR="003117C2" w:rsidRPr="002D2395" w:rsidRDefault="00E90FB5" w:rsidP="00DC5E39">
            <w:pPr>
              <w:ind w:right="284"/>
              <w:jc w:val="right"/>
              <w:rPr>
                <w:rFonts w:cs="Arial"/>
                <w:color w:val="000000"/>
                <w:sz w:val="18"/>
              </w:rPr>
            </w:pPr>
            <w:r w:rsidRPr="002D2395">
              <w:rPr>
                <w:rFonts w:cs="Arial"/>
                <w:color w:val="000000"/>
                <w:sz w:val="18"/>
              </w:rPr>
              <w:t>38</w:t>
            </w:r>
          </w:p>
        </w:tc>
      </w:tr>
      <w:tr w:rsidR="003117C2" w:rsidRPr="002D2395" w:rsidTr="00DC5E39">
        <w:tc>
          <w:tcPr>
            <w:tcW w:w="3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4F001B">
            <w:pPr>
              <w:jc w:val="left"/>
              <w:rPr>
                <w:rFonts w:cs="Arial"/>
                <w:i/>
                <w:iCs/>
                <w:sz w:val="18"/>
              </w:rPr>
            </w:pPr>
            <w:r w:rsidRPr="002D2395">
              <w:rPr>
                <w:rFonts w:cs="Arial"/>
                <w:i/>
                <w:iCs/>
                <w:sz w:val="18"/>
              </w:rPr>
              <w:t>Travel</w:t>
            </w:r>
            <w:r w:rsidR="004F001B" w:rsidRPr="002D2395">
              <w:rPr>
                <w:rFonts w:cs="Arial"/>
                <w:i/>
                <w:iCs/>
                <w:sz w:val="18"/>
              </w:rPr>
              <w:t>, Training and Grants</w:t>
            </w:r>
          </w:p>
        </w:tc>
        <w:tc>
          <w:tcPr>
            <w:tcW w:w="15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530 </w:t>
            </w:r>
          </w:p>
        </w:tc>
        <w:tc>
          <w:tcPr>
            <w:tcW w:w="156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590 </w:t>
            </w:r>
          </w:p>
        </w:tc>
        <w:tc>
          <w:tcPr>
            <w:tcW w:w="7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170"/>
              <w:jc w:val="right"/>
              <w:rPr>
                <w:rFonts w:cs="Arial"/>
                <w:color w:val="000000"/>
                <w:sz w:val="18"/>
              </w:rPr>
            </w:pPr>
            <w:r w:rsidRPr="002D2395">
              <w:rPr>
                <w:rFonts w:cs="Arial"/>
                <w:color w:val="000000"/>
                <w:sz w:val="18"/>
              </w:rPr>
              <w:t xml:space="preserve">-140 </w:t>
            </w:r>
          </w:p>
        </w:tc>
        <w:tc>
          <w:tcPr>
            <w:tcW w:w="70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rPr>
            </w:pPr>
            <w:r w:rsidRPr="002D2395">
              <w:rPr>
                <w:rFonts w:cs="Arial"/>
                <w:color w:val="000000"/>
                <w:sz w:val="18"/>
              </w:rPr>
              <w:t>-23.7%</w:t>
            </w:r>
          </w:p>
        </w:tc>
        <w:tc>
          <w:tcPr>
            <w:tcW w:w="1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 xml:space="preserve">450 </w:t>
            </w:r>
          </w:p>
        </w:tc>
      </w:tr>
      <w:tr w:rsidR="003117C2" w:rsidRPr="002D2395" w:rsidTr="00DC5E39">
        <w:trPr>
          <w:trHeight w:val="23"/>
        </w:trPr>
        <w:tc>
          <w:tcPr>
            <w:tcW w:w="3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left"/>
              <w:rPr>
                <w:rFonts w:cs="Arial"/>
                <w:i/>
                <w:iCs/>
                <w:sz w:val="18"/>
              </w:rPr>
            </w:pPr>
            <w:r w:rsidRPr="002D2395">
              <w:rPr>
                <w:rFonts w:cs="Arial"/>
                <w:i/>
                <w:iCs/>
                <w:sz w:val="18"/>
              </w:rPr>
              <w:t xml:space="preserve">Contractual </w:t>
            </w:r>
            <w:r w:rsidR="008954FA" w:rsidRPr="002D2395">
              <w:rPr>
                <w:rFonts w:cs="Arial"/>
                <w:i/>
                <w:iCs/>
                <w:sz w:val="18"/>
              </w:rPr>
              <w:t>Services</w:t>
            </w:r>
          </w:p>
        </w:tc>
        <w:tc>
          <w:tcPr>
            <w:tcW w:w="15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437 </w:t>
            </w:r>
          </w:p>
        </w:tc>
        <w:tc>
          <w:tcPr>
            <w:tcW w:w="156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475 </w:t>
            </w:r>
          </w:p>
        </w:tc>
        <w:tc>
          <w:tcPr>
            <w:tcW w:w="7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170"/>
              <w:jc w:val="right"/>
              <w:rPr>
                <w:rFonts w:cs="Arial"/>
                <w:color w:val="000000"/>
                <w:sz w:val="18"/>
              </w:rPr>
            </w:pPr>
            <w:r w:rsidRPr="002D2395">
              <w:rPr>
                <w:rFonts w:cs="Arial"/>
                <w:color w:val="000000"/>
                <w:sz w:val="18"/>
              </w:rPr>
              <w:t xml:space="preserve">217 </w:t>
            </w:r>
          </w:p>
        </w:tc>
        <w:tc>
          <w:tcPr>
            <w:tcW w:w="70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rPr>
            </w:pPr>
            <w:r w:rsidRPr="002D2395">
              <w:rPr>
                <w:rFonts w:cs="Arial"/>
                <w:color w:val="000000"/>
                <w:sz w:val="18"/>
              </w:rPr>
              <w:t>45.7%</w:t>
            </w:r>
          </w:p>
        </w:tc>
        <w:tc>
          <w:tcPr>
            <w:tcW w:w="1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 xml:space="preserve">692 </w:t>
            </w:r>
          </w:p>
        </w:tc>
      </w:tr>
      <w:tr w:rsidR="003117C2" w:rsidRPr="002D2395" w:rsidTr="00DC5E39">
        <w:tc>
          <w:tcPr>
            <w:tcW w:w="3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left"/>
              <w:rPr>
                <w:rFonts w:cs="Arial"/>
                <w:i/>
                <w:iCs/>
                <w:sz w:val="18"/>
              </w:rPr>
            </w:pPr>
            <w:r w:rsidRPr="002D2395">
              <w:rPr>
                <w:rFonts w:cs="Arial"/>
                <w:i/>
                <w:iCs/>
                <w:sz w:val="18"/>
              </w:rPr>
              <w:t>Operating expenses</w:t>
            </w:r>
          </w:p>
        </w:tc>
        <w:tc>
          <w:tcPr>
            <w:tcW w:w="15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1,243 </w:t>
            </w:r>
          </w:p>
        </w:tc>
        <w:tc>
          <w:tcPr>
            <w:tcW w:w="156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1,266 </w:t>
            </w:r>
          </w:p>
        </w:tc>
        <w:tc>
          <w:tcPr>
            <w:tcW w:w="7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170"/>
              <w:jc w:val="right"/>
              <w:rPr>
                <w:rFonts w:cs="Arial"/>
                <w:color w:val="000000"/>
                <w:sz w:val="18"/>
              </w:rPr>
            </w:pPr>
            <w:r w:rsidRPr="002D2395">
              <w:rPr>
                <w:rFonts w:cs="Arial"/>
                <w:color w:val="000000"/>
                <w:sz w:val="18"/>
              </w:rPr>
              <w:t xml:space="preserve"> 4 </w:t>
            </w:r>
          </w:p>
        </w:tc>
        <w:tc>
          <w:tcPr>
            <w:tcW w:w="70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rPr>
            </w:pPr>
            <w:r w:rsidRPr="002D2395">
              <w:rPr>
                <w:rFonts w:cs="Arial"/>
                <w:color w:val="000000"/>
                <w:sz w:val="18"/>
              </w:rPr>
              <w:t>0.3%</w:t>
            </w:r>
          </w:p>
        </w:tc>
        <w:tc>
          <w:tcPr>
            <w:tcW w:w="1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 xml:space="preserve">1,270 </w:t>
            </w:r>
          </w:p>
        </w:tc>
      </w:tr>
      <w:tr w:rsidR="003117C2" w:rsidRPr="002D2395" w:rsidTr="00DC5E39">
        <w:tc>
          <w:tcPr>
            <w:tcW w:w="3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left"/>
              <w:rPr>
                <w:rFonts w:cs="Arial"/>
                <w:i/>
                <w:iCs/>
                <w:sz w:val="18"/>
              </w:rPr>
            </w:pPr>
            <w:r w:rsidRPr="002D2395">
              <w:rPr>
                <w:rFonts w:cs="Arial"/>
                <w:i/>
                <w:iCs/>
                <w:sz w:val="18"/>
              </w:rPr>
              <w:t>Equipment and supplies</w:t>
            </w:r>
          </w:p>
        </w:tc>
        <w:tc>
          <w:tcPr>
            <w:tcW w:w="15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27 </w:t>
            </w:r>
          </w:p>
        </w:tc>
        <w:tc>
          <w:tcPr>
            <w:tcW w:w="156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454"/>
              <w:jc w:val="right"/>
              <w:rPr>
                <w:rFonts w:cs="Arial"/>
                <w:color w:val="000000"/>
                <w:sz w:val="18"/>
              </w:rPr>
            </w:pPr>
            <w:r w:rsidRPr="002D2395">
              <w:rPr>
                <w:rFonts w:cs="Arial"/>
                <w:color w:val="000000"/>
                <w:sz w:val="18"/>
              </w:rPr>
              <w:t xml:space="preserve"> 38 </w:t>
            </w:r>
          </w:p>
        </w:tc>
        <w:tc>
          <w:tcPr>
            <w:tcW w:w="708"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170"/>
              <w:jc w:val="right"/>
              <w:rPr>
                <w:rFonts w:cs="Arial"/>
                <w:color w:val="000000"/>
                <w:sz w:val="18"/>
              </w:rPr>
            </w:pPr>
            <w:r w:rsidRPr="002D2395">
              <w:rPr>
                <w:rFonts w:cs="Arial"/>
                <w:color w:val="000000"/>
                <w:sz w:val="18"/>
              </w:rPr>
              <w:t xml:space="preserve"> -18 </w:t>
            </w:r>
          </w:p>
        </w:tc>
        <w:tc>
          <w:tcPr>
            <w:tcW w:w="70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rPr>
            </w:pPr>
            <w:r w:rsidRPr="002D2395">
              <w:rPr>
                <w:rFonts w:cs="Arial"/>
                <w:color w:val="000000"/>
                <w:sz w:val="18"/>
              </w:rPr>
              <w:t>-47.4%</w:t>
            </w:r>
          </w:p>
        </w:tc>
        <w:tc>
          <w:tcPr>
            <w:tcW w:w="1559"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rPr>
            </w:pPr>
            <w:r w:rsidRPr="002D2395">
              <w:rPr>
                <w:rFonts w:cs="Arial"/>
                <w:color w:val="000000"/>
                <w:sz w:val="18"/>
              </w:rPr>
              <w:t xml:space="preserve">20 </w:t>
            </w:r>
          </w:p>
        </w:tc>
      </w:tr>
      <w:tr w:rsidR="003117C2" w:rsidRPr="0064770E" w:rsidTr="00DC5E39">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jc w:val="left"/>
              <w:rPr>
                <w:rFonts w:cs="Arial"/>
                <w:b/>
                <w:bCs/>
                <w:sz w:val="18"/>
              </w:rPr>
            </w:pPr>
            <w:r w:rsidRPr="002D2395">
              <w:rPr>
                <w:rFonts w:cs="Arial"/>
                <w:b/>
                <w:bCs/>
                <w:sz w:val="18"/>
              </w:rPr>
              <w:t>3. Grand Total</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ind w:right="454"/>
              <w:jc w:val="right"/>
              <w:rPr>
                <w:rFonts w:cs="Arial"/>
                <w:b/>
                <w:bCs/>
                <w:color w:val="000000"/>
                <w:sz w:val="18"/>
              </w:rPr>
            </w:pPr>
            <w:r w:rsidRPr="002D2395">
              <w:rPr>
                <w:rFonts w:cs="Arial"/>
                <w:b/>
                <w:bCs/>
                <w:color w:val="000000"/>
                <w:sz w:val="18"/>
              </w:rPr>
              <w:t>6,285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ind w:right="454"/>
              <w:jc w:val="right"/>
              <w:rPr>
                <w:rFonts w:cs="Arial"/>
                <w:b/>
                <w:bCs/>
                <w:color w:val="000000"/>
                <w:sz w:val="18"/>
              </w:rPr>
            </w:pPr>
            <w:r w:rsidRPr="002D2395">
              <w:rPr>
                <w:rFonts w:cs="Arial"/>
                <w:b/>
                <w:bCs/>
                <w:color w:val="000000"/>
                <w:sz w:val="18"/>
              </w:rPr>
              <w:t>6,794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E90FB5" w:rsidP="00DC5E39">
            <w:pPr>
              <w:ind w:right="170"/>
              <w:jc w:val="right"/>
              <w:rPr>
                <w:rFonts w:cs="Arial"/>
                <w:b/>
                <w:bCs/>
                <w:color w:val="000000"/>
                <w:sz w:val="18"/>
              </w:rPr>
            </w:pPr>
            <w:r w:rsidRPr="002D2395">
              <w:rPr>
                <w:rFonts w:cs="Arial"/>
                <w:b/>
                <w:bCs/>
                <w:color w:val="000000"/>
                <w:sz w:val="18"/>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E90FB5">
            <w:pPr>
              <w:jc w:val="right"/>
              <w:rPr>
                <w:rFonts w:cs="Arial"/>
                <w:b/>
                <w:bCs/>
                <w:sz w:val="18"/>
              </w:rPr>
            </w:pPr>
            <w:r w:rsidRPr="002D2395">
              <w:rPr>
                <w:rFonts w:cs="Arial"/>
                <w:b/>
                <w:bCs/>
                <w:sz w:val="18"/>
              </w:rPr>
              <w:t>0.</w:t>
            </w:r>
            <w:r w:rsidR="00E90FB5" w:rsidRPr="002D2395">
              <w:rPr>
                <w:rFonts w:cs="Arial"/>
                <w:b/>
                <w:bCs/>
                <w:sz w:val="18"/>
              </w:rPr>
              <w:t>4</w:t>
            </w:r>
            <w:r w:rsidRPr="002D2395">
              <w:rPr>
                <w:rFonts w:cs="Arial"/>
                <w:b/>
                <w:bCs/>
                <w:sz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64770E" w:rsidRDefault="003117C2" w:rsidP="00E90FB5">
            <w:pPr>
              <w:ind w:right="284"/>
              <w:jc w:val="right"/>
              <w:rPr>
                <w:rFonts w:cs="Arial"/>
                <w:b/>
                <w:bCs/>
                <w:color w:val="000000"/>
                <w:sz w:val="18"/>
              </w:rPr>
            </w:pPr>
            <w:r w:rsidRPr="002D2395">
              <w:rPr>
                <w:rFonts w:cs="Arial"/>
                <w:b/>
                <w:bCs/>
                <w:color w:val="000000"/>
                <w:sz w:val="18"/>
              </w:rPr>
              <w:t>6,8</w:t>
            </w:r>
            <w:r w:rsidR="00E90FB5" w:rsidRPr="002D2395">
              <w:rPr>
                <w:rFonts w:cs="Arial"/>
                <w:b/>
                <w:bCs/>
                <w:color w:val="000000"/>
                <w:sz w:val="18"/>
              </w:rPr>
              <w:t>23</w:t>
            </w:r>
          </w:p>
        </w:tc>
      </w:tr>
    </w:tbl>
    <w:p w:rsidR="003117C2" w:rsidRDefault="003117C2" w:rsidP="003117C2">
      <w:pPr>
        <w:rPr>
          <w:spacing w:val="-2"/>
          <w:szCs w:val="24"/>
        </w:rPr>
      </w:pPr>
    </w:p>
    <w:p w:rsidR="003117C2" w:rsidRDefault="003117C2" w:rsidP="003117C2">
      <w:pPr>
        <w:jc w:val="left"/>
      </w:pPr>
      <w:r>
        <w:br w:type="page"/>
      </w:r>
    </w:p>
    <w:p w:rsidR="003117C2" w:rsidRPr="00C97817" w:rsidRDefault="003117C2" w:rsidP="003117C2">
      <w:pPr>
        <w:tabs>
          <w:tab w:val="left" w:pos="567"/>
        </w:tabs>
      </w:pPr>
      <w:r w:rsidRPr="00C97817">
        <w:t>3.5</w:t>
      </w:r>
      <w:r w:rsidRPr="00C97817">
        <w:tab/>
      </w:r>
      <w:r w:rsidRPr="00C97817">
        <w:rPr>
          <w:b/>
        </w:rPr>
        <w:t>Table 3</w:t>
      </w:r>
      <w:r w:rsidRPr="00C97817">
        <w:t xml:space="preserve"> provides a resource plan for the 2014</w:t>
      </w:r>
      <w:r w:rsidRPr="00C97817">
        <w:noBreakHyphen/>
        <w:t xml:space="preserve">2015 and the </w:t>
      </w:r>
      <w:r w:rsidRPr="00C97817">
        <w:rPr>
          <w:snapToGrid w:val="0"/>
          <w:spacing w:val="-2"/>
          <w:szCs w:val="24"/>
        </w:rPr>
        <w:t>2016­2017</w:t>
      </w:r>
      <w:r w:rsidRPr="00C97817">
        <w:t xml:space="preserve"> biennia.  The total program of </w:t>
      </w:r>
      <w:r w:rsidRPr="002D2395">
        <w:t xml:space="preserve">activities to be conducted by UPOV in the </w:t>
      </w:r>
      <w:r w:rsidRPr="002D2395">
        <w:rPr>
          <w:snapToGrid w:val="0"/>
          <w:spacing w:val="-2"/>
          <w:szCs w:val="24"/>
        </w:rPr>
        <w:t>2016­2017</w:t>
      </w:r>
      <w:r w:rsidRPr="002D2395">
        <w:t xml:space="preserve"> Biennium amounts to </w:t>
      </w:r>
      <w:r w:rsidRPr="002D2395">
        <w:rPr>
          <w:spacing w:val="-2"/>
          <w:szCs w:val="24"/>
        </w:rPr>
        <w:t>7,2</w:t>
      </w:r>
      <w:r w:rsidR="006F5F70" w:rsidRPr="002D2395">
        <w:rPr>
          <w:spacing w:val="-2"/>
          <w:szCs w:val="24"/>
        </w:rPr>
        <w:t>65</w:t>
      </w:r>
      <w:r w:rsidRPr="002D2395">
        <w:rPr>
          <w:spacing w:val="-2"/>
          <w:szCs w:val="24"/>
        </w:rPr>
        <w:t>,000 Swiss francs</w:t>
      </w:r>
      <w:r w:rsidRPr="002D2395">
        <w:t xml:space="preserve">.  </w:t>
      </w:r>
      <w:r w:rsidR="00FE503D" w:rsidRPr="002D2395">
        <w:br/>
      </w:r>
      <w:r w:rsidRPr="002D2395">
        <w:t xml:space="preserve">This amount includes </w:t>
      </w:r>
      <w:r w:rsidRPr="002D2395">
        <w:rPr>
          <w:spacing w:val="-2"/>
          <w:szCs w:val="24"/>
        </w:rPr>
        <w:t>6,8</w:t>
      </w:r>
      <w:r w:rsidR="006F5F70" w:rsidRPr="002D2395">
        <w:rPr>
          <w:spacing w:val="-2"/>
          <w:szCs w:val="24"/>
        </w:rPr>
        <w:t>23</w:t>
      </w:r>
      <w:r w:rsidRPr="002D2395">
        <w:rPr>
          <w:spacing w:val="-2"/>
          <w:szCs w:val="24"/>
        </w:rPr>
        <w:t>,000 Swiss francs</w:t>
      </w:r>
      <w:r w:rsidRPr="002D2395">
        <w:t xml:space="preserve"> within the regular budget (see Table 1), and an estimated</w:t>
      </w:r>
      <w:r w:rsidRPr="00C97817">
        <w:t xml:space="preserve"> </w:t>
      </w:r>
      <w:r w:rsidR="00FE503D">
        <w:rPr>
          <w:spacing w:val="-2"/>
          <w:szCs w:val="24"/>
        </w:rPr>
        <w:t>442,000 </w:t>
      </w:r>
      <w:r w:rsidRPr="00C97817">
        <w:rPr>
          <w:spacing w:val="-2"/>
          <w:szCs w:val="24"/>
        </w:rPr>
        <w:t>Swiss francs</w:t>
      </w:r>
      <w:r w:rsidRPr="00C97817">
        <w:t xml:space="preserve">, financed under trust fund arrangements.  </w:t>
      </w:r>
    </w:p>
    <w:p w:rsidR="003117C2" w:rsidRPr="00C97817" w:rsidRDefault="003117C2" w:rsidP="003117C2">
      <w:pPr>
        <w:tabs>
          <w:tab w:val="left" w:pos="567"/>
        </w:tabs>
      </w:pPr>
    </w:p>
    <w:p w:rsidR="003117C2" w:rsidRPr="00C97817" w:rsidRDefault="003117C2" w:rsidP="003117C2">
      <w:pPr>
        <w:keepLines/>
        <w:tabs>
          <w:tab w:val="left" w:pos="567"/>
        </w:tabs>
      </w:pPr>
      <w:r w:rsidRPr="00C97817">
        <w:t>3.6</w:t>
      </w:r>
      <w:r w:rsidRPr="00C97817">
        <w:tab/>
        <w:t xml:space="preserve">For the </w:t>
      </w:r>
      <w:r w:rsidRPr="00C97817">
        <w:rPr>
          <w:snapToGrid w:val="0"/>
          <w:spacing w:val="-2"/>
          <w:szCs w:val="24"/>
        </w:rPr>
        <w:t>2016­2017</w:t>
      </w:r>
      <w:r w:rsidRPr="00C97817">
        <w:t xml:space="preserve"> Biennium, income and expenditure are expected to be balanced.</w:t>
      </w:r>
    </w:p>
    <w:p w:rsidR="003117C2" w:rsidRPr="00C97817" w:rsidRDefault="003117C2" w:rsidP="003117C2">
      <w:pPr>
        <w:tabs>
          <w:tab w:val="left" w:pos="567"/>
        </w:tabs>
      </w:pPr>
    </w:p>
    <w:p w:rsidR="003117C2" w:rsidRPr="00C97817" w:rsidRDefault="003117C2" w:rsidP="003117C2">
      <w:pPr>
        <w:tabs>
          <w:tab w:val="left" w:pos="567"/>
        </w:tabs>
        <w:rPr>
          <w:spacing w:val="-2"/>
          <w:szCs w:val="24"/>
        </w:rPr>
      </w:pPr>
      <w:r w:rsidRPr="00C97817">
        <w:t>3.7</w:t>
      </w:r>
      <w:r w:rsidRPr="00C97817">
        <w:tab/>
        <w:t xml:space="preserve">Funds-in-Trust are voluntary financial donations provided to UPOV by a member of the Union, usually provided to finance a specific program of activities mutually agreed between the Office of the Union and the donor member.  Without prejudging sovereign decisions from donor members, it is expected that the </w:t>
      </w:r>
      <w:r w:rsidRPr="00C97817">
        <w:rPr>
          <w:spacing w:val="-2"/>
          <w:szCs w:val="24"/>
        </w:rPr>
        <w:t>overall amounts of Funds</w:t>
      </w:r>
      <w:r w:rsidRPr="00C97817">
        <w:rPr>
          <w:spacing w:val="-2"/>
          <w:szCs w:val="24"/>
        </w:rPr>
        <w:noBreakHyphen/>
        <w:t xml:space="preserve">in-Trust for the </w:t>
      </w:r>
      <w:r w:rsidRPr="00C97817">
        <w:rPr>
          <w:snapToGrid w:val="0"/>
          <w:spacing w:val="-2"/>
          <w:szCs w:val="24"/>
        </w:rPr>
        <w:t>2016­2017</w:t>
      </w:r>
      <w:r w:rsidRPr="00C97817">
        <w:t xml:space="preserve"> </w:t>
      </w:r>
      <w:r w:rsidRPr="00C97817">
        <w:rPr>
          <w:spacing w:val="-2"/>
          <w:szCs w:val="24"/>
        </w:rPr>
        <w:t xml:space="preserve">Biennium will be at a level of 442,000 Swiss francs. </w:t>
      </w:r>
      <w:r w:rsidRPr="00C97817">
        <w:t xml:space="preserve"> It should be noted that monetary support (e.g. Funds-in-Trust) and non</w:t>
      </w:r>
      <w:r w:rsidRPr="00C97817">
        <w:noBreakHyphen/>
        <w:t>monetary support (support in kind), particularly of technical assistance and training activities by members of the Union, are not recorded in UPOV’s budget.</w:t>
      </w:r>
    </w:p>
    <w:p w:rsidR="003117C2" w:rsidRPr="00C97817" w:rsidRDefault="003117C2" w:rsidP="003117C2">
      <w:pPr>
        <w:rPr>
          <w:spacing w:val="-2"/>
          <w:szCs w:val="24"/>
        </w:rPr>
      </w:pPr>
    </w:p>
    <w:p w:rsidR="003117C2" w:rsidRPr="00C97817" w:rsidRDefault="003117C2" w:rsidP="003117C2">
      <w:pPr>
        <w:jc w:val="center"/>
        <w:rPr>
          <w:spacing w:val="-2"/>
          <w:szCs w:val="24"/>
        </w:rPr>
      </w:pPr>
      <w:r w:rsidRPr="00C97817">
        <w:rPr>
          <w:rFonts w:cs="Arial"/>
          <w:b/>
          <w:bCs/>
        </w:rPr>
        <w:t>Table 3:  Resource Plan 2014-2015 and 2016-2017</w:t>
      </w:r>
    </w:p>
    <w:p w:rsidR="003117C2" w:rsidRPr="00C97817" w:rsidRDefault="003117C2" w:rsidP="003117C2">
      <w:pPr>
        <w:jc w:val="center"/>
        <w:rPr>
          <w:rFonts w:cs="Arial"/>
          <w:i/>
          <w:iCs/>
        </w:rPr>
      </w:pPr>
      <w:r w:rsidRPr="00C97817">
        <w:rPr>
          <w:rFonts w:cs="Arial"/>
          <w:i/>
          <w:iCs/>
        </w:rPr>
        <w:t>(in thousands of Swiss francs)</w:t>
      </w:r>
    </w:p>
    <w:p w:rsidR="003117C2" w:rsidRPr="00C97817" w:rsidRDefault="003117C2" w:rsidP="003117C2">
      <w:pPr>
        <w:jc w:val="center"/>
        <w:rPr>
          <w:spacing w:val="-2"/>
          <w:szCs w:val="24"/>
        </w:rPr>
      </w:pPr>
    </w:p>
    <w:tbl>
      <w:tblPr>
        <w:tblW w:w="8158" w:type="dxa"/>
        <w:jc w:val="center"/>
        <w:tblCellMar>
          <w:top w:w="57" w:type="dxa"/>
          <w:left w:w="57" w:type="dxa"/>
          <w:bottom w:w="28" w:type="dxa"/>
          <w:right w:w="57" w:type="dxa"/>
        </w:tblCellMar>
        <w:tblLook w:val="04A0" w:firstRow="1" w:lastRow="0" w:firstColumn="1" w:lastColumn="0" w:noHBand="0" w:noVBand="1"/>
      </w:tblPr>
      <w:tblGrid>
        <w:gridCol w:w="706"/>
        <w:gridCol w:w="3057"/>
        <w:gridCol w:w="1309"/>
        <w:gridCol w:w="1276"/>
        <w:gridCol w:w="1810"/>
      </w:tblGrid>
      <w:tr w:rsidR="003117C2" w:rsidRPr="00C97817" w:rsidTr="00DC5E39">
        <w:trPr>
          <w:jc w:val="center"/>
        </w:trPr>
        <w:tc>
          <w:tcPr>
            <w:tcW w:w="3763" w:type="dxa"/>
            <w:gridSpan w:val="2"/>
            <w:tcBorders>
              <w:top w:val="single" w:sz="4" w:space="0" w:color="auto"/>
              <w:left w:val="single" w:sz="4" w:space="0" w:color="auto"/>
              <w:bottom w:val="nil"/>
              <w:right w:val="single" w:sz="4" w:space="0" w:color="auto"/>
            </w:tcBorders>
            <w:shd w:val="clear" w:color="auto" w:fill="auto"/>
            <w:vAlign w:val="center"/>
            <w:hideMark/>
          </w:tcPr>
          <w:p w:rsidR="003117C2" w:rsidRPr="00C97817" w:rsidRDefault="003117C2" w:rsidP="00DC5E39">
            <w:pPr>
              <w:jc w:val="center"/>
              <w:rPr>
                <w:rFonts w:cs="Arial"/>
                <w:b/>
                <w:bCs/>
                <w:color w:val="000000"/>
                <w:sz w:val="18"/>
                <w:szCs w:val="18"/>
              </w:rPr>
            </w:pPr>
          </w:p>
        </w:tc>
        <w:tc>
          <w:tcPr>
            <w:tcW w:w="1309" w:type="dxa"/>
            <w:tcBorders>
              <w:top w:val="single" w:sz="4" w:space="0" w:color="auto"/>
              <w:left w:val="single" w:sz="4" w:space="0" w:color="auto"/>
              <w:bottom w:val="nil"/>
              <w:right w:val="nil"/>
            </w:tcBorders>
            <w:shd w:val="clear" w:color="auto" w:fill="auto"/>
            <w:vAlign w:val="center"/>
            <w:hideMark/>
          </w:tcPr>
          <w:p w:rsidR="003117C2" w:rsidRPr="00C97817" w:rsidRDefault="003117C2" w:rsidP="00DC5E39">
            <w:pPr>
              <w:jc w:val="center"/>
              <w:rPr>
                <w:rFonts w:cs="Arial"/>
                <w:b/>
                <w:bCs/>
                <w:color w:val="000000"/>
                <w:sz w:val="18"/>
                <w:szCs w:val="18"/>
              </w:rPr>
            </w:pPr>
            <w:r w:rsidRPr="00C97817">
              <w:rPr>
                <w:rFonts w:cs="Arial"/>
                <w:b/>
                <w:bCs/>
                <w:color w:val="000000"/>
                <w:sz w:val="18"/>
                <w:szCs w:val="18"/>
              </w:rPr>
              <w:t>Regular Budget</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3117C2" w:rsidRPr="00C97817" w:rsidRDefault="003117C2" w:rsidP="00DC5E39">
            <w:pPr>
              <w:jc w:val="center"/>
              <w:rPr>
                <w:rFonts w:cs="Arial"/>
                <w:b/>
                <w:bCs/>
                <w:color w:val="000000"/>
                <w:sz w:val="18"/>
                <w:szCs w:val="18"/>
              </w:rPr>
            </w:pPr>
            <w:r w:rsidRPr="00C97817">
              <w:rPr>
                <w:rFonts w:cs="Arial"/>
                <w:b/>
                <w:bCs/>
                <w:color w:val="000000"/>
                <w:sz w:val="18"/>
                <w:szCs w:val="18"/>
              </w:rPr>
              <w:t>Funds in Trust</w:t>
            </w:r>
          </w:p>
        </w:tc>
        <w:tc>
          <w:tcPr>
            <w:tcW w:w="1810" w:type="dxa"/>
            <w:tcBorders>
              <w:top w:val="single" w:sz="4" w:space="0" w:color="auto"/>
              <w:left w:val="nil"/>
              <w:bottom w:val="nil"/>
              <w:right w:val="single" w:sz="4" w:space="0" w:color="auto"/>
            </w:tcBorders>
            <w:shd w:val="clear" w:color="auto" w:fill="auto"/>
            <w:vAlign w:val="center"/>
            <w:hideMark/>
          </w:tcPr>
          <w:p w:rsidR="003117C2" w:rsidRPr="00C97817" w:rsidRDefault="003117C2" w:rsidP="00DC5E39">
            <w:pPr>
              <w:jc w:val="center"/>
              <w:rPr>
                <w:rFonts w:cs="Arial"/>
                <w:b/>
                <w:bCs/>
                <w:color w:val="000000"/>
                <w:sz w:val="18"/>
                <w:szCs w:val="18"/>
              </w:rPr>
            </w:pPr>
            <w:r w:rsidRPr="00C97817">
              <w:rPr>
                <w:rFonts w:cs="Arial"/>
                <w:b/>
                <w:bCs/>
                <w:color w:val="000000"/>
                <w:sz w:val="18"/>
                <w:szCs w:val="18"/>
              </w:rPr>
              <w:t>Total resources</w:t>
            </w:r>
          </w:p>
        </w:tc>
      </w:tr>
      <w:tr w:rsidR="003117C2" w:rsidRPr="00335CBC" w:rsidTr="00DC5E39">
        <w:trPr>
          <w:jc w:val="center"/>
        </w:trPr>
        <w:tc>
          <w:tcPr>
            <w:tcW w:w="3763" w:type="dxa"/>
            <w:gridSpan w:val="2"/>
            <w:tcBorders>
              <w:top w:val="nil"/>
              <w:left w:val="single" w:sz="4" w:space="0" w:color="auto"/>
              <w:bottom w:val="nil"/>
              <w:right w:val="single" w:sz="4" w:space="0" w:color="auto"/>
            </w:tcBorders>
            <w:shd w:val="clear" w:color="auto" w:fill="auto"/>
            <w:hideMark/>
          </w:tcPr>
          <w:p w:rsidR="003117C2" w:rsidRPr="0032002C" w:rsidRDefault="003117C2" w:rsidP="00DC5E39">
            <w:pPr>
              <w:jc w:val="left"/>
              <w:rPr>
                <w:rFonts w:cs="Arial"/>
                <w:b/>
                <w:bCs/>
                <w:color w:val="000000"/>
                <w:sz w:val="18"/>
                <w:szCs w:val="18"/>
              </w:rPr>
            </w:pPr>
            <w:r w:rsidRPr="00C97817">
              <w:rPr>
                <w:rFonts w:cs="Arial"/>
                <w:b/>
                <w:bCs/>
                <w:color w:val="000000"/>
                <w:sz w:val="18"/>
                <w:szCs w:val="18"/>
              </w:rPr>
              <w:t>Budget and resource availability</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jc w:val="left"/>
              <w:rPr>
                <w:rFonts w:cs="Arial"/>
                <w:b/>
                <w:bCs/>
                <w:color w:val="000000"/>
                <w:sz w:val="18"/>
                <w:szCs w:val="18"/>
              </w:rPr>
            </w:pPr>
          </w:p>
        </w:tc>
        <w:tc>
          <w:tcPr>
            <w:tcW w:w="1276" w:type="dxa"/>
            <w:tcBorders>
              <w:top w:val="nil"/>
              <w:left w:val="single" w:sz="4" w:space="0" w:color="auto"/>
              <w:bottom w:val="nil"/>
              <w:right w:val="single" w:sz="4" w:space="0" w:color="auto"/>
            </w:tcBorders>
            <w:shd w:val="clear" w:color="auto" w:fill="auto"/>
            <w:noWrap/>
            <w:vAlign w:val="bottom"/>
            <w:hideMark/>
          </w:tcPr>
          <w:p w:rsidR="003117C2" w:rsidRPr="0032002C" w:rsidRDefault="003117C2" w:rsidP="00DC5E39">
            <w:pPr>
              <w:jc w:val="left"/>
              <w:rPr>
                <w:rFonts w:cs="Arial"/>
                <w:b/>
                <w:bCs/>
                <w:sz w:val="18"/>
                <w:szCs w:val="18"/>
              </w:rPr>
            </w:pPr>
            <w:r w:rsidRPr="0032002C">
              <w:rPr>
                <w:rFonts w:cs="Arial"/>
                <w:b/>
                <w:bCs/>
                <w:sz w:val="18"/>
                <w:szCs w:val="18"/>
              </w:rPr>
              <w:t> </w:t>
            </w:r>
          </w:p>
        </w:tc>
        <w:tc>
          <w:tcPr>
            <w:tcW w:w="1810" w:type="dxa"/>
            <w:tcBorders>
              <w:top w:val="nil"/>
              <w:left w:val="nil"/>
              <w:bottom w:val="single" w:sz="4" w:space="0" w:color="auto"/>
              <w:right w:val="single" w:sz="4" w:space="0" w:color="auto"/>
            </w:tcBorders>
            <w:shd w:val="clear" w:color="auto" w:fill="auto"/>
            <w:hideMark/>
          </w:tcPr>
          <w:p w:rsidR="003117C2" w:rsidRPr="0032002C" w:rsidRDefault="003117C2" w:rsidP="00DC5E39">
            <w:pPr>
              <w:jc w:val="left"/>
              <w:rPr>
                <w:rFonts w:cs="Arial"/>
                <w:b/>
                <w:bCs/>
                <w:color w:val="000000"/>
                <w:sz w:val="18"/>
                <w:szCs w:val="18"/>
              </w:rPr>
            </w:pPr>
            <w:r w:rsidRPr="0032002C">
              <w:rPr>
                <w:rFonts w:cs="Arial"/>
                <w:b/>
                <w:bCs/>
                <w:color w:val="000000"/>
                <w:sz w:val="18"/>
                <w:szCs w:val="18"/>
              </w:rPr>
              <w:t> </w:t>
            </w:r>
          </w:p>
        </w:tc>
      </w:tr>
      <w:tr w:rsidR="003117C2" w:rsidRPr="00335CBC" w:rsidTr="00DC5E39">
        <w:trPr>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7C2" w:rsidRPr="0032002C" w:rsidRDefault="003117C2" w:rsidP="00DC5E39">
            <w:pPr>
              <w:jc w:val="left"/>
              <w:rPr>
                <w:rFonts w:cs="Arial"/>
                <w:sz w:val="18"/>
                <w:szCs w:val="18"/>
              </w:rPr>
            </w:pPr>
            <w:r w:rsidRPr="0032002C">
              <w:rPr>
                <w:rFonts w:cs="Arial"/>
                <w:sz w:val="18"/>
                <w:szCs w:val="18"/>
              </w:rPr>
              <w:t> </w:t>
            </w:r>
          </w:p>
        </w:tc>
        <w:tc>
          <w:tcPr>
            <w:tcW w:w="1309" w:type="dxa"/>
            <w:tcBorders>
              <w:top w:val="single" w:sz="4" w:space="0" w:color="auto"/>
              <w:left w:val="single" w:sz="4" w:space="0" w:color="auto"/>
              <w:bottom w:val="single" w:sz="4" w:space="0" w:color="auto"/>
              <w:right w:val="nil"/>
            </w:tcBorders>
            <w:shd w:val="clear" w:color="auto" w:fill="auto"/>
            <w:hideMark/>
          </w:tcPr>
          <w:p w:rsidR="003117C2" w:rsidRPr="0032002C" w:rsidRDefault="003117C2" w:rsidP="00DC5E39">
            <w:pPr>
              <w:jc w:val="center"/>
              <w:rPr>
                <w:rFonts w:cs="Arial"/>
                <w:b/>
                <w:bCs/>
                <w:sz w:val="18"/>
                <w:szCs w:val="18"/>
              </w:rPr>
            </w:pPr>
            <w:r w:rsidRPr="0032002C">
              <w:rPr>
                <w:rFonts w:cs="Arial"/>
                <w:b/>
                <w:bCs/>
                <w:sz w:val="18"/>
                <w:szCs w:val="18"/>
              </w:rPr>
              <w:t>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117C2" w:rsidRPr="0032002C" w:rsidRDefault="003117C2" w:rsidP="00DC5E39">
            <w:pPr>
              <w:jc w:val="center"/>
              <w:rPr>
                <w:rFonts w:cs="Arial"/>
                <w:b/>
                <w:bCs/>
                <w:i/>
                <w:iCs/>
                <w:color w:val="000000"/>
                <w:sz w:val="18"/>
                <w:szCs w:val="18"/>
              </w:rPr>
            </w:pPr>
            <w:r w:rsidRPr="0032002C">
              <w:rPr>
                <w:rFonts w:cs="Arial"/>
                <w:b/>
                <w:bCs/>
                <w:i/>
                <w:iCs/>
                <w:color w:val="000000"/>
                <w:sz w:val="18"/>
                <w:szCs w:val="18"/>
              </w:rPr>
              <w:t>B</w:t>
            </w:r>
          </w:p>
        </w:tc>
        <w:tc>
          <w:tcPr>
            <w:tcW w:w="1810" w:type="dxa"/>
            <w:tcBorders>
              <w:top w:val="nil"/>
              <w:left w:val="nil"/>
              <w:bottom w:val="single" w:sz="4" w:space="0" w:color="auto"/>
              <w:right w:val="single" w:sz="4" w:space="0" w:color="auto"/>
            </w:tcBorders>
            <w:shd w:val="clear" w:color="auto" w:fill="auto"/>
            <w:hideMark/>
          </w:tcPr>
          <w:p w:rsidR="003117C2" w:rsidRPr="0032002C" w:rsidRDefault="003117C2" w:rsidP="00DC5E39">
            <w:pPr>
              <w:jc w:val="center"/>
              <w:rPr>
                <w:rFonts w:cs="Arial"/>
                <w:b/>
                <w:bCs/>
                <w:i/>
                <w:iCs/>
                <w:color w:val="000000"/>
                <w:sz w:val="18"/>
                <w:szCs w:val="18"/>
              </w:rPr>
            </w:pPr>
            <w:r w:rsidRPr="0032002C">
              <w:rPr>
                <w:rFonts w:cs="Arial"/>
                <w:b/>
                <w:bCs/>
                <w:i/>
                <w:iCs/>
                <w:color w:val="000000"/>
                <w:sz w:val="18"/>
                <w:szCs w:val="18"/>
              </w:rPr>
              <w:t>C = A+B</w:t>
            </w:r>
          </w:p>
        </w:tc>
      </w:tr>
      <w:tr w:rsidR="003117C2" w:rsidRPr="00335CBC" w:rsidTr="00DC5E39">
        <w:trPr>
          <w:jc w:val="center"/>
        </w:trPr>
        <w:tc>
          <w:tcPr>
            <w:tcW w:w="3763" w:type="dxa"/>
            <w:gridSpan w:val="2"/>
            <w:tcBorders>
              <w:top w:val="nil"/>
              <w:left w:val="single" w:sz="4" w:space="0" w:color="auto"/>
              <w:bottom w:val="nil"/>
              <w:right w:val="single" w:sz="4" w:space="0" w:color="auto"/>
            </w:tcBorders>
            <w:shd w:val="clear" w:color="auto" w:fill="auto"/>
            <w:hideMark/>
          </w:tcPr>
          <w:p w:rsidR="003117C2" w:rsidRPr="0032002C" w:rsidRDefault="003117C2" w:rsidP="00DC5E39">
            <w:pPr>
              <w:rPr>
                <w:rFonts w:cs="Arial"/>
                <w:b/>
                <w:bCs/>
                <w:color w:val="000000"/>
                <w:sz w:val="18"/>
                <w:szCs w:val="18"/>
              </w:rPr>
            </w:pPr>
            <w:r w:rsidRPr="0032002C">
              <w:rPr>
                <w:rFonts w:cs="Arial"/>
                <w:b/>
                <w:bCs/>
                <w:color w:val="000000"/>
                <w:sz w:val="18"/>
                <w:szCs w:val="18"/>
              </w:rPr>
              <w:t> </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b/>
                <w:bCs/>
                <w:color w:val="000000"/>
                <w:sz w:val="18"/>
                <w:szCs w:val="18"/>
              </w:rPr>
            </w:pPr>
          </w:p>
        </w:tc>
        <w:tc>
          <w:tcPr>
            <w:tcW w:w="1276"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c>
          <w:tcPr>
            <w:tcW w:w="1810"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r>
      <w:tr w:rsidR="003117C2" w:rsidRPr="00335CBC" w:rsidTr="00DC5E39">
        <w:trPr>
          <w:jc w:val="center"/>
        </w:trPr>
        <w:tc>
          <w:tcPr>
            <w:tcW w:w="3763" w:type="dxa"/>
            <w:gridSpan w:val="2"/>
            <w:tcBorders>
              <w:top w:val="nil"/>
              <w:left w:val="single" w:sz="4" w:space="0" w:color="auto"/>
              <w:right w:val="single" w:sz="4" w:space="0" w:color="auto"/>
            </w:tcBorders>
            <w:shd w:val="clear" w:color="auto" w:fill="auto"/>
            <w:hideMark/>
          </w:tcPr>
          <w:p w:rsidR="003117C2" w:rsidRPr="0032002C" w:rsidRDefault="003117C2" w:rsidP="00DC5E39">
            <w:pPr>
              <w:rPr>
                <w:rFonts w:cs="Arial"/>
                <w:b/>
                <w:bCs/>
                <w:color w:val="000000"/>
                <w:sz w:val="18"/>
                <w:szCs w:val="18"/>
              </w:rPr>
            </w:pPr>
            <w:r w:rsidRPr="0032002C">
              <w:rPr>
                <w:rFonts w:cs="Arial"/>
                <w:b/>
                <w:bCs/>
                <w:color w:val="000000"/>
                <w:sz w:val="18"/>
                <w:szCs w:val="18"/>
              </w:rPr>
              <w:t>Resource availability 2014-2015</w:t>
            </w:r>
          </w:p>
        </w:tc>
        <w:tc>
          <w:tcPr>
            <w:tcW w:w="1309" w:type="dxa"/>
            <w:tcBorders>
              <w:top w:val="nil"/>
              <w:left w:val="single" w:sz="4" w:space="0" w:color="auto"/>
              <w:bottom w:val="nil"/>
              <w:right w:val="nil"/>
            </w:tcBorders>
            <w:shd w:val="clear" w:color="auto" w:fill="auto"/>
            <w:noWrap/>
            <w:vAlign w:val="bottom"/>
            <w:hideMark/>
          </w:tcPr>
          <w:p w:rsidR="003117C2" w:rsidRPr="0032002C" w:rsidRDefault="003117C2" w:rsidP="00DC5E39">
            <w:pPr>
              <w:ind w:right="284"/>
              <w:jc w:val="right"/>
              <w:rPr>
                <w:rFonts w:cs="Arial"/>
                <w:sz w:val="18"/>
                <w:szCs w:val="18"/>
              </w:rPr>
            </w:pPr>
          </w:p>
        </w:tc>
        <w:tc>
          <w:tcPr>
            <w:tcW w:w="1276"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c>
          <w:tcPr>
            <w:tcW w:w="1810"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r>
      <w:tr w:rsidR="003117C2" w:rsidRPr="00335CBC" w:rsidTr="00DC5E39">
        <w:trPr>
          <w:jc w:val="center"/>
        </w:trPr>
        <w:tc>
          <w:tcPr>
            <w:tcW w:w="706" w:type="dxa"/>
            <w:tcBorders>
              <w:top w:val="nil"/>
              <w:left w:val="single" w:sz="4" w:space="0" w:color="auto"/>
              <w:bottom w:val="nil"/>
            </w:tcBorders>
            <w:shd w:val="clear" w:color="auto" w:fill="auto"/>
            <w:hideMark/>
          </w:tcPr>
          <w:p w:rsidR="003117C2" w:rsidRPr="0032002C" w:rsidRDefault="003117C2" w:rsidP="00DC5E39">
            <w:pPr>
              <w:jc w:val="center"/>
              <w:rPr>
                <w:rFonts w:cs="Arial"/>
                <w:color w:val="000000"/>
                <w:sz w:val="18"/>
                <w:szCs w:val="18"/>
              </w:rPr>
            </w:pPr>
            <w:r w:rsidRPr="0032002C">
              <w:rPr>
                <w:rFonts w:cs="Arial"/>
                <w:color w:val="000000"/>
                <w:sz w:val="18"/>
                <w:szCs w:val="18"/>
              </w:rPr>
              <w:t>1</w:t>
            </w:r>
          </w:p>
        </w:tc>
        <w:tc>
          <w:tcPr>
            <w:tcW w:w="3057" w:type="dxa"/>
            <w:tcBorders>
              <w:top w:val="nil"/>
              <w:bottom w:val="nil"/>
              <w:right w:val="single" w:sz="4" w:space="0" w:color="auto"/>
            </w:tcBorders>
            <w:shd w:val="clear" w:color="auto" w:fill="auto"/>
            <w:hideMark/>
          </w:tcPr>
          <w:p w:rsidR="003117C2" w:rsidRPr="0032002C" w:rsidRDefault="003117C2" w:rsidP="00DC5E39">
            <w:pPr>
              <w:rPr>
                <w:rFonts w:cs="Arial"/>
                <w:color w:val="000000"/>
                <w:sz w:val="18"/>
                <w:szCs w:val="18"/>
              </w:rPr>
            </w:pPr>
            <w:r w:rsidRPr="0032002C">
              <w:rPr>
                <w:rFonts w:cs="Arial"/>
                <w:color w:val="000000"/>
                <w:sz w:val="18"/>
                <w:szCs w:val="18"/>
              </w:rPr>
              <w:t>Income ( Budget)</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6,794</w:t>
            </w:r>
          </w:p>
        </w:tc>
        <w:tc>
          <w:tcPr>
            <w:tcW w:w="1276"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340</w:t>
            </w:r>
          </w:p>
        </w:tc>
        <w:tc>
          <w:tcPr>
            <w:tcW w:w="1810" w:type="dxa"/>
            <w:tcBorders>
              <w:top w:val="nil"/>
              <w:left w:val="nil"/>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7,134</w:t>
            </w:r>
          </w:p>
        </w:tc>
      </w:tr>
      <w:tr w:rsidR="003117C2" w:rsidRPr="00335CBC" w:rsidTr="00DC5E39">
        <w:trPr>
          <w:jc w:val="center"/>
        </w:trPr>
        <w:tc>
          <w:tcPr>
            <w:tcW w:w="706" w:type="dxa"/>
            <w:tcBorders>
              <w:top w:val="nil"/>
              <w:left w:val="single" w:sz="4" w:space="0" w:color="auto"/>
              <w:bottom w:val="nil"/>
            </w:tcBorders>
            <w:shd w:val="clear" w:color="auto" w:fill="auto"/>
            <w:hideMark/>
          </w:tcPr>
          <w:p w:rsidR="003117C2" w:rsidRPr="0032002C" w:rsidRDefault="003117C2" w:rsidP="00DC5E39">
            <w:pPr>
              <w:jc w:val="center"/>
              <w:rPr>
                <w:rFonts w:cs="Arial"/>
                <w:color w:val="000000"/>
                <w:sz w:val="18"/>
                <w:szCs w:val="18"/>
              </w:rPr>
            </w:pPr>
            <w:r w:rsidRPr="0032002C">
              <w:rPr>
                <w:rFonts w:cs="Arial"/>
                <w:color w:val="000000"/>
                <w:sz w:val="18"/>
                <w:szCs w:val="18"/>
              </w:rPr>
              <w:t>2</w:t>
            </w:r>
          </w:p>
        </w:tc>
        <w:tc>
          <w:tcPr>
            <w:tcW w:w="3057" w:type="dxa"/>
            <w:tcBorders>
              <w:top w:val="nil"/>
              <w:bottom w:val="nil"/>
              <w:right w:val="single" w:sz="4" w:space="0" w:color="auto"/>
            </w:tcBorders>
            <w:shd w:val="clear" w:color="auto" w:fill="auto"/>
            <w:hideMark/>
          </w:tcPr>
          <w:p w:rsidR="003117C2" w:rsidRPr="0032002C" w:rsidRDefault="003117C2" w:rsidP="00DC5E39">
            <w:pPr>
              <w:rPr>
                <w:rFonts w:cs="Arial"/>
                <w:color w:val="000000"/>
                <w:sz w:val="18"/>
                <w:szCs w:val="18"/>
              </w:rPr>
            </w:pPr>
            <w:r w:rsidRPr="0032002C">
              <w:rPr>
                <w:rFonts w:cs="Arial"/>
                <w:color w:val="000000"/>
                <w:sz w:val="18"/>
                <w:szCs w:val="18"/>
              </w:rPr>
              <w:t>+/(-) Transfer from/ to reserves</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xml:space="preserve">- </w:t>
            </w:r>
          </w:p>
        </w:tc>
        <w:tc>
          <w:tcPr>
            <w:tcW w:w="1276"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xml:space="preserve">- </w:t>
            </w:r>
          </w:p>
        </w:tc>
        <w:tc>
          <w:tcPr>
            <w:tcW w:w="1810" w:type="dxa"/>
            <w:tcBorders>
              <w:top w:val="nil"/>
              <w:left w:val="nil"/>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xml:space="preserve">- </w:t>
            </w:r>
          </w:p>
        </w:tc>
      </w:tr>
      <w:tr w:rsidR="003117C2" w:rsidRPr="00335CBC" w:rsidTr="00DC5E39">
        <w:trPr>
          <w:jc w:val="center"/>
        </w:trPr>
        <w:tc>
          <w:tcPr>
            <w:tcW w:w="706" w:type="dxa"/>
            <w:tcBorders>
              <w:top w:val="nil"/>
              <w:left w:val="single" w:sz="4" w:space="0" w:color="auto"/>
              <w:bottom w:val="nil"/>
            </w:tcBorders>
            <w:shd w:val="clear" w:color="auto" w:fill="auto"/>
            <w:hideMark/>
          </w:tcPr>
          <w:p w:rsidR="003117C2" w:rsidRPr="0032002C" w:rsidRDefault="003117C2" w:rsidP="00DC5E39">
            <w:pPr>
              <w:jc w:val="center"/>
              <w:rPr>
                <w:rFonts w:cs="Arial"/>
                <w:color w:val="000000"/>
                <w:sz w:val="18"/>
                <w:szCs w:val="18"/>
              </w:rPr>
            </w:pPr>
            <w:r w:rsidRPr="0032002C">
              <w:rPr>
                <w:rFonts w:cs="Arial"/>
                <w:color w:val="000000"/>
                <w:sz w:val="18"/>
                <w:szCs w:val="18"/>
              </w:rPr>
              <w:t>3</w:t>
            </w:r>
          </w:p>
        </w:tc>
        <w:tc>
          <w:tcPr>
            <w:tcW w:w="3057" w:type="dxa"/>
            <w:tcBorders>
              <w:top w:val="nil"/>
              <w:bottom w:val="nil"/>
              <w:right w:val="single" w:sz="4" w:space="0" w:color="auto"/>
            </w:tcBorders>
            <w:shd w:val="clear" w:color="auto" w:fill="auto"/>
            <w:hideMark/>
          </w:tcPr>
          <w:p w:rsidR="003117C2" w:rsidRPr="0032002C" w:rsidRDefault="003117C2" w:rsidP="00DC5E39">
            <w:pPr>
              <w:rPr>
                <w:rFonts w:cs="Arial"/>
                <w:color w:val="000000"/>
                <w:sz w:val="18"/>
                <w:szCs w:val="18"/>
              </w:rPr>
            </w:pPr>
            <w:r w:rsidRPr="0032002C">
              <w:rPr>
                <w:rFonts w:cs="Arial"/>
                <w:color w:val="000000"/>
                <w:sz w:val="18"/>
                <w:szCs w:val="18"/>
              </w:rPr>
              <w:t>Total, resources</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6,794</w:t>
            </w:r>
          </w:p>
        </w:tc>
        <w:tc>
          <w:tcPr>
            <w:tcW w:w="1276"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340</w:t>
            </w:r>
          </w:p>
        </w:tc>
        <w:tc>
          <w:tcPr>
            <w:tcW w:w="1810" w:type="dxa"/>
            <w:tcBorders>
              <w:top w:val="nil"/>
              <w:left w:val="nil"/>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7,134</w:t>
            </w:r>
          </w:p>
        </w:tc>
      </w:tr>
      <w:tr w:rsidR="003117C2" w:rsidRPr="006B1764" w:rsidTr="00DC5E39">
        <w:trPr>
          <w:jc w:val="center"/>
        </w:trPr>
        <w:tc>
          <w:tcPr>
            <w:tcW w:w="706" w:type="dxa"/>
            <w:tcBorders>
              <w:top w:val="nil"/>
              <w:left w:val="single" w:sz="4" w:space="0" w:color="auto"/>
              <w:bottom w:val="nil"/>
            </w:tcBorders>
            <w:shd w:val="clear" w:color="auto" w:fill="auto"/>
            <w:hideMark/>
          </w:tcPr>
          <w:p w:rsidR="003117C2" w:rsidRPr="006B1764" w:rsidRDefault="003117C2" w:rsidP="00DC5E39">
            <w:pPr>
              <w:jc w:val="right"/>
              <w:rPr>
                <w:rFonts w:cs="Arial"/>
                <w:color w:val="000000"/>
                <w:sz w:val="14"/>
                <w:szCs w:val="18"/>
              </w:rPr>
            </w:pPr>
            <w:r w:rsidRPr="006B1764">
              <w:rPr>
                <w:rFonts w:cs="Arial"/>
                <w:color w:val="000000"/>
                <w:sz w:val="14"/>
                <w:szCs w:val="18"/>
              </w:rPr>
              <w:t> </w:t>
            </w:r>
          </w:p>
        </w:tc>
        <w:tc>
          <w:tcPr>
            <w:tcW w:w="3057" w:type="dxa"/>
            <w:tcBorders>
              <w:top w:val="nil"/>
              <w:bottom w:val="nil"/>
              <w:right w:val="single" w:sz="4" w:space="0" w:color="auto"/>
            </w:tcBorders>
            <w:shd w:val="clear" w:color="auto" w:fill="auto"/>
            <w:hideMark/>
          </w:tcPr>
          <w:p w:rsidR="003117C2" w:rsidRPr="006B1764" w:rsidRDefault="003117C2" w:rsidP="00DC5E39">
            <w:pPr>
              <w:rPr>
                <w:rFonts w:cs="Arial"/>
                <w:color w:val="000000"/>
                <w:sz w:val="14"/>
                <w:szCs w:val="18"/>
              </w:rPr>
            </w:pPr>
          </w:p>
        </w:tc>
        <w:tc>
          <w:tcPr>
            <w:tcW w:w="1309" w:type="dxa"/>
            <w:tcBorders>
              <w:top w:val="nil"/>
              <w:left w:val="single" w:sz="4" w:space="0" w:color="auto"/>
              <w:bottom w:val="nil"/>
              <w:right w:val="nil"/>
            </w:tcBorders>
            <w:shd w:val="clear" w:color="auto" w:fill="auto"/>
            <w:hideMark/>
          </w:tcPr>
          <w:p w:rsidR="003117C2" w:rsidRPr="006B1764" w:rsidRDefault="003117C2" w:rsidP="00DC5E39">
            <w:pPr>
              <w:ind w:right="284"/>
              <w:jc w:val="right"/>
              <w:rPr>
                <w:rFonts w:cs="Arial"/>
                <w:color w:val="000000"/>
                <w:sz w:val="14"/>
                <w:szCs w:val="18"/>
              </w:rPr>
            </w:pPr>
          </w:p>
        </w:tc>
        <w:tc>
          <w:tcPr>
            <w:tcW w:w="1276" w:type="dxa"/>
            <w:tcBorders>
              <w:top w:val="nil"/>
              <w:left w:val="single" w:sz="4" w:space="0" w:color="auto"/>
              <w:bottom w:val="nil"/>
              <w:right w:val="single" w:sz="4" w:space="0" w:color="auto"/>
            </w:tcBorders>
            <w:shd w:val="clear" w:color="auto" w:fill="auto"/>
            <w:hideMark/>
          </w:tcPr>
          <w:p w:rsidR="003117C2" w:rsidRPr="006B1764" w:rsidRDefault="003117C2" w:rsidP="00DC5E39">
            <w:pPr>
              <w:ind w:right="284"/>
              <w:jc w:val="right"/>
              <w:rPr>
                <w:rFonts w:cs="Arial"/>
                <w:color w:val="000000"/>
                <w:sz w:val="14"/>
                <w:szCs w:val="18"/>
              </w:rPr>
            </w:pPr>
            <w:r w:rsidRPr="006B1764">
              <w:rPr>
                <w:rFonts w:cs="Arial"/>
                <w:color w:val="000000"/>
                <w:sz w:val="14"/>
                <w:szCs w:val="18"/>
              </w:rPr>
              <w:t> </w:t>
            </w:r>
          </w:p>
        </w:tc>
        <w:tc>
          <w:tcPr>
            <w:tcW w:w="1810" w:type="dxa"/>
            <w:tcBorders>
              <w:top w:val="nil"/>
              <w:left w:val="nil"/>
              <w:bottom w:val="nil"/>
              <w:right w:val="single" w:sz="4" w:space="0" w:color="auto"/>
            </w:tcBorders>
            <w:shd w:val="clear" w:color="auto" w:fill="auto"/>
            <w:hideMark/>
          </w:tcPr>
          <w:p w:rsidR="003117C2" w:rsidRPr="006B1764" w:rsidRDefault="003117C2" w:rsidP="00DC5E39">
            <w:pPr>
              <w:ind w:right="284"/>
              <w:jc w:val="right"/>
              <w:rPr>
                <w:rFonts w:cs="Arial"/>
                <w:color w:val="000000"/>
                <w:sz w:val="14"/>
                <w:szCs w:val="18"/>
              </w:rPr>
            </w:pPr>
            <w:r w:rsidRPr="006B1764">
              <w:rPr>
                <w:rFonts w:cs="Arial"/>
                <w:color w:val="000000"/>
                <w:sz w:val="14"/>
                <w:szCs w:val="18"/>
              </w:rPr>
              <w:t> </w:t>
            </w:r>
          </w:p>
        </w:tc>
      </w:tr>
      <w:tr w:rsidR="003117C2" w:rsidRPr="00335CBC" w:rsidTr="00DC5E39">
        <w:trPr>
          <w:jc w:val="center"/>
        </w:trPr>
        <w:tc>
          <w:tcPr>
            <w:tcW w:w="3763" w:type="dxa"/>
            <w:gridSpan w:val="2"/>
            <w:tcBorders>
              <w:top w:val="nil"/>
              <w:left w:val="single" w:sz="4" w:space="0" w:color="auto"/>
              <w:bottom w:val="nil"/>
              <w:right w:val="single" w:sz="4" w:space="0" w:color="auto"/>
            </w:tcBorders>
            <w:shd w:val="clear" w:color="auto" w:fill="auto"/>
            <w:hideMark/>
          </w:tcPr>
          <w:p w:rsidR="003117C2" w:rsidRPr="0032002C" w:rsidRDefault="003117C2" w:rsidP="00DC5E39">
            <w:pPr>
              <w:rPr>
                <w:rFonts w:cs="Arial"/>
                <w:b/>
                <w:bCs/>
                <w:color w:val="000000"/>
                <w:sz w:val="18"/>
                <w:szCs w:val="18"/>
              </w:rPr>
            </w:pPr>
            <w:r w:rsidRPr="0032002C">
              <w:rPr>
                <w:rFonts w:cs="Arial"/>
                <w:b/>
                <w:bCs/>
                <w:color w:val="000000"/>
                <w:sz w:val="18"/>
                <w:szCs w:val="18"/>
              </w:rPr>
              <w:t>Resource availability 2016-2017</w:t>
            </w:r>
          </w:p>
        </w:tc>
        <w:tc>
          <w:tcPr>
            <w:tcW w:w="1309" w:type="dxa"/>
            <w:tcBorders>
              <w:top w:val="nil"/>
              <w:left w:val="single" w:sz="4" w:space="0" w:color="auto"/>
              <w:bottom w:val="nil"/>
              <w:right w:val="nil"/>
            </w:tcBorders>
            <w:shd w:val="clear" w:color="auto" w:fill="auto"/>
            <w:hideMark/>
          </w:tcPr>
          <w:p w:rsidR="003117C2" w:rsidRPr="0032002C" w:rsidRDefault="003117C2" w:rsidP="00DC5E39">
            <w:pPr>
              <w:ind w:right="284"/>
              <w:jc w:val="right"/>
              <w:rPr>
                <w:rFonts w:cs="Arial"/>
                <w:b/>
                <w:bCs/>
                <w:color w:val="000000"/>
                <w:sz w:val="18"/>
                <w:szCs w:val="18"/>
              </w:rPr>
            </w:pPr>
          </w:p>
        </w:tc>
        <w:tc>
          <w:tcPr>
            <w:tcW w:w="1276" w:type="dxa"/>
            <w:tcBorders>
              <w:top w:val="nil"/>
              <w:left w:val="single" w:sz="4" w:space="0" w:color="auto"/>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c>
          <w:tcPr>
            <w:tcW w:w="1810" w:type="dxa"/>
            <w:tcBorders>
              <w:top w:val="nil"/>
              <w:left w:val="nil"/>
              <w:bottom w:val="nil"/>
              <w:right w:val="single" w:sz="4" w:space="0" w:color="auto"/>
            </w:tcBorders>
            <w:shd w:val="clear" w:color="auto" w:fill="auto"/>
            <w:hideMark/>
          </w:tcPr>
          <w:p w:rsidR="003117C2" w:rsidRPr="0032002C" w:rsidRDefault="003117C2" w:rsidP="00DC5E39">
            <w:pPr>
              <w:ind w:right="284"/>
              <w:jc w:val="right"/>
              <w:rPr>
                <w:rFonts w:cs="Arial"/>
                <w:color w:val="000000"/>
                <w:sz w:val="18"/>
                <w:szCs w:val="18"/>
              </w:rPr>
            </w:pPr>
            <w:r w:rsidRPr="0032002C">
              <w:rPr>
                <w:rFonts w:cs="Arial"/>
                <w:color w:val="000000"/>
                <w:sz w:val="18"/>
                <w:szCs w:val="18"/>
              </w:rPr>
              <w:t> </w:t>
            </w:r>
          </w:p>
        </w:tc>
      </w:tr>
      <w:tr w:rsidR="003117C2" w:rsidRPr="002D2395" w:rsidTr="00DC5E39">
        <w:trPr>
          <w:jc w:val="center"/>
        </w:trPr>
        <w:tc>
          <w:tcPr>
            <w:tcW w:w="706" w:type="dxa"/>
            <w:tcBorders>
              <w:top w:val="nil"/>
              <w:left w:val="single" w:sz="4" w:space="0" w:color="auto"/>
              <w:bottom w:val="nil"/>
            </w:tcBorders>
            <w:shd w:val="clear" w:color="auto" w:fill="auto"/>
            <w:hideMark/>
          </w:tcPr>
          <w:p w:rsidR="003117C2" w:rsidRPr="002D2395" w:rsidRDefault="003117C2" w:rsidP="00DC5E39">
            <w:pPr>
              <w:jc w:val="center"/>
              <w:rPr>
                <w:rFonts w:cs="Arial"/>
                <w:color w:val="000000"/>
                <w:sz w:val="18"/>
                <w:szCs w:val="18"/>
              </w:rPr>
            </w:pPr>
            <w:r w:rsidRPr="002D2395">
              <w:rPr>
                <w:rFonts w:cs="Arial"/>
                <w:color w:val="000000"/>
                <w:sz w:val="18"/>
                <w:szCs w:val="18"/>
              </w:rPr>
              <w:t>4</w:t>
            </w:r>
          </w:p>
        </w:tc>
        <w:tc>
          <w:tcPr>
            <w:tcW w:w="3057" w:type="dxa"/>
            <w:tcBorders>
              <w:top w:val="nil"/>
              <w:bottom w:val="nil"/>
              <w:right w:val="single" w:sz="4" w:space="0" w:color="auto"/>
            </w:tcBorders>
            <w:shd w:val="clear" w:color="auto" w:fill="auto"/>
            <w:hideMark/>
          </w:tcPr>
          <w:p w:rsidR="003117C2" w:rsidRPr="002D2395" w:rsidRDefault="003117C2" w:rsidP="00DC5E39">
            <w:pPr>
              <w:rPr>
                <w:rFonts w:cs="Arial"/>
                <w:color w:val="000000"/>
                <w:sz w:val="18"/>
                <w:szCs w:val="18"/>
              </w:rPr>
            </w:pPr>
            <w:r w:rsidRPr="002D2395">
              <w:rPr>
                <w:rFonts w:cs="Arial"/>
                <w:color w:val="000000"/>
                <w:sz w:val="18"/>
                <w:szCs w:val="18"/>
              </w:rPr>
              <w:t>Income</w:t>
            </w:r>
          </w:p>
        </w:tc>
        <w:tc>
          <w:tcPr>
            <w:tcW w:w="1309" w:type="dxa"/>
            <w:tcBorders>
              <w:top w:val="nil"/>
              <w:left w:val="single" w:sz="4" w:space="0" w:color="auto"/>
              <w:bottom w:val="nil"/>
              <w:right w:val="nil"/>
            </w:tcBorders>
            <w:shd w:val="clear" w:color="auto" w:fill="auto"/>
            <w:hideMark/>
          </w:tcPr>
          <w:p w:rsidR="003117C2" w:rsidRPr="002D2395" w:rsidRDefault="003117C2" w:rsidP="006F5F70">
            <w:pPr>
              <w:ind w:right="284"/>
              <w:jc w:val="right"/>
              <w:rPr>
                <w:rFonts w:cs="Arial"/>
                <w:color w:val="000000"/>
                <w:sz w:val="18"/>
                <w:szCs w:val="18"/>
              </w:rPr>
            </w:pPr>
            <w:r w:rsidRPr="002D2395">
              <w:rPr>
                <w:rFonts w:cs="Arial"/>
                <w:color w:val="000000"/>
                <w:sz w:val="18"/>
                <w:szCs w:val="18"/>
              </w:rPr>
              <w:t>6,8</w:t>
            </w:r>
            <w:r w:rsidR="006F5F70" w:rsidRPr="002D2395">
              <w:rPr>
                <w:rFonts w:cs="Arial"/>
                <w:color w:val="000000"/>
                <w:sz w:val="18"/>
                <w:szCs w:val="18"/>
              </w:rPr>
              <w:t>23</w:t>
            </w:r>
          </w:p>
        </w:tc>
        <w:tc>
          <w:tcPr>
            <w:tcW w:w="1276" w:type="dxa"/>
            <w:tcBorders>
              <w:top w:val="nil"/>
              <w:left w:val="single" w:sz="4" w:space="0" w:color="auto"/>
              <w:bottom w:val="nil"/>
              <w:right w:val="single" w:sz="4" w:space="0" w:color="auto"/>
            </w:tcBorders>
            <w:shd w:val="clear" w:color="auto" w:fill="auto"/>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442</w:t>
            </w:r>
          </w:p>
        </w:tc>
        <w:tc>
          <w:tcPr>
            <w:tcW w:w="1810" w:type="dxa"/>
            <w:tcBorders>
              <w:top w:val="nil"/>
              <w:left w:val="nil"/>
              <w:bottom w:val="nil"/>
              <w:right w:val="single" w:sz="4" w:space="0" w:color="auto"/>
            </w:tcBorders>
            <w:shd w:val="clear" w:color="auto" w:fill="auto"/>
            <w:hideMark/>
          </w:tcPr>
          <w:p w:rsidR="003117C2" w:rsidRPr="002D2395" w:rsidRDefault="003117C2" w:rsidP="00ED21D4">
            <w:pPr>
              <w:ind w:right="284"/>
              <w:jc w:val="right"/>
              <w:rPr>
                <w:rFonts w:cs="Arial"/>
                <w:color w:val="000000"/>
                <w:sz w:val="18"/>
                <w:szCs w:val="18"/>
              </w:rPr>
            </w:pPr>
            <w:r w:rsidRPr="002D2395">
              <w:rPr>
                <w:rFonts w:cs="Arial"/>
                <w:color w:val="000000"/>
                <w:sz w:val="18"/>
                <w:szCs w:val="18"/>
              </w:rPr>
              <w:t>7,</w:t>
            </w:r>
            <w:r w:rsidR="00ED21D4" w:rsidRPr="002D2395">
              <w:rPr>
                <w:rFonts w:cs="Arial"/>
                <w:color w:val="000000"/>
                <w:sz w:val="18"/>
                <w:szCs w:val="18"/>
              </w:rPr>
              <w:t>265</w:t>
            </w:r>
          </w:p>
        </w:tc>
      </w:tr>
      <w:tr w:rsidR="003117C2" w:rsidRPr="002D2395" w:rsidTr="00DC5E39">
        <w:trPr>
          <w:jc w:val="center"/>
        </w:trPr>
        <w:tc>
          <w:tcPr>
            <w:tcW w:w="706" w:type="dxa"/>
            <w:tcBorders>
              <w:top w:val="nil"/>
              <w:left w:val="single" w:sz="4" w:space="0" w:color="auto"/>
              <w:bottom w:val="nil"/>
            </w:tcBorders>
            <w:shd w:val="clear" w:color="auto" w:fill="auto"/>
            <w:hideMark/>
          </w:tcPr>
          <w:p w:rsidR="003117C2" w:rsidRPr="002D2395" w:rsidRDefault="003117C2" w:rsidP="00DC5E39">
            <w:pPr>
              <w:jc w:val="center"/>
              <w:rPr>
                <w:rFonts w:cs="Arial"/>
                <w:color w:val="000000"/>
                <w:sz w:val="18"/>
                <w:szCs w:val="18"/>
              </w:rPr>
            </w:pPr>
            <w:r w:rsidRPr="002D2395">
              <w:rPr>
                <w:rFonts w:cs="Arial"/>
                <w:color w:val="000000"/>
                <w:sz w:val="18"/>
                <w:szCs w:val="18"/>
              </w:rPr>
              <w:t>5</w:t>
            </w:r>
          </w:p>
        </w:tc>
        <w:tc>
          <w:tcPr>
            <w:tcW w:w="3057" w:type="dxa"/>
            <w:tcBorders>
              <w:top w:val="nil"/>
              <w:bottom w:val="nil"/>
              <w:right w:val="single" w:sz="4" w:space="0" w:color="auto"/>
            </w:tcBorders>
            <w:shd w:val="clear" w:color="auto" w:fill="auto"/>
            <w:hideMark/>
          </w:tcPr>
          <w:p w:rsidR="003117C2" w:rsidRPr="002D2395" w:rsidRDefault="003117C2" w:rsidP="00DC5E39">
            <w:pPr>
              <w:rPr>
                <w:rFonts w:cs="Arial"/>
                <w:color w:val="000000"/>
                <w:sz w:val="18"/>
                <w:szCs w:val="18"/>
              </w:rPr>
            </w:pPr>
            <w:r w:rsidRPr="002D2395">
              <w:rPr>
                <w:rFonts w:cs="Arial"/>
                <w:color w:val="000000"/>
                <w:sz w:val="18"/>
                <w:szCs w:val="18"/>
              </w:rPr>
              <w:t>+/(-) Transfer from/ to reserves</w:t>
            </w:r>
          </w:p>
        </w:tc>
        <w:tc>
          <w:tcPr>
            <w:tcW w:w="1309" w:type="dxa"/>
            <w:tcBorders>
              <w:top w:val="nil"/>
              <w:left w:val="single" w:sz="4" w:space="0" w:color="auto"/>
              <w:bottom w:val="nil"/>
              <w:right w:val="nil"/>
            </w:tcBorders>
            <w:shd w:val="clear" w:color="auto" w:fill="auto"/>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 xml:space="preserve">- </w:t>
            </w:r>
          </w:p>
        </w:tc>
        <w:tc>
          <w:tcPr>
            <w:tcW w:w="1276" w:type="dxa"/>
            <w:tcBorders>
              <w:top w:val="nil"/>
              <w:left w:val="single" w:sz="4" w:space="0" w:color="auto"/>
              <w:bottom w:val="nil"/>
              <w:right w:val="single" w:sz="4" w:space="0" w:color="auto"/>
            </w:tcBorders>
            <w:shd w:val="clear" w:color="auto" w:fill="auto"/>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 xml:space="preserve">- </w:t>
            </w:r>
          </w:p>
        </w:tc>
        <w:tc>
          <w:tcPr>
            <w:tcW w:w="1810" w:type="dxa"/>
            <w:tcBorders>
              <w:top w:val="nil"/>
              <w:left w:val="nil"/>
              <w:bottom w:val="nil"/>
              <w:right w:val="single" w:sz="4" w:space="0" w:color="auto"/>
            </w:tcBorders>
            <w:shd w:val="clear" w:color="auto" w:fill="auto"/>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 xml:space="preserve">- </w:t>
            </w:r>
          </w:p>
        </w:tc>
      </w:tr>
      <w:tr w:rsidR="003117C2" w:rsidRPr="002D2395" w:rsidTr="00DC5E39">
        <w:trPr>
          <w:jc w:val="center"/>
        </w:trPr>
        <w:tc>
          <w:tcPr>
            <w:tcW w:w="706" w:type="dxa"/>
            <w:tcBorders>
              <w:top w:val="nil"/>
              <w:left w:val="single" w:sz="4" w:space="0" w:color="auto"/>
            </w:tcBorders>
            <w:shd w:val="clear" w:color="auto" w:fill="auto"/>
            <w:hideMark/>
          </w:tcPr>
          <w:p w:rsidR="003117C2" w:rsidRPr="002D2395" w:rsidRDefault="003117C2" w:rsidP="00DC5E39">
            <w:pPr>
              <w:jc w:val="center"/>
              <w:rPr>
                <w:rFonts w:cs="Arial"/>
                <w:color w:val="000000"/>
                <w:sz w:val="18"/>
                <w:szCs w:val="18"/>
              </w:rPr>
            </w:pPr>
            <w:r w:rsidRPr="002D2395">
              <w:rPr>
                <w:rFonts w:cs="Arial"/>
                <w:color w:val="000000"/>
                <w:sz w:val="18"/>
                <w:szCs w:val="18"/>
              </w:rPr>
              <w:t>6</w:t>
            </w:r>
          </w:p>
        </w:tc>
        <w:tc>
          <w:tcPr>
            <w:tcW w:w="3057" w:type="dxa"/>
            <w:tcBorders>
              <w:top w:val="nil"/>
              <w:right w:val="single" w:sz="4" w:space="0" w:color="auto"/>
            </w:tcBorders>
            <w:shd w:val="clear" w:color="auto" w:fill="auto"/>
            <w:hideMark/>
          </w:tcPr>
          <w:p w:rsidR="003117C2" w:rsidRPr="002D2395" w:rsidRDefault="003117C2" w:rsidP="00DC5E39">
            <w:pPr>
              <w:rPr>
                <w:rFonts w:cs="Arial"/>
                <w:b/>
                <w:bCs/>
                <w:color w:val="000000"/>
                <w:sz w:val="18"/>
                <w:szCs w:val="18"/>
              </w:rPr>
            </w:pPr>
            <w:r w:rsidRPr="002D2395">
              <w:rPr>
                <w:rFonts w:cs="Arial"/>
                <w:b/>
                <w:bCs/>
                <w:color w:val="000000"/>
                <w:sz w:val="18"/>
                <w:szCs w:val="18"/>
              </w:rPr>
              <w:t>Total, resources</w:t>
            </w:r>
          </w:p>
        </w:tc>
        <w:tc>
          <w:tcPr>
            <w:tcW w:w="1309" w:type="dxa"/>
            <w:tcBorders>
              <w:top w:val="nil"/>
              <w:left w:val="single" w:sz="4" w:space="0" w:color="auto"/>
              <w:right w:val="nil"/>
            </w:tcBorders>
            <w:shd w:val="clear" w:color="auto" w:fill="auto"/>
            <w:hideMark/>
          </w:tcPr>
          <w:p w:rsidR="003117C2" w:rsidRPr="002D2395" w:rsidRDefault="003117C2" w:rsidP="006F5F70">
            <w:pPr>
              <w:ind w:right="284"/>
              <w:jc w:val="right"/>
              <w:rPr>
                <w:rFonts w:cs="Arial"/>
                <w:b/>
                <w:bCs/>
                <w:color w:val="000000"/>
                <w:sz w:val="18"/>
                <w:szCs w:val="18"/>
              </w:rPr>
            </w:pPr>
            <w:r w:rsidRPr="002D2395">
              <w:rPr>
                <w:rFonts w:cs="Arial"/>
                <w:b/>
                <w:bCs/>
                <w:color w:val="000000"/>
                <w:sz w:val="18"/>
                <w:szCs w:val="18"/>
              </w:rPr>
              <w:t>6,8</w:t>
            </w:r>
            <w:r w:rsidR="006F5F70" w:rsidRPr="002D2395">
              <w:rPr>
                <w:rFonts w:cs="Arial"/>
                <w:b/>
                <w:bCs/>
                <w:color w:val="000000"/>
                <w:sz w:val="18"/>
                <w:szCs w:val="18"/>
              </w:rPr>
              <w:t>23</w:t>
            </w:r>
          </w:p>
        </w:tc>
        <w:tc>
          <w:tcPr>
            <w:tcW w:w="1276" w:type="dxa"/>
            <w:tcBorders>
              <w:top w:val="nil"/>
              <w:left w:val="single" w:sz="4" w:space="0" w:color="auto"/>
              <w:right w:val="single" w:sz="4" w:space="0" w:color="auto"/>
            </w:tcBorders>
            <w:shd w:val="clear" w:color="auto" w:fill="auto"/>
            <w:hideMark/>
          </w:tcPr>
          <w:p w:rsidR="003117C2" w:rsidRPr="002D2395" w:rsidRDefault="003117C2" w:rsidP="00DC5E39">
            <w:pPr>
              <w:ind w:right="284"/>
              <w:jc w:val="right"/>
              <w:rPr>
                <w:rFonts w:cs="Arial"/>
                <w:b/>
                <w:bCs/>
                <w:color w:val="000000"/>
                <w:sz w:val="18"/>
                <w:szCs w:val="18"/>
              </w:rPr>
            </w:pPr>
            <w:r w:rsidRPr="002D2395">
              <w:rPr>
                <w:rFonts w:cs="Arial"/>
                <w:b/>
                <w:bCs/>
                <w:color w:val="000000"/>
                <w:sz w:val="18"/>
                <w:szCs w:val="18"/>
              </w:rPr>
              <w:t>442</w:t>
            </w:r>
          </w:p>
        </w:tc>
        <w:tc>
          <w:tcPr>
            <w:tcW w:w="1810" w:type="dxa"/>
            <w:tcBorders>
              <w:top w:val="nil"/>
              <w:left w:val="nil"/>
              <w:right w:val="single" w:sz="4" w:space="0" w:color="auto"/>
            </w:tcBorders>
            <w:shd w:val="clear" w:color="auto" w:fill="auto"/>
            <w:hideMark/>
          </w:tcPr>
          <w:p w:rsidR="003117C2" w:rsidRPr="002D2395" w:rsidRDefault="003117C2" w:rsidP="006F5F70">
            <w:pPr>
              <w:ind w:right="284"/>
              <w:jc w:val="right"/>
              <w:rPr>
                <w:rFonts w:cs="Arial"/>
                <w:b/>
                <w:bCs/>
                <w:color w:val="000000"/>
                <w:sz w:val="18"/>
                <w:szCs w:val="18"/>
              </w:rPr>
            </w:pPr>
            <w:r w:rsidRPr="002D2395">
              <w:rPr>
                <w:rFonts w:cs="Arial"/>
                <w:b/>
                <w:bCs/>
                <w:color w:val="000000"/>
                <w:sz w:val="18"/>
                <w:szCs w:val="18"/>
              </w:rPr>
              <w:t>7,2</w:t>
            </w:r>
            <w:r w:rsidR="006F5F70" w:rsidRPr="002D2395">
              <w:rPr>
                <w:rFonts w:cs="Arial"/>
                <w:b/>
                <w:bCs/>
                <w:color w:val="000000"/>
                <w:sz w:val="18"/>
                <w:szCs w:val="18"/>
              </w:rPr>
              <w:t>65</w:t>
            </w:r>
          </w:p>
        </w:tc>
      </w:tr>
      <w:tr w:rsidR="003117C2" w:rsidRPr="00335CBC" w:rsidTr="00DC5E39">
        <w:trPr>
          <w:jc w:val="center"/>
        </w:trPr>
        <w:tc>
          <w:tcPr>
            <w:tcW w:w="706" w:type="dxa"/>
            <w:tcBorders>
              <w:top w:val="nil"/>
              <w:left w:val="single" w:sz="4" w:space="0" w:color="auto"/>
              <w:bottom w:val="single" w:sz="4" w:space="0" w:color="auto"/>
            </w:tcBorders>
            <w:shd w:val="clear" w:color="auto" w:fill="auto"/>
            <w:hideMark/>
          </w:tcPr>
          <w:p w:rsidR="003117C2" w:rsidRPr="002D2395" w:rsidRDefault="003117C2" w:rsidP="00DC5E39">
            <w:pPr>
              <w:jc w:val="center"/>
              <w:rPr>
                <w:rFonts w:cs="Arial"/>
                <w:color w:val="000000"/>
                <w:sz w:val="18"/>
                <w:szCs w:val="18"/>
              </w:rPr>
            </w:pPr>
            <w:r w:rsidRPr="002D2395">
              <w:rPr>
                <w:rFonts w:cs="Arial"/>
                <w:color w:val="000000"/>
                <w:sz w:val="18"/>
                <w:szCs w:val="18"/>
              </w:rPr>
              <w:t>7</w:t>
            </w:r>
          </w:p>
        </w:tc>
        <w:tc>
          <w:tcPr>
            <w:tcW w:w="3057" w:type="dxa"/>
            <w:tcBorders>
              <w:top w:val="nil"/>
              <w:bottom w:val="single" w:sz="4" w:space="0" w:color="auto"/>
              <w:right w:val="single" w:sz="4" w:space="0" w:color="auto"/>
            </w:tcBorders>
            <w:shd w:val="clear" w:color="auto" w:fill="auto"/>
            <w:hideMark/>
          </w:tcPr>
          <w:p w:rsidR="003117C2" w:rsidRPr="002D2395" w:rsidRDefault="003117C2" w:rsidP="00DC5E39">
            <w:pPr>
              <w:rPr>
                <w:rFonts w:cs="Arial"/>
                <w:color w:val="000000"/>
                <w:sz w:val="18"/>
                <w:szCs w:val="18"/>
              </w:rPr>
            </w:pPr>
            <w:r w:rsidRPr="002D2395">
              <w:rPr>
                <w:rFonts w:cs="Arial"/>
                <w:color w:val="000000"/>
                <w:sz w:val="18"/>
                <w:szCs w:val="18"/>
              </w:rPr>
              <w:t>Variation 6/3(%)</w:t>
            </w:r>
          </w:p>
        </w:tc>
        <w:tc>
          <w:tcPr>
            <w:tcW w:w="1309" w:type="dxa"/>
            <w:tcBorders>
              <w:top w:val="nil"/>
              <w:left w:val="single" w:sz="4" w:space="0" w:color="auto"/>
              <w:bottom w:val="single" w:sz="4" w:space="0" w:color="auto"/>
              <w:right w:val="nil"/>
            </w:tcBorders>
            <w:shd w:val="clear" w:color="auto" w:fill="auto"/>
            <w:hideMark/>
          </w:tcPr>
          <w:p w:rsidR="003117C2" w:rsidRPr="002D2395" w:rsidRDefault="003117C2" w:rsidP="006F5F70">
            <w:pPr>
              <w:ind w:right="284"/>
              <w:jc w:val="right"/>
              <w:rPr>
                <w:rFonts w:cs="Arial"/>
                <w:color w:val="000000"/>
                <w:sz w:val="18"/>
                <w:szCs w:val="18"/>
              </w:rPr>
            </w:pPr>
            <w:r w:rsidRPr="002D2395">
              <w:rPr>
                <w:rFonts w:cs="Arial"/>
                <w:color w:val="000000"/>
                <w:sz w:val="18"/>
                <w:szCs w:val="18"/>
              </w:rPr>
              <w:t>0.</w:t>
            </w:r>
            <w:r w:rsidR="006F5F70" w:rsidRPr="002D2395">
              <w:rPr>
                <w:rFonts w:cs="Arial"/>
                <w:color w:val="000000"/>
                <w:sz w:val="18"/>
                <w:szCs w:val="18"/>
              </w:rPr>
              <w:t>4</w:t>
            </w:r>
            <w:r w:rsidRPr="002D2395">
              <w:rPr>
                <w:rFonts w:cs="Arial"/>
                <w:color w:val="000000"/>
                <w:sz w:val="18"/>
                <w:szCs w:val="18"/>
              </w:rPr>
              <w:t>%</w:t>
            </w:r>
          </w:p>
        </w:tc>
        <w:tc>
          <w:tcPr>
            <w:tcW w:w="1276" w:type="dxa"/>
            <w:tcBorders>
              <w:top w:val="nil"/>
              <w:left w:val="single" w:sz="4" w:space="0" w:color="auto"/>
              <w:bottom w:val="single" w:sz="4" w:space="0" w:color="auto"/>
              <w:right w:val="single" w:sz="4" w:space="0" w:color="auto"/>
            </w:tcBorders>
            <w:shd w:val="clear" w:color="auto" w:fill="auto"/>
            <w:hideMark/>
          </w:tcPr>
          <w:p w:rsidR="003117C2" w:rsidRPr="002D2395" w:rsidRDefault="003117C2" w:rsidP="00DC5E39">
            <w:pPr>
              <w:ind w:right="284"/>
              <w:jc w:val="right"/>
              <w:rPr>
                <w:rFonts w:cs="Arial"/>
                <w:b/>
                <w:bCs/>
                <w:color w:val="000000"/>
                <w:sz w:val="18"/>
                <w:szCs w:val="18"/>
              </w:rPr>
            </w:pPr>
            <w:r w:rsidRPr="002D2395">
              <w:rPr>
                <w:rFonts w:cs="Arial"/>
                <w:b/>
                <w:bCs/>
                <w:color w:val="000000"/>
                <w:sz w:val="18"/>
                <w:szCs w:val="18"/>
              </w:rPr>
              <w:t> </w:t>
            </w:r>
          </w:p>
        </w:tc>
        <w:tc>
          <w:tcPr>
            <w:tcW w:w="1810" w:type="dxa"/>
            <w:tcBorders>
              <w:top w:val="nil"/>
              <w:left w:val="nil"/>
              <w:bottom w:val="single" w:sz="4" w:space="0" w:color="auto"/>
              <w:right w:val="single" w:sz="4" w:space="0" w:color="auto"/>
            </w:tcBorders>
            <w:shd w:val="clear" w:color="auto" w:fill="auto"/>
            <w:hideMark/>
          </w:tcPr>
          <w:p w:rsidR="003117C2" w:rsidRPr="0032002C" w:rsidRDefault="006F5F70" w:rsidP="006F5F70">
            <w:pPr>
              <w:ind w:right="284"/>
              <w:jc w:val="right"/>
              <w:rPr>
                <w:rFonts w:cs="Arial"/>
                <w:color w:val="000000"/>
                <w:sz w:val="18"/>
                <w:szCs w:val="18"/>
              </w:rPr>
            </w:pPr>
            <w:r w:rsidRPr="002D2395">
              <w:rPr>
                <w:rFonts w:cs="Arial"/>
                <w:color w:val="000000"/>
                <w:sz w:val="18"/>
                <w:szCs w:val="18"/>
              </w:rPr>
              <w:t>1</w:t>
            </w:r>
            <w:r w:rsidR="003117C2" w:rsidRPr="002D2395">
              <w:rPr>
                <w:rFonts w:cs="Arial"/>
                <w:color w:val="000000"/>
                <w:sz w:val="18"/>
                <w:szCs w:val="18"/>
              </w:rPr>
              <w:t>.</w:t>
            </w:r>
            <w:r w:rsidRPr="002D2395">
              <w:rPr>
                <w:rFonts w:cs="Arial"/>
                <w:color w:val="000000"/>
                <w:sz w:val="18"/>
                <w:szCs w:val="18"/>
              </w:rPr>
              <w:t>8</w:t>
            </w:r>
            <w:r w:rsidR="003117C2" w:rsidRPr="002D2395">
              <w:rPr>
                <w:rFonts w:cs="Arial"/>
                <w:color w:val="000000"/>
                <w:sz w:val="18"/>
                <w:szCs w:val="18"/>
              </w:rPr>
              <w:t>%</w:t>
            </w:r>
          </w:p>
        </w:tc>
      </w:tr>
    </w:tbl>
    <w:p w:rsidR="003117C2" w:rsidRDefault="003117C2" w:rsidP="003117C2">
      <w:pPr>
        <w:jc w:val="center"/>
        <w:rPr>
          <w:spacing w:val="-2"/>
          <w:szCs w:val="24"/>
        </w:rPr>
      </w:pPr>
    </w:p>
    <w:p w:rsidR="003117C2" w:rsidRDefault="003117C2" w:rsidP="003117C2">
      <w:pPr>
        <w:jc w:val="left"/>
      </w:pPr>
      <w:bookmarkStart w:id="9" w:name="RANGE!A1:F18"/>
      <w:bookmarkEnd w:id="9"/>
      <w:r>
        <w:br w:type="page"/>
      </w:r>
    </w:p>
    <w:p w:rsidR="003117C2" w:rsidRPr="00C97817" w:rsidRDefault="003117C2" w:rsidP="003117C2">
      <w:pPr>
        <w:tabs>
          <w:tab w:val="left" w:pos="567"/>
        </w:tabs>
      </w:pPr>
      <w:r w:rsidRPr="00C97817">
        <w:t>3.8</w:t>
      </w:r>
      <w:r w:rsidRPr="00C97817">
        <w:tab/>
      </w:r>
      <w:r w:rsidRPr="00C97817">
        <w:rPr>
          <w:b/>
        </w:rPr>
        <w:t>Table 4</w:t>
      </w:r>
      <w:r w:rsidRPr="00C97817">
        <w:t xml:space="preserve"> shows the budget variations by object of expenditure between the 2014-2015 and the </w:t>
      </w:r>
      <w:r w:rsidRPr="002D2395">
        <w:rPr>
          <w:snapToGrid w:val="0"/>
          <w:spacing w:val="-2"/>
          <w:szCs w:val="24"/>
        </w:rPr>
        <w:t>2016­2017</w:t>
      </w:r>
      <w:r w:rsidRPr="002D2395">
        <w:t xml:space="preserve"> biennia.  The proposed budget for </w:t>
      </w:r>
      <w:r w:rsidRPr="002D2395">
        <w:rPr>
          <w:snapToGrid w:val="0"/>
          <w:spacing w:val="-2"/>
          <w:szCs w:val="24"/>
        </w:rPr>
        <w:t>2016­2017</w:t>
      </w:r>
      <w:r w:rsidRPr="002D2395">
        <w:t xml:space="preserve"> is </w:t>
      </w:r>
      <w:r w:rsidRPr="002D2395">
        <w:rPr>
          <w:spacing w:val="-2"/>
          <w:szCs w:val="24"/>
        </w:rPr>
        <w:t>6,8</w:t>
      </w:r>
      <w:r w:rsidR="006F5F70" w:rsidRPr="002D2395">
        <w:rPr>
          <w:spacing w:val="-2"/>
          <w:szCs w:val="24"/>
        </w:rPr>
        <w:t>23</w:t>
      </w:r>
      <w:r w:rsidRPr="002D2395">
        <w:rPr>
          <w:spacing w:val="-2"/>
          <w:szCs w:val="24"/>
        </w:rPr>
        <w:t>,000 Swiss francs</w:t>
      </w:r>
      <w:r w:rsidRPr="002D2395">
        <w:t xml:space="preserve">, an increase of </w:t>
      </w:r>
      <w:r w:rsidR="006F5F70" w:rsidRPr="002D2395">
        <w:rPr>
          <w:spacing w:val="-2"/>
          <w:szCs w:val="24"/>
        </w:rPr>
        <w:t>29</w:t>
      </w:r>
      <w:r w:rsidRPr="002D2395">
        <w:rPr>
          <w:spacing w:val="-2"/>
          <w:szCs w:val="24"/>
        </w:rPr>
        <w:t>,000 Swiss francs</w:t>
      </w:r>
      <w:r w:rsidRPr="002D2395">
        <w:t xml:space="preserve">, or </w:t>
      </w:r>
      <w:r w:rsidRPr="002D2395">
        <w:rPr>
          <w:spacing w:val="-2"/>
          <w:szCs w:val="24"/>
        </w:rPr>
        <w:t>0.</w:t>
      </w:r>
      <w:r w:rsidR="006F5F70" w:rsidRPr="002D2395">
        <w:rPr>
          <w:spacing w:val="-2"/>
          <w:szCs w:val="24"/>
        </w:rPr>
        <w:t>4</w:t>
      </w:r>
      <w:r w:rsidRPr="002D2395">
        <w:t>% compared to the 2014­2015 budget.</w:t>
      </w:r>
      <w:r w:rsidRPr="00C97817">
        <w:t xml:space="preserve">  </w:t>
      </w:r>
    </w:p>
    <w:p w:rsidR="003117C2" w:rsidRPr="00C97817" w:rsidRDefault="003117C2" w:rsidP="003117C2">
      <w:pPr>
        <w:rPr>
          <w:spacing w:val="-2"/>
          <w:szCs w:val="24"/>
        </w:rPr>
      </w:pPr>
    </w:p>
    <w:p w:rsidR="003117C2" w:rsidRPr="00C97817" w:rsidRDefault="003117C2" w:rsidP="003117C2">
      <w:pPr>
        <w:jc w:val="left"/>
        <w:rPr>
          <w:rFonts w:cs="Arial"/>
          <w:b/>
          <w:bCs/>
        </w:rPr>
      </w:pPr>
    </w:p>
    <w:p w:rsidR="003117C2" w:rsidRPr="00C97817" w:rsidRDefault="003117C2" w:rsidP="003117C2">
      <w:pPr>
        <w:jc w:val="center"/>
        <w:rPr>
          <w:rFonts w:cs="Arial"/>
          <w:b/>
          <w:bCs/>
        </w:rPr>
      </w:pPr>
      <w:r w:rsidRPr="00C97817">
        <w:rPr>
          <w:rFonts w:cs="Arial"/>
          <w:b/>
          <w:bCs/>
        </w:rPr>
        <w:t>Table 4:  Proposed Budget 2016-2017:  Budget Variation by Object of Expenditure</w:t>
      </w:r>
    </w:p>
    <w:p w:rsidR="003117C2" w:rsidRPr="00335CBC" w:rsidRDefault="003117C2" w:rsidP="003117C2">
      <w:pPr>
        <w:jc w:val="center"/>
        <w:rPr>
          <w:spacing w:val="-2"/>
        </w:rPr>
      </w:pPr>
      <w:r w:rsidRPr="00C97817">
        <w:rPr>
          <w:rFonts w:cs="Arial"/>
          <w:i/>
          <w:iCs/>
        </w:rPr>
        <w:t>(in thousands of Swiss francs)</w:t>
      </w:r>
    </w:p>
    <w:p w:rsidR="003117C2" w:rsidRDefault="003117C2" w:rsidP="003117C2">
      <w:pPr>
        <w:rPr>
          <w:b/>
          <w:spacing w:val="-2"/>
          <w:szCs w:val="24"/>
        </w:rPr>
      </w:pPr>
    </w:p>
    <w:tbl>
      <w:tblPr>
        <w:tblW w:w="9745" w:type="dxa"/>
        <w:tblInd w:w="93" w:type="dxa"/>
        <w:tblLayout w:type="fixed"/>
        <w:tblCellMar>
          <w:top w:w="57" w:type="dxa"/>
          <w:left w:w="57" w:type="dxa"/>
          <w:bottom w:w="28" w:type="dxa"/>
          <w:right w:w="57" w:type="dxa"/>
        </w:tblCellMar>
        <w:tblLook w:val="04A0" w:firstRow="1" w:lastRow="0" w:firstColumn="1" w:lastColumn="0" w:noHBand="0" w:noVBand="1"/>
      </w:tblPr>
      <w:tblGrid>
        <w:gridCol w:w="3083"/>
        <w:gridCol w:w="1276"/>
        <w:gridCol w:w="1275"/>
        <w:gridCol w:w="1418"/>
        <w:gridCol w:w="1417"/>
        <w:gridCol w:w="1276"/>
      </w:tblGrid>
      <w:tr w:rsidR="003117C2" w:rsidRPr="00335CBC" w:rsidTr="00DC5E39">
        <w:trPr>
          <w:cantSplit/>
          <w:tblHeader/>
        </w:trPr>
        <w:tc>
          <w:tcPr>
            <w:tcW w:w="3083" w:type="dxa"/>
            <w:vMerge w:val="restart"/>
            <w:tcBorders>
              <w:top w:val="single" w:sz="4" w:space="0" w:color="auto"/>
              <w:left w:val="single" w:sz="4" w:space="0" w:color="auto"/>
              <w:right w:val="single" w:sz="4" w:space="0" w:color="auto"/>
            </w:tcBorders>
            <w:shd w:val="clear" w:color="auto" w:fill="auto"/>
            <w:vAlign w:val="bottom"/>
          </w:tcPr>
          <w:p w:rsidR="003117C2" w:rsidRPr="00335CBC" w:rsidRDefault="003117C2" w:rsidP="00DC5E39">
            <w:pPr>
              <w:jc w:val="left"/>
              <w:rPr>
                <w:rFonts w:cs="Arial"/>
                <w:color w:val="000000"/>
                <w:sz w:val="18"/>
              </w:rPr>
            </w:pPr>
            <w:r w:rsidRPr="00335CBC">
              <w:rPr>
                <w:rFonts w:cs="Arial"/>
                <w:b/>
                <w:bCs/>
                <w:sz w:val="18"/>
              </w:rPr>
              <w:t>Object of Expenditure</w:t>
            </w:r>
          </w:p>
        </w:tc>
        <w:tc>
          <w:tcPr>
            <w:tcW w:w="1276" w:type="dxa"/>
            <w:vMerge w:val="restart"/>
            <w:tcBorders>
              <w:top w:val="single" w:sz="4" w:space="0" w:color="auto"/>
              <w:left w:val="nil"/>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2012-2013 Actual</w:t>
            </w:r>
          </w:p>
        </w:tc>
        <w:tc>
          <w:tcPr>
            <w:tcW w:w="1275" w:type="dxa"/>
            <w:vMerge w:val="restart"/>
            <w:tcBorders>
              <w:top w:val="single" w:sz="4" w:space="0" w:color="auto"/>
              <w:left w:val="nil"/>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2014-2015 Budget</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Resource Variation</w:t>
            </w:r>
          </w:p>
        </w:tc>
        <w:tc>
          <w:tcPr>
            <w:tcW w:w="1276" w:type="dxa"/>
            <w:vMerge w:val="restart"/>
            <w:tcBorders>
              <w:top w:val="single" w:sz="4" w:space="0" w:color="auto"/>
              <w:left w:val="nil"/>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2016-2017 Proposed</w:t>
            </w:r>
          </w:p>
        </w:tc>
      </w:tr>
      <w:tr w:rsidR="003117C2" w:rsidRPr="00335CBC" w:rsidTr="00DC5E39">
        <w:trPr>
          <w:cantSplit/>
          <w:tblHeader/>
        </w:trPr>
        <w:tc>
          <w:tcPr>
            <w:tcW w:w="3083" w:type="dxa"/>
            <w:vMerge/>
            <w:tcBorders>
              <w:left w:val="single" w:sz="4" w:space="0" w:color="auto"/>
              <w:right w:val="single" w:sz="4" w:space="0" w:color="auto"/>
            </w:tcBorders>
            <w:shd w:val="clear" w:color="auto" w:fill="auto"/>
            <w:vAlign w:val="bottom"/>
          </w:tcPr>
          <w:p w:rsidR="003117C2" w:rsidRPr="00335CBC" w:rsidRDefault="003117C2" w:rsidP="00DC5E39">
            <w:pPr>
              <w:jc w:val="left"/>
              <w:rPr>
                <w:rFonts w:cs="Arial"/>
                <w:b/>
                <w:bCs/>
                <w:sz w:val="18"/>
              </w:rPr>
            </w:pPr>
          </w:p>
        </w:tc>
        <w:tc>
          <w:tcPr>
            <w:tcW w:w="1276" w:type="dxa"/>
            <w:vMerge/>
            <w:tcBorders>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p>
        </w:tc>
        <w:tc>
          <w:tcPr>
            <w:tcW w:w="1275" w:type="dxa"/>
            <w:vMerge/>
            <w:tcBorders>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Amount</w:t>
            </w:r>
          </w:p>
        </w:tc>
        <w:tc>
          <w:tcPr>
            <w:tcW w:w="1417"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sz w:val="18"/>
              </w:rPr>
            </w:pPr>
            <w:r w:rsidRPr="00335CBC">
              <w:rPr>
                <w:rFonts w:cs="Arial"/>
                <w:b/>
                <w:bCs/>
                <w:sz w:val="18"/>
              </w:rPr>
              <w:t>%</w:t>
            </w:r>
          </w:p>
        </w:tc>
        <w:tc>
          <w:tcPr>
            <w:tcW w:w="1276" w:type="dxa"/>
            <w:vMerge/>
            <w:tcBorders>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r>
      <w:tr w:rsidR="003117C2" w:rsidRPr="00335CBC" w:rsidTr="00DC5E39">
        <w:trPr>
          <w:cantSplit/>
          <w:tblHeader/>
        </w:trPr>
        <w:tc>
          <w:tcPr>
            <w:tcW w:w="3083" w:type="dxa"/>
            <w:vMerge/>
            <w:tcBorders>
              <w:left w:val="single" w:sz="4" w:space="0" w:color="auto"/>
              <w:bottom w:val="single" w:sz="4" w:space="0" w:color="auto"/>
              <w:right w:val="single" w:sz="4" w:space="0" w:color="auto"/>
            </w:tcBorders>
            <w:shd w:val="clear" w:color="auto" w:fill="auto"/>
            <w:vAlign w:val="bottom"/>
          </w:tcPr>
          <w:p w:rsidR="003117C2" w:rsidRPr="00335CBC" w:rsidRDefault="003117C2" w:rsidP="00DC5E39">
            <w:pPr>
              <w:jc w:val="left"/>
              <w:rPr>
                <w:rFonts w:cs="Arial"/>
                <w:b/>
                <w:bCs/>
                <w:sz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r w:rsidRPr="00335CBC">
              <w:rPr>
                <w:rFonts w:cs="Arial"/>
                <w:b/>
                <w:bCs/>
                <w:sz w:val="18"/>
              </w:rPr>
              <w:t>A</w:t>
            </w:r>
          </w:p>
        </w:tc>
        <w:tc>
          <w:tcPr>
            <w:tcW w:w="1275"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r w:rsidRPr="00335CBC">
              <w:rPr>
                <w:rFonts w:cs="Arial"/>
                <w:b/>
                <w:bCs/>
                <w:sz w:val="18"/>
              </w:rPr>
              <w:t>B</w:t>
            </w:r>
          </w:p>
        </w:tc>
        <w:tc>
          <w:tcPr>
            <w:tcW w:w="1418"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r w:rsidRPr="00335CBC">
              <w:rPr>
                <w:rFonts w:cs="Arial"/>
                <w:b/>
                <w:bCs/>
                <w:sz w:val="18"/>
              </w:rPr>
              <w:t>C</w:t>
            </w:r>
          </w:p>
        </w:tc>
        <w:tc>
          <w:tcPr>
            <w:tcW w:w="1417"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r w:rsidRPr="00335CBC">
              <w:rPr>
                <w:rFonts w:cs="Arial"/>
                <w:b/>
                <w:bCs/>
                <w:sz w:val="18"/>
              </w:rPr>
              <w:t>C/B</w:t>
            </w:r>
          </w:p>
        </w:tc>
        <w:tc>
          <w:tcPr>
            <w:tcW w:w="1276"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center"/>
              <w:rPr>
                <w:rFonts w:cs="Arial"/>
                <w:b/>
                <w:bCs/>
                <w:sz w:val="18"/>
              </w:rPr>
            </w:pPr>
            <w:r w:rsidRPr="00335CBC">
              <w:rPr>
                <w:rFonts w:cs="Arial"/>
                <w:b/>
                <w:bCs/>
                <w:sz w:val="18"/>
              </w:rPr>
              <w:t>D=B+C</w:t>
            </w: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tcPr>
          <w:p w:rsidR="003117C2" w:rsidRPr="00335CBC" w:rsidRDefault="003117C2" w:rsidP="00DC5E39">
            <w:pPr>
              <w:jc w:val="left"/>
              <w:rPr>
                <w:rFonts w:cs="Arial"/>
                <w:color w:val="000000"/>
                <w:sz w:val="18"/>
              </w:rPr>
            </w:pPr>
            <w:r w:rsidRPr="00335CBC">
              <w:rPr>
                <w:rFonts w:cs="Arial"/>
                <w:b/>
                <w:bCs/>
                <w:sz w:val="18"/>
              </w:rPr>
              <w:t>A.</w:t>
            </w:r>
            <w:r w:rsidR="008954FA">
              <w:rPr>
                <w:rFonts w:cs="Arial"/>
                <w:b/>
                <w:bCs/>
                <w:sz w:val="18"/>
              </w:rPr>
              <w:t xml:space="preserve"> </w:t>
            </w:r>
            <w:r w:rsidRPr="00335CBC">
              <w:rPr>
                <w:rFonts w:cs="Arial"/>
                <w:b/>
                <w:bCs/>
                <w:sz w:val="18"/>
              </w:rPr>
              <w:t>Personnel Resources</w:t>
            </w:r>
          </w:p>
        </w:tc>
        <w:tc>
          <w:tcPr>
            <w:tcW w:w="1276"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5"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8"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7"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Posts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3,385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4,225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-171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4,054</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Temporary Staff</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663</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200</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99</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49.5%</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299</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color w:val="000000"/>
                <w:sz w:val="18"/>
              </w:rPr>
            </w:pPr>
            <w:r w:rsidRPr="00335CBC">
              <w:rPr>
                <w:rFonts w:cs="Arial"/>
                <w:b/>
                <w:bCs/>
                <w:color w:val="000000"/>
                <w:sz w:val="18"/>
              </w:rPr>
              <w:t>Total, A</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4,048</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4,425</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-72</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-1.6%</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4,353</w:t>
            </w: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tcPr>
          <w:p w:rsidR="003117C2" w:rsidRPr="00335CBC" w:rsidRDefault="003117C2" w:rsidP="00DC5E39">
            <w:pPr>
              <w:jc w:val="left"/>
              <w:rPr>
                <w:rFonts w:cs="Arial"/>
                <w:color w:val="000000"/>
                <w:sz w:val="18"/>
              </w:rPr>
            </w:pPr>
            <w:r w:rsidRPr="00335CBC">
              <w:rPr>
                <w:rFonts w:cs="Arial"/>
                <w:b/>
                <w:bCs/>
                <w:sz w:val="18"/>
              </w:rPr>
              <w:t>B.</w:t>
            </w:r>
            <w:r w:rsidR="008954FA">
              <w:rPr>
                <w:rFonts w:cs="Arial"/>
                <w:b/>
                <w:bCs/>
                <w:sz w:val="18"/>
              </w:rPr>
              <w:t xml:space="preserve"> </w:t>
            </w:r>
            <w:r w:rsidRPr="00335CBC">
              <w:rPr>
                <w:rFonts w:cs="Arial"/>
                <w:b/>
                <w:bCs/>
                <w:sz w:val="18"/>
              </w:rPr>
              <w:t>Non-Personnel Resources</w:t>
            </w:r>
          </w:p>
        </w:tc>
        <w:tc>
          <w:tcPr>
            <w:tcW w:w="1276"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5"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8"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7"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hideMark/>
          </w:tcPr>
          <w:p w:rsidR="003117C2" w:rsidRPr="00335CBC" w:rsidRDefault="003117C2" w:rsidP="00DC5E39">
            <w:pPr>
              <w:jc w:val="left"/>
              <w:rPr>
                <w:rFonts w:cs="Arial"/>
                <w:b/>
                <w:bCs/>
                <w:i/>
                <w:iCs/>
                <w:sz w:val="18"/>
              </w:rPr>
            </w:pPr>
            <w:r w:rsidRPr="00271533">
              <w:rPr>
                <w:rFonts w:cs="Arial"/>
                <w:b/>
                <w:bCs/>
                <w:i/>
                <w:iCs/>
                <w:sz w:val="18"/>
              </w:rPr>
              <w:t>Interns</w:t>
            </w:r>
            <w:r w:rsidR="004F001B">
              <w:rPr>
                <w:rFonts w:cs="Arial"/>
                <w:b/>
                <w:bCs/>
                <w:i/>
                <w:iCs/>
                <w:sz w:val="18"/>
              </w:rPr>
              <w:t>hips and Fellowships</w:t>
            </w:r>
          </w:p>
        </w:tc>
        <w:tc>
          <w:tcPr>
            <w:tcW w:w="1276" w:type="dxa"/>
            <w:tcBorders>
              <w:top w:val="single" w:sz="4" w:space="0" w:color="auto"/>
              <w:bottom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w:t>
            </w:r>
          </w:p>
        </w:tc>
        <w:tc>
          <w:tcPr>
            <w:tcW w:w="1275" w:type="dxa"/>
            <w:tcBorders>
              <w:top w:val="single" w:sz="4" w:space="0" w:color="auto"/>
              <w:bottom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w:t>
            </w:r>
          </w:p>
        </w:tc>
        <w:tc>
          <w:tcPr>
            <w:tcW w:w="1418" w:type="dxa"/>
            <w:tcBorders>
              <w:top w:val="single" w:sz="4" w:space="0" w:color="auto"/>
              <w:bottom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w:t>
            </w:r>
          </w:p>
        </w:tc>
        <w:tc>
          <w:tcPr>
            <w:tcW w:w="1417" w:type="dxa"/>
            <w:tcBorders>
              <w:top w:val="single" w:sz="4" w:space="0" w:color="auto"/>
              <w:bottom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w:t>
            </w:r>
          </w:p>
        </w:tc>
        <w:tc>
          <w:tcPr>
            <w:tcW w:w="1276" w:type="dxa"/>
            <w:tcBorders>
              <w:top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w:t>
            </w:r>
          </w:p>
        </w:tc>
      </w:tr>
      <w:tr w:rsidR="004F001B" w:rsidRPr="005C512B"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tcPr>
          <w:p w:rsidR="004F001B" w:rsidRPr="005C512B" w:rsidRDefault="004F001B" w:rsidP="003877EA">
            <w:pPr>
              <w:jc w:val="left"/>
              <w:rPr>
                <w:rFonts w:cs="Arial"/>
                <w:b/>
                <w:bCs/>
                <w:sz w:val="18"/>
              </w:rPr>
            </w:pPr>
            <w:r w:rsidRPr="005C512B">
              <w:rPr>
                <w:rFonts w:cs="Arial"/>
                <w:color w:val="000000"/>
                <w:sz w:val="18"/>
              </w:rPr>
              <w:t>Internships</w:t>
            </w:r>
          </w:p>
        </w:tc>
        <w:tc>
          <w:tcPr>
            <w:tcW w:w="1276" w:type="dxa"/>
            <w:tcBorders>
              <w:top w:val="nil"/>
              <w:left w:val="nil"/>
              <w:bottom w:val="single" w:sz="4" w:space="0" w:color="auto"/>
              <w:right w:val="single" w:sz="4" w:space="0" w:color="auto"/>
            </w:tcBorders>
            <w:shd w:val="clear" w:color="auto" w:fill="auto"/>
            <w:vAlign w:val="bottom"/>
          </w:tcPr>
          <w:p w:rsidR="004F001B" w:rsidRPr="005C512B" w:rsidRDefault="004F001B" w:rsidP="00DC5E39">
            <w:pPr>
              <w:jc w:val="right"/>
              <w:rPr>
                <w:rFonts w:cs="Arial"/>
                <w:b/>
                <w:bCs/>
                <w:sz w:val="18"/>
              </w:rPr>
            </w:pPr>
            <w:r w:rsidRPr="005C512B">
              <w:rPr>
                <w:rFonts w:cs="Arial"/>
                <w:b/>
                <w:bCs/>
                <w:sz w:val="18"/>
              </w:rPr>
              <w:t>-</w:t>
            </w:r>
          </w:p>
        </w:tc>
        <w:tc>
          <w:tcPr>
            <w:tcW w:w="1275" w:type="dxa"/>
            <w:tcBorders>
              <w:top w:val="nil"/>
              <w:left w:val="nil"/>
              <w:bottom w:val="single" w:sz="4" w:space="0" w:color="auto"/>
              <w:right w:val="single" w:sz="4" w:space="0" w:color="auto"/>
            </w:tcBorders>
            <w:shd w:val="clear" w:color="auto" w:fill="auto"/>
            <w:vAlign w:val="bottom"/>
          </w:tcPr>
          <w:p w:rsidR="004F001B" w:rsidRPr="005C512B" w:rsidRDefault="004F001B" w:rsidP="00DC5E39">
            <w:pPr>
              <w:jc w:val="right"/>
              <w:rPr>
                <w:rFonts w:cs="Arial"/>
                <w:b/>
                <w:bCs/>
                <w:sz w:val="18"/>
              </w:rPr>
            </w:pPr>
            <w:r w:rsidRPr="005C512B">
              <w:rPr>
                <w:rFonts w:cs="Arial"/>
                <w:b/>
                <w:bCs/>
                <w:sz w:val="18"/>
              </w:rPr>
              <w:t>-</w:t>
            </w:r>
          </w:p>
        </w:tc>
        <w:tc>
          <w:tcPr>
            <w:tcW w:w="1418" w:type="dxa"/>
            <w:tcBorders>
              <w:top w:val="nil"/>
              <w:left w:val="nil"/>
              <w:bottom w:val="single" w:sz="4" w:space="0" w:color="auto"/>
              <w:right w:val="single" w:sz="4" w:space="0" w:color="auto"/>
            </w:tcBorders>
            <w:shd w:val="clear" w:color="auto" w:fill="auto"/>
            <w:vAlign w:val="bottom"/>
          </w:tcPr>
          <w:p w:rsidR="004F001B" w:rsidRPr="005C512B" w:rsidRDefault="004F001B" w:rsidP="006F5F70">
            <w:pPr>
              <w:jc w:val="right"/>
              <w:rPr>
                <w:rFonts w:cs="Arial"/>
                <w:b/>
                <w:bCs/>
                <w:sz w:val="18"/>
              </w:rPr>
            </w:pPr>
            <w:r w:rsidRPr="005C512B">
              <w:rPr>
                <w:rFonts w:cs="Arial"/>
                <w:b/>
                <w:bCs/>
                <w:sz w:val="18"/>
              </w:rPr>
              <w:t>38</w:t>
            </w:r>
          </w:p>
        </w:tc>
        <w:tc>
          <w:tcPr>
            <w:tcW w:w="1417" w:type="dxa"/>
            <w:tcBorders>
              <w:top w:val="nil"/>
              <w:left w:val="nil"/>
              <w:bottom w:val="single" w:sz="4" w:space="0" w:color="auto"/>
              <w:right w:val="single" w:sz="4" w:space="0" w:color="auto"/>
            </w:tcBorders>
            <w:shd w:val="clear" w:color="auto" w:fill="auto"/>
            <w:vAlign w:val="bottom"/>
          </w:tcPr>
          <w:p w:rsidR="004F001B" w:rsidRPr="005C512B" w:rsidRDefault="004F001B" w:rsidP="00DC5E39">
            <w:pPr>
              <w:jc w:val="right"/>
              <w:rPr>
                <w:rFonts w:cs="Arial"/>
                <w:b/>
                <w:bCs/>
                <w:sz w:val="18"/>
              </w:rPr>
            </w:pPr>
            <w:r w:rsidRPr="005C512B">
              <w:rPr>
                <w:rFonts w:cs="Arial"/>
                <w:b/>
                <w:bCs/>
                <w:sz w:val="18"/>
              </w:rPr>
              <w:t>0.0%</w:t>
            </w:r>
          </w:p>
        </w:tc>
        <w:tc>
          <w:tcPr>
            <w:tcW w:w="1276" w:type="dxa"/>
            <w:tcBorders>
              <w:top w:val="nil"/>
              <w:left w:val="nil"/>
              <w:bottom w:val="single" w:sz="4" w:space="0" w:color="auto"/>
              <w:right w:val="single" w:sz="4" w:space="0" w:color="auto"/>
            </w:tcBorders>
            <w:shd w:val="clear" w:color="auto" w:fill="auto"/>
            <w:vAlign w:val="bottom"/>
          </w:tcPr>
          <w:p w:rsidR="004F001B" w:rsidRPr="005C512B" w:rsidRDefault="004F001B" w:rsidP="00DC5E39">
            <w:pPr>
              <w:jc w:val="right"/>
              <w:rPr>
                <w:rFonts w:cs="Arial"/>
                <w:b/>
                <w:bCs/>
                <w:sz w:val="18"/>
              </w:rPr>
            </w:pPr>
            <w:r w:rsidRPr="005C512B">
              <w:rPr>
                <w:rFonts w:cs="Arial"/>
                <w:b/>
                <w:bCs/>
                <w:sz w:val="18"/>
              </w:rPr>
              <w:t>38</w:t>
            </w:r>
          </w:p>
        </w:tc>
      </w:tr>
      <w:tr w:rsidR="003117C2" w:rsidRPr="005C512B"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5C512B" w:rsidRDefault="003117C2" w:rsidP="00DC5E39">
            <w:pPr>
              <w:jc w:val="right"/>
              <w:rPr>
                <w:rFonts w:cs="Arial"/>
                <w:b/>
                <w:bCs/>
                <w:sz w:val="18"/>
              </w:rPr>
            </w:pPr>
            <w:r w:rsidRPr="005C512B">
              <w:rPr>
                <w:rFonts w:cs="Arial"/>
                <w:b/>
                <w:bCs/>
                <w:sz w:val="18"/>
              </w:rPr>
              <w:t>Sub-total</w:t>
            </w:r>
          </w:p>
        </w:tc>
        <w:tc>
          <w:tcPr>
            <w:tcW w:w="1276" w:type="dxa"/>
            <w:tcBorders>
              <w:top w:val="nil"/>
              <w:left w:val="nil"/>
              <w:bottom w:val="single" w:sz="4" w:space="0" w:color="auto"/>
              <w:right w:val="single" w:sz="4" w:space="0" w:color="auto"/>
            </w:tcBorders>
            <w:shd w:val="clear" w:color="auto" w:fill="auto"/>
            <w:vAlign w:val="bottom"/>
            <w:hideMark/>
          </w:tcPr>
          <w:p w:rsidR="003117C2" w:rsidRPr="005C512B" w:rsidRDefault="003117C2" w:rsidP="00DC5E39">
            <w:pPr>
              <w:jc w:val="right"/>
              <w:rPr>
                <w:rFonts w:cs="Arial"/>
                <w:b/>
                <w:bCs/>
                <w:sz w:val="18"/>
              </w:rPr>
            </w:pPr>
            <w:r w:rsidRPr="005C512B">
              <w:rPr>
                <w:rFonts w:cs="Arial"/>
                <w:b/>
                <w:bCs/>
                <w:sz w:val="18"/>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3117C2" w:rsidRPr="005C512B" w:rsidRDefault="003117C2" w:rsidP="00DC5E39">
            <w:pPr>
              <w:jc w:val="right"/>
              <w:rPr>
                <w:rFonts w:cs="Arial"/>
                <w:b/>
                <w:bCs/>
                <w:sz w:val="18"/>
              </w:rPr>
            </w:pPr>
            <w:r w:rsidRPr="005C512B">
              <w:rPr>
                <w:rFonts w:cs="Arial"/>
                <w:b/>
                <w:bCs/>
                <w:sz w:val="18"/>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3117C2" w:rsidRPr="005C512B" w:rsidRDefault="006F5F70" w:rsidP="006F5F70">
            <w:pPr>
              <w:jc w:val="right"/>
              <w:rPr>
                <w:rFonts w:cs="Arial"/>
                <w:b/>
                <w:bCs/>
                <w:sz w:val="18"/>
              </w:rPr>
            </w:pPr>
            <w:r w:rsidRPr="005C512B">
              <w:rPr>
                <w:rFonts w:cs="Arial"/>
                <w:b/>
                <w:bCs/>
                <w:sz w:val="18"/>
              </w:rPr>
              <w:t>38</w:t>
            </w:r>
            <w:r w:rsidR="003117C2" w:rsidRPr="005C512B">
              <w:rPr>
                <w:rFonts w:cs="Arial"/>
                <w:b/>
                <w:bCs/>
                <w:sz w:val="18"/>
              </w:rPr>
              <w:t xml:space="preserve"> </w:t>
            </w:r>
          </w:p>
        </w:tc>
        <w:tc>
          <w:tcPr>
            <w:tcW w:w="1417" w:type="dxa"/>
            <w:tcBorders>
              <w:top w:val="nil"/>
              <w:left w:val="nil"/>
              <w:bottom w:val="single" w:sz="4" w:space="0" w:color="auto"/>
              <w:right w:val="single" w:sz="4" w:space="0" w:color="auto"/>
            </w:tcBorders>
            <w:shd w:val="clear" w:color="auto" w:fill="auto"/>
            <w:vAlign w:val="bottom"/>
            <w:hideMark/>
          </w:tcPr>
          <w:p w:rsidR="003117C2" w:rsidRPr="005C512B" w:rsidRDefault="003117C2" w:rsidP="00DC5E39">
            <w:pPr>
              <w:jc w:val="right"/>
              <w:rPr>
                <w:rFonts w:cs="Arial"/>
                <w:b/>
                <w:bCs/>
                <w:sz w:val="18"/>
              </w:rPr>
            </w:pPr>
            <w:r w:rsidRPr="005C512B">
              <w:rPr>
                <w:rFonts w:cs="Arial"/>
                <w:b/>
                <w:bCs/>
                <w:sz w:val="18"/>
              </w:rPr>
              <w:t>0.0%</w:t>
            </w:r>
          </w:p>
        </w:tc>
        <w:tc>
          <w:tcPr>
            <w:tcW w:w="1276" w:type="dxa"/>
            <w:tcBorders>
              <w:top w:val="nil"/>
              <w:left w:val="nil"/>
              <w:bottom w:val="single" w:sz="4" w:space="0" w:color="auto"/>
              <w:right w:val="single" w:sz="4" w:space="0" w:color="auto"/>
            </w:tcBorders>
            <w:shd w:val="clear" w:color="auto" w:fill="auto"/>
            <w:vAlign w:val="bottom"/>
            <w:hideMark/>
          </w:tcPr>
          <w:p w:rsidR="003117C2" w:rsidRPr="005C512B" w:rsidRDefault="006F5F70" w:rsidP="00DC5E39">
            <w:pPr>
              <w:jc w:val="right"/>
              <w:rPr>
                <w:rFonts w:cs="Arial"/>
                <w:b/>
                <w:bCs/>
                <w:sz w:val="18"/>
              </w:rPr>
            </w:pPr>
            <w:r w:rsidRPr="005C512B">
              <w:rPr>
                <w:rFonts w:cs="Arial"/>
                <w:b/>
                <w:bCs/>
                <w:sz w:val="18"/>
              </w:rPr>
              <w:t>38</w:t>
            </w: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tcPr>
          <w:p w:rsidR="003117C2" w:rsidRPr="00335CBC" w:rsidRDefault="003117C2" w:rsidP="0019282D">
            <w:pPr>
              <w:jc w:val="left"/>
              <w:rPr>
                <w:rFonts w:cs="Arial"/>
                <w:color w:val="000000"/>
                <w:sz w:val="18"/>
              </w:rPr>
            </w:pPr>
            <w:r w:rsidRPr="005C512B">
              <w:rPr>
                <w:rFonts w:cs="Arial"/>
                <w:b/>
                <w:bCs/>
                <w:i/>
                <w:iCs/>
                <w:sz w:val="18"/>
              </w:rPr>
              <w:t>Travel</w:t>
            </w:r>
            <w:r w:rsidR="0019282D" w:rsidRPr="005C512B">
              <w:rPr>
                <w:rFonts w:cs="Arial"/>
                <w:b/>
                <w:bCs/>
                <w:i/>
                <w:iCs/>
                <w:sz w:val="18"/>
              </w:rPr>
              <w:t>, Training</w:t>
            </w:r>
            <w:r w:rsidRPr="005C512B">
              <w:rPr>
                <w:rFonts w:cs="Arial"/>
                <w:b/>
                <w:bCs/>
                <w:i/>
                <w:iCs/>
                <w:sz w:val="18"/>
              </w:rPr>
              <w:t xml:space="preserve"> and </w:t>
            </w:r>
            <w:r w:rsidR="0019282D" w:rsidRPr="005C512B">
              <w:rPr>
                <w:rFonts w:cs="Arial"/>
                <w:b/>
                <w:bCs/>
                <w:i/>
                <w:iCs/>
                <w:sz w:val="18"/>
              </w:rPr>
              <w:t>Grants</w:t>
            </w:r>
          </w:p>
        </w:tc>
        <w:tc>
          <w:tcPr>
            <w:tcW w:w="1276"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Staff missions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430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470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xml:space="preserve"> -70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-14.9%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color w:val="000000"/>
                <w:sz w:val="18"/>
              </w:rPr>
            </w:pPr>
            <w:r w:rsidRPr="00335CBC">
              <w:rPr>
                <w:rFonts w:cs="Arial"/>
                <w:color w:val="000000"/>
                <w:sz w:val="18"/>
              </w:rPr>
              <w:t>400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Third Party Travel</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100</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120</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-70</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-58.3%</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color w:val="000000"/>
                <w:sz w:val="18"/>
              </w:rPr>
            </w:pPr>
            <w:r w:rsidRPr="00335CBC">
              <w:rPr>
                <w:rFonts w:cs="Arial"/>
                <w:color w:val="000000"/>
                <w:sz w:val="18"/>
              </w:rPr>
              <w:t>50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Sub-total</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 xml:space="preserve">530 </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 xml:space="preserve"> -140 </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-23.7%</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450</w:t>
            </w: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tcPr>
          <w:p w:rsidR="003117C2" w:rsidRPr="00335CBC" w:rsidRDefault="003117C2" w:rsidP="00DC5E39">
            <w:pPr>
              <w:jc w:val="left"/>
              <w:rPr>
                <w:rFonts w:cs="Arial"/>
                <w:color w:val="000000"/>
                <w:sz w:val="18"/>
              </w:rPr>
            </w:pPr>
            <w:r w:rsidRPr="00335CBC">
              <w:rPr>
                <w:rFonts w:cs="Arial"/>
                <w:b/>
                <w:bCs/>
                <w:i/>
                <w:iCs/>
                <w:sz w:val="18"/>
              </w:rPr>
              <w:t>Contractual Services</w:t>
            </w:r>
          </w:p>
        </w:tc>
        <w:tc>
          <w:tcPr>
            <w:tcW w:w="1276"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5"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8"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417" w:type="dxa"/>
            <w:tcBorders>
              <w:top w:val="single" w:sz="4" w:space="0" w:color="auto"/>
              <w:bottom w:val="single" w:sz="4" w:space="0" w:color="auto"/>
            </w:tcBorders>
            <w:shd w:val="clear" w:color="auto" w:fill="auto"/>
            <w:vAlign w:val="bottom"/>
          </w:tcPr>
          <w:p w:rsidR="003117C2" w:rsidRPr="00335CBC" w:rsidRDefault="003117C2" w:rsidP="00DC5E39">
            <w:pPr>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3117C2" w:rsidRPr="00335CBC" w:rsidRDefault="003117C2" w:rsidP="00DC5E39">
            <w:pPr>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Conferences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175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xml:space="preserve"> -50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200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Publishing</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33</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35</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-25</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-71</w:t>
            </w:r>
            <w:r>
              <w:rPr>
                <w:rFonts w:cs="Arial"/>
                <w:sz w:val="18"/>
              </w:rPr>
              <w:t>.4</w:t>
            </w:r>
            <w:r w:rsidRPr="00335CBC">
              <w:rPr>
                <w:rFonts w:cs="Arial"/>
                <w:sz w:val="18"/>
              </w:rPr>
              <w:t>%</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Individual Contractual Services</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5</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40</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30</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75.0%</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70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Other Contractual Services</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224</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150</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262</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Pr>
                <w:rFonts w:cs="Arial"/>
                <w:sz w:val="18"/>
              </w:rPr>
              <w:t>174.7</w:t>
            </w:r>
            <w:r w:rsidRPr="00335CBC">
              <w:rPr>
                <w:rFonts w:cs="Arial"/>
                <w:sz w:val="18"/>
              </w:rPr>
              <w:t>%</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 xml:space="preserve">412 </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Sub-total</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437</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475</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 xml:space="preserve">217 </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45.7%</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692</w:t>
            </w: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tcPr>
          <w:p w:rsidR="003117C2" w:rsidRPr="00335CBC" w:rsidRDefault="003117C2" w:rsidP="00DC5E39">
            <w:pPr>
              <w:keepNext/>
              <w:jc w:val="left"/>
              <w:rPr>
                <w:rFonts w:cs="Arial"/>
                <w:color w:val="000000"/>
                <w:sz w:val="18"/>
              </w:rPr>
            </w:pPr>
            <w:r w:rsidRPr="00335CBC">
              <w:rPr>
                <w:rFonts w:cs="Arial"/>
                <w:b/>
                <w:bCs/>
                <w:i/>
                <w:iCs/>
                <w:sz w:val="18"/>
              </w:rPr>
              <w:t>Operating Expenses</w:t>
            </w:r>
          </w:p>
        </w:tc>
        <w:tc>
          <w:tcPr>
            <w:tcW w:w="1276"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275"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418"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3117C2" w:rsidRPr="00335CBC" w:rsidRDefault="003117C2" w:rsidP="00DC5E39">
            <w:pPr>
              <w:keepNext/>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color w:val="000000"/>
                <w:sz w:val="18"/>
              </w:rPr>
            </w:pPr>
            <w:r w:rsidRPr="00335CBC">
              <w:rPr>
                <w:rFonts w:cs="Arial"/>
                <w:b/>
                <w:bCs/>
                <w:color w:val="000000"/>
                <w:sz w:val="18"/>
              </w:rPr>
              <w:t>Sub-total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1,243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1,266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1,270</w:t>
            </w:r>
          </w:p>
        </w:tc>
      </w:tr>
      <w:tr w:rsidR="003117C2" w:rsidRPr="00335CBC" w:rsidTr="00DC5E39">
        <w:trPr>
          <w:cantSplit/>
        </w:trPr>
        <w:tc>
          <w:tcPr>
            <w:tcW w:w="3083" w:type="dxa"/>
            <w:tcBorders>
              <w:top w:val="single" w:sz="4" w:space="0" w:color="auto"/>
              <w:left w:val="single" w:sz="4" w:space="0" w:color="auto"/>
              <w:bottom w:val="single" w:sz="4" w:space="0" w:color="auto"/>
            </w:tcBorders>
            <w:shd w:val="clear" w:color="auto" w:fill="auto"/>
            <w:vAlign w:val="bottom"/>
          </w:tcPr>
          <w:p w:rsidR="003117C2" w:rsidRPr="00335CBC" w:rsidRDefault="003117C2" w:rsidP="00DC5E39">
            <w:pPr>
              <w:keepNext/>
              <w:jc w:val="left"/>
              <w:rPr>
                <w:rFonts w:cs="Arial"/>
                <w:color w:val="000000"/>
                <w:sz w:val="18"/>
              </w:rPr>
            </w:pPr>
            <w:r w:rsidRPr="00335CBC">
              <w:rPr>
                <w:rFonts w:cs="Arial"/>
                <w:b/>
                <w:bCs/>
                <w:i/>
                <w:iCs/>
                <w:sz w:val="18"/>
              </w:rPr>
              <w:t>Equipment and Supplies</w:t>
            </w:r>
          </w:p>
        </w:tc>
        <w:tc>
          <w:tcPr>
            <w:tcW w:w="1276"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275"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418"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3117C2" w:rsidRPr="00335CBC" w:rsidRDefault="003117C2" w:rsidP="00DC5E39">
            <w:pPr>
              <w:keepNext/>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3117C2" w:rsidRPr="00335CBC" w:rsidRDefault="003117C2" w:rsidP="00DC5E39">
            <w:pPr>
              <w:keepNext/>
              <w:jc w:val="right"/>
              <w:rPr>
                <w:rFonts w:cs="Arial"/>
                <w:sz w:val="18"/>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Furniture and Equipment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-44</w:t>
            </w:r>
            <w:r w:rsidR="00ED21D4">
              <w:rPr>
                <w:rFonts w:cs="Arial"/>
                <w:sz w:val="18"/>
              </w:rPr>
              <w:t>.4</w:t>
            </w:r>
            <w:r w:rsidRPr="00335CBC">
              <w:rPr>
                <w:rFonts w:cs="Arial"/>
                <w:sz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left"/>
              <w:rPr>
                <w:rFonts w:cs="Arial"/>
                <w:color w:val="000000"/>
                <w:sz w:val="18"/>
              </w:rPr>
            </w:pPr>
            <w:r w:rsidRPr="00335CBC">
              <w:rPr>
                <w:rFonts w:cs="Arial"/>
                <w:color w:val="000000"/>
                <w:sz w:val="18"/>
              </w:rPr>
              <w:t>Supplies and Materials</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23</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20</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-10</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-50</w:t>
            </w:r>
            <w:r w:rsidR="00ED21D4">
              <w:rPr>
                <w:rFonts w:cs="Arial"/>
                <w:sz w:val="18"/>
              </w:rPr>
              <w:t>.0</w:t>
            </w:r>
            <w:r w:rsidRPr="00335CBC">
              <w:rPr>
                <w:rFonts w:cs="Arial"/>
                <w:sz w:val="18"/>
              </w:rPr>
              <w:t>%</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sz w:val="18"/>
              </w:rPr>
            </w:pPr>
            <w:r w:rsidRPr="00335CBC">
              <w:rPr>
                <w:rFonts w:cs="Arial"/>
                <w:sz w:val="18"/>
              </w:rPr>
              <w:t>10</w:t>
            </w:r>
          </w:p>
        </w:tc>
      </w:tr>
      <w:tr w:rsidR="003117C2" w:rsidRPr="00335CBC"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Sub-total</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27</w:t>
            </w:r>
          </w:p>
        </w:tc>
        <w:tc>
          <w:tcPr>
            <w:tcW w:w="1275"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38</w:t>
            </w:r>
          </w:p>
        </w:tc>
        <w:tc>
          <w:tcPr>
            <w:tcW w:w="1418"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-18</w:t>
            </w:r>
          </w:p>
        </w:tc>
        <w:tc>
          <w:tcPr>
            <w:tcW w:w="1417"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-47.4%</w:t>
            </w:r>
          </w:p>
        </w:tc>
        <w:tc>
          <w:tcPr>
            <w:tcW w:w="1276" w:type="dxa"/>
            <w:tcBorders>
              <w:top w:val="nil"/>
              <w:left w:val="nil"/>
              <w:bottom w:val="single" w:sz="4" w:space="0" w:color="auto"/>
              <w:right w:val="single" w:sz="4" w:space="0" w:color="auto"/>
            </w:tcBorders>
            <w:shd w:val="clear" w:color="auto" w:fill="auto"/>
            <w:vAlign w:val="bottom"/>
            <w:hideMark/>
          </w:tcPr>
          <w:p w:rsidR="003117C2" w:rsidRPr="00335CBC" w:rsidRDefault="003117C2" w:rsidP="00DC5E39">
            <w:pPr>
              <w:jc w:val="right"/>
              <w:rPr>
                <w:rFonts w:cs="Arial"/>
                <w:b/>
                <w:bCs/>
                <w:sz w:val="18"/>
              </w:rPr>
            </w:pPr>
            <w:r w:rsidRPr="00335CBC">
              <w:rPr>
                <w:rFonts w:cs="Arial"/>
                <w:b/>
                <w:bCs/>
                <w:sz w:val="18"/>
              </w:rPr>
              <w:t>20</w:t>
            </w:r>
          </w:p>
        </w:tc>
      </w:tr>
      <w:tr w:rsidR="003117C2" w:rsidRPr="002D2395" w:rsidTr="00DC5E39">
        <w:trPr>
          <w:cantSplit/>
        </w:trPr>
        <w:tc>
          <w:tcPr>
            <w:tcW w:w="3083" w:type="dxa"/>
            <w:tcBorders>
              <w:top w:val="single" w:sz="4" w:space="0" w:color="auto"/>
              <w:left w:val="single" w:sz="4" w:space="0" w:color="auto"/>
              <w:right w:val="single" w:sz="4" w:space="0" w:color="auto"/>
            </w:tcBorders>
            <w:shd w:val="clear" w:color="auto" w:fill="auto"/>
            <w:vAlign w:val="bottom"/>
            <w:hideMark/>
          </w:tcPr>
          <w:p w:rsidR="003117C2" w:rsidRPr="002D2395" w:rsidRDefault="003117C2" w:rsidP="00DC5E39">
            <w:pPr>
              <w:jc w:val="right"/>
              <w:rPr>
                <w:rFonts w:cs="Arial"/>
                <w:b/>
                <w:bCs/>
                <w:sz w:val="18"/>
              </w:rPr>
            </w:pPr>
            <w:proofErr w:type="spellStart"/>
            <w:r w:rsidRPr="002D2395">
              <w:rPr>
                <w:rFonts w:cs="Arial"/>
                <w:b/>
                <w:bCs/>
                <w:sz w:val="18"/>
              </w:rPr>
              <w:t>Total,B</w:t>
            </w:r>
            <w:proofErr w:type="spellEnd"/>
          </w:p>
        </w:tc>
        <w:tc>
          <w:tcPr>
            <w:tcW w:w="1276" w:type="dxa"/>
            <w:tcBorders>
              <w:top w:val="single" w:sz="4" w:space="0" w:color="auto"/>
              <w:left w:val="single" w:sz="4" w:space="0" w:color="auto"/>
              <w:right w:val="single" w:sz="4" w:space="0" w:color="auto"/>
            </w:tcBorders>
            <w:shd w:val="clear" w:color="auto" w:fill="auto"/>
            <w:vAlign w:val="bottom"/>
            <w:hideMark/>
          </w:tcPr>
          <w:p w:rsidR="003117C2" w:rsidRPr="002D2395" w:rsidRDefault="003117C2" w:rsidP="00DC5E39">
            <w:pPr>
              <w:jc w:val="right"/>
              <w:rPr>
                <w:rFonts w:cs="Arial"/>
                <w:b/>
                <w:bCs/>
                <w:sz w:val="18"/>
              </w:rPr>
            </w:pPr>
            <w:r w:rsidRPr="002D2395">
              <w:rPr>
                <w:rFonts w:cs="Arial"/>
                <w:b/>
                <w:bCs/>
                <w:sz w:val="18"/>
              </w:rPr>
              <w:t>2,237</w:t>
            </w:r>
          </w:p>
        </w:tc>
        <w:tc>
          <w:tcPr>
            <w:tcW w:w="1275" w:type="dxa"/>
            <w:tcBorders>
              <w:top w:val="single" w:sz="4" w:space="0" w:color="auto"/>
              <w:left w:val="single" w:sz="4" w:space="0" w:color="auto"/>
              <w:right w:val="single" w:sz="4" w:space="0" w:color="auto"/>
            </w:tcBorders>
            <w:shd w:val="clear" w:color="auto" w:fill="auto"/>
            <w:vAlign w:val="bottom"/>
            <w:hideMark/>
          </w:tcPr>
          <w:p w:rsidR="003117C2" w:rsidRPr="002D2395" w:rsidRDefault="003117C2" w:rsidP="00DC5E39">
            <w:pPr>
              <w:jc w:val="right"/>
              <w:rPr>
                <w:rFonts w:cs="Arial"/>
                <w:b/>
                <w:bCs/>
                <w:sz w:val="18"/>
              </w:rPr>
            </w:pPr>
            <w:r w:rsidRPr="002D2395">
              <w:rPr>
                <w:rFonts w:cs="Arial"/>
                <w:b/>
                <w:bCs/>
                <w:sz w:val="18"/>
              </w:rPr>
              <w:t>2,369</w:t>
            </w:r>
          </w:p>
        </w:tc>
        <w:tc>
          <w:tcPr>
            <w:tcW w:w="1418" w:type="dxa"/>
            <w:tcBorders>
              <w:top w:val="single" w:sz="4" w:space="0" w:color="auto"/>
              <w:left w:val="single" w:sz="4" w:space="0" w:color="auto"/>
              <w:right w:val="nil"/>
            </w:tcBorders>
            <w:shd w:val="clear" w:color="auto" w:fill="auto"/>
            <w:vAlign w:val="bottom"/>
            <w:hideMark/>
          </w:tcPr>
          <w:p w:rsidR="003117C2" w:rsidRPr="002D2395" w:rsidRDefault="00F31D9C" w:rsidP="00DC5E39">
            <w:pPr>
              <w:jc w:val="right"/>
              <w:rPr>
                <w:rFonts w:cs="Arial"/>
                <w:b/>
                <w:bCs/>
                <w:sz w:val="18"/>
              </w:rPr>
            </w:pPr>
            <w:r w:rsidRPr="002D2395">
              <w:rPr>
                <w:rFonts w:cs="Arial"/>
                <w:b/>
                <w:bCs/>
                <w:sz w:val="18"/>
              </w:rPr>
              <w:t>101</w:t>
            </w:r>
          </w:p>
        </w:tc>
        <w:tc>
          <w:tcPr>
            <w:tcW w:w="1417" w:type="dxa"/>
            <w:tcBorders>
              <w:top w:val="single" w:sz="4" w:space="0" w:color="auto"/>
              <w:left w:val="single" w:sz="4" w:space="0" w:color="auto"/>
              <w:right w:val="single" w:sz="4" w:space="0" w:color="auto"/>
            </w:tcBorders>
            <w:shd w:val="clear" w:color="auto" w:fill="auto"/>
            <w:vAlign w:val="bottom"/>
            <w:hideMark/>
          </w:tcPr>
          <w:p w:rsidR="003117C2" w:rsidRPr="002D2395" w:rsidRDefault="00F31D9C" w:rsidP="00DC5E39">
            <w:pPr>
              <w:jc w:val="right"/>
              <w:rPr>
                <w:rFonts w:cs="Arial"/>
                <w:b/>
                <w:bCs/>
                <w:sz w:val="18"/>
              </w:rPr>
            </w:pPr>
            <w:r w:rsidRPr="002D2395">
              <w:rPr>
                <w:rFonts w:cs="Arial"/>
                <w:b/>
                <w:bCs/>
                <w:sz w:val="18"/>
              </w:rPr>
              <w:t>4.3%</w:t>
            </w:r>
          </w:p>
        </w:tc>
        <w:tc>
          <w:tcPr>
            <w:tcW w:w="1276" w:type="dxa"/>
            <w:tcBorders>
              <w:top w:val="nil"/>
              <w:left w:val="nil"/>
              <w:bottom w:val="nil"/>
              <w:right w:val="single" w:sz="4" w:space="0" w:color="auto"/>
            </w:tcBorders>
            <w:shd w:val="clear" w:color="auto" w:fill="auto"/>
            <w:vAlign w:val="bottom"/>
            <w:hideMark/>
          </w:tcPr>
          <w:p w:rsidR="003117C2" w:rsidRPr="002D2395" w:rsidRDefault="003117C2" w:rsidP="006F5F70">
            <w:pPr>
              <w:jc w:val="right"/>
              <w:rPr>
                <w:rFonts w:cs="Arial"/>
                <w:b/>
                <w:bCs/>
                <w:sz w:val="18"/>
              </w:rPr>
            </w:pPr>
            <w:r w:rsidRPr="002D2395">
              <w:rPr>
                <w:rFonts w:cs="Arial"/>
                <w:b/>
                <w:bCs/>
                <w:sz w:val="18"/>
              </w:rPr>
              <w:t>2,4</w:t>
            </w:r>
            <w:r w:rsidR="006F5F70" w:rsidRPr="002D2395">
              <w:rPr>
                <w:rFonts w:cs="Arial"/>
                <w:b/>
                <w:bCs/>
                <w:sz w:val="18"/>
              </w:rPr>
              <w:t>70</w:t>
            </w:r>
          </w:p>
        </w:tc>
      </w:tr>
      <w:tr w:rsidR="003117C2" w:rsidRPr="002D2395" w:rsidTr="00DC5E39">
        <w:trPr>
          <w:cantSplit/>
        </w:trPr>
        <w:tc>
          <w:tcPr>
            <w:tcW w:w="3083" w:type="dxa"/>
            <w:tcBorders>
              <w:top w:val="nil"/>
              <w:left w:val="single" w:sz="4" w:space="0" w:color="auto"/>
              <w:bottom w:val="single" w:sz="4" w:space="0" w:color="auto"/>
              <w:right w:val="single" w:sz="4" w:space="0" w:color="auto"/>
            </w:tcBorders>
            <w:shd w:val="clear" w:color="auto" w:fill="auto"/>
            <w:vAlign w:val="bottom"/>
          </w:tcPr>
          <w:p w:rsidR="003117C2" w:rsidRPr="002D2395" w:rsidRDefault="003117C2" w:rsidP="00DC5E39">
            <w:pPr>
              <w:jc w:val="right"/>
              <w:rPr>
                <w:rFonts w:cs="Arial"/>
                <w:b/>
                <w:bCs/>
                <w:sz w:val="10"/>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3117C2" w:rsidRPr="002D2395" w:rsidRDefault="003117C2" w:rsidP="00DC5E39">
            <w:pPr>
              <w:jc w:val="right"/>
              <w:rPr>
                <w:rFonts w:cs="Arial"/>
                <w:b/>
                <w:bCs/>
                <w:sz w:val="10"/>
              </w:rPr>
            </w:pPr>
          </w:p>
        </w:tc>
        <w:tc>
          <w:tcPr>
            <w:tcW w:w="1275" w:type="dxa"/>
            <w:tcBorders>
              <w:top w:val="nil"/>
              <w:left w:val="single" w:sz="4" w:space="0" w:color="auto"/>
              <w:bottom w:val="single" w:sz="4" w:space="0" w:color="auto"/>
              <w:right w:val="single" w:sz="4" w:space="0" w:color="auto"/>
            </w:tcBorders>
            <w:shd w:val="clear" w:color="auto" w:fill="auto"/>
            <w:vAlign w:val="bottom"/>
          </w:tcPr>
          <w:p w:rsidR="003117C2" w:rsidRPr="002D2395" w:rsidRDefault="003117C2" w:rsidP="00DC5E39">
            <w:pPr>
              <w:jc w:val="right"/>
              <w:rPr>
                <w:rFonts w:cs="Arial"/>
                <w:b/>
                <w:bCs/>
                <w:sz w:val="10"/>
              </w:rPr>
            </w:pPr>
          </w:p>
        </w:tc>
        <w:tc>
          <w:tcPr>
            <w:tcW w:w="1418" w:type="dxa"/>
            <w:tcBorders>
              <w:top w:val="nil"/>
              <w:left w:val="single" w:sz="4" w:space="0" w:color="auto"/>
              <w:bottom w:val="single" w:sz="4" w:space="0" w:color="auto"/>
              <w:right w:val="nil"/>
            </w:tcBorders>
            <w:shd w:val="clear" w:color="auto" w:fill="auto"/>
            <w:vAlign w:val="bottom"/>
          </w:tcPr>
          <w:p w:rsidR="003117C2" w:rsidRPr="002D2395" w:rsidRDefault="003117C2" w:rsidP="00DC5E39">
            <w:pPr>
              <w:jc w:val="right"/>
              <w:rPr>
                <w:rFonts w:cs="Arial"/>
                <w:b/>
                <w:bCs/>
                <w:sz w:val="1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3117C2" w:rsidRPr="002D2395" w:rsidRDefault="003117C2" w:rsidP="00DC5E39">
            <w:pPr>
              <w:jc w:val="right"/>
              <w:rPr>
                <w:rFonts w:cs="Arial"/>
                <w:b/>
                <w:bCs/>
                <w:sz w:val="10"/>
              </w:rPr>
            </w:pPr>
          </w:p>
        </w:tc>
        <w:tc>
          <w:tcPr>
            <w:tcW w:w="1276" w:type="dxa"/>
            <w:tcBorders>
              <w:top w:val="nil"/>
              <w:left w:val="nil"/>
              <w:bottom w:val="nil"/>
              <w:right w:val="single" w:sz="4" w:space="0" w:color="auto"/>
            </w:tcBorders>
            <w:shd w:val="clear" w:color="auto" w:fill="auto"/>
            <w:vAlign w:val="bottom"/>
          </w:tcPr>
          <w:p w:rsidR="003117C2" w:rsidRPr="002D2395" w:rsidRDefault="003117C2" w:rsidP="00DC5E39">
            <w:pPr>
              <w:jc w:val="right"/>
              <w:rPr>
                <w:rFonts w:cs="Arial"/>
                <w:b/>
                <w:bCs/>
                <w:sz w:val="10"/>
              </w:rPr>
            </w:pPr>
          </w:p>
        </w:tc>
      </w:tr>
      <w:tr w:rsidR="003117C2" w:rsidRPr="00335CBC" w:rsidTr="00DC5E39">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jc w:val="center"/>
              <w:rPr>
                <w:rFonts w:cs="Arial"/>
                <w:b/>
                <w:bCs/>
                <w:sz w:val="18"/>
              </w:rPr>
            </w:pPr>
            <w:r w:rsidRPr="002D2395">
              <w:rPr>
                <w:rFonts w:cs="Arial"/>
                <w:b/>
                <w:bCs/>
                <w:sz w:val="18"/>
              </w:rPr>
              <w:t>GRAND TOTAL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jc w:val="right"/>
              <w:rPr>
                <w:rFonts w:cs="Arial"/>
                <w:b/>
                <w:bCs/>
                <w:sz w:val="18"/>
              </w:rPr>
            </w:pPr>
            <w:r w:rsidRPr="002D2395">
              <w:rPr>
                <w:rFonts w:cs="Arial"/>
                <w:b/>
                <w:bCs/>
                <w:sz w:val="18"/>
              </w:rPr>
              <w:t>6,285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jc w:val="right"/>
              <w:rPr>
                <w:rFonts w:cs="Arial"/>
                <w:b/>
                <w:bCs/>
                <w:sz w:val="18"/>
              </w:rPr>
            </w:pPr>
            <w:r w:rsidRPr="002D2395">
              <w:rPr>
                <w:rFonts w:cs="Arial"/>
                <w:b/>
                <w:bCs/>
                <w:sz w:val="18"/>
              </w:rPr>
              <w:t>6,794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6F5F70" w:rsidP="00DC5E39">
            <w:pPr>
              <w:jc w:val="right"/>
              <w:rPr>
                <w:rFonts w:cs="Arial"/>
                <w:b/>
                <w:bCs/>
                <w:sz w:val="18"/>
              </w:rPr>
            </w:pPr>
            <w:r w:rsidRPr="002D2395">
              <w:rPr>
                <w:rFonts w:cs="Arial"/>
                <w:b/>
                <w:bCs/>
                <w:sz w:val="18"/>
              </w:rPr>
              <w:t>29</w:t>
            </w:r>
          </w:p>
        </w:tc>
        <w:tc>
          <w:tcPr>
            <w:tcW w:w="1417" w:type="dxa"/>
            <w:tcBorders>
              <w:top w:val="nil"/>
              <w:left w:val="nil"/>
              <w:bottom w:val="single" w:sz="4" w:space="0" w:color="auto"/>
              <w:right w:val="single" w:sz="4" w:space="0" w:color="auto"/>
            </w:tcBorders>
            <w:shd w:val="clear" w:color="auto" w:fill="auto"/>
            <w:vAlign w:val="bottom"/>
            <w:hideMark/>
          </w:tcPr>
          <w:p w:rsidR="003117C2" w:rsidRPr="002D2395" w:rsidRDefault="003117C2" w:rsidP="006F5F70">
            <w:pPr>
              <w:jc w:val="right"/>
              <w:rPr>
                <w:rFonts w:cs="Arial"/>
                <w:b/>
                <w:bCs/>
                <w:sz w:val="18"/>
              </w:rPr>
            </w:pPr>
            <w:r w:rsidRPr="002D2395">
              <w:rPr>
                <w:rFonts w:cs="Arial"/>
                <w:b/>
                <w:bCs/>
                <w:sz w:val="18"/>
              </w:rPr>
              <w:t>0.</w:t>
            </w:r>
            <w:r w:rsidR="006F5F70" w:rsidRPr="002D2395">
              <w:rPr>
                <w:rFonts w:cs="Arial"/>
                <w:b/>
                <w:bCs/>
                <w:sz w:val="18"/>
              </w:rPr>
              <w:t>4</w:t>
            </w:r>
            <w:r w:rsidRPr="002D2395">
              <w:rPr>
                <w:rFonts w:cs="Arial"/>
                <w:b/>
                <w:bCs/>
                <w:sz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335CBC" w:rsidRDefault="003117C2" w:rsidP="006F5F70">
            <w:pPr>
              <w:jc w:val="right"/>
              <w:rPr>
                <w:rFonts w:cs="Arial"/>
                <w:b/>
                <w:bCs/>
                <w:sz w:val="18"/>
              </w:rPr>
            </w:pPr>
            <w:r w:rsidRPr="002D2395">
              <w:rPr>
                <w:rFonts w:cs="Arial"/>
                <w:b/>
                <w:bCs/>
                <w:sz w:val="18"/>
              </w:rPr>
              <w:t>6,8</w:t>
            </w:r>
            <w:r w:rsidR="006F5F70" w:rsidRPr="002D2395">
              <w:rPr>
                <w:rFonts w:cs="Arial"/>
                <w:b/>
                <w:bCs/>
                <w:sz w:val="18"/>
              </w:rPr>
              <w:t>23</w:t>
            </w:r>
          </w:p>
        </w:tc>
      </w:tr>
    </w:tbl>
    <w:p w:rsidR="003117C2" w:rsidRDefault="003117C2" w:rsidP="003117C2"/>
    <w:p w:rsidR="003117C2" w:rsidRDefault="003117C2" w:rsidP="003117C2">
      <w:pPr>
        <w:jc w:val="left"/>
      </w:pPr>
      <w:r>
        <w:br w:type="page"/>
      </w:r>
    </w:p>
    <w:p w:rsidR="003117C2" w:rsidRDefault="003117C2" w:rsidP="003117C2">
      <w:pPr>
        <w:tabs>
          <w:tab w:val="left" w:pos="567"/>
        </w:tabs>
      </w:pPr>
      <w:r w:rsidRPr="00DD6106">
        <w:t>3.9</w:t>
      </w:r>
      <w:r w:rsidRPr="00DD6106">
        <w:tab/>
      </w:r>
      <w:r w:rsidRPr="00DD6106">
        <w:rPr>
          <w:b/>
        </w:rPr>
        <w:t>Table 5</w:t>
      </w:r>
      <w:r w:rsidRPr="00DD6106">
        <w:t xml:space="preserve"> reflects the number of posts by grade clusters.  The post of the Secretary</w:t>
      </w:r>
      <w:r w:rsidRPr="00DD6106">
        <w:noBreakHyphen/>
        <w:t>General is included within this count, but at no cost, because the current Director General of WIPO has declined any salary or allowance from his functions as Secretary-General of UPOV</w:t>
      </w:r>
      <w:r>
        <w:t xml:space="preserve">. </w:t>
      </w:r>
    </w:p>
    <w:p w:rsidR="003117C2" w:rsidRDefault="003117C2" w:rsidP="003117C2">
      <w:pPr>
        <w:tabs>
          <w:tab w:val="left" w:pos="567"/>
        </w:tabs>
      </w:pPr>
    </w:p>
    <w:p w:rsidR="003117C2" w:rsidRPr="00FA1FDD" w:rsidRDefault="003117C2" w:rsidP="003117C2">
      <w:pPr>
        <w:tabs>
          <w:tab w:val="left" w:pos="567"/>
        </w:tabs>
        <w:rPr>
          <w:spacing w:val="-2"/>
        </w:rPr>
      </w:pPr>
      <w:r w:rsidRPr="00FA1FDD">
        <w:rPr>
          <w:spacing w:val="-2"/>
        </w:rPr>
        <w:t>3.10</w:t>
      </w:r>
      <w:r w:rsidRPr="00FA1FDD">
        <w:rPr>
          <w:spacing w:val="-2"/>
        </w:rPr>
        <w:tab/>
        <w:t xml:space="preserve">The Program and Budget for the </w:t>
      </w:r>
      <w:r w:rsidRPr="00FA1FDD">
        <w:rPr>
          <w:snapToGrid w:val="0"/>
          <w:spacing w:val="-2"/>
          <w:szCs w:val="24"/>
        </w:rPr>
        <w:t>2016­2017</w:t>
      </w:r>
      <w:r w:rsidRPr="00FA1FDD">
        <w:rPr>
          <w:spacing w:val="-2"/>
        </w:rPr>
        <w:t xml:space="preserve"> Biennium anticipates no increase in the number of posts.  The approach for providing improved services for an increasing membership and for satisfying requests for assistance by potential future members of the Union on that basis is set out in Sub-program UV.2 and Sub</w:t>
      </w:r>
      <w:r w:rsidRPr="00FA1FDD">
        <w:rPr>
          <w:spacing w:val="-2"/>
        </w:rPr>
        <w:noBreakHyphen/>
        <w:t>program UV.3.  The Program and Budget for the 2014-2015 Biennium anticipates three posts in the director category.  Currently, only two posts are filled in the director category.  In due course, and according to increased responsibilities, an upgrading of one of the posts currently classified in the professional category to the director category is anticipated for the future.  In addition, to cover the responsibilities for supervising external resources (e.g. administrative support for distance learning courses, administration of training and assistance) and the implementation of the communication strategy, it is proposed to upgrade a post in the General Service category to the Professional category.  In accordance with the approach in 2014-2015 Biennium, short-term support in the general service category will be used as necessary and within the budget.</w:t>
      </w:r>
    </w:p>
    <w:p w:rsidR="003117C2" w:rsidRDefault="003117C2" w:rsidP="003117C2">
      <w:pPr>
        <w:rPr>
          <w:spacing w:val="-2"/>
          <w:szCs w:val="24"/>
        </w:rPr>
      </w:pPr>
    </w:p>
    <w:p w:rsidR="003117C2" w:rsidRDefault="003117C2" w:rsidP="003117C2">
      <w:pPr>
        <w:jc w:val="center"/>
        <w:rPr>
          <w:rFonts w:cs="Arial"/>
          <w:b/>
          <w:bCs/>
        </w:rPr>
      </w:pPr>
      <w:r w:rsidRPr="00EF6A4B">
        <w:rPr>
          <w:rFonts w:cs="Arial"/>
          <w:b/>
          <w:bCs/>
        </w:rPr>
        <w:t xml:space="preserve">Table 5: </w:t>
      </w:r>
      <w:r>
        <w:rPr>
          <w:rFonts w:cs="Arial"/>
          <w:b/>
          <w:bCs/>
        </w:rPr>
        <w:t xml:space="preserve"> </w:t>
      </w:r>
      <w:r w:rsidRPr="00EF6A4B">
        <w:rPr>
          <w:rFonts w:cs="Arial"/>
          <w:b/>
          <w:bCs/>
        </w:rPr>
        <w:t>Budget 2016-2017:  Posts by Category</w:t>
      </w:r>
    </w:p>
    <w:p w:rsidR="003117C2" w:rsidRDefault="003117C2" w:rsidP="003117C2">
      <w:pPr>
        <w:jc w:val="center"/>
        <w:rPr>
          <w:spacing w:val="-2"/>
          <w:szCs w:val="24"/>
        </w:rPr>
      </w:pPr>
    </w:p>
    <w:tbl>
      <w:tblPr>
        <w:tblW w:w="6880" w:type="dxa"/>
        <w:jc w:val="center"/>
        <w:tblCellMar>
          <w:top w:w="57" w:type="dxa"/>
          <w:left w:w="57" w:type="dxa"/>
          <w:bottom w:w="28" w:type="dxa"/>
          <w:right w:w="57" w:type="dxa"/>
        </w:tblCellMar>
        <w:tblLook w:val="04A0" w:firstRow="1" w:lastRow="0" w:firstColumn="1" w:lastColumn="0" w:noHBand="0" w:noVBand="1"/>
      </w:tblPr>
      <w:tblGrid>
        <w:gridCol w:w="2160"/>
        <w:gridCol w:w="1140"/>
        <w:gridCol w:w="1140"/>
        <w:gridCol w:w="1100"/>
        <w:gridCol w:w="1340"/>
      </w:tblGrid>
      <w:tr w:rsidR="003117C2" w:rsidRPr="00EF6A4B" w:rsidTr="00DC5E39">
        <w:trPr>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117C2" w:rsidRPr="00EF6A4B" w:rsidRDefault="003117C2" w:rsidP="00DC5E39">
            <w:pPr>
              <w:jc w:val="left"/>
              <w:rPr>
                <w:rFonts w:cs="Arial"/>
                <w:b/>
                <w:bCs/>
                <w:i/>
                <w:iCs/>
                <w:sz w:val="18"/>
              </w:rPr>
            </w:pPr>
            <w:r w:rsidRPr="00EF6A4B">
              <w:rPr>
                <w:rFonts w:cs="Arial"/>
                <w:b/>
                <w:bCs/>
                <w:i/>
                <w:iCs/>
                <w:sz w:val="18"/>
              </w:rPr>
              <w:t>Post Category</w:t>
            </w:r>
          </w:p>
        </w:tc>
        <w:tc>
          <w:tcPr>
            <w:tcW w:w="1140" w:type="dxa"/>
            <w:tcBorders>
              <w:top w:val="single" w:sz="4" w:space="0" w:color="auto"/>
              <w:left w:val="nil"/>
              <w:bottom w:val="nil"/>
              <w:right w:val="single" w:sz="4" w:space="0" w:color="auto"/>
            </w:tcBorders>
            <w:shd w:val="clear" w:color="auto" w:fill="auto"/>
            <w:vAlign w:val="center"/>
            <w:hideMark/>
          </w:tcPr>
          <w:p w:rsidR="003117C2" w:rsidRPr="00EF6A4B" w:rsidRDefault="003117C2" w:rsidP="00DC5E39">
            <w:pPr>
              <w:jc w:val="center"/>
              <w:rPr>
                <w:rFonts w:cs="Arial"/>
                <w:b/>
                <w:bCs/>
                <w:i/>
                <w:iCs/>
                <w:sz w:val="18"/>
              </w:rPr>
            </w:pPr>
            <w:r w:rsidRPr="00EF6A4B">
              <w:rPr>
                <w:rFonts w:cs="Arial"/>
                <w:b/>
                <w:bCs/>
                <w:i/>
                <w:iCs/>
                <w:sz w:val="18"/>
              </w:rPr>
              <w:t>2012-</w:t>
            </w:r>
            <w:r>
              <w:rPr>
                <w:rFonts w:cs="Arial"/>
                <w:b/>
                <w:bCs/>
                <w:i/>
                <w:iCs/>
                <w:sz w:val="18"/>
              </w:rPr>
              <w:t>20</w:t>
            </w:r>
            <w:r w:rsidRPr="00EF6A4B">
              <w:rPr>
                <w:rFonts w:cs="Arial"/>
                <w:b/>
                <w:bCs/>
                <w:i/>
                <w:iCs/>
                <w:sz w:val="18"/>
              </w:rPr>
              <w:t>13</w:t>
            </w:r>
          </w:p>
        </w:tc>
        <w:tc>
          <w:tcPr>
            <w:tcW w:w="1140" w:type="dxa"/>
            <w:tcBorders>
              <w:top w:val="single" w:sz="4" w:space="0" w:color="auto"/>
              <w:left w:val="nil"/>
              <w:bottom w:val="nil"/>
              <w:right w:val="single" w:sz="4" w:space="0" w:color="auto"/>
            </w:tcBorders>
            <w:shd w:val="clear" w:color="auto" w:fill="auto"/>
            <w:vAlign w:val="center"/>
            <w:hideMark/>
          </w:tcPr>
          <w:p w:rsidR="003117C2" w:rsidRPr="00EF6A4B" w:rsidRDefault="003117C2" w:rsidP="00DC5E39">
            <w:pPr>
              <w:jc w:val="center"/>
              <w:rPr>
                <w:rFonts w:cs="Arial"/>
                <w:b/>
                <w:bCs/>
                <w:i/>
                <w:iCs/>
                <w:sz w:val="18"/>
              </w:rPr>
            </w:pPr>
            <w:r w:rsidRPr="00EF6A4B">
              <w:rPr>
                <w:rFonts w:cs="Arial"/>
                <w:b/>
                <w:bCs/>
                <w:i/>
                <w:iCs/>
                <w:sz w:val="18"/>
              </w:rPr>
              <w:t>2014-</w:t>
            </w:r>
            <w:r>
              <w:rPr>
                <w:rFonts w:cs="Arial"/>
                <w:b/>
                <w:bCs/>
                <w:i/>
                <w:iCs/>
                <w:sz w:val="18"/>
              </w:rPr>
              <w:t>20</w:t>
            </w:r>
            <w:r w:rsidRPr="00EF6A4B">
              <w:rPr>
                <w:rFonts w:cs="Arial"/>
                <w:b/>
                <w:bCs/>
                <w:i/>
                <w:iCs/>
                <w:sz w:val="18"/>
              </w:rPr>
              <w:t>15</w:t>
            </w:r>
          </w:p>
        </w:tc>
        <w:tc>
          <w:tcPr>
            <w:tcW w:w="1100" w:type="dxa"/>
            <w:tcBorders>
              <w:top w:val="single" w:sz="4" w:space="0" w:color="auto"/>
              <w:left w:val="nil"/>
              <w:bottom w:val="nil"/>
              <w:right w:val="single" w:sz="4" w:space="0" w:color="auto"/>
            </w:tcBorders>
            <w:shd w:val="clear" w:color="auto" w:fill="auto"/>
            <w:vAlign w:val="center"/>
            <w:hideMark/>
          </w:tcPr>
          <w:p w:rsidR="003117C2" w:rsidRPr="00EF6A4B" w:rsidRDefault="003117C2" w:rsidP="00DC5E39">
            <w:pPr>
              <w:jc w:val="center"/>
              <w:rPr>
                <w:rFonts w:cs="Arial"/>
                <w:b/>
                <w:bCs/>
                <w:i/>
                <w:iCs/>
                <w:sz w:val="18"/>
              </w:rPr>
            </w:pPr>
            <w:r w:rsidRPr="00EF6A4B">
              <w:rPr>
                <w:rFonts w:cs="Arial"/>
                <w:b/>
                <w:bCs/>
                <w:i/>
                <w:iCs/>
                <w:sz w:val="18"/>
              </w:rPr>
              <w:t>Variation</w:t>
            </w:r>
          </w:p>
        </w:tc>
        <w:tc>
          <w:tcPr>
            <w:tcW w:w="1340" w:type="dxa"/>
            <w:tcBorders>
              <w:top w:val="single" w:sz="4" w:space="0" w:color="auto"/>
              <w:left w:val="nil"/>
              <w:bottom w:val="nil"/>
              <w:right w:val="single" w:sz="4" w:space="0" w:color="auto"/>
            </w:tcBorders>
            <w:shd w:val="clear" w:color="auto" w:fill="auto"/>
            <w:vAlign w:val="center"/>
            <w:hideMark/>
          </w:tcPr>
          <w:p w:rsidR="003117C2" w:rsidRPr="00EF6A4B" w:rsidRDefault="003117C2" w:rsidP="00DC5E39">
            <w:pPr>
              <w:jc w:val="center"/>
              <w:rPr>
                <w:rFonts w:cs="Arial"/>
                <w:b/>
                <w:bCs/>
                <w:i/>
                <w:iCs/>
                <w:sz w:val="18"/>
              </w:rPr>
            </w:pPr>
            <w:r w:rsidRPr="00EF6A4B">
              <w:rPr>
                <w:rFonts w:cs="Arial"/>
                <w:b/>
                <w:bCs/>
                <w:i/>
                <w:iCs/>
                <w:sz w:val="18"/>
              </w:rPr>
              <w:t>2016-2017 Proposed</w:t>
            </w:r>
          </w:p>
        </w:tc>
      </w:tr>
      <w:tr w:rsidR="003117C2" w:rsidRPr="00EF6A4B" w:rsidTr="00DC5E39">
        <w:trPr>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3117C2" w:rsidRPr="00EF6A4B" w:rsidRDefault="003117C2" w:rsidP="00DC5E39">
            <w:pPr>
              <w:jc w:val="left"/>
              <w:rPr>
                <w:rFonts w:cs="Arial"/>
                <w:b/>
                <w:bCs/>
                <w:i/>
                <w:iCs/>
                <w:sz w:val="18"/>
              </w:rPr>
            </w:pP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i/>
                <w:iCs/>
                <w:sz w:val="18"/>
              </w:rPr>
            </w:pPr>
            <w:r w:rsidRPr="00EF6A4B">
              <w:rPr>
                <w:rFonts w:cs="Arial"/>
                <w:b/>
                <w:bCs/>
                <w:i/>
                <w:iCs/>
                <w:sz w:val="18"/>
              </w:rPr>
              <w:t>A</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i/>
                <w:iCs/>
                <w:sz w:val="18"/>
              </w:rPr>
            </w:pPr>
            <w:r w:rsidRPr="00EF6A4B">
              <w:rPr>
                <w:rFonts w:cs="Arial"/>
                <w:b/>
                <w:bCs/>
                <w:i/>
                <w:iCs/>
                <w:sz w:val="18"/>
              </w:rPr>
              <w:t>B</w:t>
            </w:r>
          </w:p>
        </w:tc>
        <w:tc>
          <w:tcPr>
            <w:tcW w:w="110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i/>
                <w:iCs/>
                <w:sz w:val="18"/>
              </w:rPr>
            </w:pPr>
            <w:r w:rsidRPr="00EF6A4B">
              <w:rPr>
                <w:rFonts w:cs="Arial"/>
                <w:b/>
                <w:bCs/>
                <w:i/>
                <w:iCs/>
                <w:sz w:val="18"/>
              </w:rPr>
              <w:t>C-B</w:t>
            </w:r>
          </w:p>
        </w:tc>
        <w:tc>
          <w:tcPr>
            <w:tcW w:w="13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i/>
                <w:iCs/>
                <w:sz w:val="18"/>
              </w:rPr>
            </w:pPr>
            <w:r w:rsidRPr="00EF6A4B">
              <w:rPr>
                <w:rFonts w:cs="Arial"/>
                <w:b/>
                <w:bCs/>
                <w:i/>
                <w:iCs/>
                <w:sz w:val="18"/>
              </w:rPr>
              <w:t>C</w:t>
            </w:r>
          </w:p>
        </w:tc>
      </w:tr>
      <w:tr w:rsidR="003117C2" w:rsidRPr="00EF6A4B" w:rsidTr="001A05E3">
        <w:trPr>
          <w:jc w:val="center"/>
        </w:trPr>
        <w:tc>
          <w:tcPr>
            <w:tcW w:w="2160" w:type="dxa"/>
            <w:tcBorders>
              <w:top w:val="nil"/>
              <w:left w:val="single" w:sz="4" w:space="0" w:color="auto"/>
              <w:right w:val="single" w:sz="4" w:space="0" w:color="auto"/>
            </w:tcBorders>
            <w:shd w:val="clear" w:color="auto" w:fill="auto"/>
            <w:hideMark/>
          </w:tcPr>
          <w:p w:rsidR="003117C2" w:rsidRPr="00EF6A4B" w:rsidRDefault="003117C2" w:rsidP="00DC5E39">
            <w:pPr>
              <w:rPr>
                <w:rFonts w:cs="Arial"/>
                <w:sz w:val="10"/>
              </w:rPr>
            </w:pPr>
            <w:r w:rsidRPr="00EF6A4B">
              <w:rPr>
                <w:rFonts w:cs="Arial"/>
                <w:sz w:val="10"/>
              </w:rPr>
              <w:t> </w:t>
            </w:r>
          </w:p>
        </w:tc>
        <w:tc>
          <w:tcPr>
            <w:tcW w:w="1140" w:type="dxa"/>
            <w:tcBorders>
              <w:top w:val="nil"/>
              <w:left w:val="nil"/>
              <w:right w:val="single" w:sz="4" w:space="0" w:color="auto"/>
            </w:tcBorders>
            <w:shd w:val="clear" w:color="auto" w:fill="auto"/>
          </w:tcPr>
          <w:p w:rsidR="003117C2" w:rsidRPr="00EF6A4B" w:rsidRDefault="003117C2" w:rsidP="00DC5E39">
            <w:pPr>
              <w:jc w:val="center"/>
              <w:rPr>
                <w:rFonts w:cs="Arial"/>
                <w:sz w:val="10"/>
              </w:rPr>
            </w:pPr>
          </w:p>
        </w:tc>
        <w:tc>
          <w:tcPr>
            <w:tcW w:w="1140" w:type="dxa"/>
            <w:tcBorders>
              <w:top w:val="nil"/>
              <w:left w:val="nil"/>
              <w:right w:val="single" w:sz="4" w:space="0" w:color="auto"/>
            </w:tcBorders>
            <w:shd w:val="clear" w:color="auto" w:fill="auto"/>
          </w:tcPr>
          <w:p w:rsidR="003117C2" w:rsidRPr="00EF6A4B" w:rsidRDefault="003117C2" w:rsidP="00DC5E39">
            <w:pPr>
              <w:jc w:val="center"/>
              <w:rPr>
                <w:rFonts w:cs="Arial"/>
                <w:sz w:val="10"/>
              </w:rPr>
            </w:pPr>
          </w:p>
        </w:tc>
        <w:tc>
          <w:tcPr>
            <w:tcW w:w="1100" w:type="dxa"/>
            <w:tcBorders>
              <w:top w:val="nil"/>
              <w:left w:val="nil"/>
              <w:right w:val="single" w:sz="4" w:space="0" w:color="auto"/>
            </w:tcBorders>
            <w:shd w:val="clear" w:color="auto" w:fill="auto"/>
          </w:tcPr>
          <w:p w:rsidR="003117C2" w:rsidRPr="00EF6A4B" w:rsidRDefault="003117C2" w:rsidP="00DC5E39">
            <w:pPr>
              <w:jc w:val="left"/>
              <w:rPr>
                <w:rFonts w:cs="Arial"/>
                <w:sz w:val="10"/>
              </w:rPr>
            </w:pPr>
          </w:p>
        </w:tc>
        <w:tc>
          <w:tcPr>
            <w:tcW w:w="1340" w:type="dxa"/>
            <w:tcBorders>
              <w:top w:val="nil"/>
              <w:left w:val="nil"/>
              <w:right w:val="single" w:sz="4" w:space="0" w:color="auto"/>
            </w:tcBorders>
            <w:shd w:val="clear" w:color="auto" w:fill="auto"/>
          </w:tcPr>
          <w:p w:rsidR="003117C2" w:rsidRPr="00EF6A4B" w:rsidRDefault="003117C2" w:rsidP="00DC5E39">
            <w:pPr>
              <w:jc w:val="center"/>
              <w:rPr>
                <w:rFonts w:cs="Arial"/>
                <w:sz w:val="10"/>
              </w:rPr>
            </w:pPr>
          </w:p>
        </w:tc>
      </w:tr>
      <w:tr w:rsidR="003117C2" w:rsidRPr="00EF6A4B" w:rsidTr="00670E0A">
        <w:trPr>
          <w:jc w:val="center"/>
        </w:trPr>
        <w:tc>
          <w:tcPr>
            <w:tcW w:w="2160" w:type="dxa"/>
            <w:tcBorders>
              <w:left w:val="single" w:sz="4" w:space="0" w:color="auto"/>
              <w:bottom w:val="single" w:sz="4" w:space="0" w:color="auto"/>
              <w:right w:val="single" w:sz="4" w:space="0" w:color="auto"/>
            </w:tcBorders>
            <w:shd w:val="clear" w:color="auto" w:fill="auto"/>
            <w:hideMark/>
          </w:tcPr>
          <w:p w:rsidR="003117C2" w:rsidRPr="00EF6A4B" w:rsidRDefault="003117C2" w:rsidP="00DC5E39">
            <w:pPr>
              <w:rPr>
                <w:rFonts w:cs="Arial"/>
                <w:sz w:val="18"/>
              </w:rPr>
            </w:pPr>
            <w:r w:rsidRPr="00EF6A4B">
              <w:rPr>
                <w:rFonts w:cs="Arial"/>
                <w:sz w:val="18"/>
              </w:rPr>
              <w:t>Directors</w:t>
            </w:r>
          </w:p>
        </w:tc>
        <w:tc>
          <w:tcPr>
            <w:tcW w:w="1140" w:type="dxa"/>
            <w:tcBorders>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2</w:t>
            </w:r>
          </w:p>
        </w:tc>
        <w:tc>
          <w:tcPr>
            <w:tcW w:w="1140" w:type="dxa"/>
            <w:tcBorders>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3</w:t>
            </w:r>
          </w:p>
        </w:tc>
        <w:tc>
          <w:tcPr>
            <w:tcW w:w="1100" w:type="dxa"/>
            <w:tcBorders>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w:t>
            </w:r>
          </w:p>
        </w:tc>
        <w:tc>
          <w:tcPr>
            <w:tcW w:w="1340" w:type="dxa"/>
            <w:tcBorders>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3</w:t>
            </w:r>
          </w:p>
        </w:tc>
      </w:tr>
      <w:tr w:rsidR="003117C2" w:rsidRPr="00EF6A4B" w:rsidTr="00DC5E39">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3117C2" w:rsidRPr="00EF6A4B" w:rsidRDefault="003117C2" w:rsidP="00DC5E39">
            <w:pPr>
              <w:rPr>
                <w:rFonts w:cs="Arial"/>
                <w:sz w:val="18"/>
              </w:rPr>
            </w:pPr>
            <w:r w:rsidRPr="00EF6A4B">
              <w:rPr>
                <w:rFonts w:cs="Arial"/>
                <w:sz w:val="18"/>
              </w:rPr>
              <w:t>Professionals</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4</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4</w:t>
            </w:r>
          </w:p>
        </w:tc>
        <w:tc>
          <w:tcPr>
            <w:tcW w:w="110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4</w:t>
            </w:r>
          </w:p>
        </w:tc>
      </w:tr>
      <w:tr w:rsidR="003117C2" w:rsidRPr="00EF6A4B" w:rsidTr="00DC5E39">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3117C2" w:rsidRPr="00EF6A4B" w:rsidRDefault="003117C2" w:rsidP="00DC5E39">
            <w:pPr>
              <w:rPr>
                <w:rFonts w:cs="Arial"/>
                <w:sz w:val="18"/>
              </w:rPr>
            </w:pPr>
            <w:r w:rsidRPr="00EF6A4B">
              <w:rPr>
                <w:rFonts w:cs="Arial"/>
                <w:sz w:val="18"/>
              </w:rPr>
              <w:t>General Service</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5</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4</w:t>
            </w:r>
          </w:p>
        </w:tc>
        <w:tc>
          <w:tcPr>
            <w:tcW w:w="110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4</w:t>
            </w:r>
          </w:p>
        </w:tc>
      </w:tr>
      <w:tr w:rsidR="003117C2" w:rsidRPr="00EF6A4B" w:rsidTr="00DC5E39">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3117C2" w:rsidRPr="00EF6A4B" w:rsidRDefault="003117C2" w:rsidP="00DC5E39">
            <w:pPr>
              <w:jc w:val="center"/>
              <w:rPr>
                <w:rFonts w:cs="Arial"/>
                <w:b/>
                <w:bCs/>
                <w:sz w:val="18"/>
              </w:rPr>
            </w:pPr>
            <w:r w:rsidRPr="00EF6A4B">
              <w:rPr>
                <w:rFonts w:cs="Arial"/>
                <w:b/>
                <w:bCs/>
                <w:sz w:val="18"/>
              </w:rPr>
              <w:t>Total</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sz w:val="18"/>
              </w:rPr>
            </w:pPr>
            <w:r w:rsidRPr="00EF6A4B">
              <w:rPr>
                <w:rFonts w:cs="Arial"/>
                <w:b/>
                <w:bCs/>
                <w:sz w:val="18"/>
              </w:rPr>
              <w:t>11</w:t>
            </w:r>
          </w:p>
        </w:tc>
        <w:tc>
          <w:tcPr>
            <w:tcW w:w="11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sz w:val="18"/>
              </w:rPr>
            </w:pPr>
            <w:r w:rsidRPr="00EF6A4B">
              <w:rPr>
                <w:rFonts w:cs="Arial"/>
                <w:b/>
                <w:bCs/>
                <w:sz w:val="18"/>
              </w:rPr>
              <w:t>11</w:t>
            </w:r>
          </w:p>
        </w:tc>
        <w:tc>
          <w:tcPr>
            <w:tcW w:w="110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sz w:val="18"/>
              </w:rPr>
            </w:pPr>
            <w:r w:rsidRPr="00EF6A4B">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3117C2" w:rsidRPr="00EF6A4B" w:rsidRDefault="003117C2" w:rsidP="00DC5E39">
            <w:pPr>
              <w:jc w:val="center"/>
              <w:rPr>
                <w:rFonts w:cs="Arial"/>
                <w:b/>
                <w:bCs/>
                <w:sz w:val="18"/>
              </w:rPr>
            </w:pPr>
            <w:r w:rsidRPr="00EF6A4B">
              <w:rPr>
                <w:rFonts w:cs="Arial"/>
                <w:b/>
                <w:bCs/>
                <w:sz w:val="18"/>
              </w:rPr>
              <w:t>11</w:t>
            </w:r>
          </w:p>
        </w:tc>
      </w:tr>
    </w:tbl>
    <w:p w:rsidR="003117C2" w:rsidRDefault="003117C2" w:rsidP="003117C2">
      <w:pPr>
        <w:rPr>
          <w:spacing w:val="-2"/>
          <w:szCs w:val="24"/>
        </w:rPr>
      </w:pPr>
    </w:p>
    <w:p w:rsidR="003117C2" w:rsidRDefault="003117C2" w:rsidP="003117C2">
      <w:pPr>
        <w:jc w:val="left"/>
        <w:rPr>
          <w:color w:val="000000"/>
        </w:rPr>
      </w:pPr>
      <w:bookmarkStart w:id="10" w:name="OLE_LINK9"/>
      <w:bookmarkStart w:id="11" w:name="OLE_LINK10"/>
      <w:r>
        <w:rPr>
          <w:color w:val="000000"/>
        </w:rPr>
        <w:br w:type="page"/>
      </w:r>
    </w:p>
    <w:p w:rsidR="003117C2" w:rsidRPr="00DD6106" w:rsidRDefault="003117C2" w:rsidP="003117C2">
      <w:pPr>
        <w:tabs>
          <w:tab w:val="left" w:pos="567"/>
        </w:tabs>
      </w:pPr>
      <w:r w:rsidRPr="00FC2170">
        <w:rPr>
          <w:color w:val="000000"/>
        </w:rPr>
        <w:t>3.11</w:t>
      </w:r>
      <w:bookmarkEnd w:id="10"/>
      <w:bookmarkEnd w:id="11"/>
      <w:r w:rsidRPr="00DD6106">
        <w:tab/>
      </w:r>
      <w:r w:rsidRPr="00DD6106">
        <w:rPr>
          <w:b/>
        </w:rPr>
        <w:t>Table 6</w:t>
      </w:r>
      <w:r w:rsidRPr="00DD6106">
        <w:t xml:space="preserve"> provides the proposed budget allocation by sub-program.</w:t>
      </w:r>
    </w:p>
    <w:p w:rsidR="003117C2" w:rsidRPr="00DD6106" w:rsidRDefault="003117C2" w:rsidP="003117C2">
      <w:pPr>
        <w:tabs>
          <w:tab w:val="left" w:pos="567"/>
        </w:tabs>
      </w:pPr>
    </w:p>
    <w:p w:rsidR="003117C2" w:rsidRPr="00DD6106" w:rsidRDefault="003117C2" w:rsidP="003117C2">
      <w:pPr>
        <w:tabs>
          <w:tab w:val="left" w:pos="567"/>
        </w:tabs>
      </w:pPr>
      <w:r w:rsidRPr="00FC2170">
        <w:rPr>
          <w:color w:val="000000"/>
        </w:rPr>
        <w:t>3.1</w:t>
      </w:r>
      <w:r>
        <w:rPr>
          <w:color w:val="000000"/>
        </w:rPr>
        <w:t>2</w:t>
      </w:r>
      <w:r w:rsidRPr="00DD6106">
        <w:tab/>
        <w:t xml:space="preserve">The proposed Program and Budget for the </w:t>
      </w:r>
      <w:r w:rsidRPr="0044380F">
        <w:rPr>
          <w:snapToGrid w:val="0"/>
          <w:spacing w:val="-2"/>
          <w:szCs w:val="24"/>
        </w:rPr>
        <w:t>201</w:t>
      </w:r>
      <w:r>
        <w:rPr>
          <w:snapToGrid w:val="0"/>
          <w:spacing w:val="-2"/>
          <w:szCs w:val="24"/>
        </w:rPr>
        <w:t>6­</w:t>
      </w:r>
      <w:r w:rsidRPr="0044380F">
        <w:rPr>
          <w:snapToGrid w:val="0"/>
          <w:spacing w:val="-2"/>
          <w:szCs w:val="24"/>
        </w:rPr>
        <w:t>201</w:t>
      </w:r>
      <w:r>
        <w:rPr>
          <w:snapToGrid w:val="0"/>
          <w:spacing w:val="-2"/>
          <w:szCs w:val="24"/>
        </w:rPr>
        <w:t>7</w:t>
      </w:r>
      <w:r w:rsidRPr="00DD6106">
        <w:t xml:space="preserve"> Biennium is split into four sub­programs:  </w:t>
      </w:r>
    </w:p>
    <w:p w:rsidR="003117C2" w:rsidRPr="00DD6106" w:rsidRDefault="003117C2" w:rsidP="003117C2">
      <w:pPr>
        <w:tabs>
          <w:tab w:val="left" w:pos="567"/>
        </w:tabs>
      </w:pPr>
    </w:p>
    <w:p w:rsidR="003117C2" w:rsidRPr="00DD6106" w:rsidRDefault="003117C2" w:rsidP="003117C2">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3117C2" w:rsidRPr="00DD6106" w:rsidRDefault="003117C2" w:rsidP="003117C2">
      <w:pPr>
        <w:ind w:left="1417" w:hanging="850"/>
      </w:pPr>
      <w:r w:rsidRPr="00DD6106">
        <w:t>UV.2:</w:t>
      </w:r>
      <w:r w:rsidRPr="00DD6106">
        <w:tab/>
        <w:t>Services to the Union for Enhancing the Effectiveness of the UPOV System</w:t>
      </w:r>
    </w:p>
    <w:p w:rsidR="003117C2" w:rsidRPr="00DD6106" w:rsidRDefault="003117C2" w:rsidP="003117C2">
      <w:pPr>
        <w:ind w:left="1417" w:hanging="850"/>
      </w:pPr>
      <w:r w:rsidRPr="00DD6106">
        <w:t>UV.3:</w:t>
      </w:r>
      <w:r w:rsidRPr="00DD6106">
        <w:tab/>
        <w:t xml:space="preserve">Assistance </w:t>
      </w:r>
      <w:r>
        <w:t>in</w:t>
      </w:r>
      <w:r w:rsidRPr="00DD6106">
        <w:t xml:space="preserve"> the Introduction and Implementation of the UPOV System</w:t>
      </w:r>
    </w:p>
    <w:p w:rsidR="003117C2" w:rsidRPr="00DD6106" w:rsidRDefault="003117C2" w:rsidP="003117C2">
      <w:pPr>
        <w:ind w:left="1417" w:hanging="850"/>
      </w:pPr>
      <w:r w:rsidRPr="00DD6106">
        <w:rPr>
          <w:bCs/>
          <w:szCs w:val="24"/>
        </w:rPr>
        <w:t>UV.4:</w:t>
      </w:r>
      <w:r w:rsidRPr="00DD6106">
        <w:rPr>
          <w:bCs/>
          <w:szCs w:val="24"/>
        </w:rPr>
        <w:tab/>
        <w:t>External Relations</w:t>
      </w:r>
    </w:p>
    <w:p w:rsidR="003117C2" w:rsidRPr="00DD6106" w:rsidRDefault="003117C2" w:rsidP="003117C2">
      <w:pPr>
        <w:tabs>
          <w:tab w:val="left" w:pos="567"/>
        </w:tabs>
      </w:pPr>
    </w:p>
    <w:p w:rsidR="003117C2" w:rsidRPr="00FA1FDD" w:rsidRDefault="003117C2" w:rsidP="003117C2">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3117C2" w:rsidRDefault="003117C2" w:rsidP="003117C2">
      <w:pPr>
        <w:jc w:val="left"/>
        <w:rPr>
          <w:rFonts w:cs="Arial"/>
          <w:b/>
          <w:bCs/>
        </w:rPr>
      </w:pPr>
    </w:p>
    <w:p w:rsidR="003117C2" w:rsidRDefault="003117C2" w:rsidP="003117C2">
      <w:pPr>
        <w:keepNext/>
        <w:jc w:val="center"/>
        <w:rPr>
          <w:rFonts w:cs="Arial"/>
        </w:rPr>
      </w:pPr>
      <w:r w:rsidRPr="00EF6A4B">
        <w:rPr>
          <w:rFonts w:cs="Arial"/>
          <w:b/>
          <w:bCs/>
        </w:rPr>
        <w:t>Table 6:</w:t>
      </w:r>
      <w:r>
        <w:rPr>
          <w:rFonts w:cs="Arial"/>
          <w:b/>
          <w:bCs/>
        </w:rPr>
        <w:t xml:space="preserve"> </w:t>
      </w:r>
      <w:r w:rsidRPr="00EF6A4B">
        <w:rPr>
          <w:rFonts w:cs="Arial"/>
          <w:b/>
          <w:bCs/>
        </w:rPr>
        <w:t xml:space="preserve"> Proposed Budget 2016-</w:t>
      </w:r>
      <w:r>
        <w:rPr>
          <w:rFonts w:cs="Arial"/>
          <w:b/>
          <w:bCs/>
        </w:rPr>
        <w:t>20</w:t>
      </w:r>
      <w:r w:rsidRPr="00EF6A4B">
        <w:rPr>
          <w:rFonts w:cs="Arial"/>
          <w:b/>
          <w:bCs/>
        </w:rPr>
        <w:t>17: Allocation by Object of Expenditure</w:t>
      </w:r>
      <w:r>
        <w:rPr>
          <w:rFonts w:cs="Arial"/>
          <w:b/>
          <w:bCs/>
        </w:rPr>
        <w:br/>
      </w:r>
      <w:r w:rsidRPr="00EF6A4B">
        <w:rPr>
          <w:rFonts w:cs="Arial"/>
        </w:rPr>
        <w:t>(in thousands of Swiss francs)</w:t>
      </w:r>
    </w:p>
    <w:p w:rsidR="003117C2" w:rsidRDefault="003117C2" w:rsidP="003117C2">
      <w:pPr>
        <w:keepNext/>
        <w:jc w:val="center"/>
        <w:rPr>
          <w:spacing w:val="-2"/>
          <w:szCs w:val="24"/>
        </w:rPr>
      </w:pPr>
    </w:p>
    <w:tbl>
      <w:tblPr>
        <w:tblW w:w="0" w:type="auto"/>
        <w:jc w:val="center"/>
        <w:tblCellMar>
          <w:top w:w="57" w:type="dxa"/>
          <w:left w:w="57" w:type="dxa"/>
          <w:bottom w:w="28" w:type="dxa"/>
          <w:right w:w="57" w:type="dxa"/>
        </w:tblCellMar>
        <w:tblLook w:val="04A0" w:firstRow="1" w:lastRow="0" w:firstColumn="1" w:lastColumn="0" w:noHBand="0" w:noVBand="1"/>
      </w:tblPr>
      <w:tblGrid>
        <w:gridCol w:w="1078"/>
        <w:gridCol w:w="3327"/>
        <w:gridCol w:w="1007"/>
        <w:gridCol w:w="1026"/>
        <w:gridCol w:w="1010"/>
        <w:gridCol w:w="1017"/>
        <w:gridCol w:w="1021"/>
      </w:tblGrid>
      <w:tr w:rsidR="003117C2" w:rsidRPr="00264B34" w:rsidTr="004F001B">
        <w:trPr>
          <w:jc w:val="center"/>
        </w:trPr>
        <w:tc>
          <w:tcPr>
            <w:tcW w:w="1078" w:type="dxa"/>
            <w:tcBorders>
              <w:top w:val="single" w:sz="4" w:space="0" w:color="auto"/>
              <w:left w:val="single" w:sz="4" w:space="0" w:color="auto"/>
              <w:bottom w:val="nil"/>
              <w:right w:val="nil"/>
            </w:tcBorders>
            <w:shd w:val="clear" w:color="auto" w:fill="auto"/>
            <w:vAlign w:val="bottom"/>
            <w:hideMark/>
          </w:tcPr>
          <w:p w:rsidR="003117C2" w:rsidRPr="00264B34" w:rsidRDefault="003117C2" w:rsidP="00DC5E39">
            <w:pPr>
              <w:keepNext/>
              <w:jc w:val="left"/>
              <w:rPr>
                <w:rFonts w:cs="Arial"/>
                <w:b/>
                <w:bCs/>
                <w:sz w:val="18"/>
              </w:rPr>
            </w:pPr>
            <w:r w:rsidRPr="00264B34">
              <w:rPr>
                <w:rFonts w:cs="Arial"/>
                <w:b/>
                <w:bCs/>
                <w:sz w:val="18"/>
              </w:rPr>
              <w:t> </w:t>
            </w:r>
          </w:p>
        </w:tc>
        <w:tc>
          <w:tcPr>
            <w:tcW w:w="3327" w:type="dxa"/>
            <w:tcBorders>
              <w:top w:val="single" w:sz="4" w:space="0" w:color="auto"/>
              <w:left w:val="nil"/>
              <w:bottom w:val="nil"/>
              <w:right w:val="nil"/>
            </w:tcBorders>
            <w:shd w:val="clear" w:color="auto" w:fill="auto"/>
            <w:vAlign w:val="bottom"/>
            <w:hideMark/>
          </w:tcPr>
          <w:p w:rsidR="003117C2" w:rsidRPr="00264B34" w:rsidRDefault="003117C2" w:rsidP="00DC5E39">
            <w:pPr>
              <w:keepNext/>
              <w:jc w:val="left"/>
              <w:rPr>
                <w:rFonts w:cs="Arial"/>
                <w:b/>
                <w:bCs/>
                <w:sz w:val="18"/>
              </w:rPr>
            </w:pPr>
            <w:r w:rsidRPr="00264B34">
              <w:rPr>
                <w:rFonts w:cs="Arial"/>
                <w:b/>
                <w:bCs/>
                <w:sz w:val="18"/>
              </w:rPr>
              <w:t> </w:t>
            </w:r>
          </w:p>
        </w:tc>
        <w:tc>
          <w:tcPr>
            <w:tcW w:w="4060" w:type="dxa"/>
            <w:gridSpan w:val="4"/>
            <w:tcBorders>
              <w:top w:val="single" w:sz="4" w:space="0" w:color="auto"/>
              <w:left w:val="single" w:sz="4" w:space="0" w:color="auto"/>
              <w:bottom w:val="nil"/>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Sub-program</w:t>
            </w:r>
          </w:p>
        </w:tc>
        <w:tc>
          <w:tcPr>
            <w:tcW w:w="1021" w:type="dxa"/>
            <w:tcBorders>
              <w:top w:val="single" w:sz="4" w:space="0" w:color="auto"/>
              <w:left w:val="nil"/>
              <w:bottom w:val="nil"/>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 </w:t>
            </w:r>
          </w:p>
        </w:tc>
      </w:tr>
      <w:tr w:rsidR="003117C2" w:rsidRPr="00264B34" w:rsidTr="004F001B">
        <w:trPr>
          <w:jc w:val="center"/>
        </w:trPr>
        <w:tc>
          <w:tcPr>
            <w:tcW w:w="1078" w:type="dxa"/>
            <w:tcBorders>
              <w:top w:val="nil"/>
              <w:left w:val="single" w:sz="4" w:space="0" w:color="auto"/>
              <w:bottom w:val="single" w:sz="4" w:space="0" w:color="auto"/>
              <w:right w:val="nil"/>
            </w:tcBorders>
            <w:shd w:val="clear" w:color="auto" w:fill="auto"/>
            <w:vAlign w:val="bottom"/>
            <w:hideMark/>
          </w:tcPr>
          <w:p w:rsidR="003117C2" w:rsidRPr="00264B34" w:rsidRDefault="003117C2" w:rsidP="00DC5E39">
            <w:pPr>
              <w:keepNext/>
              <w:jc w:val="left"/>
              <w:rPr>
                <w:rFonts w:cs="Arial"/>
                <w:b/>
                <w:bCs/>
                <w:sz w:val="18"/>
              </w:rPr>
            </w:pPr>
            <w:r w:rsidRPr="00264B34">
              <w:rPr>
                <w:rFonts w:cs="Arial"/>
                <w:b/>
                <w:bCs/>
                <w:sz w:val="18"/>
              </w:rPr>
              <w:t> </w:t>
            </w:r>
          </w:p>
        </w:tc>
        <w:tc>
          <w:tcPr>
            <w:tcW w:w="3327" w:type="dxa"/>
            <w:tcBorders>
              <w:top w:val="nil"/>
              <w:left w:val="nil"/>
              <w:bottom w:val="single" w:sz="4" w:space="0" w:color="auto"/>
              <w:right w:val="nil"/>
            </w:tcBorders>
            <w:shd w:val="clear" w:color="auto" w:fill="auto"/>
            <w:vAlign w:val="bottom"/>
            <w:hideMark/>
          </w:tcPr>
          <w:p w:rsidR="003117C2" w:rsidRPr="00264B34" w:rsidRDefault="003117C2" w:rsidP="00DC5E39">
            <w:pPr>
              <w:keepNext/>
              <w:jc w:val="left"/>
              <w:rPr>
                <w:rFonts w:cs="Arial"/>
                <w:b/>
                <w:bCs/>
                <w:i/>
                <w:iCs/>
                <w:sz w:val="18"/>
              </w:rPr>
            </w:pPr>
            <w:r w:rsidRPr="00264B34">
              <w:rPr>
                <w:rFonts w:cs="Arial"/>
                <w:b/>
                <w:bCs/>
                <w:i/>
                <w:iCs/>
                <w:sz w:val="18"/>
              </w:rPr>
              <w:t>Object of Expenditure</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UV.1</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UV.2</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UV.3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UV.4</w:t>
            </w:r>
          </w:p>
        </w:tc>
        <w:tc>
          <w:tcPr>
            <w:tcW w:w="1021" w:type="dxa"/>
            <w:tcBorders>
              <w:top w:val="nil"/>
              <w:left w:val="nil"/>
              <w:bottom w:val="single" w:sz="4" w:space="0" w:color="auto"/>
              <w:right w:val="single" w:sz="4" w:space="0" w:color="auto"/>
            </w:tcBorders>
            <w:shd w:val="clear" w:color="auto" w:fill="auto"/>
            <w:vAlign w:val="bottom"/>
            <w:hideMark/>
          </w:tcPr>
          <w:p w:rsidR="003117C2" w:rsidRPr="00264B34" w:rsidRDefault="003117C2" w:rsidP="00DC5E39">
            <w:pPr>
              <w:keepNext/>
              <w:jc w:val="center"/>
              <w:rPr>
                <w:rFonts w:cs="Arial"/>
                <w:b/>
                <w:bCs/>
                <w:i/>
                <w:iCs/>
                <w:sz w:val="18"/>
              </w:rPr>
            </w:pPr>
            <w:r w:rsidRPr="00264B34">
              <w:rPr>
                <w:rFonts w:cs="Arial"/>
                <w:b/>
                <w:bCs/>
                <w:i/>
                <w:iCs/>
                <w:sz w:val="18"/>
              </w:rPr>
              <w:t>Total</w:t>
            </w:r>
          </w:p>
        </w:tc>
      </w:tr>
      <w:tr w:rsidR="003117C2" w:rsidRPr="00264B34" w:rsidTr="004F001B">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DC5E39">
            <w:pPr>
              <w:jc w:val="left"/>
              <w:rPr>
                <w:rFonts w:cs="Arial"/>
                <w:b/>
                <w:bCs/>
                <w:sz w:val="18"/>
              </w:rPr>
            </w:pPr>
          </w:p>
        </w:tc>
        <w:tc>
          <w:tcPr>
            <w:tcW w:w="1007" w:type="dxa"/>
            <w:tcBorders>
              <w:top w:val="nil"/>
              <w:left w:val="nil"/>
              <w:bottom w:val="nil"/>
              <w:right w:val="nil"/>
            </w:tcBorders>
            <w:shd w:val="clear" w:color="auto" w:fill="auto"/>
            <w:vAlign w:val="bottom"/>
            <w:hideMark/>
          </w:tcPr>
          <w:p w:rsidR="003117C2" w:rsidRPr="00264B34" w:rsidRDefault="003117C2" w:rsidP="00DC5E39">
            <w:pPr>
              <w:jc w:val="right"/>
              <w:rPr>
                <w:rFonts w:cs="Arial"/>
                <w:b/>
                <w:bCs/>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jc w:val="right"/>
              <w:rPr>
                <w:rFonts w:cs="Arial"/>
                <w:b/>
                <w:bCs/>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jc w:val="right"/>
              <w:rPr>
                <w:rFonts w:cs="Arial"/>
                <w:b/>
                <w:bCs/>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jc w:val="right"/>
              <w:rPr>
                <w:rFonts w:cs="Arial"/>
                <w:b/>
                <w:bCs/>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jc w:val="right"/>
              <w:rPr>
                <w:rFonts w:cs="Arial"/>
                <w:b/>
                <w:bCs/>
                <w:sz w:val="18"/>
              </w:rPr>
            </w:pPr>
          </w:p>
        </w:tc>
      </w:tr>
      <w:tr w:rsidR="003117C2" w:rsidRPr="00264B34" w:rsidTr="00DC5E39">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DC5E39">
            <w:pPr>
              <w:jc w:val="left"/>
              <w:rPr>
                <w:rFonts w:cs="Arial"/>
                <w:b/>
                <w:bCs/>
                <w:sz w:val="18"/>
              </w:rPr>
            </w:pPr>
            <w:r w:rsidRPr="00264B34">
              <w:rPr>
                <w:rFonts w:cs="Arial"/>
                <w:b/>
                <w:bCs/>
                <w:sz w:val="18"/>
              </w:rPr>
              <w:t>A.  Personnel Resources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608</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2,326</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1,135</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284</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4,353</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Posts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608</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2,027</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1,135</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284</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4,054</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color w:val="000000"/>
                <w:sz w:val="18"/>
              </w:rPr>
            </w:pPr>
            <w:r w:rsidRPr="00264B34">
              <w:rPr>
                <w:rFonts w:cs="Arial"/>
                <w:color w:val="000000"/>
                <w:sz w:val="18"/>
              </w:rPr>
              <w:t>Temporary Staff</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299</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299</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color w:val="000000"/>
                <w:sz w:val="18"/>
              </w:rPr>
            </w:pP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r>
      <w:tr w:rsidR="003117C2" w:rsidRPr="00264B34" w:rsidTr="0019282D">
        <w:trPr>
          <w:jc w:val="center"/>
        </w:trPr>
        <w:tc>
          <w:tcPr>
            <w:tcW w:w="4405" w:type="dxa"/>
            <w:gridSpan w:val="2"/>
            <w:tcBorders>
              <w:top w:val="nil"/>
              <w:left w:val="nil"/>
              <w:right w:val="nil"/>
            </w:tcBorders>
            <w:shd w:val="clear" w:color="auto" w:fill="auto"/>
            <w:vAlign w:val="bottom"/>
            <w:hideMark/>
          </w:tcPr>
          <w:p w:rsidR="003117C2" w:rsidRPr="00264B34" w:rsidRDefault="003117C2" w:rsidP="00DC5E39">
            <w:pPr>
              <w:jc w:val="left"/>
              <w:rPr>
                <w:rFonts w:cs="Arial"/>
                <w:b/>
                <w:bCs/>
                <w:sz w:val="18"/>
              </w:rPr>
            </w:pPr>
            <w:r w:rsidRPr="00264B34">
              <w:rPr>
                <w:rFonts w:cs="Arial"/>
                <w:b/>
                <w:bCs/>
                <w:sz w:val="18"/>
              </w:rPr>
              <w:t>B.  Non-Personnel Resources</w:t>
            </w:r>
          </w:p>
        </w:tc>
        <w:tc>
          <w:tcPr>
            <w:tcW w:w="1007" w:type="dxa"/>
            <w:tcBorders>
              <w:top w:val="nil"/>
              <w:left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6" w:type="dxa"/>
            <w:tcBorders>
              <w:top w:val="nil"/>
              <w:left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0" w:type="dxa"/>
            <w:tcBorders>
              <w:top w:val="nil"/>
              <w:left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7" w:type="dxa"/>
            <w:tcBorders>
              <w:top w:val="nil"/>
              <w:left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1" w:type="dxa"/>
            <w:tcBorders>
              <w:top w:val="nil"/>
              <w:left w:val="nil"/>
              <w:right w:val="nil"/>
            </w:tcBorders>
            <w:shd w:val="clear" w:color="auto" w:fill="auto"/>
            <w:vAlign w:val="bottom"/>
            <w:hideMark/>
          </w:tcPr>
          <w:p w:rsidR="003117C2" w:rsidRPr="00264B34" w:rsidRDefault="003117C2" w:rsidP="00DC5E39">
            <w:pPr>
              <w:ind w:right="227"/>
              <w:jc w:val="right"/>
              <w:rPr>
                <w:rFonts w:cs="Arial"/>
                <w:b/>
                <w:bCs/>
                <w:sz w:val="18"/>
              </w:rPr>
            </w:pPr>
          </w:p>
        </w:tc>
      </w:tr>
      <w:tr w:rsidR="004F001B" w:rsidRPr="00264B34" w:rsidTr="0019282D">
        <w:trPr>
          <w:jc w:val="center"/>
        </w:trPr>
        <w:tc>
          <w:tcPr>
            <w:tcW w:w="4405" w:type="dxa"/>
            <w:gridSpan w:val="2"/>
            <w:shd w:val="clear" w:color="auto" w:fill="auto"/>
            <w:vAlign w:val="bottom"/>
            <w:hideMark/>
          </w:tcPr>
          <w:p w:rsidR="004F001B" w:rsidRPr="00264B34" w:rsidRDefault="004F001B" w:rsidP="00DC5E39">
            <w:pPr>
              <w:jc w:val="left"/>
              <w:rPr>
                <w:rFonts w:cs="Arial"/>
                <w:b/>
                <w:bCs/>
                <w:sz w:val="18"/>
              </w:rPr>
            </w:pPr>
            <w:r w:rsidRPr="00264B34">
              <w:rPr>
                <w:rFonts w:cs="Arial"/>
                <w:b/>
                <w:bCs/>
                <w:i/>
                <w:iCs/>
                <w:sz w:val="18"/>
              </w:rPr>
              <w:t>Intern</w:t>
            </w:r>
            <w:r>
              <w:rPr>
                <w:rFonts w:cs="Arial"/>
                <w:b/>
                <w:bCs/>
                <w:i/>
                <w:iCs/>
                <w:sz w:val="18"/>
              </w:rPr>
              <w:t>ships and Fellowships</w:t>
            </w:r>
          </w:p>
        </w:tc>
        <w:tc>
          <w:tcPr>
            <w:tcW w:w="1007" w:type="dxa"/>
            <w:shd w:val="clear" w:color="auto" w:fill="auto"/>
            <w:vAlign w:val="bottom"/>
            <w:hideMark/>
          </w:tcPr>
          <w:p w:rsidR="004F001B" w:rsidRPr="00264B34" w:rsidRDefault="004F001B" w:rsidP="00DC5E39">
            <w:pPr>
              <w:ind w:right="227"/>
              <w:jc w:val="right"/>
              <w:rPr>
                <w:rFonts w:cs="Arial"/>
                <w:b/>
                <w:bCs/>
                <w:sz w:val="18"/>
              </w:rPr>
            </w:pPr>
          </w:p>
        </w:tc>
        <w:tc>
          <w:tcPr>
            <w:tcW w:w="1026" w:type="dxa"/>
            <w:shd w:val="clear" w:color="auto" w:fill="auto"/>
            <w:vAlign w:val="bottom"/>
            <w:hideMark/>
          </w:tcPr>
          <w:p w:rsidR="004F001B" w:rsidRPr="00264B34" w:rsidRDefault="004F001B" w:rsidP="00DC5E39">
            <w:pPr>
              <w:ind w:right="227"/>
              <w:jc w:val="right"/>
              <w:rPr>
                <w:rFonts w:cs="Arial"/>
                <w:b/>
                <w:bCs/>
                <w:sz w:val="18"/>
              </w:rPr>
            </w:pPr>
          </w:p>
        </w:tc>
        <w:tc>
          <w:tcPr>
            <w:tcW w:w="1010" w:type="dxa"/>
            <w:shd w:val="clear" w:color="auto" w:fill="auto"/>
            <w:vAlign w:val="bottom"/>
            <w:hideMark/>
          </w:tcPr>
          <w:p w:rsidR="004F001B" w:rsidRPr="00264B34" w:rsidRDefault="004F001B" w:rsidP="00DC5E39">
            <w:pPr>
              <w:ind w:right="227"/>
              <w:jc w:val="right"/>
              <w:rPr>
                <w:rFonts w:cs="Arial"/>
                <w:b/>
                <w:bCs/>
                <w:sz w:val="18"/>
              </w:rPr>
            </w:pPr>
          </w:p>
        </w:tc>
        <w:tc>
          <w:tcPr>
            <w:tcW w:w="1017" w:type="dxa"/>
            <w:shd w:val="clear" w:color="auto" w:fill="auto"/>
            <w:vAlign w:val="bottom"/>
            <w:hideMark/>
          </w:tcPr>
          <w:p w:rsidR="004F001B" w:rsidRPr="00264B34" w:rsidRDefault="004F001B" w:rsidP="00DC5E39">
            <w:pPr>
              <w:ind w:right="227"/>
              <w:jc w:val="right"/>
              <w:rPr>
                <w:rFonts w:cs="Arial"/>
                <w:b/>
                <w:bCs/>
                <w:sz w:val="18"/>
              </w:rPr>
            </w:pPr>
          </w:p>
        </w:tc>
        <w:tc>
          <w:tcPr>
            <w:tcW w:w="1021" w:type="dxa"/>
            <w:shd w:val="clear" w:color="auto" w:fill="auto"/>
            <w:vAlign w:val="bottom"/>
            <w:hideMark/>
          </w:tcPr>
          <w:p w:rsidR="004F001B" w:rsidRPr="00264B34" w:rsidRDefault="004F001B" w:rsidP="00DC5E39">
            <w:pPr>
              <w:ind w:right="227"/>
              <w:jc w:val="right"/>
              <w:rPr>
                <w:rFonts w:cs="Arial"/>
                <w:b/>
                <w:bCs/>
                <w:sz w:val="18"/>
              </w:rPr>
            </w:pPr>
          </w:p>
        </w:tc>
      </w:tr>
      <w:tr w:rsidR="003117C2" w:rsidRPr="00264B34" w:rsidTr="0019282D">
        <w:trPr>
          <w:jc w:val="center"/>
        </w:trPr>
        <w:tc>
          <w:tcPr>
            <w:tcW w:w="1078" w:type="dxa"/>
            <w:tcBorders>
              <w:left w:val="nil"/>
              <w:bottom w:val="nil"/>
              <w:right w:val="nil"/>
            </w:tcBorders>
            <w:shd w:val="clear" w:color="auto" w:fill="auto"/>
            <w:vAlign w:val="bottom"/>
            <w:hideMark/>
          </w:tcPr>
          <w:p w:rsidR="003117C2" w:rsidRPr="00264B34" w:rsidRDefault="003117C2" w:rsidP="00DC5E39">
            <w:pPr>
              <w:jc w:val="left"/>
              <w:rPr>
                <w:rFonts w:cs="Arial"/>
                <w:b/>
                <w:bCs/>
                <w:sz w:val="18"/>
              </w:rPr>
            </w:pPr>
          </w:p>
        </w:tc>
        <w:tc>
          <w:tcPr>
            <w:tcW w:w="3327" w:type="dxa"/>
            <w:tcBorders>
              <w:left w:val="nil"/>
              <w:bottom w:val="nil"/>
              <w:right w:val="nil"/>
            </w:tcBorders>
            <w:shd w:val="clear" w:color="auto" w:fill="auto"/>
            <w:vAlign w:val="bottom"/>
            <w:hideMark/>
          </w:tcPr>
          <w:p w:rsidR="003117C2" w:rsidRPr="005C512B" w:rsidRDefault="003117C2" w:rsidP="00DC5E39">
            <w:pPr>
              <w:jc w:val="left"/>
              <w:rPr>
                <w:rFonts w:cs="Arial"/>
                <w:sz w:val="18"/>
              </w:rPr>
            </w:pPr>
            <w:r w:rsidRPr="005C512B">
              <w:rPr>
                <w:rFonts w:cs="Arial"/>
                <w:sz w:val="18"/>
              </w:rPr>
              <w:t>Interns</w:t>
            </w:r>
            <w:r w:rsidR="004F001B" w:rsidRPr="005C512B">
              <w:rPr>
                <w:rFonts w:cs="Arial"/>
                <w:sz w:val="18"/>
              </w:rPr>
              <w:t>hips</w:t>
            </w:r>
          </w:p>
        </w:tc>
        <w:tc>
          <w:tcPr>
            <w:tcW w:w="1007" w:type="dxa"/>
            <w:tcBorders>
              <w:left w:val="nil"/>
              <w:bottom w:val="nil"/>
              <w:right w:val="nil"/>
            </w:tcBorders>
            <w:shd w:val="clear" w:color="auto" w:fill="auto"/>
            <w:vAlign w:val="bottom"/>
            <w:hideMark/>
          </w:tcPr>
          <w:p w:rsidR="003117C2" w:rsidRPr="005C512B" w:rsidRDefault="003117C2" w:rsidP="00DC5E39">
            <w:pPr>
              <w:ind w:right="227"/>
              <w:jc w:val="right"/>
              <w:rPr>
                <w:rFonts w:cs="Arial"/>
                <w:sz w:val="18"/>
              </w:rPr>
            </w:pPr>
            <w:r w:rsidRPr="005C512B">
              <w:rPr>
                <w:rFonts w:cs="Arial"/>
                <w:sz w:val="18"/>
              </w:rPr>
              <w:t>0</w:t>
            </w:r>
          </w:p>
        </w:tc>
        <w:tc>
          <w:tcPr>
            <w:tcW w:w="1026" w:type="dxa"/>
            <w:tcBorders>
              <w:left w:val="nil"/>
              <w:bottom w:val="nil"/>
              <w:right w:val="nil"/>
            </w:tcBorders>
            <w:shd w:val="clear" w:color="auto" w:fill="auto"/>
            <w:vAlign w:val="bottom"/>
            <w:hideMark/>
          </w:tcPr>
          <w:p w:rsidR="003117C2" w:rsidRPr="005C512B" w:rsidRDefault="001A05E3" w:rsidP="00DC5E39">
            <w:pPr>
              <w:ind w:right="227"/>
              <w:jc w:val="right"/>
              <w:rPr>
                <w:rFonts w:cs="Arial"/>
                <w:sz w:val="18"/>
              </w:rPr>
            </w:pPr>
            <w:r w:rsidRPr="005C512B">
              <w:rPr>
                <w:rFonts w:cs="Arial"/>
                <w:sz w:val="18"/>
              </w:rPr>
              <w:t>38</w:t>
            </w:r>
          </w:p>
        </w:tc>
        <w:tc>
          <w:tcPr>
            <w:tcW w:w="1010" w:type="dxa"/>
            <w:tcBorders>
              <w:left w:val="nil"/>
              <w:bottom w:val="nil"/>
              <w:right w:val="nil"/>
            </w:tcBorders>
            <w:shd w:val="clear" w:color="auto" w:fill="auto"/>
            <w:vAlign w:val="bottom"/>
            <w:hideMark/>
          </w:tcPr>
          <w:p w:rsidR="003117C2" w:rsidRPr="005C512B" w:rsidRDefault="003117C2" w:rsidP="00DC5E39">
            <w:pPr>
              <w:ind w:right="227"/>
              <w:jc w:val="right"/>
              <w:rPr>
                <w:rFonts w:cs="Arial"/>
                <w:sz w:val="18"/>
              </w:rPr>
            </w:pPr>
            <w:r w:rsidRPr="005C512B">
              <w:rPr>
                <w:rFonts w:cs="Arial"/>
                <w:sz w:val="18"/>
              </w:rPr>
              <w:t>0</w:t>
            </w:r>
          </w:p>
        </w:tc>
        <w:tc>
          <w:tcPr>
            <w:tcW w:w="1017" w:type="dxa"/>
            <w:tcBorders>
              <w:left w:val="nil"/>
              <w:bottom w:val="nil"/>
              <w:right w:val="nil"/>
            </w:tcBorders>
            <w:shd w:val="clear" w:color="auto" w:fill="auto"/>
            <w:vAlign w:val="bottom"/>
            <w:hideMark/>
          </w:tcPr>
          <w:p w:rsidR="003117C2" w:rsidRPr="005C512B" w:rsidRDefault="003117C2" w:rsidP="00DC5E39">
            <w:pPr>
              <w:ind w:right="227"/>
              <w:jc w:val="right"/>
              <w:rPr>
                <w:rFonts w:cs="Arial"/>
                <w:sz w:val="18"/>
              </w:rPr>
            </w:pPr>
            <w:r w:rsidRPr="005C512B">
              <w:rPr>
                <w:rFonts w:cs="Arial"/>
                <w:sz w:val="18"/>
              </w:rPr>
              <w:t>0</w:t>
            </w:r>
          </w:p>
        </w:tc>
        <w:tc>
          <w:tcPr>
            <w:tcW w:w="1021" w:type="dxa"/>
            <w:tcBorders>
              <w:left w:val="nil"/>
              <w:bottom w:val="nil"/>
              <w:right w:val="nil"/>
            </w:tcBorders>
            <w:shd w:val="clear" w:color="auto" w:fill="auto"/>
            <w:vAlign w:val="bottom"/>
            <w:hideMark/>
          </w:tcPr>
          <w:p w:rsidR="003117C2" w:rsidRPr="005C512B" w:rsidRDefault="001A05E3" w:rsidP="00DC5E39">
            <w:pPr>
              <w:ind w:right="227"/>
              <w:jc w:val="right"/>
              <w:rPr>
                <w:rFonts w:cs="Arial"/>
                <w:sz w:val="18"/>
              </w:rPr>
            </w:pPr>
            <w:r w:rsidRPr="005C512B">
              <w:rPr>
                <w:rFonts w:cs="Arial"/>
                <w:sz w:val="18"/>
              </w:rPr>
              <w:t>38</w:t>
            </w:r>
          </w:p>
        </w:tc>
      </w:tr>
      <w:tr w:rsidR="003117C2" w:rsidRPr="00264B34" w:rsidTr="004F001B">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4F001B">
            <w:pPr>
              <w:jc w:val="left"/>
              <w:rPr>
                <w:rFonts w:cs="Arial"/>
                <w:b/>
                <w:bCs/>
                <w:i/>
                <w:iCs/>
                <w:sz w:val="18"/>
              </w:rPr>
            </w:pPr>
            <w:r w:rsidRPr="00264B34">
              <w:rPr>
                <w:rFonts w:cs="Arial"/>
                <w:b/>
                <w:bCs/>
                <w:i/>
                <w:iCs/>
                <w:sz w:val="18"/>
              </w:rPr>
              <w:t>Travel</w:t>
            </w:r>
            <w:r w:rsidR="004F001B">
              <w:rPr>
                <w:rFonts w:cs="Arial"/>
                <w:b/>
                <w:bCs/>
                <w:i/>
                <w:iCs/>
                <w:sz w:val="18"/>
              </w:rPr>
              <w:t>,</w:t>
            </w:r>
            <w:r w:rsidRPr="00264B34">
              <w:rPr>
                <w:rFonts w:cs="Arial"/>
                <w:b/>
                <w:bCs/>
                <w:i/>
                <w:iCs/>
                <w:sz w:val="18"/>
              </w:rPr>
              <w:t xml:space="preserve"> </w:t>
            </w:r>
            <w:r w:rsidR="004F001B">
              <w:rPr>
                <w:rFonts w:cs="Arial"/>
                <w:b/>
                <w:bCs/>
                <w:i/>
                <w:iCs/>
                <w:sz w:val="18"/>
              </w:rPr>
              <w:t>Training and Grants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Staff Missions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160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140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400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Third Party Travel</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50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50</w:t>
            </w:r>
          </w:p>
        </w:tc>
      </w:tr>
      <w:tr w:rsidR="003117C2" w:rsidRPr="00264B34" w:rsidTr="004F001B">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DC5E39">
            <w:pPr>
              <w:jc w:val="left"/>
              <w:rPr>
                <w:rFonts w:cs="Arial"/>
                <w:b/>
                <w:bCs/>
                <w:i/>
                <w:iCs/>
                <w:sz w:val="18"/>
              </w:rPr>
            </w:pPr>
            <w:r w:rsidRPr="00264B34">
              <w:rPr>
                <w:rFonts w:cs="Arial"/>
                <w:b/>
                <w:bCs/>
                <w:i/>
                <w:iCs/>
                <w:sz w:val="18"/>
              </w:rPr>
              <w:t>Contractual Services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Conferences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50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150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200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Publishing</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Individual Contractual Services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70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70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Other Contractual Services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29</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309</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62</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12</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412</w:t>
            </w:r>
          </w:p>
        </w:tc>
      </w:tr>
      <w:tr w:rsidR="003117C2" w:rsidRPr="00264B34" w:rsidTr="004F001B">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DC5E39">
            <w:pPr>
              <w:jc w:val="left"/>
              <w:rPr>
                <w:rFonts w:cs="Arial"/>
                <w:b/>
                <w:bCs/>
                <w:i/>
                <w:iCs/>
                <w:sz w:val="18"/>
              </w:rPr>
            </w:pPr>
            <w:r w:rsidRPr="00264B34">
              <w:rPr>
                <w:rFonts w:cs="Arial"/>
                <w:b/>
                <w:bCs/>
                <w:i/>
                <w:iCs/>
                <w:sz w:val="18"/>
              </w:rPr>
              <w:t>Operating Expenses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1,270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r w:rsidRPr="00264B34">
              <w:rPr>
                <w:rFonts w:cs="Arial"/>
                <w:b/>
                <w:bCs/>
                <w:sz w:val="18"/>
              </w:rPr>
              <w:t>1,270</w:t>
            </w:r>
          </w:p>
        </w:tc>
      </w:tr>
      <w:tr w:rsidR="003117C2" w:rsidRPr="00264B34" w:rsidTr="004F001B">
        <w:trPr>
          <w:jc w:val="center"/>
        </w:trPr>
        <w:tc>
          <w:tcPr>
            <w:tcW w:w="4405" w:type="dxa"/>
            <w:gridSpan w:val="2"/>
            <w:tcBorders>
              <w:top w:val="nil"/>
              <w:left w:val="nil"/>
              <w:bottom w:val="nil"/>
              <w:right w:val="nil"/>
            </w:tcBorders>
            <w:shd w:val="clear" w:color="auto" w:fill="auto"/>
            <w:vAlign w:val="bottom"/>
            <w:hideMark/>
          </w:tcPr>
          <w:p w:rsidR="003117C2" w:rsidRPr="00264B34" w:rsidRDefault="003117C2" w:rsidP="00DC5E39">
            <w:pPr>
              <w:jc w:val="left"/>
              <w:rPr>
                <w:rFonts w:cs="Arial"/>
                <w:b/>
                <w:bCs/>
                <w:i/>
                <w:iCs/>
                <w:sz w:val="18"/>
              </w:rPr>
            </w:pPr>
            <w:r w:rsidRPr="00264B34">
              <w:rPr>
                <w:rFonts w:cs="Arial"/>
                <w:b/>
                <w:bCs/>
                <w:i/>
                <w:iCs/>
                <w:sz w:val="18"/>
              </w:rPr>
              <w:t>Equipment and Supplies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b/>
                <w:bCs/>
                <w:sz w:val="18"/>
              </w:rPr>
            </w:pP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Furniture and Equipment</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r w:rsidRPr="00264B34">
              <w:rPr>
                <w:rFonts w:cs="Arial"/>
                <w:sz w:val="18"/>
              </w:rPr>
              <w:t>Supplies and Materials</w:t>
            </w: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0</w:t>
            </w: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r w:rsidRPr="00264B34">
              <w:rPr>
                <w:rFonts w:cs="Arial"/>
                <w:sz w:val="18"/>
              </w:rPr>
              <w:t>10</w:t>
            </w:r>
          </w:p>
        </w:tc>
      </w:tr>
      <w:tr w:rsidR="003117C2" w:rsidRPr="00264B34" w:rsidTr="004F001B">
        <w:trPr>
          <w:jc w:val="center"/>
        </w:trPr>
        <w:tc>
          <w:tcPr>
            <w:tcW w:w="1078"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3327" w:type="dxa"/>
            <w:tcBorders>
              <w:top w:val="nil"/>
              <w:left w:val="nil"/>
              <w:bottom w:val="nil"/>
              <w:right w:val="nil"/>
            </w:tcBorders>
            <w:shd w:val="clear" w:color="auto" w:fill="auto"/>
            <w:vAlign w:val="bottom"/>
            <w:hideMark/>
          </w:tcPr>
          <w:p w:rsidR="003117C2" w:rsidRPr="00264B34" w:rsidRDefault="003117C2" w:rsidP="00DC5E39">
            <w:pPr>
              <w:jc w:val="left"/>
              <w:rPr>
                <w:rFonts w:cs="Arial"/>
                <w:sz w:val="18"/>
              </w:rPr>
            </w:pPr>
          </w:p>
        </w:tc>
        <w:tc>
          <w:tcPr>
            <w:tcW w:w="100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26"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10"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17"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c>
          <w:tcPr>
            <w:tcW w:w="1021" w:type="dxa"/>
            <w:tcBorders>
              <w:top w:val="nil"/>
              <w:left w:val="nil"/>
              <w:bottom w:val="nil"/>
              <w:right w:val="nil"/>
            </w:tcBorders>
            <w:shd w:val="clear" w:color="auto" w:fill="auto"/>
            <w:vAlign w:val="bottom"/>
            <w:hideMark/>
          </w:tcPr>
          <w:p w:rsidR="003117C2" w:rsidRPr="00264B34" w:rsidRDefault="003117C2" w:rsidP="00DC5E39">
            <w:pPr>
              <w:ind w:right="227"/>
              <w:jc w:val="right"/>
              <w:rPr>
                <w:rFonts w:cs="Arial"/>
                <w:sz w:val="18"/>
              </w:rPr>
            </w:pPr>
          </w:p>
        </w:tc>
      </w:tr>
      <w:tr w:rsidR="003117C2" w:rsidRPr="00264B34" w:rsidTr="004F001B">
        <w:trPr>
          <w:jc w:val="center"/>
        </w:trPr>
        <w:tc>
          <w:tcPr>
            <w:tcW w:w="1078" w:type="dxa"/>
            <w:tcBorders>
              <w:top w:val="single" w:sz="4" w:space="0" w:color="auto"/>
              <w:left w:val="single" w:sz="4" w:space="0" w:color="auto"/>
              <w:bottom w:val="single" w:sz="4" w:space="0" w:color="auto"/>
              <w:right w:val="nil"/>
            </w:tcBorders>
            <w:shd w:val="clear" w:color="auto" w:fill="auto"/>
            <w:vAlign w:val="bottom"/>
            <w:hideMark/>
          </w:tcPr>
          <w:p w:rsidR="003117C2" w:rsidRPr="00264B34" w:rsidRDefault="003117C2" w:rsidP="00DC5E39">
            <w:pPr>
              <w:jc w:val="left"/>
              <w:rPr>
                <w:rFonts w:cs="Arial"/>
                <w:b/>
                <w:bCs/>
                <w:sz w:val="18"/>
              </w:rPr>
            </w:pPr>
            <w:r w:rsidRPr="00264B34">
              <w:rPr>
                <w:rFonts w:cs="Arial"/>
                <w:b/>
                <w:bCs/>
                <w:sz w:val="18"/>
              </w:rPr>
              <w:t> </w:t>
            </w:r>
          </w:p>
        </w:tc>
        <w:tc>
          <w:tcPr>
            <w:tcW w:w="3327" w:type="dxa"/>
            <w:tcBorders>
              <w:top w:val="single" w:sz="4" w:space="0" w:color="auto"/>
              <w:left w:val="nil"/>
              <w:bottom w:val="single" w:sz="4" w:space="0" w:color="auto"/>
              <w:right w:val="nil"/>
            </w:tcBorders>
            <w:shd w:val="clear" w:color="auto" w:fill="auto"/>
            <w:vAlign w:val="bottom"/>
            <w:hideMark/>
          </w:tcPr>
          <w:p w:rsidR="003117C2" w:rsidRPr="002D2395" w:rsidRDefault="003117C2" w:rsidP="00DC5E39">
            <w:pPr>
              <w:jc w:val="left"/>
              <w:rPr>
                <w:rFonts w:cs="Arial"/>
                <w:b/>
                <w:bCs/>
                <w:sz w:val="18"/>
              </w:rPr>
            </w:pPr>
            <w:r w:rsidRPr="002D2395">
              <w:rPr>
                <w:rFonts w:cs="Arial"/>
                <w:b/>
                <w:bCs/>
                <w:sz w:val="18"/>
              </w:rPr>
              <w:t>GRAND TOTAL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b/>
                <w:bCs/>
                <w:sz w:val="18"/>
              </w:rPr>
            </w:pPr>
            <w:r w:rsidRPr="002D2395">
              <w:rPr>
                <w:rFonts w:cs="Arial"/>
                <w:b/>
                <w:bCs/>
                <w:sz w:val="18"/>
              </w:rPr>
              <w:t xml:space="preserve"> 687 </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1A05E3">
            <w:pPr>
              <w:ind w:right="227"/>
              <w:jc w:val="right"/>
              <w:rPr>
                <w:rFonts w:cs="Arial"/>
                <w:b/>
                <w:bCs/>
                <w:sz w:val="18"/>
              </w:rPr>
            </w:pPr>
            <w:r w:rsidRPr="002D2395">
              <w:rPr>
                <w:rFonts w:cs="Arial"/>
                <w:b/>
                <w:bCs/>
                <w:sz w:val="18"/>
              </w:rPr>
              <w:t xml:space="preserve"> 4,2</w:t>
            </w:r>
            <w:r w:rsidR="001A05E3" w:rsidRPr="002D2395">
              <w:rPr>
                <w:rFonts w:cs="Arial"/>
                <w:b/>
                <w:bCs/>
                <w:sz w:val="18"/>
              </w:rPr>
              <w:t>23</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b/>
                <w:bCs/>
                <w:sz w:val="18"/>
              </w:rPr>
            </w:pPr>
            <w:r w:rsidRPr="002D2395">
              <w:rPr>
                <w:rFonts w:cs="Arial"/>
                <w:b/>
                <w:bCs/>
                <w:sz w:val="18"/>
              </w:rPr>
              <w:t xml:space="preserve">1,477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b/>
                <w:bCs/>
                <w:sz w:val="18"/>
              </w:rPr>
            </w:pPr>
            <w:r w:rsidRPr="002D2395">
              <w:rPr>
                <w:rFonts w:cs="Arial"/>
                <w:b/>
                <w:bCs/>
                <w:sz w:val="18"/>
              </w:rPr>
              <w:t xml:space="preserve"> 436 </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rsidR="003117C2" w:rsidRPr="00264B34" w:rsidRDefault="003117C2" w:rsidP="001A05E3">
            <w:pPr>
              <w:ind w:right="227"/>
              <w:jc w:val="right"/>
              <w:rPr>
                <w:rFonts w:cs="Arial"/>
                <w:b/>
                <w:bCs/>
                <w:sz w:val="18"/>
              </w:rPr>
            </w:pPr>
            <w:r w:rsidRPr="002D2395">
              <w:rPr>
                <w:rFonts w:cs="Arial"/>
                <w:b/>
                <w:bCs/>
                <w:sz w:val="18"/>
              </w:rPr>
              <w:t>6,8</w:t>
            </w:r>
            <w:r w:rsidR="001A05E3" w:rsidRPr="002D2395">
              <w:rPr>
                <w:rFonts w:cs="Arial"/>
                <w:b/>
                <w:bCs/>
                <w:sz w:val="18"/>
              </w:rPr>
              <w:t>23</w:t>
            </w:r>
            <w:r w:rsidRPr="00264B34">
              <w:rPr>
                <w:rFonts w:cs="Arial"/>
                <w:b/>
                <w:bCs/>
                <w:sz w:val="18"/>
              </w:rPr>
              <w:t xml:space="preserve"> </w:t>
            </w:r>
          </w:p>
        </w:tc>
      </w:tr>
    </w:tbl>
    <w:p w:rsidR="003117C2" w:rsidRDefault="003117C2" w:rsidP="003117C2">
      <w:pPr>
        <w:rPr>
          <w:spacing w:val="-2"/>
          <w:szCs w:val="24"/>
        </w:rPr>
      </w:pPr>
    </w:p>
    <w:p w:rsidR="003117C2" w:rsidRDefault="003117C2" w:rsidP="003117C2">
      <w:pPr>
        <w:jc w:val="left"/>
        <w:rPr>
          <w:color w:val="000000"/>
        </w:rPr>
      </w:pPr>
      <w:r>
        <w:rPr>
          <w:color w:val="000000"/>
        </w:rPr>
        <w:br w:type="page"/>
      </w:r>
    </w:p>
    <w:p w:rsidR="003117C2" w:rsidRDefault="003117C2" w:rsidP="003117C2">
      <w:pPr>
        <w:keepNext/>
        <w:tabs>
          <w:tab w:val="left" w:pos="567"/>
        </w:tabs>
      </w:pPr>
      <w:r w:rsidRPr="00FC2170">
        <w:rPr>
          <w:color w:val="000000"/>
        </w:rPr>
        <w:t>3.14</w:t>
      </w:r>
      <w:r w:rsidRPr="00DD6106">
        <w:tab/>
      </w:r>
      <w:r w:rsidRPr="00DD6106">
        <w:rPr>
          <w:b/>
        </w:rPr>
        <w:t>Table 7</w:t>
      </w:r>
      <w:r w:rsidRPr="00DD6106">
        <w:t xml:space="preserve"> provides budget variation by sub-program between the budget</w:t>
      </w:r>
      <w:r>
        <w:t xml:space="preserve"> </w:t>
      </w:r>
      <w:r w:rsidRPr="00DD6106">
        <w:t>201</w:t>
      </w:r>
      <w:r>
        <w:t>4</w:t>
      </w:r>
      <w:r w:rsidRPr="00DD6106">
        <w:t>-201</w:t>
      </w:r>
      <w:r>
        <w:t>5</w:t>
      </w:r>
      <w:r w:rsidRPr="00DD6106">
        <w:t xml:space="preserve"> and the proposed budget </w:t>
      </w:r>
      <w:r w:rsidRPr="0044380F">
        <w:rPr>
          <w:snapToGrid w:val="0"/>
          <w:spacing w:val="-2"/>
          <w:szCs w:val="24"/>
        </w:rPr>
        <w:t>201</w:t>
      </w:r>
      <w:r>
        <w:rPr>
          <w:snapToGrid w:val="0"/>
          <w:spacing w:val="-2"/>
          <w:szCs w:val="24"/>
        </w:rPr>
        <w:t>6­</w:t>
      </w:r>
      <w:r w:rsidRPr="0044380F">
        <w:rPr>
          <w:snapToGrid w:val="0"/>
          <w:spacing w:val="-2"/>
          <w:szCs w:val="24"/>
        </w:rPr>
        <w:t>201</w:t>
      </w:r>
      <w:r>
        <w:rPr>
          <w:snapToGrid w:val="0"/>
          <w:spacing w:val="-2"/>
          <w:szCs w:val="24"/>
        </w:rPr>
        <w:t>7</w:t>
      </w:r>
      <w:r w:rsidRPr="00DD6106">
        <w:t>.</w:t>
      </w:r>
    </w:p>
    <w:p w:rsidR="003117C2" w:rsidRPr="00DD6106" w:rsidRDefault="003117C2" w:rsidP="003117C2">
      <w:pPr>
        <w:keepNext/>
        <w:tabs>
          <w:tab w:val="left" w:pos="567"/>
        </w:tabs>
      </w:pPr>
    </w:p>
    <w:p w:rsidR="003117C2" w:rsidRDefault="003117C2" w:rsidP="003117C2">
      <w:pPr>
        <w:jc w:val="center"/>
      </w:pPr>
      <w:r w:rsidRPr="00D65896">
        <w:rPr>
          <w:rFonts w:cs="Arial"/>
          <w:b/>
          <w:bCs/>
          <w:color w:val="000000"/>
        </w:rPr>
        <w:t>Table 7:</w:t>
      </w:r>
      <w:r>
        <w:rPr>
          <w:rFonts w:cs="Arial"/>
          <w:b/>
          <w:bCs/>
          <w:color w:val="000000"/>
        </w:rPr>
        <w:t xml:space="preserve"> </w:t>
      </w:r>
      <w:r w:rsidRPr="00D65896">
        <w:rPr>
          <w:rFonts w:cs="Arial"/>
          <w:b/>
          <w:bCs/>
          <w:color w:val="000000"/>
        </w:rPr>
        <w:t xml:space="preserve"> Budget Variation by Sub-program</w:t>
      </w:r>
      <w:r>
        <w:rPr>
          <w:rFonts w:cs="Arial"/>
          <w:b/>
          <w:bCs/>
          <w:color w:val="000000"/>
        </w:rPr>
        <w:br/>
      </w:r>
      <w:r w:rsidRPr="00D65896">
        <w:rPr>
          <w:rFonts w:cs="Arial"/>
          <w:i/>
          <w:iCs/>
          <w:color w:val="000000"/>
        </w:rPr>
        <w:t>(in thousands of Swiss francs)</w:t>
      </w:r>
    </w:p>
    <w:p w:rsidR="003117C2" w:rsidRDefault="003117C2" w:rsidP="003117C2">
      <w:pPr>
        <w:rPr>
          <w:spacing w:val="-2"/>
          <w:szCs w:val="24"/>
        </w:rPr>
      </w:pPr>
    </w:p>
    <w:tbl>
      <w:tblPr>
        <w:tblW w:w="6033" w:type="dxa"/>
        <w:jc w:val="center"/>
        <w:tblCellMar>
          <w:top w:w="57" w:type="dxa"/>
          <w:left w:w="57" w:type="dxa"/>
          <w:bottom w:w="28" w:type="dxa"/>
          <w:right w:w="57" w:type="dxa"/>
        </w:tblCellMar>
        <w:tblLook w:val="04A0" w:firstRow="1" w:lastRow="0" w:firstColumn="1" w:lastColumn="0" w:noHBand="0" w:noVBand="1"/>
      </w:tblPr>
      <w:tblGrid>
        <w:gridCol w:w="1352"/>
        <w:gridCol w:w="1240"/>
        <w:gridCol w:w="1134"/>
        <w:gridCol w:w="992"/>
        <w:gridCol w:w="1315"/>
      </w:tblGrid>
      <w:tr w:rsidR="003117C2" w:rsidRPr="00D65896" w:rsidTr="00DC5E39">
        <w:trPr>
          <w:jc w:val="center"/>
        </w:trPr>
        <w:tc>
          <w:tcPr>
            <w:tcW w:w="1352" w:type="dxa"/>
            <w:vMerge w:val="restart"/>
            <w:tcBorders>
              <w:top w:val="single" w:sz="4" w:space="0" w:color="auto"/>
              <w:left w:val="single" w:sz="4" w:space="0" w:color="auto"/>
              <w:bottom w:val="single" w:sz="4" w:space="0" w:color="000000"/>
              <w:right w:val="nil"/>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Sub-program</w:t>
            </w:r>
          </w:p>
        </w:tc>
        <w:tc>
          <w:tcPr>
            <w:tcW w:w="1240" w:type="dxa"/>
            <w:tcBorders>
              <w:top w:val="single" w:sz="4" w:space="0" w:color="auto"/>
              <w:left w:val="single" w:sz="4" w:space="0" w:color="auto"/>
              <w:bottom w:val="nil"/>
              <w:right w:val="nil"/>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2014-2015</w:t>
            </w:r>
          </w:p>
        </w:tc>
        <w:tc>
          <w:tcPr>
            <w:tcW w:w="2126" w:type="dxa"/>
            <w:gridSpan w:val="2"/>
            <w:tcBorders>
              <w:top w:val="single" w:sz="4" w:space="0" w:color="auto"/>
              <w:left w:val="single" w:sz="4" w:space="0" w:color="auto"/>
              <w:bottom w:val="nil"/>
              <w:right w:val="single" w:sz="4" w:space="0" w:color="000000"/>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Variation</w:t>
            </w:r>
          </w:p>
        </w:tc>
        <w:tc>
          <w:tcPr>
            <w:tcW w:w="1315" w:type="dxa"/>
            <w:tcBorders>
              <w:top w:val="single" w:sz="4" w:space="0" w:color="auto"/>
              <w:left w:val="nil"/>
              <w:bottom w:val="nil"/>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2016-2017</w:t>
            </w:r>
          </w:p>
        </w:tc>
      </w:tr>
      <w:tr w:rsidR="003117C2" w:rsidRPr="00D65896" w:rsidTr="00DC5E39">
        <w:trPr>
          <w:jc w:val="center"/>
        </w:trPr>
        <w:tc>
          <w:tcPr>
            <w:tcW w:w="1352" w:type="dxa"/>
            <w:vMerge/>
            <w:tcBorders>
              <w:top w:val="single" w:sz="4" w:space="0" w:color="auto"/>
              <w:left w:val="single" w:sz="4" w:space="0" w:color="auto"/>
              <w:bottom w:val="single" w:sz="4" w:space="0" w:color="000000"/>
              <w:right w:val="nil"/>
            </w:tcBorders>
            <w:vAlign w:val="bottom"/>
            <w:hideMark/>
          </w:tcPr>
          <w:p w:rsidR="003117C2" w:rsidRPr="00D65896" w:rsidRDefault="003117C2" w:rsidP="00DC5E39">
            <w:pPr>
              <w:jc w:val="center"/>
              <w:rPr>
                <w:rFonts w:cs="Arial"/>
                <w:b/>
                <w:bCs/>
                <w:color w:val="000000"/>
                <w:sz w:val="18"/>
                <w:szCs w:val="18"/>
              </w:rPr>
            </w:pPr>
          </w:p>
        </w:tc>
        <w:tc>
          <w:tcPr>
            <w:tcW w:w="1240" w:type="dxa"/>
            <w:tcBorders>
              <w:top w:val="nil"/>
              <w:left w:val="single" w:sz="4" w:space="0" w:color="auto"/>
              <w:bottom w:val="nil"/>
              <w:right w:val="nil"/>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Budget</w:t>
            </w:r>
          </w:p>
        </w:tc>
        <w:tc>
          <w:tcPr>
            <w:tcW w:w="1134" w:type="dxa"/>
            <w:tcBorders>
              <w:top w:val="single" w:sz="4" w:space="0" w:color="auto"/>
              <w:left w:val="single" w:sz="4" w:space="0" w:color="auto"/>
              <w:bottom w:val="nil"/>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Amount</w:t>
            </w:r>
          </w:p>
        </w:tc>
        <w:tc>
          <w:tcPr>
            <w:tcW w:w="992" w:type="dxa"/>
            <w:tcBorders>
              <w:top w:val="single" w:sz="4" w:space="0" w:color="auto"/>
              <w:left w:val="nil"/>
              <w:bottom w:val="nil"/>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w:t>
            </w:r>
          </w:p>
        </w:tc>
        <w:tc>
          <w:tcPr>
            <w:tcW w:w="1315" w:type="dxa"/>
            <w:tcBorders>
              <w:top w:val="nil"/>
              <w:left w:val="nil"/>
              <w:bottom w:val="nil"/>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Proposed</w:t>
            </w:r>
          </w:p>
        </w:tc>
      </w:tr>
      <w:tr w:rsidR="003117C2" w:rsidRPr="00D65896" w:rsidTr="00DC5E39">
        <w:trPr>
          <w:jc w:val="center"/>
        </w:trPr>
        <w:tc>
          <w:tcPr>
            <w:tcW w:w="1352" w:type="dxa"/>
            <w:vMerge/>
            <w:tcBorders>
              <w:top w:val="single" w:sz="4" w:space="0" w:color="auto"/>
              <w:left w:val="single" w:sz="4" w:space="0" w:color="auto"/>
              <w:bottom w:val="single" w:sz="4" w:space="0" w:color="000000"/>
              <w:right w:val="nil"/>
            </w:tcBorders>
            <w:vAlign w:val="bottom"/>
            <w:hideMark/>
          </w:tcPr>
          <w:p w:rsidR="003117C2" w:rsidRPr="00D65896" w:rsidRDefault="003117C2" w:rsidP="00DC5E39">
            <w:pPr>
              <w:jc w:val="center"/>
              <w:rPr>
                <w:rFonts w:cs="Arial"/>
                <w:b/>
                <w:bCs/>
                <w:color w:val="000000"/>
                <w:sz w:val="18"/>
                <w:szCs w:val="18"/>
              </w:rPr>
            </w:pPr>
          </w:p>
        </w:tc>
        <w:tc>
          <w:tcPr>
            <w:tcW w:w="1240" w:type="dxa"/>
            <w:tcBorders>
              <w:top w:val="nil"/>
              <w:left w:val="single" w:sz="4" w:space="0" w:color="auto"/>
              <w:bottom w:val="single" w:sz="4" w:space="0" w:color="auto"/>
              <w:right w:val="nil"/>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A</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B</w:t>
            </w:r>
          </w:p>
        </w:tc>
        <w:tc>
          <w:tcPr>
            <w:tcW w:w="992" w:type="dxa"/>
            <w:tcBorders>
              <w:top w:val="nil"/>
              <w:left w:val="nil"/>
              <w:bottom w:val="single" w:sz="4" w:space="0" w:color="auto"/>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B/A</w:t>
            </w:r>
          </w:p>
        </w:tc>
        <w:tc>
          <w:tcPr>
            <w:tcW w:w="1315" w:type="dxa"/>
            <w:tcBorders>
              <w:top w:val="nil"/>
              <w:left w:val="nil"/>
              <w:bottom w:val="single" w:sz="4" w:space="0" w:color="auto"/>
              <w:right w:val="single" w:sz="4" w:space="0" w:color="auto"/>
            </w:tcBorders>
            <w:shd w:val="clear" w:color="auto" w:fill="auto"/>
            <w:vAlign w:val="bottom"/>
            <w:hideMark/>
          </w:tcPr>
          <w:p w:rsidR="003117C2" w:rsidRPr="00D65896" w:rsidRDefault="003117C2" w:rsidP="00DC5E39">
            <w:pPr>
              <w:jc w:val="center"/>
              <w:rPr>
                <w:rFonts w:cs="Arial"/>
                <w:b/>
                <w:bCs/>
                <w:color w:val="000000"/>
                <w:sz w:val="18"/>
                <w:szCs w:val="18"/>
              </w:rPr>
            </w:pPr>
            <w:r w:rsidRPr="00D65896">
              <w:rPr>
                <w:rFonts w:cs="Arial"/>
                <w:b/>
                <w:bCs/>
                <w:color w:val="000000"/>
                <w:sz w:val="18"/>
                <w:szCs w:val="18"/>
              </w:rPr>
              <w:t>C=A+B</w:t>
            </w:r>
          </w:p>
        </w:tc>
      </w:tr>
      <w:tr w:rsidR="003117C2" w:rsidRPr="00D65896"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D65896" w:rsidRDefault="003117C2" w:rsidP="00DC5E39">
            <w:pPr>
              <w:jc w:val="center"/>
              <w:rPr>
                <w:rFonts w:cs="Arial"/>
                <w:color w:val="000000"/>
                <w:sz w:val="12"/>
                <w:szCs w:val="18"/>
              </w:rPr>
            </w:pPr>
          </w:p>
        </w:tc>
        <w:tc>
          <w:tcPr>
            <w:tcW w:w="1240" w:type="dxa"/>
            <w:tcBorders>
              <w:top w:val="nil"/>
              <w:left w:val="single" w:sz="4" w:space="0" w:color="auto"/>
              <w:bottom w:val="nil"/>
              <w:right w:val="single" w:sz="4" w:space="0" w:color="auto"/>
            </w:tcBorders>
            <w:shd w:val="clear" w:color="auto" w:fill="auto"/>
            <w:vAlign w:val="bottom"/>
            <w:hideMark/>
          </w:tcPr>
          <w:p w:rsidR="003117C2" w:rsidRPr="00D65896" w:rsidRDefault="003117C2" w:rsidP="00DC5E39">
            <w:pPr>
              <w:jc w:val="center"/>
              <w:rPr>
                <w:rFonts w:cs="Arial"/>
                <w:color w:val="000000"/>
                <w:sz w:val="12"/>
                <w:szCs w:val="18"/>
              </w:rPr>
            </w:pPr>
          </w:p>
        </w:tc>
        <w:tc>
          <w:tcPr>
            <w:tcW w:w="1134" w:type="dxa"/>
            <w:tcBorders>
              <w:top w:val="nil"/>
              <w:left w:val="nil"/>
              <w:bottom w:val="nil"/>
              <w:right w:val="single" w:sz="4" w:space="0" w:color="auto"/>
            </w:tcBorders>
            <w:shd w:val="clear" w:color="auto" w:fill="auto"/>
            <w:vAlign w:val="bottom"/>
            <w:hideMark/>
          </w:tcPr>
          <w:p w:rsidR="003117C2" w:rsidRPr="00D65896" w:rsidRDefault="003117C2" w:rsidP="00DC5E39">
            <w:pPr>
              <w:jc w:val="center"/>
              <w:rPr>
                <w:rFonts w:cs="Arial"/>
                <w:color w:val="000000"/>
                <w:sz w:val="12"/>
                <w:szCs w:val="18"/>
              </w:rPr>
            </w:pPr>
          </w:p>
        </w:tc>
        <w:tc>
          <w:tcPr>
            <w:tcW w:w="992" w:type="dxa"/>
            <w:tcBorders>
              <w:top w:val="nil"/>
              <w:left w:val="nil"/>
              <w:bottom w:val="nil"/>
              <w:right w:val="single" w:sz="4" w:space="0" w:color="auto"/>
            </w:tcBorders>
            <w:shd w:val="clear" w:color="auto" w:fill="auto"/>
            <w:vAlign w:val="bottom"/>
            <w:hideMark/>
          </w:tcPr>
          <w:p w:rsidR="003117C2" w:rsidRPr="00D65896" w:rsidRDefault="003117C2" w:rsidP="00DC5E39">
            <w:pPr>
              <w:jc w:val="center"/>
              <w:rPr>
                <w:rFonts w:cs="Arial"/>
                <w:color w:val="000000"/>
                <w:sz w:val="12"/>
                <w:szCs w:val="18"/>
              </w:rPr>
            </w:pPr>
          </w:p>
        </w:tc>
        <w:tc>
          <w:tcPr>
            <w:tcW w:w="1315" w:type="dxa"/>
            <w:tcBorders>
              <w:top w:val="nil"/>
              <w:left w:val="nil"/>
              <w:bottom w:val="nil"/>
              <w:right w:val="single" w:sz="4" w:space="0" w:color="auto"/>
            </w:tcBorders>
            <w:shd w:val="clear" w:color="auto" w:fill="auto"/>
            <w:vAlign w:val="bottom"/>
            <w:hideMark/>
          </w:tcPr>
          <w:p w:rsidR="003117C2" w:rsidRPr="00D65896" w:rsidRDefault="003117C2" w:rsidP="00DC5E39">
            <w:pPr>
              <w:jc w:val="center"/>
              <w:rPr>
                <w:rFonts w:cs="Arial"/>
                <w:color w:val="000000"/>
                <w:sz w:val="12"/>
                <w:szCs w:val="18"/>
              </w:rPr>
            </w:pPr>
          </w:p>
        </w:tc>
      </w:tr>
      <w:tr w:rsidR="003117C2" w:rsidRPr="00D65896"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D65896" w:rsidRDefault="003117C2" w:rsidP="00DC5E39">
            <w:pPr>
              <w:jc w:val="center"/>
              <w:rPr>
                <w:rFonts w:cs="Arial"/>
                <w:color w:val="000000"/>
                <w:sz w:val="18"/>
                <w:szCs w:val="18"/>
              </w:rPr>
            </w:pPr>
            <w:r w:rsidRPr="00D65896">
              <w:rPr>
                <w:rFonts w:cs="Arial"/>
                <w:color w:val="000000"/>
                <w:sz w:val="18"/>
                <w:szCs w:val="18"/>
              </w:rPr>
              <w:t>UV.1</w:t>
            </w:r>
          </w:p>
        </w:tc>
        <w:tc>
          <w:tcPr>
            <w:tcW w:w="1240" w:type="dxa"/>
            <w:tcBorders>
              <w:top w:val="nil"/>
              <w:left w:val="single" w:sz="4" w:space="0" w:color="auto"/>
              <w:bottom w:val="nil"/>
              <w:right w:val="single" w:sz="4" w:space="0" w:color="auto"/>
            </w:tcBorders>
            <w:shd w:val="clear" w:color="auto" w:fill="auto"/>
            <w:vAlign w:val="bottom"/>
            <w:hideMark/>
          </w:tcPr>
          <w:p w:rsidR="003117C2" w:rsidRPr="00D65896" w:rsidRDefault="003117C2" w:rsidP="00DC5E39">
            <w:pPr>
              <w:ind w:right="284"/>
              <w:jc w:val="right"/>
              <w:rPr>
                <w:rFonts w:cs="Arial"/>
                <w:color w:val="000000"/>
                <w:sz w:val="18"/>
                <w:szCs w:val="18"/>
              </w:rPr>
            </w:pPr>
            <w:r w:rsidRPr="00D65896">
              <w:rPr>
                <w:rFonts w:cs="Arial"/>
                <w:color w:val="000000"/>
                <w:sz w:val="18"/>
                <w:szCs w:val="18"/>
              </w:rPr>
              <w:t>720</w:t>
            </w:r>
          </w:p>
        </w:tc>
        <w:tc>
          <w:tcPr>
            <w:tcW w:w="1134" w:type="dxa"/>
            <w:tcBorders>
              <w:top w:val="nil"/>
              <w:left w:val="nil"/>
              <w:bottom w:val="nil"/>
              <w:right w:val="single" w:sz="4" w:space="0" w:color="auto"/>
            </w:tcBorders>
            <w:shd w:val="clear" w:color="auto" w:fill="auto"/>
            <w:vAlign w:val="bottom"/>
            <w:hideMark/>
          </w:tcPr>
          <w:p w:rsidR="003117C2" w:rsidRPr="00D65896" w:rsidRDefault="003117C2" w:rsidP="00DC5E39">
            <w:pPr>
              <w:ind w:right="227"/>
              <w:jc w:val="right"/>
              <w:rPr>
                <w:rFonts w:cs="Arial"/>
                <w:color w:val="000000"/>
                <w:sz w:val="18"/>
                <w:szCs w:val="18"/>
              </w:rPr>
            </w:pPr>
            <w:r>
              <w:rPr>
                <w:rFonts w:cs="Arial"/>
                <w:color w:val="000000"/>
                <w:sz w:val="18"/>
                <w:szCs w:val="18"/>
              </w:rPr>
              <w:t>-33</w:t>
            </w:r>
          </w:p>
        </w:tc>
        <w:tc>
          <w:tcPr>
            <w:tcW w:w="992" w:type="dxa"/>
            <w:tcBorders>
              <w:top w:val="nil"/>
              <w:left w:val="nil"/>
              <w:bottom w:val="nil"/>
              <w:right w:val="nil"/>
            </w:tcBorders>
            <w:shd w:val="clear" w:color="auto" w:fill="auto"/>
            <w:vAlign w:val="bottom"/>
            <w:hideMark/>
          </w:tcPr>
          <w:p w:rsidR="003117C2" w:rsidRPr="00D65896" w:rsidRDefault="003117C2" w:rsidP="00DC5E39">
            <w:pPr>
              <w:ind w:right="170"/>
              <w:jc w:val="right"/>
              <w:rPr>
                <w:rFonts w:cs="Arial"/>
                <w:color w:val="000000"/>
                <w:sz w:val="18"/>
                <w:szCs w:val="18"/>
              </w:rPr>
            </w:pPr>
            <w:r w:rsidRPr="00D65896">
              <w:rPr>
                <w:rFonts w:cs="Arial"/>
                <w:color w:val="000000"/>
                <w:sz w:val="18"/>
                <w:szCs w:val="18"/>
              </w:rPr>
              <w:t>-4.6%</w:t>
            </w:r>
          </w:p>
        </w:tc>
        <w:tc>
          <w:tcPr>
            <w:tcW w:w="1315" w:type="dxa"/>
            <w:tcBorders>
              <w:top w:val="nil"/>
              <w:left w:val="single" w:sz="4" w:space="0" w:color="auto"/>
              <w:bottom w:val="nil"/>
              <w:right w:val="single" w:sz="4" w:space="0" w:color="auto"/>
            </w:tcBorders>
            <w:shd w:val="clear" w:color="auto" w:fill="auto"/>
            <w:vAlign w:val="bottom"/>
            <w:hideMark/>
          </w:tcPr>
          <w:p w:rsidR="003117C2" w:rsidRPr="00D65896" w:rsidRDefault="003117C2" w:rsidP="00DC5E39">
            <w:pPr>
              <w:ind w:right="227"/>
              <w:jc w:val="right"/>
              <w:rPr>
                <w:rFonts w:cs="Arial"/>
                <w:color w:val="000000"/>
                <w:sz w:val="18"/>
                <w:szCs w:val="18"/>
              </w:rPr>
            </w:pPr>
            <w:r>
              <w:rPr>
                <w:rFonts w:cs="Arial"/>
                <w:color w:val="000000"/>
                <w:sz w:val="18"/>
                <w:szCs w:val="18"/>
              </w:rPr>
              <w:t>687</w:t>
            </w:r>
          </w:p>
        </w:tc>
      </w:tr>
      <w:tr w:rsidR="003117C2" w:rsidRPr="002D2395"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2D2395" w:rsidRDefault="003117C2" w:rsidP="00DC5E39">
            <w:pPr>
              <w:jc w:val="center"/>
              <w:rPr>
                <w:rFonts w:cs="Arial"/>
                <w:color w:val="000000"/>
                <w:sz w:val="18"/>
                <w:szCs w:val="18"/>
              </w:rPr>
            </w:pPr>
            <w:r w:rsidRPr="002D2395">
              <w:rPr>
                <w:rFonts w:cs="Arial"/>
                <w:color w:val="000000"/>
                <w:sz w:val="18"/>
                <w:szCs w:val="18"/>
              </w:rPr>
              <w:t>UV.2</w:t>
            </w:r>
          </w:p>
        </w:tc>
        <w:tc>
          <w:tcPr>
            <w:tcW w:w="124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3,934</w:t>
            </w:r>
          </w:p>
        </w:tc>
        <w:tc>
          <w:tcPr>
            <w:tcW w:w="1134" w:type="dxa"/>
            <w:tcBorders>
              <w:top w:val="nil"/>
              <w:left w:val="nil"/>
              <w:bottom w:val="nil"/>
              <w:right w:val="single" w:sz="4" w:space="0" w:color="auto"/>
            </w:tcBorders>
            <w:shd w:val="clear" w:color="auto" w:fill="auto"/>
            <w:vAlign w:val="bottom"/>
            <w:hideMark/>
          </w:tcPr>
          <w:p w:rsidR="003117C2" w:rsidRPr="002D2395" w:rsidRDefault="001A05E3" w:rsidP="00DC5E39">
            <w:pPr>
              <w:ind w:right="227"/>
              <w:jc w:val="right"/>
              <w:rPr>
                <w:rFonts w:cs="Arial"/>
                <w:color w:val="000000"/>
                <w:sz w:val="18"/>
                <w:szCs w:val="18"/>
              </w:rPr>
            </w:pPr>
            <w:r w:rsidRPr="002D2395">
              <w:rPr>
                <w:rFonts w:cs="Arial"/>
                <w:color w:val="000000"/>
                <w:sz w:val="18"/>
                <w:szCs w:val="18"/>
              </w:rPr>
              <w:t>289</w:t>
            </w:r>
          </w:p>
        </w:tc>
        <w:tc>
          <w:tcPr>
            <w:tcW w:w="992" w:type="dxa"/>
            <w:tcBorders>
              <w:top w:val="nil"/>
              <w:left w:val="nil"/>
              <w:bottom w:val="nil"/>
              <w:right w:val="nil"/>
            </w:tcBorders>
            <w:shd w:val="clear" w:color="auto" w:fill="auto"/>
            <w:vAlign w:val="bottom"/>
            <w:hideMark/>
          </w:tcPr>
          <w:p w:rsidR="003117C2" w:rsidRPr="002D2395" w:rsidRDefault="00F31D9C" w:rsidP="00DC5E39">
            <w:pPr>
              <w:ind w:right="170"/>
              <w:jc w:val="right"/>
              <w:rPr>
                <w:rFonts w:cs="Arial"/>
                <w:color w:val="000000"/>
                <w:sz w:val="18"/>
                <w:szCs w:val="18"/>
              </w:rPr>
            </w:pPr>
            <w:r w:rsidRPr="002D2395">
              <w:rPr>
                <w:rFonts w:cs="Arial"/>
                <w:color w:val="000000"/>
                <w:sz w:val="18"/>
                <w:szCs w:val="18"/>
              </w:rPr>
              <w:t>7.3</w:t>
            </w:r>
            <w:r w:rsidR="003117C2" w:rsidRPr="002D2395">
              <w:rPr>
                <w:rFonts w:cs="Arial"/>
                <w:color w:val="000000"/>
                <w:sz w:val="18"/>
                <w:szCs w:val="18"/>
              </w:rPr>
              <w:t>%</w:t>
            </w:r>
          </w:p>
        </w:tc>
        <w:tc>
          <w:tcPr>
            <w:tcW w:w="1315"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1A05E3">
            <w:pPr>
              <w:ind w:right="227"/>
              <w:jc w:val="right"/>
              <w:rPr>
                <w:rFonts w:cs="Arial"/>
                <w:color w:val="000000"/>
                <w:sz w:val="18"/>
                <w:szCs w:val="18"/>
              </w:rPr>
            </w:pPr>
            <w:r w:rsidRPr="002D2395">
              <w:rPr>
                <w:rFonts w:cs="Arial"/>
                <w:color w:val="000000"/>
                <w:sz w:val="18"/>
                <w:szCs w:val="18"/>
              </w:rPr>
              <w:t>4,2</w:t>
            </w:r>
            <w:r w:rsidR="001A05E3" w:rsidRPr="002D2395">
              <w:rPr>
                <w:rFonts w:cs="Arial"/>
                <w:color w:val="000000"/>
                <w:sz w:val="18"/>
                <w:szCs w:val="18"/>
              </w:rPr>
              <w:t>23</w:t>
            </w:r>
          </w:p>
        </w:tc>
      </w:tr>
      <w:tr w:rsidR="003117C2" w:rsidRPr="002D2395"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2D2395" w:rsidRDefault="003117C2" w:rsidP="00DC5E39">
            <w:pPr>
              <w:jc w:val="center"/>
              <w:rPr>
                <w:rFonts w:cs="Arial"/>
                <w:color w:val="000000"/>
                <w:sz w:val="18"/>
                <w:szCs w:val="18"/>
              </w:rPr>
            </w:pPr>
            <w:r w:rsidRPr="002D2395">
              <w:rPr>
                <w:rFonts w:cs="Arial"/>
                <w:color w:val="000000"/>
                <w:sz w:val="18"/>
                <w:szCs w:val="18"/>
              </w:rPr>
              <w:t>UV.3</w:t>
            </w:r>
          </w:p>
        </w:tc>
        <w:tc>
          <w:tcPr>
            <w:tcW w:w="124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1,578</w:t>
            </w:r>
          </w:p>
        </w:tc>
        <w:tc>
          <w:tcPr>
            <w:tcW w:w="1134"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-101</w:t>
            </w:r>
          </w:p>
        </w:tc>
        <w:tc>
          <w:tcPr>
            <w:tcW w:w="992" w:type="dxa"/>
            <w:tcBorders>
              <w:top w:val="nil"/>
              <w:left w:val="nil"/>
              <w:bottom w:val="nil"/>
              <w:right w:val="nil"/>
            </w:tcBorders>
            <w:shd w:val="clear" w:color="auto" w:fill="auto"/>
            <w:vAlign w:val="bottom"/>
            <w:hideMark/>
          </w:tcPr>
          <w:p w:rsidR="003117C2" w:rsidRPr="002D2395" w:rsidRDefault="003117C2" w:rsidP="00DC5E39">
            <w:pPr>
              <w:ind w:right="170"/>
              <w:jc w:val="right"/>
              <w:rPr>
                <w:rFonts w:cs="Arial"/>
                <w:color w:val="000000"/>
                <w:sz w:val="18"/>
                <w:szCs w:val="18"/>
              </w:rPr>
            </w:pPr>
            <w:r w:rsidRPr="002D2395">
              <w:rPr>
                <w:rFonts w:cs="Arial"/>
                <w:color w:val="000000"/>
                <w:sz w:val="18"/>
                <w:szCs w:val="18"/>
              </w:rPr>
              <w:t>-6.4%</w:t>
            </w:r>
          </w:p>
        </w:tc>
        <w:tc>
          <w:tcPr>
            <w:tcW w:w="1315"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1,477</w:t>
            </w:r>
          </w:p>
        </w:tc>
      </w:tr>
      <w:tr w:rsidR="003117C2" w:rsidRPr="002D2395"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2D2395" w:rsidRDefault="003117C2" w:rsidP="00DC5E39">
            <w:pPr>
              <w:jc w:val="center"/>
              <w:rPr>
                <w:rFonts w:cs="Arial"/>
                <w:color w:val="000000"/>
                <w:sz w:val="18"/>
                <w:szCs w:val="18"/>
              </w:rPr>
            </w:pPr>
            <w:r w:rsidRPr="002D2395">
              <w:rPr>
                <w:rFonts w:cs="Arial"/>
                <w:color w:val="000000"/>
                <w:sz w:val="18"/>
                <w:szCs w:val="18"/>
              </w:rPr>
              <w:t>UV.4</w:t>
            </w:r>
          </w:p>
        </w:tc>
        <w:tc>
          <w:tcPr>
            <w:tcW w:w="1240"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562</w:t>
            </w:r>
          </w:p>
        </w:tc>
        <w:tc>
          <w:tcPr>
            <w:tcW w:w="1134"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-126</w:t>
            </w:r>
          </w:p>
        </w:tc>
        <w:tc>
          <w:tcPr>
            <w:tcW w:w="992" w:type="dxa"/>
            <w:tcBorders>
              <w:top w:val="nil"/>
              <w:left w:val="nil"/>
              <w:bottom w:val="nil"/>
              <w:right w:val="nil"/>
            </w:tcBorders>
            <w:shd w:val="clear" w:color="auto" w:fill="auto"/>
            <w:vAlign w:val="bottom"/>
            <w:hideMark/>
          </w:tcPr>
          <w:p w:rsidR="003117C2" w:rsidRPr="002D2395" w:rsidRDefault="003117C2" w:rsidP="00DC5E39">
            <w:pPr>
              <w:ind w:right="170"/>
              <w:jc w:val="right"/>
              <w:rPr>
                <w:rFonts w:cs="Arial"/>
                <w:color w:val="000000"/>
                <w:sz w:val="18"/>
                <w:szCs w:val="18"/>
              </w:rPr>
            </w:pPr>
            <w:r w:rsidRPr="002D2395">
              <w:rPr>
                <w:rFonts w:cs="Arial"/>
                <w:color w:val="000000"/>
                <w:sz w:val="18"/>
                <w:szCs w:val="18"/>
              </w:rPr>
              <w:t>-22.4%</w:t>
            </w:r>
          </w:p>
        </w:tc>
        <w:tc>
          <w:tcPr>
            <w:tcW w:w="1315"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436</w:t>
            </w:r>
          </w:p>
        </w:tc>
      </w:tr>
      <w:tr w:rsidR="003117C2" w:rsidRPr="002D2395" w:rsidTr="00DC5E39">
        <w:trPr>
          <w:jc w:val="center"/>
        </w:trPr>
        <w:tc>
          <w:tcPr>
            <w:tcW w:w="1352" w:type="dxa"/>
            <w:tcBorders>
              <w:top w:val="nil"/>
              <w:left w:val="single" w:sz="4" w:space="0" w:color="auto"/>
              <w:bottom w:val="nil"/>
              <w:right w:val="nil"/>
            </w:tcBorders>
            <w:shd w:val="clear" w:color="auto" w:fill="auto"/>
            <w:vAlign w:val="bottom"/>
            <w:hideMark/>
          </w:tcPr>
          <w:p w:rsidR="003117C2" w:rsidRPr="002D2395" w:rsidRDefault="003117C2" w:rsidP="00DC5E39">
            <w:pPr>
              <w:jc w:val="center"/>
              <w:rPr>
                <w:rFonts w:cs="Arial"/>
                <w:color w:val="000000"/>
                <w:sz w:val="12"/>
                <w:szCs w:val="18"/>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ind w:right="284"/>
              <w:jc w:val="right"/>
              <w:rPr>
                <w:rFonts w:cs="Arial"/>
                <w:color w:val="000000"/>
                <w:sz w:val="12"/>
                <w:szCs w:val="18"/>
              </w:rPr>
            </w:pPr>
          </w:p>
        </w:tc>
        <w:tc>
          <w:tcPr>
            <w:tcW w:w="1134"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2"/>
                <w:szCs w:val="18"/>
              </w:rPr>
            </w:pPr>
          </w:p>
        </w:tc>
        <w:tc>
          <w:tcPr>
            <w:tcW w:w="992" w:type="dxa"/>
            <w:tcBorders>
              <w:top w:val="nil"/>
              <w:left w:val="nil"/>
              <w:bottom w:val="nil"/>
              <w:right w:val="nil"/>
            </w:tcBorders>
            <w:shd w:val="clear" w:color="auto" w:fill="auto"/>
            <w:vAlign w:val="bottom"/>
            <w:hideMark/>
          </w:tcPr>
          <w:p w:rsidR="003117C2" w:rsidRPr="002D2395" w:rsidRDefault="003117C2" w:rsidP="00DC5E39">
            <w:pPr>
              <w:ind w:right="170"/>
              <w:jc w:val="right"/>
              <w:rPr>
                <w:rFonts w:cs="Arial"/>
                <w:color w:val="000000"/>
                <w:sz w:val="12"/>
                <w:szCs w:val="18"/>
              </w:rPr>
            </w:pPr>
          </w:p>
        </w:tc>
        <w:tc>
          <w:tcPr>
            <w:tcW w:w="1315" w:type="dxa"/>
            <w:tcBorders>
              <w:top w:val="nil"/>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2"/>
                <w:szCs w:val="18"/>
              </w:rPr>
            </w:pPr>
          </w:p>
        </w:tc>
      </w:tr>
      <w:tr w:rsidR="003117C2" w:rsidRPr="00D65896" w:rsidTr="00DC5E39">
        <w:trPr>
          <w:jc w:val="center"/>
        </w:trPr>
        <w:tc>
          <w:tcPr>
            <w:tcW w:w="1352" w:type="dxa"/>
            <w:tcBorders>
              <w:top w:val="single" w:sz="4" w:space="0" w:color="auto"/>
              <w:left w:val="single" w:sz="4" w:space="0" w:color="auto"/>
              <w:bottom w:val="single" w:sz="4" w:space="0" w:color="auto"/>
              <w:right w:val="nil"/>
            </w:tcBorders>
            <w:shd w:val="clear" w:color="auto" w:fill="auto"/>
            <w:vAlign w:val="bottom"/>
            <w:hideMark/>
          </w:tcPr>
          <w:p w:rsidR="003117C2" w:rsidRPr="002D2395" w:rsidRDefault="003117C2" w:rsidP="00DC5E39">
            <w:pPr>
              <w:jc w:val="center"/>
              <w:rPr>
                <w:rFonts w:cs="Arial"/>
                <w:b/>
                <w:bCs/>
                <w:color w:val="000000"/>
                <w:sz w:val="18"/>
                <w:szCs w:val="18"/>
              </w:rPr>
            </w:pPr>
            <w:r w:rsidRPr="002D2395">
              <w:rPr>
                <w:rFonts w:cs="Arial"/>
                <w:b/>
                <w:bCs/>
                <w:color w:val="000000"/>
                <w:sz w:val="18"/>
                <w:szCs w:val="18"/>
              </w:rPr>
              <w:t>TOTAL</w:t>
            </w:r>
          </w:p>
        </w:tc>
        <w:tc>
          <w:tcPr>
            <w:tcW w:w="1240" w:type="dxa"/>
            <w:tcBorders>
              <w:top w:val="nil"/>
              <w:left w:val="single" w:sz="4" w:space="0" w:color="auto"/>
              <w:bottom w:val="single" w:sz="4" w:space="0" w:color="auto"/>
              <w:right w:val="nil"/>
            </w:tcBorders>
            <w:shd w:val="clear" w:color="auto" w:fill="auto"/>
            <w:vAlign w:val="bottom"/>
            <w:hideMark/>
          </w:tcPr>
          <w:p w:rsidR="003117C2" w:rsidRPr="002D2395" w:rsidRDefault="003117C2" w:rsidP="00DC5E39">
            <w:pPr>
              <w:ind w:right="284"/>
              <w:jc w:val="right"/>
              <w:rPr>
                <w:rFonts w:cs="Arial"/>
                <w:b/>
                <w:bCs/>
                <w:color w:val="000000"/>
                <w:sz w:val="18"/>
                <w:szCs w:val="18"/>
              </w:rPr>
            </w:pPr>
            <w:r w:rsidRPr="002D2395">
              <w:rPr>
                <w:rFonts w:cs="Arial"/>
                <w:b/>
                <w:bCs/>
                <w:color w:val="000000"/>
                <w:sz w:val="18"/>
                <w:szCs w:val="18"/>
              </w:rPr>
              <w:t>6,794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1A05E3" w:rsidP="00DC5E39">
            <w:pPr>
              <w:ind w:right="227"/>
              <w:jc w:val="right"/>
              <w:rPr>
                <w:rFonts w:cs="Arial"/>
                <w:b/>
                <w:bCs/>
                <w:color w:val="000000"/>
                <w:sz w:val="18"/>
                <w:szCs w:val="18"/>
              </w:rPr>
            </w:pPr>
            <w:r w:rsidRPr="002D2395">
              <w:rPr>
                <w:rFonts w:cs="Arial"/>
                <w:b/>
                <w:bCs/>
                <w:color w:val="000000"/>
                <w:sz w:val="18"/>
                <w:szCs w:val="18"/>
              </w:rPr>
              <w:t>29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1A05E3">
            <w:pPr>
              <w:ind w:right="170"/>
              <w:jc w:val="right"/>
              <w:rPr>
                <w:rFonts w:cs="Arial"/>
                <w:b/>
                <w:bCs/>
                <w:color w:val="000000"/>
                <w:sz w:val="18"/>
                <w:szCs w:val="18"/>
              </w:rPr>
            </w:pPr>
            <w:r w:rsidRPr="002D2395">
              <w:rPr>
                <w:rFonts w:cs="Arial"/>
                <w:b/>
                <w:bCs/>
                <w:color w:val="000000"/>
                <w:sz w:val="18"/>
                <w:szCs w:val="18"/>
              </w:rPr>
              <w:t>0.</w:t>
            </w:r>
            <w:r w:rsidR="001A05E3" w:rsidRPr="002D2395">
              <w:rPr>
                <w:rFonts w:cs="Arial"/>
                <w:b/>
                <w:bCs/>
                <w:color w:val="000000"/>
                <w:sz w:val="18"/>
                <w:szCs w:val="18"/>
              </w:rPr>
              <w:t>4</w:t>
            </w:r>
            <w:r w:rsidRPr="002D2395">
              <w:rPr>
                <w:rFonts w:cs="Arial"/>
                <w:b/>
                <w:bCs/>
                <w:color w:val="000000"/>
                <w:sz w:val="18"/>
                <w:szCs w:val="18"/>
              </w:rPr>
              <w:t>%</w:t>
            </w:r>
          </w:p>
        </w:tc>
        <w:tc>
          <w:tcPr>
            <w:tcW w:w="1315" w:type="dxa"/>
            <w:tcBorders>
              <w:top w:val="nil"/>
              <w:left w:val="nil"/>
              <w:bottom w:val="single" w:sz="4" w:space="0" w:color="auto"/>
              <w:right w:val="single" w:sz="4" w:space="0" w:color="auto"/>
            </w:tcBorders>
            <w:shd w:val="clear" w:color="auto" w:fill="auto"/>
            <w:vAlign w:val="bottom"/>
            <w:hideMark/>
          </w:tcPr>
          <w:p w:rsidR="003117C2" w:rsidRPr="00D65896" w:rsidRDefault="003117C2" w:rsidP="001A05E3">
            <w:pPr>
              <w:ind w:right="227"/>
              <w:jc w:val="right"/>
              <w:rPr>
                <w:rFonts w:cs="Arial"/>
                <w:b/>
                <w:bCs/>
                <w:color w:val="000000"/>
                <w:sz w:val="18"/>
                <w:szCs w:val="18"/>
              </w:rPr>
            </w:pPr>
            <w:r w:rsidRPr="002D2395">
              <w:rPr>
                <w:rFonts w:cs="Arial"/>
                <w:b/>
                <w:bCs/>
                <w:color w:val="000000"/>
                <w:sz w:val="18"/>
                <w:szCs w:val="18"/>
              </w:rPr>
              <w:t>6,8</w:t>
            </w:r>
            <w:r w:rsidR="001A05E3" w:rsidRPr="002D2395">
              <w:rPr>
                <w:rFonts w:cs="Arial"/>
                <w:b/>
                <w:bCs/>
                <w:color w:val="000000"/>
                <w:sz w:val="18"/>
                <w:szCs w:val="18"/>
              </w:rPr>
              <w:t>23</w:t>
            </w:r>
          </w:p>
        </w:tc>
      </w:tr>
    </w:tbl>
    <w:p w:rsidR="003117C2" w:rsidRDefault="003117C2" w:rsidP="003117C2">
      <w:pPr>
        <w:rPr>
          <w:spacing w:val="-2"/>
          <w:szCs w:val="24"/>
        </w:rPr>
      </w:pPr>
    </w:p>
    <w:p w:rsidR="003117C2" w:rsidRPr="00C97817" w:rsidRDefault="003117C2" w:rsidP="003117C2">
      <w:r w:rsidRPr="00C97817">
        <w:rPr>
          <w:color w:val="000000"/>
        </w:rPr>
        <w:t>3.15</w:t>
      </w:r>
      <w:r w:rsidRPr="00C97817">
        <w:tab/>
      </w:r>
      <w:r w:rsidRPr="00C97817">
        <w:rPr>
          <w:b/>
        </w:rPr>
        <w:t>Table 8</w:t>
      </w:r>
      <w:r w:rsidRPr="00C97817">
        <w:t xml:space="preserve"> provides information on income by source for the 2014-2015 and </w:t>
      </w:r>
      <w:r w:rsidRPr="00C97817">
        <w:rPr>
          <w:snapToGrid w:val="0"/>
          <w:spacing w:val="-2"/>
          <w:szCs w:val="24"/>
        </w:rPr>
        <w:t>2016­2017</w:t>
      </w:r>
      <w:r w:rsidRPr="00C97817">
        <w:t xml:space="preserve"> biennia. </w:t>
      </w:r>
    </w:p>
    <w:p w:rsidR="003117C2" w:rsidRPr="00C97817" w:rsidRDefault="003117C2" w:rsidP="003117C2"/>
    <w:p w:rsidR="003117C2" w:rsidRPr="00C97817" w:rsidRDefault="003117C2" w:rsidP="003117C2">
      <w:r w:rsidRPr="002D2395">
        <w:rPr>
          <w:color w:val="000000"/>
        </w:rPr>
        <w:t>3.16</w:t>
      </w:r>
      <w:r w:rsidRPr="002D2395">
        <w:tab/>
        <w:t xml:space="preserve">Total income under the regular budget in the </w:t>
      </w:r>
      <w:r w:rsidRPr="002D2395">
        <w:rPr>
          <w:snapToGrid w:val="0"/>
          <w:spacing w:val="-2"/>
          <w:szCs w:val="24"/>
        </w:rPr>
        <w:t>2016­2017</w:t>
      </w:r>
      <w:r w:rsidRPr="002D2395">
        <w:t xml:space="preserve"> Biennium is expected to be </w:t>
      </w:r>
      <w:r w:rsidRPr="002D2395">
        <w:rPr>
          <w:spacing w:val="-2"/>
          <w:szCs w:val="24"/>
        </w:rPr>
        <w:t>6,8</w:t>
      </w:r>
      <w:r w:rsidR="00F96AD9" w:rsidRPr="002D2395">
        <w:rPr>
          <w:spacing w:val="-2"/>
          <w:szCs w:val="24"/>
        </w:rPr>
        <w:t>23</w:t>
      </w:r>
      <w:r w:rsidRPr="002D2395">
        <w:rPr>
          <w:spacing w:val="-2"/>
          <w:szCs w:val="24"/>
        </w:rPr>
        <w:t>,000 Swiss francs</w:t>
      </w:r>
      <w:r w:rsidRPr="002D2395">
        <w:t xml:space="preserve">.  This income figure is </w:t>
      </w:r>
      <w:r w:rsidR="00F96AD9" w:rsidRPr="002D2395">
        <w:rPr>
          <w:spacing w:val="-2"/>
          <w:szCs w:val="24"/>
        </w:rPr>
        <w:t>29</w:t>
      </w:r>
      <w:r w:rsidRPr="002D2395">
        <w:rPr>
          <w:spacing w:val="-2"/>
          <w:szCs w:val="24"/>
        </w:rPr>
        <w:t>,000 Swiss francs</w:t>
      </w:r>
      <w:r w:rsidRPr="002D2395">
        <w:t xml:space="preserve"> or </w:t>
      </w:r>
      <w:r w:rsidRPr="002D2395">
        <w:rPr>
          <w:spacing w:val="-2"/>
          <w:szCs w:val="24"/>
        </w:rPr>
        <w:t>0.</w:t>
      </w:r>
      <w:r w:rsidR="00F96AD9" w:rsidRPr="002D2395">
        <w:rPr>
          <w:spacing w:val="-2"/>
          <w:szCs w:val="24"/>
        </w:rPr>
        <w:t>4</w:t>
      </w:r>
      <w:r w:rsidRPr="002D2395">
        <w:t xml:space="preserve">% higher than the income for the 2014-2015 Biennium of </w:t>
      </w:r>
      <w:r w:rsidRPr="002D2395">
        <w:rPr>
          <w:spacing w:val="-2"/>
          <w:szCs w:val="24"/>
        </w:rPr>
        <w:t>6,794,000 Swiss francs</w:t>
      </w:r>
      <w:r w:rsidRPr="002D2395">
        <w:t>.  In particular, this projection assumes 63.6 contribution units in 2016 and 63.8 contribution units in 2017 with no change to the value of the contribution unit, which is</w:t>
      </w:r>
      <w:r w:rsidRPr="00C97817">
        <w:t xml:space="preserve"> proposed to remain at 53,641 </w:t>
      </w:r>
      <w:r w:rsidRPr="00C97817">
        <w:rPr>
          <w:spacing w:val="-2"/>
          <w:szCs w:val="24"/>
        </w:rPr>
        <w:t>Swiss francs</w:t>
      </w:r>
      <w:r w:rsidRPr="00C97817">
        <w:t xml:space="preserve"> during the </w:t>
      </w:r>
      <w:r w:rsidRPr="00C97817">
        <w:rPr>
          <w:snapToGrid w:val="0"/>
          <w:spacing w:val="-2"/>
          <w:szCs w:val="24"/>
        </w:rPr>
        <w:t>2016­2017</w:t>
      </w:r>
      <w:r w:rsidRPr="00C97817">
        <w:t xml:space="preserve"> Biennium.  </w:t>
      </w:r>
    </w:p>
    <w:p w:rsidR="003117C2" w:rsidRPr="00C97817" w:rsidRDefault="003117C2" w:rsidP="003117C2"/>
    <w:p w:rsidR="003117C2" w:rsidRPr="00C97817" w:rsidRDefault="003117C2" w:rsidP="003117C2">
      <w:r w:rsidRPr="00C97817">
        <w:rPr>
          <w:color w:val="000000"/>
        </w:rPr>
        <w:t>3.17</w:t>
      </w:r>
      <w:r w:rsidRPr="00C97817">
        <w:tab/>
        <w:t>The income from contributions is estimated on the assumption of one new member of the Union per year, each contributing 0.2 contribution unit to the budget (and 1,667 </w:t>
      </w:r>
      <w:r w:rsidRPr="00C97817">
        <w:rPr>
          <w:spacing w:val="-2"/>
          <w:szCs w:val="24"/>
        </w:rPr>
        <w:t>Swiss francs</w:t>
      </w:r>
      <w:r w:rsidRPr="00C97817">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Annex III of document C(</w:t>
      </w:r>
      <w:proofErr w:type="spellStart"/>
      <w:r w:rsidRPr="00C97817">
        <w:t>Extr</w:t>
      </w:r>
      <w:proofErr w:type="spellEnd"/>
      <w:r w:rsidRPr="00C97817">
        <w:t xml:space="preserve">.)/23/5).  On that basis, no reduction in the number of units of contribution by members of the Union is anticipated within the </w:t>
      </w:r>
      <w:r w:rsidRPr="00C97817">
        <w:rPr>
          <w:snapToGrid w:val="0"/>
          <w:spacing w:val="-2"/>
          <w:szCs w:val="24"/>
        </w:rPr>
        <w:t>2016­2017</w:t>
      </w:r>
      <w:r w:rsidRPr="00C97817">
        <w:t xml:space="preserve"> Biennium.</w:t>
      </w:r>
    </w:p>
    <w:p w:rsidR="003117C2" w:rsidRPr="00C97817" w:rsidRDefault="003117C2" w:rsidP="003117C2"/>
    <w:p w:rsidR="003117C2" w:rsidRPr="00C97817" w:rsidRDefault="003117C2" w:rsidP="003117C2">
      <w:pPr>
        <w:tabs>
          <w:tab w:val="left" w:pos="567"/>
        </w:tabs>
      </w:pPr>
      <w:r w:rsidRPr="00C97817">
        <w:rPr>
          <w:color w:val="000000"/>
        </w:rPr>
        <w:t>3.18</w:t>
      </w:r>
      <w:r w:rsidRPr="00C97817">
        <w:tab/>
        <w:t>In addition to contributions from members of the Union, UPOV income is anticipated from other miscellaneous income (</w:t>
      </w:r>
      <w:r w:rsidRPr="00C97817">
        <w:rPr>
          <w:spacing w:val="-2"/>
          <w:szCs w:val="24"/>
        </w:rPr>
        <w:t>113,000 Swiss francs</w:t>
      </w:r>
      <w:r w:rsidRPr="00C97817">
        <w:t>), including participants fees in UPOV's distance learning program (</w:t>
      </w:r>
      <w:r w:rsidRPr="00C97817">
        <w:rPr>
          <w:spacing w:val="-2"/>
          <w:szCs w:val="24"/>
        </w:rPr>
        <w:t>15,000 Swiss francs</w:t>
      </w:r>
      <w:r w:rsidRPr="00C97817">
        <w:t>), administrative support costs under Funds in Trust (</w:t>
      </w:r>
      <w:r w:rsidRPr="00C97817">
        <w:rPr>
          <w:spacing w:val="-2"/>
          <w:szCs w:val="24"/>
        </w:rPr>
        <w:t>57,000 Swiss francs</w:t>
      </w:r>
      <w:r w:rsidRPr="00C97817">
        <w:t>) and income from the use of the electronic application system (</w:t>
      </w:r>
      <w:r w:rsidRPr="00C97817">
        <w:rPr>
          <w:spacing w:val="-2"/>
          <w:szCs w:val="24"/>
        </w:rPr>
        <w:t>25,000 Swiss francs</w:t>
      </w:r>
      <w:r w:rsidRPr="00C97817">
        <w:t xml:space="preserve">).  Excluding contributions, all </w:t>
      </w:r>
      <w:r w:rsidRPr="002D2395">
        <w:t xml:space="preserve">these sources combined are anticipated to generate </w:t>
      </w:r>
      <w:r w:rsidRPr="002D2395">
        <w:rPr>
          <w:spacing w:val="-2"/>
          <w:szCs w:val="24"/>
        </w:rPr>
        <w:t>1.</w:t>
      </w:r>
      <w:r w:rsidR="00F96AD9" w:rsidRPr="002D2395">
        <w:rPr>
          <w:spacing w:val="-2"/>
          <w:szCs w:val="24"/>
        </w:rPr>
        <w:t>7</w:t>
      </w:r>
      <w:r w:rsidRPr="002D2395">
        <w:t xml:space="preserve">% of UPOV’s regular income in the </w:t>
      </w:r>
      <w:r w:rsidRPr="002D2395">
        <w:rPr>
          <w:snapToGrid w:val="0"/>
          <w:spacing w:val="-2"/>
          <w:szCs w:val="24"/>
        </w:rPr>
        <w:t>2016­2017</w:t>
      </w:r>
      <w:r w:rsidRPr="00C97817">
        <w:t xml:space="preserve"> Biennium.  </w:t>
      </w:r>
    </w:p>
    <w:p w:rsidR="003117C2" w:rsidRPr="00C97817" w:rsidRDefault="003117C2" w:rsidP="003117C2">
      <w:pPr>
        <w:rPr>
          <w:spacing w:val="-2"/>
          <w:szCs w:val="24"/>
        </w:rPr>
      </w:pPr>
    </w:p>
    <w:p w:rsidR="003117C2" w:rsidRDefault="003117C2" w:rsidP="003117C2">
      <w:pPr>
        <w:jc w:val="center"/>
        <w:rPr>
          <w:rFonts w:cs="Arial"/>
          <w:i/>
          <w:iCs/>
        </w:rPr>
      </w:pPr>
      <w:r w:rsidRPr="00C97817">
        <w:rPr>
          <w:rFonts w:cs="Arial"/>
          <w:b/>
          <w:bCs/>
        </w:rPr>
        <w:t>Table 8:  Income 2014-2015 and 2016-2017:  Variation by Source</w:t>
      </w:r>
      <w:r>
        <w:rPr>
          <w:rFonts w:cs="Arial"/>
          <w:b/>
          <w:bCs/>
        </w:rPr>
        <w:br/>
      </w:r>
      <w:r w:rsidRPr="003B6D36">
        <w:rPr>
          <w:rFonts w:cs="Arial"/>
          <w:i/>
          <w:iCs/>
        </w:rPr>
        <w:t>(in thousands of Swiss francs)</w:t>
      </w:r>
    </w:p>
    <w:p w:rsidR="003117C2" w:rsidRDefault="003117C2" w:rsidP="003117C2">
      <w:pPr>
        <w:jc w:val="center"/>
        <w:rPr>
          <w:spacing w:val="-2"/>
          <w:szCs w:val="24"/>
        </w:rPr>
      </w:pPr>
    </w:p>
    <w:tbl>
      <w:tblPr>
        <w:tblW w:w="0" w:type="auto"/>
        <w:jc w:val="center"/>
        <w:tblLayout w:type="fixed"/>
        <w:tblCellMar>
          <w:top w:w="57" w:type="dxa"/>
          <w:left w:w="57" w:type="dxa"/>
          <w:bottom w:w="28" w:type="dxa"/>
          <w:right w:w="57" w:type="dxa"/>
        </w:tblCellMar>
        <w:tblLook w:val="04A0" w:firstRow="1" w:lastRow="0" w:firstColumn="1" w:lastColumn="0" w:noHBand="0" w:noVBand="1"/>
      </w:tblPr>
      <w:tblGrid>
        <w:gridCol w:w="1645"/>
        <w:gridCol w:w="1092"/>
        <w:gridCol w:w="1276"/>
        <w:gridCol w:w="970"/>
        <w:gridCol w:w="873"/>
        <w:gridCol w:w="1275"/>
      </w:tblGrid>
      <w:tr w:rsidR="003117C2" w:rsidRPr="003B6D36" w:rsidTr="00DC5E39">
        <w:trPr>
          <w:jc w:val="center"/>
        </w:trPr>
        <w:tc>
          <w:tcPr>
            <w:tcW w:w="1645" w:type="dxa"/>
            <w:tcBorders>
              <w:top w:val="single" w:sz="4" w:space="0" w:color="auto"/>
              <w:left w:val="single" w:sz="4" w:space="0" w:color="auto"/>
              <w:right w:val="nil"/>
            </w:tcBorders>
            <w:shd w:val="clear" w:color="auto" w:fill="auto"/>
            <w:vAlign w:val="center"/>
            <w:hideMark/>
          </w:tcPr>
          <w:p w:rsidR="003117C2" w:rsidRPr="003B6D36" w:rsidRDefault="003117C2" w:rsidP="00DC5E39">
            <w:pPr>
              <w:jc w:val="center"/>
              <w:rPr>
                <w:rFonts w:cs="Arial"/>
                <w:b/>
                <w:bCs/>
                <w:sz w:val="18"/>
                <w:szCs w:val="18"/>
              </w:rPr>
            </w:pPr>
            <w:r w:rsidRPr="003B6D36">
              <w:rPr>
                <w:rFonts w:cs="Arial"/>
                <w:b/>
                <w:bCs/>
                <w:color w:val="000000"/>
                <w:sz w:val="18"/>
                <w:szCs w:val="18"/>
              </w:rPr>
              <w:t>Source</w:t>
            </w:r>
          </w:p>
        </w:tc>
        <w:tc>
          <w:tcPr>
            <w:tcW w:w="1092" w:type="dxa"/>
            <w:tcBorders>
              <w:top w:val="single" w:sz="4" w:space="0" w:color="auto"/>
              <w:left w:val="single" w:sz="4" w:space="0" w:color="auto"/>
              <w:right w:val="single" w:sz="4" w:space="0" w:color="auto"/>
            </w:tcBorders>
            <w:shd w:val="clear" w:color="auto" w:fill="auto"/>
            <w:vAlign w:val="center"/>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2012-2013</w:t>
            </w:r>
            <w:r>
              <w:rPr>
                <w:rFonts w:cs="Arial"/>
                <w:b/>
                <w:bCs/>
                <w:i/>
                <w:iCs/>
                <w:color w:val="000000"/>
                <w:sz w:val="18"/>
                <w:szCs w:val="18"/>
              </w:rPr>
              <w:br/>
            </w:r>
            <w:r w:rsidRPr="003B6D36">
              <w:rPr>
                <w:rFonts w:cs="Arial"/>
                <w:b/>
                <w:bCs/>
                <w:i/>
                <w:iCs/>
                <w:color w:val="000000"/>
                <w:sz w:val="18"/>
                <w:szCs w:val="18"/>
              </w:rPr>
              <w:t>Actual</w:t>
            </w:r>
          </w:p>
        </w:tc>
        <w:tc>
          <w:tcPr>
            <w:tcW w:w="1276" w:type="dxa"/>
            <w:tcBorders>
              <w:top w:val="single" w:sz="4" w:space="0" w:color="auto"/>
              <w:left w:val="nil"/>
              <w:right w:val="single" w:sz="4" w:space="0" w:color="auto"/>
            </w:tcBorders>
            <w:shd w:val="clear" w:color="auto" w:fill="auto"/>
            <w:vAlign w:val="center"/>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2014-2015</w:t>
            </w:r>
            <w:r>
              <w:rPr>
                <w:rFonts w:cs="Arial"/>
                <w:b/>
                <w:bCs/>
                <w:i/>
                <w:iCs/>
                <w:color w:val="000000"/>
                <w:sz w:val="18"/>
                <w:szCs w:val="18"/>
              </w:rPr>
              <w:br/>
            </w:r>
            <w:r w:rsidRPr="003B6D36">
              <w:rPr>
                <w:rFonts w:cs="Arial"/>
                <w:b/>
                <w:bCs/>
                <w:i/>
                <w:iCs/>
                <w:color w:val="000000"/>
                <w:sz w:val="18"/>
                <w:szCs w:val="18"/>
              </w:rPr>
              <w:t>Approved</w:t>
            </w:r>
          </w:p>
        </w:tc>
        <w:tc>
          <w:tcPr>
            <w:tcW w:w="1843" w:type="dxa"/>
            <w:gridSpan w:val="2"/>
            <w:tcBorders>
              <w:top w:val="single" w:sz="4" w:space="0" w:color="auto"/>
              <w:left w:val="nil"/>
              <w:right w:val="single" w:sz="4" w:space="0" w:color="000000"/>
            </w:tcBorders>
            <w:shd w:val="clear" w:color="auto" w:fill="auto"/>
            <w:vAlign w:val="center"/>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Variation</w:t>
            </w:r>
          </w:p>
        </w:tc>
        <w:tc>
          <w:tcPr>
            <w:tcW w:w="1275" w:type="dxa"/>
            <w:tcBorders>
              <w:top w:val="single" w:sz="4" w:space="0" w:color="auto"/>
              <w:left w:val="nil"/>
              <w:right w:val="single" w:sz="4" w:space="0" w:color="auto"/>
            </w:tcBorders>
            <w:shd w:val="clear" w:color="auto" w:fill="auto"/>
            <w:vAlign w:val="center"/>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2016-2017</w:t>
            </w:r>
            <w:r>
              <w:rPr>
                <w:rFonts w:cs="Arial"/>
                <w:b/>
                <w:bCs/>
                <w:i/>
                <w:iCs/>
                <w:color w:val="000000"/>
                <w:sz w:val="18"/>
                <w:szCs w:val="18"/>
              </w:rPr>
              <w:br/>
            </w:r>
            <w:r w:rsidRPr="003B6D36">
              <w:rPr>
                <w:rFonts w:cs="Arial"/>
                <w:b/>
                <w:bCs/>
                <w:i/>
                <w:iCs/>
                <w:color w:val="000000"/>
                <w:sz w:val="18"/>
                <w:szCs w:val="18"/>
              </w:rPr>
              <w:t>Proposed</w:t>
            </w:r>
          </w:p>
        </w:tc>
      </w:tr>
      <w:tr w:rsidR="003117C2" w:rsidRPr="003B6D36" w:rsidTr="00DC5E39">
        <w:trPr>
          <w:jc w:val="center"/>
        </w:trPr>
        <w:tc>
          <w:tcPr>
            <w:tcW w:w="1645" w:type="dxa"/>
            <w:tcBorders>
              <w:top w:val="nil"/>
              <w:left w:val="single" w:sz="4" w:space="0" w:color="auto"/>
              <w:bottom w:val="single" w:sz="4" w:space="0" w:color="auto"/>
              <w:right w:val="nil"/>
            </w:tcBorders>
            <w:shd w:val="clear" w:color="auto" w:fill="auto"/>
            <w:hideMark/>
          </w:tcPr>
          <w:p w:rsidR="003117C2" w:rsidRPr="003B6D36" w:rsidRDefault="003117C2" w:rsidP="00DC5E39">
            <w:pPr>
              <w:rPr>
                <w:rFonts w:cs="Arial"/>
                <w:b/>
                <w:bCs/>
                <w:sz w:val="18"/>
                <w:szCs w:val="18"/>
              </w:rPr>
            </w:pPr>
            <w:r w:rsidRPr="003B6D36">
              <w:rPr>
                <w:rFonts w:cs="Arial"/>
                <w:b/>
                <w:bCs/>
                <w:sz w:val="18"/>
                <w:szCs w:val="18"/>
              </w:rPr>
              <w:t> </w:t>
            </w:r>
          </w:p>
        </w:tc>
        <w:tc>
          <w:tcPr>
            <w:tcW w:w="1092" w:type="dxa"/>
            <w:tcBorders>
              <w:top w:val="nil"/>
              <w:left w:val="single" w:sz="4" w:space="0" w:color="auto"/>
              <w:bottom w:val="single" w:sz="4" w:space="0" w:color="auto"/>
              <w:right w:val="single" w:sz="4" w:space="0" w:color="auto"/>
            </w:tcBorders>
            <w:shd w:val="clear" w:color="auto" w:fill="auto"/>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A</w:t>
            </w:r>
          </w:p>
        </w:tc>
        <w:tc>
          <w:tcPr>
            <w:tcW w:w="1276" w:type="dxa"/>
            <w:tcBorders>
              <w:top w:val="nil"/>
              <w:left w:val="nil"/>
              <w:bottom w:val="single" w:sz="4" w:space="0" w:color="auto"/>
              <w:right w:val="single" w:sz="4" w:space="0" w:color="auto"/>
            </w:tcBorders>
            <w:shd w:val="clear" w:color="auto" w:fill="auto"/>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B</w:t>
            </w:r>
          </w:p>
        </w:tc>
        <w:tc>
          <w:tcPr>
            <w:tcW w:w="970" w:type="dxa"/>
            <w:tcBorders>
              <w:top w:val="single" w:sz="4" w:space="0" w:color="auto"/>
              <w:left w:val="nil"/>
              <w:bottom w:val="single" w:sz="4" w:space="0" w:color="auto"/>
              <w:right w:val="nil"/>
            </w:tcBorders>
            <w:shd w:val="clear" w:color="auto" w:fill="auto"/>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C</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C/B(%)</w:t>
            </w:r>
          </w:p>
        </w:tc>
        <w:tc>
          <w:tcPr>
            <w:tcW w:w="1275" w:type="dxa"/>
            <w:tcBorders>
              <w:top w:val="single" w:sz="4" w:space="0" w:color="auto"/>
              <w:left w:val="nil"/>
              <w:bottom w:val="nil"/>
              <w:right w:val="single" w:sz="4" w:space="0" w:color="auto"/>
            </w:tcBorders>
            <w:shd w:val="clear" w:color="auto" w:fill="auto"/>
            <w:hideMark/>
          </w:tcPr>
          <w:p w:rsidR="003117C2" w:rsidRPr="003B6D36" w:rsidRDefault="003117C2" w:rsidP="00DC5E39">
            <w:pPr>
              <w:jc w:val="center"/>
              <w:rPr>
                <w:rFonts w:cs="Arial"/>
                <w:b/>
                <w:bCs/>
                <w:i/>
                <w:iCs/>
                <w:color w:val="000000"/>
                <w:sz w:val="18"/>
                <w:szCs w:val="18"/>
              </w:rPr>
            </w:pPr>
            <w:r w:rsidRPr="003B6D36">
              <w:rPr>
                <w:rFonts w:cs="Arial"/>
                <w:b/>
                <w:bCs/>
                <w:i/>
                <w:iCs/>
                <w:color w:val="000000"/>
                <w:sz w:val="18"/>
                <w:szCs w:val="18"/>
              </w:rPr>
              <w:t>D=B+C</w:t>
            </w:r>
          </w:p>
        </w:tc>
      </w:tr>
      <w:tr w:rsidR="003117C2" w:rsidRPr="003B6D36" w:rsidTr="00DC5E39">
        <w:trPr>
          <w:jc w:val="center"/>
        </w:trPr>
        <w:tc>
          <w:tcPr>
            <w:tcW w:w="1645" w:type="dxa"/>
            <w:tcBorders>
              <w:top w:val="nil"/>
              <w:left w:val="single" w:sz="4" w:space="0" w:color="auto"/>
              <w:bottom w:val="nil"/>
              <w:right w:val="nil"/>
            </w:tcBorders>
            <w:shd w:val="clear" w:color="auto" w:fill="auto"/>
            <w:vAlign w:val="bottom"/>
            <w:hideMark/>
          </w:tcPr>
          <w:p w:rsidR="003117C2" w:rsidRPr="003B6D36" w:rsidRDefault="003117C2" w:rsidP="00DC5E39">
            <w:pPr>
              <w:jc w:val="left"/>
              <w:rPr>
                <w:rFonts w:cs="Arial"/>
                <w:color w:val="000000"/>
                <w:sz w:val="18"/>
                <w:szCs w:val="18"/>
              </w:rPr>
            </w:pPr>
            <w:r w:rsidRPr="003B6D36">
              <w:rPr>
                <w:rFonts w:cs="Arial"/>
                <w:color w:val="000000"/>
                <w:sz w:val="18"/>
                <w:szCs w:val="18"/>
              </w:rPr>
              <w:t>Contributions</w:t>
            </w:r>
          </w:p>
        </w:tc>
        <w:tc>
          <w:tcPr>
            <w:tcW w:w="1092" w:type="dxa"/>
            <w:tcBorders>
              <w:top w:val="nil"/>
              <w:left w:val="single" w:sz="4" w:space="0" w:color="auto"/>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6,646 </w:t>
            </w:r>
          </w:p>
        </w:tc>
        <w:tc>
          <w:tcPr>
            <w:tcW w:w="1276" w:type="dxa"/>
            <w:tcBorders>
              <w:top w:val="nil"/>
              <w:left w:val="nil"/>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6,678 </w:t>
            </w:r>
          </w:p>
        </w:tc>
        <w:tc>
          <w:tcPr>
            <w:tcW w:w="970" w:type="dxa"/>
            <w:tcBorders>
              <w:top w:val="nil"/>
              <w:left w:val="nil"/>
              <w:bottom w:val="nil"/>
              <w:right w:val="nil"/>
            </w:tcBorders>
            <w:shd w:val="clear" w:color="auto" w:fill="auto"/>
            <w:vAlign w:val="bottom"/>
            <w:hideMark/>
          </w:tcPr>
          <w:p w:rsidR="003117C2" w:rsidRPr="003B6D36" w:rsidRDefault="003117C2" w:rsidP="00DC5E39">
            <w:pPr>
              <w:ind w:right="284"/>
              <w:jc w:val="right"/>
              <w:rPr>
                <w:rFonts w:cs="Arial"/>
                <w:color w:val="000000"/>
                <w:sz w:val="18"/>
                <w:szCs w:val="18"/>
              </w:rPr>
            </w:pPr>
            <w:r w:rsidRPr="003B6D36">
              <w:rPr>
                <w:rFonts w:cs="Arial"/>
                <w:color w:val="000000"/>
                <w:sz w:val="18"/>
                <w:szCs w:val="18"/>
              </w:rPr>
              <w:t xml:space="preserve"> 32</w:t>
            </w:r>
          </w:p>
        </w:tc>
        <w:tc>
          <w:tcPr>
            <w:tcW w:w="873" w:type="dxa"/>
            <w:tcBorders>
              <w:top w:val="nil"/>
              <w:left w:val="single" w:sz="4" w:space="0" w:color="auto"/>
              <w:bottom w:val="nil"/>
              <w:right w:val="single" w:sz="4" w:space="0" w:color="auto"/>
            </w:tcBorders>
            <w:shd w:val="clear" w:color="auto" w:fill="auto"/>
            <w:vAlign w:val="bottom"/>
            <w:hideMark/>
          </w:tcPr>
          <w:p w:rsidR="003117C2" w:rsidRPr="003B6D36" w:rsidRDefault="003117C2" w:rsidP="00DC5E39">
            <w:pPr>
              <w:jc w:val="right"/>
              <w:rPr>
                <w:rFonts w:cs="Arial"/>
                <w:color w:val="000000"/>
                <w:sz w:val="18"/>
                <w:szCs w:val="18"/>
              </w:rPr>
            </w:pPr>
            <w:r w:rsidRPr="003B6D36">
              <w:rPr>
                <w:rFonts w:cs="Arial"/>
                <w:color w:val="000000"/>
                <w:sz w:val="18"/>
                <w:szCs w:val="18"/>
              </w:rPr>
              <w:t>0.5%</w:t>
            </w:r>
          </w:p>
        </w:tc>
        <w:tc>
          <w:tcPr>
            <w:tcW w:w="1275" w:type="dxa"/>
            <w:tcBorders>
              <w:top w:val="single" w:sz="4" w:space="0" w:color="auto"/>
              <w:left w:val="nil"/>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6,710 </w:t>
            </w:r>
          </w:p>
        </w:tc>
      </w:tr>
      <w:tr w:rsidR="003117C2" w:rsidRPr="003B6D36" w:rsidTr="00DC5E39">
        <w:trPr>
          <w:jc w:val="center"/>
        </w:trPr>
        <w:tc>
          <w:tcPr>
            <w:tcW w:w="1645" w:type="dxa"/>
            <w:tcBorders>
              <w:top w:val="nil"/>
              <w:left w:val="single" w:sz="4" w:space="0" w:color="auto"/>
              <w:bottom w:val="nil"/>
              <w:right w:val="nil"/>
            </w:tcBorders>
            <w:shd w:val="clear" w:color="auto" w:fill="auto"/>
            <w:vAlign w:val="bottom"/>
            <w:hideMark/>
          </w:tcPr>
          <w:p w:rsidR="003117C2" w:rsidRPr="003B6D36" w:rsidRDefault="003117C2" w:rsidP="00DC5E39">
            <w:pPr>
              <w:jc w:val="left"/>
              <w:rPr>
                <w:rFonts w:cs="Arial"/>
                <w:color w:val="000000"/>
                <w:sz w:val="18"/>
                <w:szCs w:val="18"/>
              </w:rPr>
            </w:pPr>
            <w:r w:rsidRPr="003B6D36">
              <w:rPr>
                <w:rFonts w:cs="Arial"/>
                <w:color w:val="000000"/>
                <w:sz w:val="18"/>
                <w:szCs w:val="18"/>
              </w:rPr>
              <w:t>Publications</w:t>
            </w:r>
          </w:p>
        </w:tc>
        <w:tc>
          <w:tcPr>
            <w:tcW w:w="1092" w:type="dxa"/>
            <w:tcBorders>
              <w:top w:val="nil"/>
              <w:left w:val="single" w:sz="4" w:space="0" w:color="auto"/>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4 </w:t>
            </w:r>
          </w:p>
        </w:tc>
        <w:tc>
          <w:tcPr>
            <w:tcW w:w="1276" w:type="dxa"/>
            <w:tcBorders>
              <w:top w:val="nil"/>
              <w:left w:val="nil"/>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 10 </w:t>
            </w:r>
          </w:p>
        </w:tc>
        <w:tc>
          <w:tcPr>
            <w:tcW w:w="970" w:type="dxa"/>
            <w:tcBorders>
              <w:top w:val="nil"/>
              <w:left w:val="nil"/>
              <w:bottom w:val="nil"/>
              <w:right w:val="nil"/>
            </w:tcBorders>
            <w:shd w:val="clear" w:color="auto" w:fill="auto"/>
            <w:vAlign w:val="bottom"/>
            <w:hideMark/>
          </w:tcPr>
          <w:p w:rsidR="003117C2" w:rsidRPr="003B6D36" w:rsidRDefault="003117C2" w:rsidP="00DC5E39">
            <w:pPr>
              <w:ind w:right="284"/>
              <w:jc w:val="right"/>
              <w:rPr>
                <w:rFonts w:cs="Arial"/>
                <w:color w:val="000000"/>
                <w:sz w:val="18"/>
                <w:szCs w:val="18"/>
              </w:rPr>
            </w:pPr>
            <w:r w:rsidRPr="003B6D36">
              <w:rPr>
                <w:rFonts w:cs="Arial"/>
                <w:color w:val="000000"/>
                <w:sz w:val="18"/>
                <w:szCs w:val="18"/>
              </w:rPr>
              <w:t>-10</w:t>
            </w:r>
          </w:p>
        </w:tc>
        <w:tc>
          <w:tcPr>
            <w:tcW w:w="873" w:type="dxa"/>
            <w:tcBorders>
              <w:top w:val="nil"/>
              <w:left w:val="single" w:sz="4" w:space="0" w:color="auto"/>
              <w:bottom w:val="nil"/>
              <w:right w:val="single" w:sz="4" w:space="0" w:color="auto"/>
            </w:tcBorders>
            <w:shd w:val="clear" w:color="auto" w:fill="auto"/>
            <w:vAlign w:val="bottom"/>
            <w:hideMark/>
          </w:tcPr>
          <w:p w:rsidR="003117C2" w:rsidRPr="003B6D36" w:rsidRDefault="003117C2" w:rsidP="00DC5E39">
            <w:pPr>
              <w:jc w:val="right"/>
              <w:rPr>
                <w:rFonts w:cs="Arial"/>
                <w:color w:val="000000"/>
                <w:sz w:val="18"/>
                <w:szCs w:val="18"/>
              </w:rPr>
            </w:pPr>
            <w:r w:rsidRPr="003B6D36">
              <w:rPr>
                <w:rFonts w:cs="Arial"/>
                <w:color w:val="000000"/>
                <w:sz w:val="18"/>
                <w:szCs w:val="18"/>
              </w:rPr>
              <w:t>-100.0%</w:t>
            </w:r>
          </w:p>
        </w:tc>
        <w:tc>
          <w:tcPr>
            <w:tcW w:w="1275" w:type="dxa"/>
            <w:tcBorders>
              <w:top w:val="nil"/>
              <w:left w:val="nil"/>
              <w:bottom w:val="nil"/>
              <w:right w:val="single" w:sz="4" w:space="0" w:color="auto"/>
            </w:tcBorders>
            <w:shd w:val="clear" w:color="auto" w:fill="auto"/>
            <w:vAlign w:val="bottom"/>
            <w:hideMark/>
          </w:tcPr>
          <w:p w:rsidR="003117C2" w:rsidRPr="003B6D36" w:rsidRDefault="003117C2" w:rsidP="00DC5E39">
            <w:pPr>
              <w:ind w:right="227"/>
              <w:jc w:val="right"/>
              <w:rPr>
                <w:rFonts w:cs="Arial"/>
                <w:color w:val="000000"/>
                <w:sz w:val="18"/>
                <w:szCs w:val="18"/>
              </w:rPr>
            </w:pPr>
            <w:r w:rsidRPr="003B6D36">
              <w:rPr>
                <w:rFonts w:cs="Arial"/>
                <w:color w:val="000000"/>
                <w:sz w:val="18"/>
                <w:szCs w:val="18"/>
              </w:rPr>
              <w:t xml:space="preserve">- </w:t>
            </w:r>
          </w:p>
        </w:tc>
      </w:tr>
      <w:tr w:rsidR="003117C2" w:rsidRPr="002D2395" w:rsidTr="00DC5E39">
        <w:trPr>
          <w:jc w:val="center"/>
        </w:trPr>
        <w:tc>
          <w:tcPr>
            <w:tcW w:w="1645" w:type="dxa"/>
            <w:tcBorders>
              <w:top w:val="nil"/>
              <w:left w:val="single" w:sz="4" w:space="0" w:color="auto"/>
              <w:bottom w:val="nil"/>
              <w:right w:val="nil"/>
            </w:tcBorders>
            <w:shd w:val="clear" w:color="auto" w:fill="auto"/>
            <w:vAlign w:val="bottom"/>
            <w:hideMark/>
          </w:tcPr>
          <w:p w:rsidR="003117C2" w:rsidRPr="002D2395" w:rsidRDefault="003117C2" w:rsidP="00DC5E39">
            <w:pPr>
              <w:jc w:val="left"/>
              <w:rPr>
                <w:rFonts w:cs="Arial"/>
                <w:color w:val="000000"/>
                <w:sz w:val="18"/>
                <w:szCs w:val="18"/>
              </w:rPr>
            </w:pPr>
            <w:r w:rsidRPr="002D2395">
              <w:rPr>
                <w:rFonts w:cs="Arial"/>
                <w:color w:val="000000"/>
                <w:sz w:val="18"/>
                <w:szCs w:val="18"/>
              </w:rPr>
              <w:t>Interest</w:t>
            </w:r>
          </w:p>
        </w:tc>
        <w:tc>
          <w:tcPr>
            <w:tcW w:w="1092"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 xml:space="preserve"> 29 </w:t>
            </w:r>
          </w:p>
        </w:tc>
        <w:tc>
          <w:tcPr>
            <w:tcW w:w="1276"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 xml:space="preserve"> 20 </w:t>
            </w:r>
          </w:p>
        </w:tc>
        <w:tc>
          <w:tcPr>
            <w:tcW w:w="970" w:type="dxa"/>
            <w:tcBorders>
              <w:top w:val="nil"/>
              <w:left w:val="nil"/>
              <w:bottom w:val="nil"/>
              <w:right w:val="nil"/>
            </w:tcBorders>
            <w:shd w:val="clear" w:color="auto" w:fill="auto"/>
            <w:vAlign w:val="bottom"/>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 xml:space="preserve"> -</w:t>
            </w:r>
            <w:r w:rsidR="00F96AD9" w:rsidRPr="002D2395">
              <w:rPr>
                <w:rFonts w:cs="Arial"/>
                <w:color w:val="000000"/>
                <w:sz w:val="18"/>
                <w:szCs w:val="18"/>
              </w:rPr>
              <w:t>20</w:t>
            </w:r>
          </w:p>
        </w:tc>
        <w:tc>
          <w:tcPr>
            <w:tcW w:w="873"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F96AD9">
            <w:pPr>
              <w:jc w:val="right"/>
              <w:rPr>
                <w:rFonts w:cs="Arial"/>
                <w:color w:val="000000"/>
                <w:sz w:val="18"/>
                <w:szCs w:val="18"/>
              </w:rPr>
            </w:pPr>
            <w:r w:rsidRPr="002D2395">
              <w:rPr>
                <w:rFonts w:cs="Arial"/>
                <w:color w:val="000000"/>
                <w:sz w:val="18"/>
                <w:szCs w:val="18"/>
              </w:rPr>
              <w:t>-</w:t>
            </w:r>
            <w:r w:rsidR="00F96AD9" w:rsidRPr="002D2395">
              <w:rPr>
                <w:rFonts w:cs="Arial"/>
                <w:color w:val="000000"/>
                <w:sz w:val="18"/>
                <w:szCs w:val="18"/>
              </w:rPr>
              <w:t>10</w:t>
            </w:r>
            <w:r w:rsidRPr="002D2395">
              <w:rPr>
                <w:rFonts w:cs="Arial"/>
                <w:color w:val="000000"/>
                <w:sz w:val="18"/>
                <w:szCs w:val="18"/>
              </w:rPr>
              <w:t>0.0%</w:t>
            </w:r>
          </w:p>
        </w:tc>
        <w:tc>
          <w:tcPr>
            <w:tcW w:w="1275" w:type="dxa"/>
            <w:tcBorders>
              <w:top w:val="nil"/>
              <w:left w:val="nil"/>
              <w:bottom w:val="nil"/>
              <w:right w:val="single" w:sz="4" w:space="0" w:color="auto"/>
            </w:tcBorders>
            <w:shd w:val="clear" w:color="auto" w:fill="auto"/>
            <w:vAlign w:val="bottom"/>
            <w:hideMark/>
          </w:tcPr>
          <w:p w:rsidR="003117C2" w:rsidRPr="002D2395" w:rsidRDefault="00BF34A0" w:rsidP="00F96AD9">
            <w:pPr>
              <w:ind w:right="227"/>
              <w:jc w:val="right"/>
              <w:rPr>
                <w:rFonts w:cs="Arial"/>
                <w:color w:val="000000"/>
                <w:sz w:val="18"/>
                <w:szCs w:val="18"/>
              </w:rPr>
            </w:pPr>
            <w:r>
              <w:rPr>
                <w:rFonts w:cs="Arial"/>
                <w:color w:val="000000"/>
                <w:sz w:val="18"/>
                <w:szCs w:val="18"/>
              </w:rPr>
              <w:t>-</w:t>
            </w:r>
          </w:p>
        </w:tc>
      </w:tr>
      <w:tr w:rsidR="003117C2" w:rsidRPr="002D2395" w:rsidTr="00DC5E39">
        <w:trPr>
          <w:jc w:val="center"/>
        </w:trPr>
        <w:tc>
          <w:tcPr>
            <w:tcW w:w="1645" w:type="dxa"/>
            <w:tcBorders>
              <w:top w:val="nil"/>
              <w:left w:val="single" w:sz="4" w:space="0" w:color="auto"/>
              <w:bottom w:val="nil"/>
              <w:right w:val="nil"/>
            </w:tcBorders>
            <w:shd w:val="clear" w:color="auto" w:fill="auto"/>
            <w:vAlign w:val="bottom"/>
            <w:hideMark/>
          </w:tcPr>
          <w:p w:rsidR="003117C2" w:rsidRPr="002D2395" w:rsidRDefault="003117C2" w:rsidP="00DC5E39">
            <w:pPr>
              <w:jc w:val="left"/>
              <w:rPr>
                <w:rFonts w:cs="Arial"/>
                <w:color w:val="000000"/>
                <w:sz w:val="18"/>
                <w:szCs w:val="18"/>
              </w:rPr>
            </w:pPr>
            <w:r w:rsidRPr="002D2395">
              <w:rPr>
                <w:rFonts w:cs="Arial"/>
                <w:color w:val="000000"/>
                <w:sz w:val="18"/>
                <w:szCs w:val="18"/>
              </w:rPr>
              <w:t>Other**</w:t>
            </w:r>
          </w:p>
        </w:tc>
        <w:tc>
          <w:tcPr>
            <w:tcW w:w="1092"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 xml:space="preserve"> 112 </w:t>
            </w:r>
          </w:p>
        </w:tc>
        <w:tc>
          <w:tcPr>
            <w:tcW w:w="1276"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color w:val="000000"/>
                <w:sz w:val="18"/>
                <w:szCs w:val="18"/>
              </w:rPr>
            </w:pPr>
            <w:r w:rsidRPr="002D2395">
              <w:rPr>
                <w:rFonts w:cs="Arial"/>
                <w:color w:val="000000"/>
                <w:sz w:val="18"/>
                <w:szCs w:val="18"/>
              </w:rPr>
              <w:t xml:space="preserve"> 86 </w:t>
            </w:r>
          </w:p>
        </w:tc>
        <w:tc>
          <w:tcPr>
            <w:tcW w:w="970" w:type="dxa"/>
            <w:tcBorders>
              <w:top w:val="nil"/>
              <w:left w:val="nil"/>
              <w:bottom w:val="nil"/>
              <w:right w:val="nil"/>
            </w:tcBorders>
            <w:shd w:val="clear" w:color="auto" w:fill="auto"/>
            <w:vAlign w:val="bottom"/>
            <w:hideMark/>
          </w:tcPr>
          <w:p w:rsidR="003117C2" w:rsidRPr="002D2395" w:rsidRDefault="003117C2" w:rsidP="00DC5E39">
            <w:pPr>
              <w:ind w:right="284"/>
              <w:jc w:val="right"/>
              <w:rPr>
                <w:rFonts w:cs="Arial"/>
                <w:color w:val="000000"/>
                <w:sz w:val="18"/>
                <w:szCs w:val="18"/>
              </w:rPr>
            </w:pPr>
            <w:r w:rsidRPr="002D2395">
              <w:rPr>
                <w:rFonts w:cs="Arial"/>
                <w:color w:val="000000"/>
                <w:sz w:val="18"/>
                <w:szCs w:val="18"/>
              </w:rPr>
              <w:t xml:space="preserve"> 27</w:t>
            </w:r>
          </w:p>
        </w:tc>
        <w:tc>
          <w:tcPr>
            <w:tcW w:w="873" w:type="dxa"/>
            <w:tcBorders>
              <w:top w:val="nil"/>
              <w:left w:val="single" w:sz="4" w:space="0" w:color="auto"/>
              <w:bottom w:val="nil"/>
              <w:right w:val="single" w:sz="4" w:space="0" w:color="auto"/>
            </w:tcBorders>
            <w:shd w:val="clear" w:color="auto" w:fill="auto"/>
            <w:vAlign w:val="bottom"/>
            <w:hideMark/>
          </w:tcPr>
          <w:p w:rsidR="003117C2" w:rsidRPr="002D2395" w:rsidRDefault="003117C2" w:rsidP="00DC5E39">
            <w:pPr>
              <w:jc w:val="right"/>
              <w:rPr>
                <w:rFonts w:cs="Arial"/>
                <w:color w:val="000000"/>
                <w:sz w:val="18"/>
                <w:szCs w:val="18"/>
              </w:rPr>
            </w:pPr>
            <w:r w:rsidRPr="002D2395">
              <w:rPr>
                <w:rFonts w:cs="Arial"/>
                <w:color w:val="000000"/>
                <w:sz w:val="18"/>
                <w:szCs w:val="18"/>
              </w:rPr>
              <w:t>30.8%</w:t>
            </w:r>
          </w:p>
        </w:tc>
        <w:tc>
          <w:tcPr>
            <w:tcW w:w="1275" w:type="dxa"/>
            <w:tcBorders>
              <w:top w:val="nil"/>
              <w:left w:val="nil"/>
              <w:bottom w:val="nil"/>
              <w:right w:val="single" w:sz="4" w:space="0" w:color="auto"/>
            </w:tcBorders>
            <w:shd w:val="clear" w:color="auto" w:fill="auto"/>
            <w:vAlign w:val="bottom"/>
            <w:hideMark/>
          </w:tcPr>
          <w:p w:rsidR="003117C2" w:rsidRPr="002D2395" w:rsidRDefault="003117C2" w:rsidP="00DC5E39">
            <w:pPr>
              <w:ind w:right="227"/>
              <w:jc w:val="right"/>
              <w:rPr>
                <w:rFonts w:cs="Arial"/>
                <w:sz w:val="18"/>
                <w:szCs w:val="18"/>
              </w:rPr>
            </w:pPr>
            <w:r w:rsidRPr="002D2395">
              <w:rPr>
                <w:rFonts w:cs="Arial"/>
                <w:sz w:val="18"/>
                <w:szCs w:val="18"/>
              </w:rPr>
              <w:t xml:space="preserve">113 </w:t>
            </w:r>
          </w:p>
        </w:tc>
      </w:tr>
      <w:tr w:rsidR="003117C2" w:rsidRPr="003B6D36" w:rsidTr="00DC5E39">
        <w:trPr>
          <w:jc w:val="center"/>
        </w:trPr>
        <w:tc>
          <w:tcPr>
            <w:tcW w:w="1645" w:type="dxa"/>
            <w:tcBorders>
              <w:top w:val="single" w:sz="4" w:space="0" w:color="auto"/>
              <w:left w:val="single" w:sz="4" w:space="0" w:color="auto"/>
              <w:bottom w:val="single" w:sz="4" w:space="0" w:color="auto"/>
              <w:right w:val="nil"/>
            </w:tcBorders>
            <w:shd w:val="clear" w:color="auto" w:fill="auto"/>
            <w:vAlign w:val="bottom"/>
            <w:hideMark/>
          </w:tcPr>
          <w:p w:rsidR="003117C2" w:rsidRPr="002D2395" w:rsidRDefault="003117C2" w:rsidP="00DC5E39">
            <w:pPr>
              <w:jc w:val="center"/>
              <w:rPr>
                <w:rFonts w:cs="Arial"/>
                <w:b/>
                <w:bCs/>
                <w:color w:val="000000"/>
                <w:sz w:val="18"/>
                <w:szCs w:val="18"/>
              </w:rPr>
            </w:pPr>
            <w:r w:rsidRPr="002D2395">
              <w:rPr>
                <w:rFonts w:cs="Arial"/>
                <w:b/>
                <w:bCs/>
                <w:color w:val="000000"/>
                <w:sz w:val="18"/>
                <w:szCs w:val="18"/>
              </w:rPr>
              <w:t>Total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b/>
                <w:bCs/>
                <w:color w:val="000000"/>
                <w:sz w:val="18"/>
                <w:szCs w:val="18"/>
              </w:rPr>
            </w:pPr>
            <w:r w:rsidRPr="002D2395">
              <w:rPr>
                <w:rFonts w:cs="Arial"/>
                <w:b/>
                <w:bCs/>
                <w:color w:val="000000"/>
                <w:sz w:val="18"/>
                <w:szCs w:val="18"/>
              </w:rPr>
              <w:t xml:space="preserve">6,791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DC5E39">
            <w:pPr>
              <w:ind w:right="227"/>
              <w:jc w:val="right"/>
              <w:rPr>
                <w:rFonts w:cs="Arial"/>
                <w:b/>
                <w:bCs/>
                <w:color w:val="000000"/>
                <w:sz w:val="18"/>
                <w:szCs w:val="18"/>
              </w:rPr>
            </w:pPr>
            <w:r w:rsidRPr="002D2395">
              <w:rPr>
                <w:rFonts w:cs="Arial"/>
                <w:b/>
                <w:bCs/>
                <w:color w:val="000000"/>
                <w:sz w:val="18"/>
                <w:szCs w:val="18"/>
              </w:rPr>
              <w:t xml:space="preserve">6,794 </w:t>
            </w:r>
          </w:p>
        </w:tc>
        <w:tc>
          <w:tcPr>
            <w:tcW w:w="970"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F96AD9" w:rsidP="00DC5E39">
            <w:pPr>
              <w:ind w:right="284"/>
              <w:jc w:val="right"/>
              <w:rPr>
                <w:rFonts w:cs="Arial"/>
                <w:b/>
                <w:bCs/>
                <w:color w:val="000000"/>
                <w:sz w:val="18"/>
                <w:szCs w:val="18"/>
              </w:rPr>
            </w:pPr>
            <w:r w:rsidRPr="002D2395">
              <w:rPr>
                <w:rFonts w:cs="Arial"/>
                <w:b/>
                <w:bCs/>
                <w:color w:val="000000"/>
                <w:sz w:val="18"/>
                <w:szCs w:val="18"/>
              </w:rPr>
              <w:t>29</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3117C2" w:rsidRPr="002D2395" w:rsidRDefault="003117C2" w:rsidP="00F96AD9">
            <w:pPr>
              <w:jc w:val="right"/>
              <w:rPr>
                <w:rFonts w:cs="Arial"/>
                <w:b/>
                <w:bCs/>
                <w:color w:val="000000"/>
                <w:sz w:val="18"/>
                <w:szCs w:val="18"/>
              </w:rPr>
            </w:pPr>
            <w:r w:rsidRPr="002D2395">
              <w:rPr>
                <w:rFonts w:cs="Arial"/>
                <w:b/>
                <w:bCs/>
                <w:color w:val="000000"/>
                <w:sz w:val="18"/>
                <w:szCs w:val="18"/>
              </w:rPr>
              <w:t>0.</w:t>
            </w:r>
            <w:r w:rsidR="00F96AD9" w:rsidRPr="002D2395">
              <w:rPr>
                <w:rFonts w:cs="Arial"/>
                <w:b/>
                <w:bCs/>
                <w:color w:val="000000"/>
                <w:sz w:val="18"/>
                <w:szCs w:val="18"/>
              </w:rPr>
              <w:t>4</w:t>
            </w:r>
            <w:r w:rsidRPr="002D2395">
              <w:rPr>
                <w:rFonts w:cs="Arial"/>
                <w:b/>
                <w:bCs/>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17C2" w:rsidRPr="003B6D36" w:rsidRDefault="003117C2" w:rsidP="00F96AD9">
            <w:pPr>
              <w:ind w:right="227"/>
              <w:jc w:val="right"/>
              <w:rPr>
                <w:rFonts w:cs="Arial"/>
                <w:b/>
                <w:bCs/>
                <w:color w:val="000000"/>
                <w:sz w:val="18"/>
                <w:szCs w:val="18"/>
              </w:rPr>
            </w:pPr>
            <w:r w:rsidRPr="002D2395">
              <w:rPr>
                <w:rFonts w:cs="Arial"/>
                <w:b/>
                <w:bCs/>
                <w:color w:val="000000"/>
                <w:sz w:val="18"/>
                <w:szCs w:val="18"/>
              </w:rPr>
              <w:t>6,8</w:t>
            </w:r>
            <w:r w:rsidR="00F96AD9" w:rsidRPr="002D2395">
              <w:rPr>
                <w:rFonts w:cs="Arial"/>
                <w:b/>
                <w:bCs/>
                <w:color w:val="000000"/>
                <w:sz w:val="18"/>
                <w:szCs w:val="18"/>
              </w:rPr>
              <w:t>23</w:t>
            </w:r>
            <w:r w:rsidRPr="003B6D36">
              <w:rPr>
                <w:rFonts w:cs="Arial"/>
                <w:b/>
                <w:bCs/>
                <w:color w:val="000000"/>
                <w:sz w:val="18"/>
                <w:szCs w:val="18"/>
              </w:rPr>
              <w:t xml:space="preserve"> </w:t>
            </w:r>
          </w:p>
        </w:tc>
      </w:tr>
      <w:tr w:rsidR="003117C2" w:rsidRPr="00B90EE5" w:rsidTr="00DC5E39">
        <w:trPr>
          <w:jc w:val="center"/>
        </w:trPr>
        <w:tc>
          <w:tcPr>
            <w:tcW w:w="1645" w:type="dxa"/>
            <w:tcBorders>
              <w:top w:val="nil"/>
              <w:left w:val="nil"/>
              <w:bottom w:val="nil"/>
              <w:right w:val="nil"/>
            </w:tcBorders>
            <w:shd w:val="clear" w:color="auto" w:fill="auto"/>
            <w:noWrap/>
            <w:vAlign w:val="bottom"/>
            <w:hideMark/>
          </w:tcPr>
          <w:p w:rsidR="003117C2" w:rsidRPr="003B6D36" w:rsidRDefault="003117C2" w:rsidP="00DC5E39">
            <w:pPr>
              <w:jc w:val="left"/>
              <w:rPr>
                <w:rFonts w:cs="Arial"/>
                <w:sz w:val="12"/>
                <w:szCs w:val="18"/>
              </w:rPr>
            </w:pPr>
          </w:p>
        </w:tc>
        <w:tc>
          <w:tcPr>
            <w:tcW w:w="1092" w:type="dxa"/>
            <w:tcBorders>
              <w:top w:val="nil"/>
              <w:left w:val="nil"/>
              <w:bottom w:val="nil"/>
              <w:right w:val="nil"/>
            </w:tcBorders>
            <w:shd w:val="clear" w:color="auto" w:fill="auto"/>
            <w:noWrap/>
            <w:vAlign w:val="bottom"/>
            <w:hideMark/>
          </w:tcPr>
          <w:p w:rsidR="003117C2" w:rsidRPr="003B6D36" w:rsidRDefault="003117C2" w:rsidP="00DC5E39">
            <w:pPr>
              <w:ind w:right="227"/>
              <w:jc w:val="left"/>
              <w:rPr>
                <w:rFonts w:cs="Arial"/>
                <w:sz w:val="12"/>
                <w:szCs w:val="18"/>
              </w:rPr>
            </w:pPr>
          </w:p>
        </w:tc>
        <w:tc>
          <w:tcPr>
            <w:tcW w:w="1276" w:type="dxa"/>
            <w:tcBorders>
              <w:top w:val="nil"/>
              <w:left w:val="nil"/>
              <w:bottom w:val="nil"/>
              <w:right w:val="nil"/>
            </w:tcBorders>
            <w:shd w:val="clear" w:color="auto" w:fill="auto"/>
            <w:noWrap/>
            <w:vAlign w:val="bottom"/>
            <w:hideMark/>
          </w:tcPr>
          <w:p w:rsidR="003117C2" w:rsidRPr="003B6D36" w:rsidRDefault="003117C2" w:rsidP="00DC5E39">
            <w:pPr>
              <w:jc w:val="left"/>
              <w:rPr>
                <w:rFonts w:cs="Arial"/>
                <w:sz w:val="12"/>
                <w:szCs w:val="18"/>
              </w:rPr>
            </w:pPr>
          </w:p>
        </w:tc>
        <w:tc>
          <w:tcPr>
            <w:tcW w:w="970" w:type="dxa"/>
            <w:tcBorders>
              <w:top w:val="nil"/>
              <w:left w:val="nil"/>
              <w:bottom w:val="nil"/>
              <w:right w:val="nil"/>
            </w:tcBorders>
            <w:shd w:val="clear" w:color="auto" w:fill="auto"/>
            <w:noWrap/>
            <w:vAlign w:val="bottom"/>
            <w:hideMark/>
          </w:tcPr>
          <w:p w:rsidR="003117C2" w:rsidRPr="003B6D36" w:rsidRDefault="003117C2" w:rsidP="00DC5E39">
            <w:pPr>
              <w:jc w:val="left"/>
              <w:rPr>
                <w:rFonts w:cs="Arial"/>
                <w:sz w:val="12"/>
                <w:szCs w:val="18"/>
              </w:rPr>
            </w:pPr>
          </w:p>
        </w:tc>
        <w:tc>
          <w:tcPr>
            <w:tcW w:w="873" w:type="dxa"/>
            <w:tcBorders>
              <w:top w:val="nil"/>
              <w:left w:val="nil"/>
              <w:bottom w:val="nil"/>
              <w:right w:val="nil"/>
            </w:tcBorders>
            <w:shd w:val="clear" w:color="auto" w:fill="auto"/>
            <w:noWrap/>
            <w:vAlign w:val="bottom"/>
            <w:hideMark/>
          </w:tcPr>
          <w:p w:rsidR="003117C2" w:rsidRPr="003B6D36" w:rsidRDefault="003117C2" w:rsidP="00DC5E39">
            <w:pPr>
              <w:jc w:val="left"/>
              <w:rPr>
                <w:rFonts w:cs="Arial"/>
                <w:sz w:val="12"/>
                <w:szCs w:val="18"/>
              </w:rPr>
            </w:pPr>
          </w:p>
        </w:tc>
        <w:tc>
          <w:tcPr>
            <w:tcW w:w="1275" w:type="dxa"/>
            <w:tcBorders>
              <w:top w:val="nil"/>
              <w:left w:val="nil"/>
              <w:bottom w:val="nil"/>
              <w:right w:val="nil"/>
            </w:tcBorders>
            <w:shd w:val="clear" w:color="auto" w:fill="auto"/>
            <w:noWrap/>
            <w:vAlign w:val="bottom"/>
            <w:hideMark/>
          </w:tcPr>
          <w:p w:rsidR="003117C2" w:rsidRPr="003B6D36" w:rsidRDefault="003117C2" w:rsidP="00DC5E39">
            <w:pPr>
              <w:jc w:val="left"/>
              <w:rPr>
                <w:rFonts w:cs="Arial"/>
                <w:sz w:val="12"/>
                <w:szCs w:val="18"/>
              </w:rPr>
            </w:pPr>
          </w:p>
        </w:tc>
      </w:tr>
      <w:tr w:rsidR="003117C2" w:rsidRPr="00E45951" w:rsidTr="00DC5E39">
        <w:trPr>
          <w:jc w:val="center"/>
        </w:trPr>
        <w:tc>
          <w:tcPr>
            <w:tcW w:w="7131" w:type="dxa"/>
            <w:gridSpan w:val="6"/>
            <w:tcBorders>
              <w:top w:val="nil"/>
              <w:left w:val="nil"/>
              <w:bottom w:val="nil"/>
              <w:right w:val="nil"/>
            </w:tcBorders>
            <w:shd w:val="clear" w:color="auto" w:fill="auto"/>
            <w:vAlign w:val="bottom"/>
            <w:hideMark/>
          </w:tcPr>
          <w:p w:rsidR="003117C2" w:rsidRPr="003B6D36" w:rsidRDefault="003117C2" w:rsidP="00DC5E39">
            <w:pPr>
              <w:ind w:left="314" w:hanging="314"/>
              <w:rPr>
                <w:rFonts w:cs="Arial"/>
                <w:i/>
                <w:iCs/>
                <w:color w:val="000000"/>
                <w:sz w:val="14"/>
                <w:szCs w:val="18"/>
              </w:rPr>
            </w:pPr>
            <w:r w:rsidRPr="00E45951">
              <w:rPr>
                <w:rFonts w:cs="Arial"/>
                <w:i/>
                <w:iCs/>
                <w:color w:val="000000"/>
                <w:sz w:val="14"/>
                <w:szCs w:val="18"/>
              </w:rPr>
              <w:t>**</w:t>
            </w:r>
            <w:r w:rsidRPr="00E45951">
              <w:rPr>
                <w:rFonts w:cs="Arial"/>
                <w:i/>
                <w:iCs/>
                <w:color w:val="000000"/>
                <w:sz w:val="14"/>
                <w:szCs w:val="18"/>
              </w:rPr>
              <w:tab/>
            </w:r>
            <w:r w:rsidRPr="003B6D36">
              <w:rPr>
                <w:rFonts w:cs="Arial"/>
                <w:i/>
                <w:iCs/>
                <w:color w:val="000000"/>
                <w:sz w:val="14"/>
                <w:szCs w:val="18"/>
              </w:rPr>
              <w:t>Includes mainly income from administrative support costs under FITs (based on the average estimated FITS resources for 2010/11 and 2012/13), income from participants</w:t>
            </w:r>
            <w:r w:rsidRPr="002D2395">
              <w:rPr>
                <w:rFonts w:cs="Arial"/>
                <w:i/>
                <w:iCs/>
                <w:color w:val="000000"/>
                <w:sz w:val="14"/>
                <w:szCs w:val="18"/>
              </w:rPr>
              <w:t>’</w:t>
            </w:r>
            <w:r w:rsidRPr="003B6D36">
              <w:rPr>
                <w:rFonts w:cs="Arial"/>
                <w:i/>
                <w:iCs/>
                <w:color w:val="000000"/>
                <w:sz w:val="14"/>
                <w:szCs w:val="18"/>
              </w:rPr>
              <w:t xml:space="preserve"> fees in the UPOV's distance learning program and nominal income from an elect</w:t>
            </w:r>
            <w:r>
              <w:rPr>
                <w:rFonts w:cs="Arial"/>
                <w:i/>
                <w:iCs/>
                <w:color w:val="000000"/>
                <w:sz w:val="14"/>
                <w:szCs w:val="18"/>
              </w:rPr>
              <w:t>ronic application system</w:t>
            </w:r>
            <w:r w:rsidRPr="003B6D36">
              <w:rPr>
                <w:rFonts w:cs="Arial"/>
                <w:i/>
                <w:iCs/>
                <w:color w:val="000000"/>
                <w:sz w:val="14"/>
                <w:szCs w:val="18"/>
              </w:rPr>
              <w:t>.</w:t>
            </w:r>
          </w:p>
        </w:tc>
      </w:tr>
    </w:tbl>
    <w:p w:rsidR="003117C2" w:rsidRPr="002D2395" w:rsidRDefault="003117C2" w:rsidP="003117C2">
      <w:pPr>
        <w:jc w:val="left"/>
        <w:rPr>
          <w:b/>
        </w:rPr>
      </w:pPr>
      <w:r w:rsidRPr="002D2395">
        <w:rPr>
          <w:b/>
        </w:rPr>
        <w:br w:type="page"/>
      </w:r>
    </w:p>
    <w:p w:rsidR="003117C2" w:rsidRPr="00C97817" w:rsidRDefault="003117C2" w:rsidP="003117C2">
      <w:pPr>
        <w:keepNext/>
        <w:rPr>
          <w:b/>
        </w:rPr>
      </w:pPr>
      <w:r w:rsidRPr="00C97817">
        <w:rPr>
          <w:b/>
        </w:rPr>
        <w:t>4.</w:t>
      </w:r>
      <w:r w:rsidRPr="00C97817">
        <w:rPr>
          <w:b/>
        </w:rPr>
        <w:tab/>
        <w:t>FINANCIAL INDICATORS 2010-2019</w:t>
      </w:r>
    </w:p>
    <w:p w:rsidR="003117C2" w:rsidRPr="00C97817" w:rsidRDefault="003117C2" w:rsidP="003117C2"/>
    <w:p w:rsidR="003117C2" w:rsidRDefault="003117C2" w:rsidP="003117C2">
      <w:pPr>
        <w:tabs>
          <w:tab w:val="left" w:pos="567"/>
        </w:tabs>
      </w:pPr>
      <w:r w:rsidRPr="00C97817">
        <w:t>4.1</w:t>
      </w:r>
      <w:r w:rsidRPr="00C97817">
        <w:tab/>
        <w:t xml:space="preserve">The Program and Budget for the </w:t>
      </w:r>
      <w:r w:rsidRPr="00C97817">
        <w:rPr>
          <w:snapToGrid w:val="0"/>
          <w:spacing w:val="-2"/>
          <w:szCs w:val="24"/>
        </w:rPr>
        <w:t>2016­2017</w:t>
      </w:r>
      <w:r w:rsidRPr="00C97817">
        <w:t xml:space="preserve"> Biennium includes a presentation of financial indicators covering a 10-year period, including two years beyond the new biennium and information from the recent past.  The presentation of the financial indicators is intended to put the proposed budget for the </w:t>
      </w:r>
      <w:r w:rsidRPr="00C97817">
        <w:rPr>
          <w:snapToGrid w:val="0"/>
          <w:spacing w:val="-2"/>
          <w:szCs w:val="24"/>
        </w:rPr>
        <w:t>2016­2017</w:t>
      </w:r>
      <w:r w:rsidRPr="00C97817">
        <w:t xml:space="preserve"> Biennium into context:  indicating trends and assessing future financial sustainability.  This information is provided to facilitate members’ review and decision on the proposed Program and Budget, and it should not be construed as constituting any specific financial commitment or approval beyond 2017.</w:t>
      </w:r>
    </w:p>
    <w:p w:rsidR="003117C2" w:rsidRDefault="003117C2" w:rsidP="003117C2">
      <w:pPr>
        <w:tabs>
          <w:tab w:val="left" w:pos="567"/>
        </w:tabs>
      </w:pPr>
    </w:p>
    <w:p w:rsidR="003117C2" w:rsidRDefault="003117C2" w:rsidP="003117C2">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evolution of the regular budget as far as income, expenditures and reserve and working capital fund levels are concerned.</w:t>
      </w:r>
    </w:p>
    <w:p w:rsidR="003117C2" w:rsidRDefault="003117C2" w:rsidP="003117C2">
      <w:pPr>
        <w:rPr>
          <w:spacing w:val="-2"/>
          <w:szCs w:val="24"/>
        </w:rPr>
      </w:pPr>
    </w:p>
    <w:p w:rsidR="003117C2" w:rsidRPr="00FF35C1" w:rsidRDefault="003117C2" w:rsidP="003117C2">
      <w:pPr>
        <w:jc w:val="center"/>
        <w:rPr>
          <w:spacing w:val="-2"/>
          <w:szCs w:val="24"/>
        </w:rPr>
      </w:pPr>
      <w:r w:rsidRPr="00885755">
        <w:rPr>
          <w:rFonts w:cs="Arial"/>
          <w:b/>
          <w:bCs/>
        </w:rPr>
        <w:t>Table 9:  Income, Expenditure and Reserves for 2010-2019</w:t>
      </w:r>
      <w:r>
        <w:rPr>
          <w:rFonts w:cs="Arial"/>
          <w:b/>
          <w:bCs/>
        </w:rPr>
        <w:br/>
      </w:r>
      <w:r w:rsidRPr="00885755">
        <w:rPr>
          <w:rFonts w:cs="Arial"/>
          <w:i/>
          <w:iCs/>
        </w:rPr>
        <w:t>(in thousands of Swiss francs)</w:t>
      </w:r>
    </w:p>
    <w:p w:rsidR="003117C2" w:rsidRDefault="003117C2" w:rsidP="003117C2">
      <w:pPr>
        <w:rPr>
          <w:rFonts w:cs="Arial"/>
          <w:sz w:val="18"/>
        </w:rPr>
      </w:pPr>
    </w:p>
    <w:p w:rsidR="003117C2" w:rsidRDefault="003117C2" w:rsidP="003117C2">
      <w:pPr>
        <w:rPr>
          <w:spacing w:val="-2"/>
          <w:szCs w:val="24"/>
        </w:rPr>
      </w:pPr>
      <w:r w:rsidRPr="00885755">
        <w:rPr>
          <w:rFonts w:cs="Arial"/>
          <w:sz w:val="18"/>
        </w:rPr>
        <w:t>Budgetary Basis</w:t>
      </w:r>
    </w:p>
    <w:tbl>
      <w:tblPr>
        <w:tblW w:w="9786" w:type="dxa"/>
        <w:jc w:val="center"/>
        <w:tblLayout w:type="fixed"/>
        <w:tblCellMar>
          <w:top w:w="57" w:type="dxa"/>
          <w:left w:w="57" w:type="dxa"/>
          <w:bottom w:w="28" w:type="dxa"/>
          <w:right w:w="57" w:type="dxa"/>
        </w:tblCellMar>
        <w:tblLook w:val="04A0" w:firstRow="1" w:lastRow="0" w:firstColumn="1" w:lastColumn="0" w:noHBand="0" w:noVBand="1"/>
      </w:tblPr>
      <w:tblGrid>
        <w:gridCol w:w="1286"/>
        <w:gridCol w:w="850"/>
        <w:gridCol w:w="850"/>
        <w:gridCol w:w="850"/>
        <w:gridCol w:w="850"/>
        <w:gridCol w:w="850"/>
        <w:gridCol w:w="850"/>
        <w:gridCol w:w="850"/>
        <w:gridCol w:w="850"/>
        <w:gridCol w:w="850"/>
        <w:gridCol w:w="850"/>
      </w:tblGrid>
      <w:tr w:rsidR="003117C2" w:rsidRPr="00885755" w:rsidTr="00DC5E39">
        <w:trPr>
          <w:cantSplit/>
          <w:jc w:val="center"/>
        </w:trPr>
        <w:tc>
          <w:tcPr>
            <w:tcW w:w="1286" w:type="dxa"/>
            <w:tcBorders>
              <w:top w:val="single" w:sz="4" w:space="0" w:color="auto"/>
              <w:left w:val="single" w:sz="4" w:space="0" w:color="auto"/>
              <w:right w:val="single" w:sz="4" w:space="0" w:color="auto"/>
            </w:tcBorders>
            <w:shd w:val="clear" w:color="000000" w:fill="FFFFFF"/>
            <w:vAlign w:val="bottom"/>
          </w:tcPr>
          <w:p w:rsidR="003117C2" w:rsidRPr="00885755" w:rsidRDefault="003117C2" w:rsidP="00DC5E39">
            <w:pPr>
              <w:jc w:val="center"/>
              <w:rPr>
                <w:rFonts w:cs="Arial"/>
                <w:i/>
                <w:iCs/>
                <w:color w:val="000000"/>
                <w:sz w:val="18"/>
              </w:rPr>
            </w:pPr>
          </w:p>
        </w:tc>
        <w:tc>
          <w:tcPr>
            <w:tcW w:w="3400" w:type="dxa"/>
            <w:gridSpan w:val="4"/>
            <w:tcBorders>
              <w:top w:val="single" w:sz="4" w:space="0" w:color="auto"/>
              <w:left w:val="nil"/>
              <w:bottom w:val="single" w:sz="4" w:space="0" w:color="auto"/>
              <w:right w:val="single" w:sz="4" w:space="0" w:color="auto"/>
            </w:tcBorders>
            <w:shd w:val="clear" w:color="000000" w:fill="FFFFFF"/>
            <w:vAlign w:val="bottom"/>
          </w:tcPr>
          <w:p w:rsidR="003117C2" w:rsidRPr="00885755" w:rsidRDefault="003117C2" w:rsidP="00DC5E39">
            <w:pPr>
              <w:jc w:val="center"/>
              <w:rPr>
                <w:rFonts w:cs="Arial"/>
                <w:i/>
                <w:iCs/>
                <w:color w:val="000000"/>
                <w:sz w:val="18"/>
              </w:rPr>
            </w:pPr>
            <w:r w:rsidRPr="00885755">
              <w:rPr>
                <w:rFonts w:cs="Arial"/>
                <w:i/>
                <w:iCs/>
                <w:color w:val="000000"/>
                <w:sz w:val="18"/>
              </w:rPr>
              <w:t>Actual</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3117C2" w:rsidRPr="00885755" w:rsidRDefault="003117C2" w:rsidP="00DC5E39">
            <w:pPr>
              <w:jc w:val="center"/>
              <w:rPr>
                <w:rFonts w:cs="Arial"/>
                <w:i/>
                <w:iCs/>
                <w:color w:val="000000"/>
                <w:sz w:val="18"/>
              </w:rPr>
            </w:pPr>
            <w:r w:rsidRPr="00885755">
              <w:rPr>
                <w:rFonts w:cs="Arial"/>
                <w:i/>
                <w:iCs/>
                <w:color w:val="000000"/>
                <w:sz w:val="18"/>
              </w:rPr>
              <w:t>Budget</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3117C2" w:rsidRPr="00885755" w:rsidRDefault="003117C2" w:rsidP="00DC5E39">
            <w:pPr>
              <w:jc w:val="center"/>
              <w:rPr>
                <w:rFonts w:cs="Arial"/>
                <w:i/>
                <w:iCs/>
                <w:color w:val="000000"/>
                <w:sz w:val="18"/>
              </w:rPr>
            </w:pPr>
            <w:r w:rsidRPr="00885755">
              <w:rPr>
                <w:rFonts w:cs="Arial"/>
                <w:i/>
                <w:iCs/>
                <w:color w:val="000000"/>
                <w:sz w:val="18"/>
              </w:rPr>
              <w:t>Proposed</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3117C2" w:rsidRPr="00885755" w:rsidRDefault="003117C2" w:rsidP="00DC5E39">
            <w:pPr>
              <w:jc w:val="center"/>
              <w:rPr>
                <w:rFonts w:cs="Arial"/>
                <w:i/>
                <w:iCs/>
                <w:color w:val="000000"/>
                <w:sz w:val="18"/>
              </w:rPr>
            </w:pPr>
            <w:r>
              <w:rPr>
                <w:rFonts w:cs="Arial"/>
                <w:i/>
                <w:iCs/>
                <w:color w:val="000000"/>
                <w:sz w:val="18"/>
              </w:rPr>
              <w:t>Estimated</w:t>
            </w:r>
          </w:p>
        </w:tc>
      </w:tr>
      <w:tr w:rsidR="003117C2" w:rsidRPr="00885755" w:rsidTr="00DC5E39">
        <w:trPr>
          <w:cantSplit/>
          <w:jc w:val="center"/>
        </w:trPr>
        <w:tc>
          <w:tcPr>
            <w:tcW w:w="1286" w:type="dxa"/>
            <w:tcBorders>
              <w:top w:val="nil"/>
              <w:left w:val="single" w:sz="4" w:space="0" w:color="auto"/>
              <w:bottom w:val="single" w:sz="4" w:space="0" w:color="auto"/>
              <w:right w:val="single" w:sz="4" w:space="0" w:color="auto"/>
            </w:tcBorders>
            <w:shd w:val="clear" w:color="000000" w:fill="FFFFFF"/>
            <w:vAlign w:val="bottom"/>
            <w:hideMark/>
          </w:tcPr>
          <w:p w:rsidR="003117C2" w:rsidRPr="00885755" w:rsidRDefault="003117C2" w:rsidP="00DC5E39">
            <w:pPr>
              <w:jc w:val="center"/>
              <w:rPr>
                <w:rFonts w:cs="Arial"/>
                <w:i/>
                <w:iCs/>
                <w:color w:val="000000"/>
                <w:sz w:val="18"/>
              </w:rPr>
            </w:pP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2010</w:t>
            </w: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2011</w:t>
            </w: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2012</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2013</w:t>
            </w: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2014</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2015</w:t>
            </w: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2016</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2017</w:t>
            </w:r>
          </w:p>
        </w:tc>
        <w:tc>
          <w:tcPr>
            <w:tcW w:w="850" w:type="dxa"/>
            <w:tcBorders>
              <w:top w:val="nil"/>
              <w:left w:val="nil"/>
              <w:bottom w:val="single" w:sz="4" w:space="0" w:color="auto"/>
              <w:right w:val="nil"/>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2018</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885755" w:rsidRDefault="003117C2" w:rsidP="00DC5E39">
            <w:pPr>
              <w:jc w:val="center"/>
              <w:rPr>
                <w:rFonts w:cs="Arial"/>
                <w:i/>
                <w:iCs/>
                <w:color w:val="000000"/>
                <w:sz w:val="18"/>
              </w:rPr>
            </w:pPr>
            <w:r w:rsidRPr="00885755">
              <w:rPr>
                <w:rFonts w:cs="Arial"/>
                <w:i/>
                <w:iCs/>
                <w:color w:val="000000"/>
                <w:sz w:val="18"/>
              </w:rPr>
              <w:t>2019</w:t>
            </w:r>
          </w:p>
        </w:tc>
      </w:tr>
      <w:tr w:rsidR="003117C2" w:rsidRPr="002D2395" w:rsidTr="00DC5E39">
        <w:trPr>
          <w:cantSplit/>
          <w:jc w:val="center"/>
        </w:trPr>
        <w:tc>
          <w:tcPr>
            <w:tcW w:w="1286" w:type="dxa"/>
            <w:tcBorders>
              <w:top w:val="nil"/>
              <w:left w:val="single" w:sz="4" w:space="0" w:color="auto"/>
              <w:bottom w:val="nil"/>
              <w:right w:val="single" w:sz="4" w:space="0" w:color="auto"/>
            </w:tcBorders>
            <w:shd w:val="clear" w:color="000000" w:fill="FFFFFF"/>
            <w:vAlign w:val="bottom"/>
            <w:hideMark/>
          </w:tcPr>
          <w:p w:rsidR="003117C2" w:rsidRPr="002D2395" w:rsidRDefault="003117C2" w:rsidP="00DC5E39">
            <w:pPr>
              <w:jc w:val="left"/>
              <w:rPr>
                <w:rFonts w:cs="Arial"/>
                <w:color w:val="000000"/>
                <w:sz w:val="18"/>
              </w:rPr>
            </w:pPr>
            <w:bookmarkStart w:id="12" w:name="RANGE!B8"/>
            <w:r w:rsidRPr="002D2395">
              <w:rPr>
                <w:rFonts w:cs="Arial"/>
                <w:color w:val="000000"/>
                <w:sz w:val="18"/>
              </w:rPr>
              <w:t>Income</w:t>
            </w:r>
            <w:bookmarkEnd w:id="12"/>
          </w:p>
        </w:tc>
        <w:tc>
          <w:tcPr>
            <w:tcW w:w="850" w:type="dxa"/>
            <w:tcBorders>
              <w:top w:val="nil"/>
              <w:left w:val="single" w:sz="4" w:space="0" w:color="auto"/>
              <w:bottom w:val="nil"/>
              <w:right w:val="nil"/>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3,412</w:t>
            </w:r>
          </w:p>
        </w:tc>
        <w:tc>
          <w:tcPr>
            <w:tcW w:w="850" w:type="dxa"/>
            <w:tcBorders>
              <w:top w:val="nil"/>
              <w:left w:val="nil"/>
              <w:bottom w:val="nil"/>
              <w:right w:val="nil"/>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3,489</w:t>
            </w:r>
          </w:p>
        </w:tc>
        <w:tc>
          <w:tcPr>
            <w:tcW w:w="850" w:type="dxa"/>
            <w:tcBorders>
              <w:top w:val="nil"/>
              <w:left w:val="nil"/>
              <w:bottom w:val="nil"/>
              <w:right w:val="nil"/>
            </w:tcBorders>
            <w:shd w:val="clear" w:color="000000" w:fill="FFFFFF"/>
            <w:vAlign w:val="bottom"/>
            <w:hideMark/>
          </w:tcPr>
          <w:p w:rsidR="003117C2" w:rsidRPr="002D2395" w:rsidRDefault="003117C2" w:rsidP="00DC5E39">
            <w:pPr>
              <w:ind w:right="113"/>
              <w:jc w:val="right"/>
              <w:rPr>
                <w:rFonts w:cs="Arial"/>
                <w:sz w:val="18"/>
              </w:rPr>
            </w:pPr>
            <w:r w:rsidRPr="002D2395">
              <w:rPr>
                <w:rFonts w:cs="Arial"/>
                <w:sz w:val="18"/>
              </w:rPr>
              <w:t>3,388</w:t>
            </w:r>
          </w:p>
        </w:tc>
        <w:tc>
          <w:tcPr>
            <w:tcW w:w="850" w:type="dxa"/>
            <w:tcBorders>
              <w:top w:val="nil"/>
              <w:left w:val="nil"/>
              <w:bottom w:val="nil"/>
              <w:right w:val="single" w:sz="4" w:space="0" w:color="auto"/>
            </w:tcBorders>
            <w:shd w:val="clear" w:color="000000" w:fill="FFFFFF"/>
            <w:vAlign w:val="bottom"/>
            <w:hideMark/>
          </w:tcPr>
          <w:p w:rsidR="003117C2" w:rsidRPr="002D2395" w:rsidRDefault="003117C2" w:rsidP="00DC5E39">
            <w:pPr>
              <w:ind w:right="113"/>
              <w:jc w:val="right"/>
              <w:rPr>
                <w:rFonts w:cs="Arial"/>
                <w:sz w:val="18"/>
              </w:rPr>
            </w:pPr>
            <w:r w:rsidRPr="002D2395">
              <w:rPr>
                <w:rFonts w:cs="Arial"/>
                <w:sz w:val="18"/>
              </w:rPr>
              <w:t>3,403</w:t>
            </w:r>
          </w:p>
        </w:tc>
        <w:tc>
          <w:tcPr>
            <w:tcW w:w="850" w:type="dxa"/>
            <w:tcBorders>
              <w:top w:val="nil"/>
              <w:left w:val="nil"/>
              <w:bottom w:val="nil"/>
              <w:right w:val="nil"/>
            </w:tcBorders>
            <w:shd w:val="clear" w:color="000000" w:fill="FFFFFF"/>
            <w:noWrap/>
            <w:vAlign w:val="bottom"/>
            <w:hideMark/>
          </w:tcPr>
          <w:p w:rsidR="003117C2" w:rsidRPr="002D2395" w:rsidRDefault="003117C2" w:rsidP="00DC5E39">
            <w:pPr>
              <w:ind w:right="113"/>
              <w:jc w:val="right"/>
              <w:rPr>
                <w:rFonts w:cs="Arial"/>
                <w:sz w:val="18"/>
              </w:rPr>
            </w:pPr>
            <w:r w:rsidRPr="002D2395">
              <w:rPr>
                <w:rFonts w:cs="Arial"/>
                <w:sz w:val="18"/>
              </w:rPr>
              <w:t>3,392</w:t>
            </w:r>
          </w:p>
        </w:tc>
        <w:tc>
          <w:tcPr>
            <w:tcW w:w="850" w:type="dxa"/>
            <w:tcBorders>
              <w:top w:val="nil"/>
              <w:left w:val="nil"/>
              <w:bottom w:val="nil"/>
              <w:right w:val="single" w:sz="4" w:space="0" w:color="auto"/>
            </w:tcBorders>
            <w:shd w:val="clear" w:color="000000" w:fill="FFFFFF"/>
            <w:noWrap/>
            <w:vAlign w:val="bottom"/>
            <w:hideMark/>
          </w:tcPr>
          <w:p w:rsidR="003117C2" w:rsidRPr="002D2395" w:rsidRDefault="003117C2" w:rsidP="00DC5E39">
            <w:pPr>
              <w:ind w:right="113"/>
              <w:jc w:val="right"/>
              <w:rPr>
                <w:rFonts w:cs="Arial"/>
                <w:sz w:val="18"/>
              </w:rPr>
            </w:pPr>
            <w:r w:rsidRPr="002D2395">
              <w:rPr>
                <w:rFonts w:cs="Arial"/>
                <w:sz w:val="18"/>
              </w:rPr>
              <w:t>3,402</w:t>
            </w:r>
          </w:p>
        </w:tc>
        <w:tc>
          <w:tcPr>
            <w:tcW w:w="850" w:type="dxa"/>
            <w:tcBorders>
              <w:top w:val="nil"/>
              <w:left w:val="nil"/>
              <w:bottom w:val="nil"/>
              <w:right w:val="nil"/>
            </w:tcBorders>
            <w:shd w:val="clear" w:color="000000" w:fill="FFFFFF"/>
            <w:noWrap/>
            <w:vAlign w:val="bottom"/>
            <w:hideMark/>
          </w:tcPr>
          <w:p w:rsidR="003117C2" w:rsidRPr="002D2395" w:rsidRDefault="00321492" w:rsidP="00DC5E39">
            <w:pPr>
              <w:ind w:right="113"/>
              <w:jc w:val="right"/>
              <w:rPr>
                <w:rFonts w:cs="Arial"/>
                <w:sz w:val="18"/>
              </w:rPr>
            </w:pPr>
            <w:r w:rsidRPr="002D2395">
              <w:rPr>
                <w:rFonts w:cs="Arial"/>
                <w:sz w:val="18"/>
              </w:rPr>
              <w:t>3,406</w:t>
            </w:r>
          </w:p>
        </w:tc>
        <w:tc>
          <w:tcPr>
            <w:tcW w:w="850" w:type="dxa"/>
            <w:tcBorders>
              <w:top w:val="nil"/>
              <w:left w:val="nil"/>
              <w:bottom w:val="nil"/>
              <w:right w:val="single" w:sz="4" w:space="0" w:color="auto"/>
            </w:tcBorders>
            <w:shd w:val="clear" w:color="000000" w:fill="FFFFFF"/>
            <w:noWrap/>
            <w:vAlign w:val="bottom"/>
            <w:hideMark/>
          </w:tcPr>
          <w:p w:rsidR="003117C2" w:rsidRPr="002D2395" w:rsidRDefault="00321492" w:rsidP="00DC5E39">
            <w:pPr>
              <w:ind w:right="113"/>
              <w:jc w:val="right"/>
              <w:rPr>
                <w:rFonts w:cs="Arial"/>
                <w:sz w:val="18"/>
              </w:rPr>
            </w:pPr>
            <w:r w:rsidRPr="002D2395">
              <w:rPr>
                <w:rFonts w:cs="Arial"/>
                <w:sz w:val="18"/>
              </w:rPr>
              <w:t>3,416</w:t>
            </w:r>
          </w:p>
        </w:tc>
        <w:tc>
          <w:tcPr>
            <w:tcW w:w="850" w:type="dxa"/>
            <w:tcBorders>
              <w:top w:val="nil"/>
              <w:left w:val="nil"/>
              <w:bottom w:val="nil"/>
              <w:right w:val="nil"/>
            </w:tcBorders>
            <w:shd w:val="clear" w:color="000000" w:fill="FFFFFF"/>
            <w:noWrap/>
            <w:vAlign w:val="bottom"/>
            <w:hideMark/>
          </w:tcPr>
          <w:p w:rsidR="003117C2" w:rsidRPr="002D2395" w:rsidRDefault="008E1BA7" w:rsidP="00DC5E39">
            <w:pPr>
              <w:ind w:right="113"/>
              <w:jc w:val="right"/>
              <w:rPr>
                <w:rFonts w:cs="Arial"/>
                <w:sz w:val="18"/>
              </w:rPr>
            </w:pPr>
            <w:r w:rsidRPr="002D2395">
              <w:rPr>
                <w:rFonts w:cs="Arial"/>
                <w:sz w:val="18"/>
              </w:rPr>
              <w:t>3,427</w:t>
            </w:r>
          </w:p>
        </w:tc>
        <w:tc>
          <w:tcPr>
            <w:tcW w:w="850" w:type="dxa"/>
            <w:tcBorders>
              <w:top w:val="nil"/>
              <w:left w:val="nil"/>
              <w:bottom w:val="nil"/>
              <w:right w:val="single" w:sz="4" w:space="0" w:color="auto"/>
            </w:tcBorders>
            <w:shd w:val="clear" w:color="000000" w:fill="FFFFFF"/>
            <w:noWrap/>
            <w:vAlign w:val="bottom"/>
            <w:hideMark/>
          </w:tcPr>
          <w:p w:rsidR="003117C2" w:rsidRPr="002D2395" w:rsidRDefault="008E1BA7" w:rsidP="00DC5E39">
            <w:pPr>
              <w:ind w:right="113"/>
              <w:jc w:val="right"/>
              <w:rPr>
                <w:rFonts w:cs="Arial"/>
                <w:sz w:val="18"/>
              </w:rPr>
            </w:pPr>
            <w:r w:rsidRPr="002D2395">
              <w:rPr>
                <w:rFonts w:cs="Arial"/>
                <w:sz w:val="18"/>
              </w:rPr>
              <w:t>3,438</w:t>
            </w:r>
          </w:p>
        </w:tc>
      </w:tr>
      <w:tr w:rsidR="003117C2" w:rsidRPr="002D2395" w:rsidTr="00DC5E39">
        <w:trPr>
          <w:cantSplit/>
          <w:jc w:val="center"/>
        </w:trPr>
        <w:tc>
          <w:tcPr>
            <w:tcW w:w="1286" w:type="dxa"/>
            <w:tcBorders>
              <w:top w:val="nil"/>
              <w:left w:val="single" w:sz="4" w:space="0" w:color="auto"/>
              <w:bottom w:val="nil"/>
              <w:right w:val="single" w:sz="4" w:space="0" w:color="auto"/>
            </w:tcBorders>
            <w:shd w:val="clear" w:color="000000" w:fill="FFFFFF"/>
            <w:vAlign w:val="bottom"/>
            <w:hideMark/>
          </w:tcPr>
          <w:p w:rsidR="003117C2" w:rsidRPr="002D2395" w:rsidRDefault="003117C2" w:rsidP="00DC5E39">
            <w:pPr>
              <w:jc w:val="left"/>
              <w:rPr>
                <w:rFonts w:cs="Arial"/>
                <w:color w:val="000000"/>
                <w:sz w:val="18"/>
              </w:rPr>
            </w:pPr>
            <w:r w:rsidRPr="002D2395">
              <w:rPr>
                <w:rFonts w:cs="Arial"/>
                <w:color w:val="000000"/>
                <w:sz w:val="18"/>
              </w:rPr>
              <w:t>Expenditure</w:t>
            </w:r>
          </w:p>
        </w:tc>
        <w:tc>
          <w:tcPr>
            <w:tcW w:w="850" w:type="dxa"/>
            <w:tcBorders>
              <w:top w:val="nil"/>
              <w:left w:val="single" w:sz="4" w:space="0" w:color="auto"/>
              <w:bottom w:val="nil"/>
              <w:right w:val="nil"/>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3,501</w:t>
            </w:r>
          </w:p>
        </w:tc>
        <w:tc>
          <w:tcPr>
            <w:tcW w:w="850" w:type="dxa"/>
            <w:tcBorders>
              <w:top w:val="nil"/>
              <w:left w:val="nil"/>
              <w:bottom w:val="nil"/>
              <w:right w:val="nil"/>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2,978</w:t>
            </w:r>
          </w:p>
        </w:tc>
        <w:tc>
          <w:tcPr>
            <w:tcW w:w="850" w:type="dxa"/>
            <w:tcBorders>
              <w:top w:val="nil"/>
              <w:left w:val="nil"/>
              <w:bottom w:val="nil"/>
              <w:right w:val="nil"/>
            </w:tcBorders>
            <w:shd w:val="clear" w:color="000000" w:fill="FFFFFF"/>
            <w:vAlign w:val="bottom"/>
            <w:hideMark/>
          </w:tcPr>
          <w:p w:rsidR="003117C2" w:rsidRPr="002D2395" w:rsidRDefault="003117C2" w:rsidP="00DC5E39">
            <w:pPr>
              <w:ind w:right="113"/>
              <w:jc w:val="right"/>
              <w:rPr>
                <w:rFonts w:cs="Arial"/>
                <w:sz w:val="18"/>
              </w:rPr>
            </w:pPr>
            <w:r w:rsidRPr="002D2395">
              <w:rPr>
                <w:rFonts w:cs="Arial"/>
                <w:sz w:val="18"/>
              </w:rPr>
              <w:t>2,954</w:t>
            </w:r>
          </w:p>
        </w:tc>
        <w:tc>
          <w:tcPr>
            <w:tcW w:w="850" w:type="dxa"/>
            <w:tcBorders>
              <w:top w:val="nil"/>
              <w:left w:val="nil"/>
              <w:bottom w:val="nil"/>
              <w:right w:val="single" w:sz="4" w:space="0" w:color="auto"/>
            </w:tcBorders>
            <w:shd w:val="clear" w:color="000000" w:fill="FFFFFF"/>
            <w:vAlign w:val="bottom"/>
            <w:hideMark/>
          </w:tcPr>
          <w:p w:rsidR="003117C2" w:rsidRPr="002D2395" w:rsidRDefault="003117C2" w:rsidP="00DC5E39">
            <w:pPr>
              <w:ind w:right="113"/>
              <w:jc w:val="right"/>
              <w:rPr>
                <w:rFonts w:cs="Arial"/>
                <w:sz w:val="18"/>
              </w:rPr>
            </w:pPr>
            <w:r w:rsidRPr="002D2395">
              <w:rPr>
                <w:rFonts w:cs="Arial"/>
                <w:sz w:val="18"/>
              </w:rPr>
              <w:t>3,331</w:t>
            </w:r>
          </w:p>
        </w:tc>
        <w:tc>
          <w:tcPr>
            <w:tcW w:w="850" w:type="dxa"/>
            <w:tcBorders>
              <w:top w:val="nil"/>
              <w:left w:val="nil"/>
              <w:bottom w:val="nil"/>
              <w:right w:val="nil"/>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3,392</w:t>
            </w:r>
          </w:p>
        </w:tc>
        <w:tc>
          <w:tcPr>
            <w:tcW w:w="850" w:type="dxa"/>
            <w:tcBorders>
              <w:top w:val="nil"/>
              <w:left w:val="nil"/>
              <w:bottom w:val="nil"/>
              <w:right w:val="single" w:sz="4" w:space="0" w:color="auto"/>
            </w:tcBorders>
            <w:shd w:val="clear" w:color="000000" w:fill="FFFFFF"/>
            <w:vAlign w:val="bottom"/>
            <w:hideMark/>
          </w:tcPr>
          <w:p w:rsidR="003117C2" w:rsidRPr="002D2395" w:rsidRDefault="003117C2" w:rsidP="00DC5E39">
            <w:pPr>
              <w:ind w:right="113"/>
              <w:jc w:val="right"/>
              <w:rPr>
                <w:rFonts w:cs="Arial"/>
                <w:color w:val="000000"/>
                <w:sz w:val="18"/>
              </w:rPr>
            </w:pPr>
            <w:r w:rsidRPr="002D2395">
              <w:rPr>
                <w:rFonts w:cs="Arial"/>
                <w:color w:val="000000"/>
                <w:sz w:val="18"/>
              </w:rPr>
              <w:t>3,402</w:t>
            </w:r>
          </w:p>
        </w:tc>
        <w:tc>
          <w:tcPr>
            <w:tcW w:w="850" w:type="dxa"/>
            <w:tcBorders>
              <w:top w:val="nil"/>
              <w:left w:val="nil"/>
              <w:bottom w:val="nil"/>
              <w:right w:val="nil"/>
            </w:tcBorders>
            <w:shd w:val="clear" w:color="000000" w:fill="FFFFFF"/>
            <w:vAlign w:val="bottom"/>
            <w:hideMark/>
          </w:tcPr>
          <w:p w:rsidR="003117C2" w:rsidRPr="002D2395" w:rsidRDefault="00321492" w:rsidP="00DC5E39">
            <w:pPr>
              <w:ind w:right="113"/>
              <w:jc w:val="right"/>
              <w:rPr>
                <w:rFonts w:cs="Arial"/>
                <w:color w:val="000000"/>
                <w:sz w:val="18"/>
              </w:rPr>
            </w:pPr>
            <w:r w:rsidRPr="002D2395">
              <w:rPr>
                <w:rFonts w:cs="Arial"/>
                <w:color w:val="000000"/>
                <w:sz w:val="18"/>
              </w:rPr>
              <w:t>3,406</w:t>
            </w:r>
          </w:p>
        </w:tc>
        <w:tc>
          <w:tcPr>
            <w:tcW w:w="850" w:type="dxa"/>
            <w:tcBorders>
              <w:top w:val="nil"/>
              <w:left w:val="nil"/>
              <w:bottom w:val="nil"/>
              <w:right w:val="single" w:sz="4" w:space="0" w:color="auto"/>
            </w:tcBorders>
            <w:shd w:val="clear" w:color="000000" w:fill="FFFFFF"/>
            <w:vAlign w:val="bottom"/>
            <w:hideMark/>
          </w:tcPr>
          <w:p w:rsidR="003117C2" w:rsidRPr="002D2395" w:rsidRDefault="00321492" w:rsidP="00DC5E39">
            <w:pPr>
              <w:ind w:right="113"/>
              <w:jc w:val="right"/>
              <w:rPr>
                <w:rFonts w:cs="Arial"/>
                <w:color w:val="000000"/>
                <w:sz w:val="18"/>
              </w:rPr>
            </w:pPr>
            <w:r w:rsidRPr="002D2395">
              <w:rPr>
                <w:rFonts w:cs="Arial"/>
                <w:color w:val="000000"/>
                <w:sz w:val="18"/>
              </w:rPr>
              <w:t>3,416</w:t>
            </w:r>
          </w:p>
        </w:tc>
        <w:tc>
          <w:tcPr>
            <w:tcW w:w="850" w:type="dxa"/>
            <w:tcBorders>
              <w:top w:val="nil"/>
              <w:left w:val="nil"/>
              <w:bottom w:val="nil"/>
              <w:right w:val="nil"/>
            </w:tcBorders>
            <w:shd w:val="clear" w:color="000000" w:fill="FFFFFF"/>
            <w:noWrap/>
            <w:vAlign w:val="bottom"/>
            <w:hideMark/>
          </w:tcPr>
          <w:p w:rsidR="003117C2" w:rsidRPr="002D2395" w:rsidRDefault="008E1BA7" w:rsidP="00DC5E39">
            <w:pPr>
              <w:ind w:right="113"/>
              <w:jc w:val="right"/>
              <w:rPr>
                <w:rFonts w:cs="Arial"/>
                <w:sz w:val="18"/>
              </w:rPr>
            </w:pPr>
            <w:r w:rsidRPr="002D2395">
              <w:rPr>
                <w:rFonts w:cs="Arial"/>
                <w:sz w:val="18"/>
              </w:rPr>
              <w:t>3,427</w:t>
            </w:r>
          </w:p>
        </w:tc>
        <w:tc>
          <w:tcPr>
            <w:tcW w:w="850" w:type="dxa"/>
            <w:tcBorders>
              <w:top w:val="nil"/>
              <w:left w:val="nil"/>
              <w:bottom w:val="nil"/>
              <w:right w:val="single" w:sz="4" w:space="0" w:color="auto"/>
            </w:tcBorders>
            <w:shd w:val="clear" w:color="000000" w:fill="FFFFFF"/>
            <w:noWrap/>
            <w:vAlign w:val="bottom"/>
            <w:hideMark/>
          </w:tcPr>
          <w:p w:rsidR="003117C2" w:rsidRPr="002D2395" w:rsidRDefault="008E1BA7" w:rsidP="00DC5E39">
            <w:pPr>
              <w:ind w:right="113"/>
              <w:jc w:val="right"/>
              <w:rPr>
                <w:rFonts w:cs="Arial"/>
                <w:sz w:val="18"/>
              </w:rPr>
            </w:pPr>
            <w:r w:rsidRPr="002D2395">
              <w:rPr>
                <w:rFonts w:cs="Arial"/>
                <w:sz w:val="18"/>
              </w:rPr>
              <w:t>3,438</w:t>
            </w:r>
          </w:p>
        </w:tc>
      </w:tr>
      <w:tr w:rsidR="003117C2" w:rsidRPr="00885755" w:rsidTr="00DC5E39">
        <w:trPr>
          <w:cantSplit/>
          <w:jc w:val="center"/>
        </w:trPr>
        <w:tc>
          <w:tcPr>
            <w:tcW w:w="1286" w:type="dxa"/>
            <w:tcBorders>
              <w:top w:val="nil"/>
              <w:left w:val="single" w:sz="4" w:space="0" w:color="auto"/>
              <w:bottom w:val="single" w:sz="4" w:space="0" w:color="auto"/>
              <w:right w:val="single" w:sz="4" w:space="0" w:color="auto"/>
            </w:tcBorders>
            <w:shd w:val="clear" w:color="000000" w:fill="FFFFFF"/>
            <w:vAlign w:val="bottom"/>
            <w:hideMark/>
          </w:tcPr>
          <w:p w:rsidR="003117C2" w:rsidRPr="002D2395" w:rsidRDefault="003117C2" w:rsidP="00DC5E39">
            <w:pPr>
              <w:jc w:val="left"/>
              <w:rPr>
                <w:rFonts w:cs="Arial"/>
                <w:i/>
                <w:iCs/>
                <w:color w:val="000000"/>
                <w:sz w:val="18"/>
              </w:rPr>
            </w:pPr>
            <w:r w:rsidRPr="002D2395">
              <w:rPr>
                <w:rFonts w:cs="Arial"/>
                <w:i/>
                <w:iCs/>
                <w:color w:val="000000"/>
                <w:sz w:val="18"/>
              </w:rPr>
              <w:t>Difference</w:t>
            </w:r>
          </w:p>
        </w:tc>
        <w:tc>
          <w:tcPr>
            <w:tcW w:w="850" w:type="dxa"/>
            <w:tcBorders>
              <w:top w:val="nil"/>
              <w:left w:val="single" w:sz="4" w:space="0" w:color="auto"/>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-89</w:t>
            </w:r>
          </w:p>
        </w:tc>
        <w:tc>
          <w:tcPr>
            <w:tcW w:w="850" w:type="dxa"/>
            <w:tcBorders>
              <w:top w:val="nil"/>
              <w:left w:val="nil"/>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511</w:t>
            </w:r>
          </w:p>
        </w:tc>
        <w:tc>
          <w:tcPr>
            <w:tcW w:w="850" w:type="dxa"/>
            <w:tcBorders>
              <w:top w:val="nil"/>
              <w:left w:val="nil"/>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434</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72</w:t>
            </w:r>
          </w:p>
        </w:tc>
        <w:tc>
          <w:tcPr>
            <w:tcW w:w="850" w:type="dxa"/>
            <w:tcBorders>
              <w:top w:val="nil"/>
              <w:left w:val="nil"/>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w:t>
            </w:r>
          </w:p>
        </w:tc>
        <w:tc>
          <w:tcPr>
            <w:tcW w:w="850" w:type="dxa"/>
            <w:tcBorders>
              <w:top w:val="nil"/>
              <w:left w:val="nil"/>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w:t>
            </w:r>
          </w:p>
        </w:tc>
        <w:tc>
          <w:tcPr>
            <w:tcW w:w="850" w:type="dxa"/>
            <w:tcBorders>
              <w:top w:val="nil"/>
              <w:left w:val="nil"/>
              <w:bottom w:val="single" w:sz="4" w:space="0" w:color="auto"/>
              <w:right w:val="nil"/>
            </w:tcBorders>
            <w:shd w:val="clear" w:color="000000" w:fill="FFFFFF"/>
            <w:vAlign w:val="bottom"/>
            <w:hideMark/>
          </w:tcPr>
          <w:p w:rsidR="003117C2" w:rsidRPr="002D2395" w:rsidRDefault="003117C2" w:rsidP="00DC5E39">
            <w:pPr>
              <w:ind w:right="113"/>
              <w:jc w:val="right"/>
              <w:rPr>
                <w:rFonts w:cs="Arial"/>
                <w:i/>
                <w:iCs/>
                <w:color w:val="000000"/>
                <w:sz w:val="18"/>
              </w:rPr>
            </w:pPr>
            <w:r w:rsidRPr="002D2395">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3117C2" w:rsidRPr="00885755" w:rsidRDefault="003117C2" w:rsidP="00DC5E39">
            <w:pPr>
              <w:ind w:right="113"/>
              <w:jc w:val="right"/>
              <w:rPr>
                <w:rFonts w:cs="Arial"/>
                <w:i/>
                <w:iCs/>
                <w:color w:val="000000"/>
                <w:sz w:val="18"/>
              </w:rPr>
            </w:pPr>
            <w:r w:rsidRPr="002D2395">
              <w:rPr>
                <w:rFonts w:cs="Arial"/>
                <w:i/>
                <w:iCs/>
                <w:color w:val="000000"/>
                <w:sz w:val="18"/>
              </w:rPr>
              <w:t>-</w:t>
            </w:r>
          </w:p>
        </w:tc>
      </w:tr>
    </w:tbl>
    <w:p w:rsidR="003117C2" w:rsidRDefault="003117C2" w:rsidP="003117C2"/>
    <w:p w:rsidR="003117C2" w:rsidRDefault="003117C2" w:rsidP="003117C2"/>
    <w:p w:rsidR="003117C2" w:rsidRDefault="003117C2" w:rsidP="003117C2">
      <w:pPr>
        <w:keepNext/>
        <w:jc w:val="center"/>
        <w:rPr>
          <w:rFonts w:cs="Arial"/>
          <w:b/>
          <w:bCs/>
        </w:rPr>
      </w:pPr>
      <w:r w:rsidRPr="00590D37">
        <w:rPr>
          <w:rFonts w:cs="Arial"/>
          <w:b/>
          <w:bCs/>
        </w:rPr>
        <w:t>Table 9 Graph</w:t>
      </w:r>
    </w:p>
    <w:p w:rsidR="003117C2" w:rsidRDefault="003117C2" w:rsidP="003117C2">
      <w:pPr>
        <w:keepNext/>
        <w:jc w:val="center"/>
      </w:pPr>
    </w:p>
    <w:tbl>
      <w:tblPr>
        <w:tblW w:w="0" w:type="auto"/>
        <w:tblLook w:val="0000" w:firstRow="0" w:lastRow="0" w:firstColumn="0" w:lastColumn="0" w:noHBand="0" w:noVBand="0"/>
      </w:tblPr>
      <w:tblGrid>
        <w:gridCol w:w="9855"/>
      </w:tblGrid>
      <w:tr w:rsidR="003117C2" w:rsidTr="00590D37">
        <w:tc>
          <w:tcPr>
            <w:tcW w:w="9855" w:type="dxa"/>
          </w:tcPr>
          <w:p w:rsidR="003117C2" w:rsidRDefault="00590D37" w:rsidP="00DC5E39">
            <w:r>
              <w:rPr>
                <w:noProof/>
              </w:rPr>
              <w:drawing>
                <wp:inline distT="0" distB="0" distL="0" distR="0" wp14:anchorId="44A1501B" wp14:editId="7B8AFC03">
                  <wp:extent cx="5943600" cy="3266440"/>
                  <wp:effectExtent l="0" t="0" r="1905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3117C2" w:rsidRDefault="003117C2" w:rsidP="003117C2"/>
    <w:p w:rsidR="003117C2" w:rsidRDefault="003117C2" w:rsidP="003117C2"/>
    <w:p w:rsidR="003117C2" w:rsidRDefault="003117C2" w:rsidP="003117C2">
      <w:pPr>
        <w:jc w:val="left"/>
      </w:pPr>
      <w:r>
        <w:br w:type="page"/>
      </w:r>
    </w:p>
    <w:p w:rsidR="003117C2" w:rsidRPr="00C97817" w:rsidRDefault="003117C2" w:rsidP="003117C2">
      <w:pPr>
        <w:keepNext/>
      </w:pPr>
      <w:r w:rsidRPr="00C97817">
        <w:t>4.3</w:t>
      </w:r>
      <w:r w:rsidRPr="00C97817">
        <w:tab/>
        <w:t>The following assumptions are made:</w:t>
      </w:r>
    </w:p>
    <w:p w:rsidR="003117C2" w:rsidRPr="00C97817" w:rsidRDefault="003117C2" w:rsidP="003117C2">
      <w:pPr>
        <w:keepNext/>
      </w:pPr>
    </w:p>
    <w:p w:rsidR="003117C2" w:rsidRPr="00C97817" w:rsidRDefault="003117C2" w:rsidP="003117C2">
      <w:pPr>
        <w:ind w:left="567" w:hanging="567"/>
      </w:pPr>
      <w:r w:rsidRPr="00C97817">
        <w:rPr>
          <w:i/>
        </w:rPr>
        <w:t>–</w:t>
      </w:r>
      <w:r w:rsidRPr="00C97817">
        <w:rPr>
          <w:i/>
        </w:rPr>
        <w:tab/>
      </w:r>
      <w:r w:rsidRPr="00C97817">
        <w:rPr>
          <w:u w:val="single"/>
        </w:rPr>
        <w:t>Income and Working Capital Fund</w:t>
      </w:r>
      <w:r w:rsidRPr="00C97817">
        <w:t>:  Accession of one additional member per year contributing 0.2 contribution unit each to the budget and 1,667 </w:t>
      </w:r>
      <w:r w:rsidRPr="00C97817">
        <w:rPr>
          <w:spacing w:val="-2"/>
          <w:szCs w:val="24"/>
        </w:rPr>
        <w:t>Swiss francs</w:t>
      </w:r>
      <w:r w:rsidRPr="00C97817">
        <w:t xml:space="preserve"> to the Working Capital Fund.  The corresponding amounts have been inserted with rounding.  No income has been projected from an electronic application system or an international system of cooperation in 2018 or 2019.</w:t>
      </w:r>
    </w:p>
    <w:p w:rsidR="003117C2" w:rsidRPr="00C97817" w:rsidRDefault="003117C2" w:rsidP="003117C2">
      <w:pPr>
        <w:ind w:left="567" w:hanging="567"/>
      </w:pPr>
    </w:p>
    <w:p w:rsidR="003117C2" w:rsidRPr="00C97817" w:rsidRDefault="003117C2" w:rsidP="003117C2">
      <w:pPr>
        <w:ind w:left="567" w:hanging="567"/>
      </w:pPr>
    </w:p>
    <w:p w:rsidR="003117C2" w:rsidRPr="00C97817" w:rsidRDefault="003117C2" w:rsidP="003117C2">
      <w:pPr>
        <w:keepNext/>
        <w:ind w:left="567" w:hanging="567"/>
      </w:pPr>
      <w:r w:rsidRPr="00C97817">
        <w:t>–</w:t>
      </w:r>
      <w:r w:rsidRPr="00C97817">
        <w:tab/>
      </w:r>
      <w:r w:rsidRPr="00C97817">
        <w:rPr>
          <w:u w:val="single"/>
        </w:rPr>
        <w:t>Expenditure</w:t>
      </w:r>
      <w:r w:rsidRPr="00C97817">
        <w:t xml:space="preserve">:  </w:t>
      </w:r>
    </w:p>
    <w:p w:rsidR="003117C2" w:rsidRPr="00C97817" w:rsidRDefault="003117C2" w:rsidP="003117C2">
      <w:pPr>
        <w:keepNext/>
        <w:ind w:left="567" w:hanging="567"/>
      </w:pPr>
    </w:p>
    <w:p w:rsidR="003117C2" w:rsidRPr="00C97817" w:rsidRDefault="003117C2" w:rsidP="003117C2">
      <w:pPr>
        <w:ind w:left="567" w:hanging="567"/>
      </w:pPr>
      <w:r w:rsidRPr="00C97817">
        <w:tab/>
      </w:r>
      <w:r w:rsidRPr="00C97817">
        <w:rPr>
          <w:i/>
        </w:rPr>
        <w:t xml:space="preserve">Personnel resources:  </w:t>
      </w:r>
      <w:r w:rsidRPr="00C97817">
        <w:t xml:space="preserve">No additional staff are planned for the Office of the Union during the period under consideration.  Personnel resources are anticipated to account for </w:t>
      </w:r>
      <w:bookmarkStart w:id="13" w:name="OLE_LINK13"/>
      <w:bookmarkStart w:id="14" w:name="OLE_LINK14"/>
      <w:r w:rsidRPr="00C97817">
        <w:rPr>
          <w:spacing w:val="-2"/>
          <w:szCs w:val="24"/>
        </w:rPr>
        <w:t>63.</w:t>
      </w:r>
      <w:r w:rsidR="00A75214" w:rsidRPr="002D2395">
        <w:rPr>
          <w:spacing w:val="-2"/>
          <w:szCs w:val="24"/>
        </w:rPr>
        <w:t>8</w:t>
      </w:r>
      <w:r w:rsidRPr="00C97817">
        <w:rPr>
          <w:spacing w:val="-2"/>
          <w:szCs w:val="24"/>
        </w:rPr>
        <w:t>%</w:t>
      </w:r>
      <w:bookmarkEnd w:id="13"/>
      <w:bookmarkEnd w:id="14"/>
      <w:r w:rsidRPr="00C97817">
        <w:t xml:space="preserve"> of the budget in </w:t>
      </w:r>
      <w:r w:rsidRPr="00C97817">
        <w:rPr>
          <w:snapToGrid w:val="0"/>
          <w:spacing w:val="-2"/>
          <w:szCs w:val="24"/>
        </w:rPr>
        <w:t>2016­2017</w:t>
      </w:r>
      <w:r w:rsidRPr="00C97817">
        <w:t xml:space="preserve"> and </w:t>
      </w:r>
      <w:r w:rsidRPr="00C97817">
        <w:rPr>
          <w:spacing w:val="-2"/>
          <w:szCs w:val="24"/>
        </w:rPr>
        <w:t>64.5%</w:t>
      </w:r>
      <w:r w:rsidRPr="00C97817">
        <w:t xml:space="preserve"> in 2018-2019, compared to </w:t>
      </w:r>
      <w:r w:rsidRPr="00C97817">
        <w:rPr>
          <w:spacing w:val="-2"/>
          <w:szCs w:val="24"/>
        </w:rPr>
        <w:t>64.4%</w:t>
      </w:r>
      <w:r w:rsidRPr="00C97817">
        <w:t xml:space="preserve"> in the 2012­2013 Biennium and </w:t>
      </w:r>
      <w:r w:rsidRPr="00C97817">
        <w:rPr>
          <w:spacing w:val="-2"/>
          <w:szCs w:val="24"/>
        </w:rPr>
        <w:t>65.1%</w:t>
      </w:r>
      <w:r w:rsidRPr="00C97817">
        <w:t xml:space="preserve"> in the 2014-2015 Budget.  </w:t>
      </w:r>
    </w:p>
    <w:p w:rsidR="003117C2" w:rsidRPr="00C97817" w:rsidRDefault="003117C2" w:rsidP="003117C2">
      <w:pPr>
        <w:ind w:left="567" w:hanging="567"/>
      </w:pPr>
    </w:p>
    <w:p w:rsidR="003117C2" w:rsidRPr="00DD6106" w:rsidRDefault="003117C2" w:rsidP="003117C2">
      <w:pPr>
        <w:ind w:left="567" w:hanging="567"/>
      </w:pPr>
      <w:r w:rsidRPr="00C97817">
        <w:tab/>
      </w:r>
      <w:r w:rsidRPr="00C97817">
        <w:rPr>
          <w:i/>
        </w:rPr>
        <w:t>Non-personnel resources:</w:t>
      </w:r>
      <w:r w:rsidRPr="00C97817">
        <w:t xml:space="preserve">  Operating expenses, furniture and supplies costs are projected to remain stable and to account for </w:t>
      </w:r>
      <w:r w:rsidRPr="00C97817">
        <w:rPr>
          <w:spacing w:val="-2"/>
          <w:szCs w:val="24"/>
        </w:rPr>
        <w:t>18.</w:t>
      </w:r>
      <w:r w:rsidR="00A75214" w:rsidRPr="002D2395">
        <w:rPr>
          <w:spacing w:val="-2"/>
          <w:szCs w:val="24"/>
        </w:rPr>
        <w:t>9</w:t>
      </w:r>
      <w:r w:rsidRPr="00C97817">
        <w:rPr>
          <w:spacing w:val="-2"/>
          <w:szCs w:val="24"/>
        </w:rPr>
        <w:t>%</w:t>
      </w:r>
      <w:r w:rsidRPr="00C97817">
        <w:t xml:space="preserve"> of the budget in both the 2016­2017 and the 2018­2019 biennia, compared to </w:t>
      </w:r>
      <w:r w:rsidRPr="00C97817">
        <w:rPr>
          <w:spacing w:val="-2"/>
          <w:szCs w:val="24"/>
        </w:rPr>
        <w:t>20.2%</w:t>
      </w:r>
      <w:r w:rsidRPr="00C97817">
        <w:t xml:space="preserve"> in the 2012­2013 Biennium and </w:t>
      </w:r>
      <w:r w:rsidRPr="00C97817">
        <w:rPr>
          <w:spacing w:val="-2"/>
          <w:szCs w:val="24"/>
        </w:rPr>
        <w:t>19.2%</w:t>
      </w:r>
      <w:r w:rsidRPr="00C97817">
        <w:t xml:space="preserve"> in the 2014-2015 Budget.  Travel and contractual services costs are projected to account for </w:t>
      </w:r>
      <w:r w:rsidRPr="00C97817">
        <w:rPr>
          <w:spacing w:val="-2"/>
          <w:szCs w:val="24"/>
        </w:rPr>
        <w:t>16.7</w:t>
      </w:r>
      <w:r w:rsidRPr="00C97817">
        <w:t xml:space="preserve">% of the budget in 2016­2017 and </w:t>
      </w:r>
      <w:r w:rsidRPr="00C97817">
        <w:rPr>
          <w:spacing w:val="-2"/>
          <w:szCs w:val="24"/>
        </w:rPr>
        <w:t>16.8</w:t>
      </w:r>
      <w:r w:rsidRPr="00C97817">
        <w:t xml:space="preserve">% in 2018-2019, respectively, compared to </w:t>
      </w:r>
      <w:r w:rsidRPr="00C97817">
        <w:rPr>
          <w:spacing w:val="-2"/>
          <w:szCs w:val="24"/>
        </w:rPr>
        <w:t>15.4</w:t>
      </w:r>
      <w:r w:rsidRPr="00C97817">
        <w:t xml:space="preserve">% in the 2012­2013 Biennium and </w:t>
      </w:r>
      <w:r w:rsidRPr="00C97817">
        <w:rPr>
          <w:spacing w:val="-2"/>
          <w:szCs w:val="24"/>
        </w:rPr>
        <w:t>15.7</w:t>
      </w:r>
      <w:r w:rsidRPr="00C97817">
        <w:t>% in the 2014-2015 Budget.</w:t>
      </w:r>
      <w:r w:rsidR="004F001B">
        <w:t xml:space="preserve"> Internships are projected to account for 0.6% </w:t>
      </w:r>
      <w:r w:rsidR="004F001B" w:rsidRPr="00C97817">
        <w:t>of the budget in 2016­2017</w:t>
      </w:r>
      <w:r w:rsidR="004F001B">
        <w:t>.</w:t>
      </w:r>
    </w:p>
    <w:p w:rsidR="003117C2" w:rsidRDefault="003117C2" w:rsidP="003117C2">
      <w:pPr>
        <w:ind w:left="567" w:hanging="567"/>
      </w:pPr>
    </w:p>
    <w:p w:rsidR="003117C2" w:rsidRDefault="00503C8A" w:rsidP="003117C2">
      <w:pPr>
        <w:ind w:left="567" w:hanging="567"/>
      </w:pPr>
      <w:r>
        <w:tab/>
      </w:r>
    </w:p>
    <w:p w:rsidR="003117C2" w:rsidRDefault="003117C2" w:rsidP="003117C2">
      <w:pPr>
        <w:ind w:left="567" w:hanging="567"/>
      </w:pPr>
    </w:p>
    <w:p w:rsidR="003117C2" w:rsidRDefault="003117C2" w:rsidP="003117C2">
      <w:pPr>
        <w:ind w:left="567" w:hanging="567"/>
      </w:pPr>
    </w:p>
    <w:p w:rsidR="003117C2" w:rsidRPr="00DD6106" w:rsidRDefault="003117C2" w:rsidP="003117C2">
      <w:pPr>
        <w:ind w:left="567" w:hanging="567"/>
        <w:jc w:val="right"/>
      </w:pPr>
      <w:r>
        <w:t>[Appendix I follows]</w:t>
      </w:r>
    </w:p>
    <w:p w:rsidR="003117C2" w:rsidRPr="00DD6106" w:rsidRDefault="003117C2" w:rsidP="003117C2">
      <w:pPr>
        <w:ind w:left="567" w:hanging="567"/>
      </w:pPr>
    </w:p>
    <w:p w:rsidR="003117C2" w:rsidRPr="0050046B" w:rsidRDefault="003117C2" w:rsidP="003117C2">
      <w:pPr>
        <w:sectPr w:rsidR="003117C2" w:rsidRPr="0050046B" w:rsidSect="00DC5E39">
          <w:headerReference w:type="default" r:id="rId17"/>
          <w:footerReference w:type="first" r:id="rId18"/>
          <w:pgSz w:w="11907" w:h="16840" w:code="9"/>
          <w:pgMar w:top="510" w:right="1134" w:bottom="1134" w:left="1134" w:header="510" w:footer="624" w:gutter="0"/>
          <w:pgNumType w:start="1"/>
          <w:cols w:space="720"/>
          <w:titlePg/>
        </w:sectPr>
      </w:pPr>
    </w:p>
    <w:p w:rsidR="00F6116C" w:rsidRDefault="00D046B8" w:rsidP="003117C2">
      <w:pPr>
        <w:jc w:val="center"/>
      </w:pPr>
      <w:r>
        <w:t>C/49/4 Rev.</w:t>
      </w:r>
    </w:p>
    <w:p w:rsidR="00F6116C" w:rsidRDefault="00F6116C" w:rsidP="003117C2">
      <w:pPr>
        <w:jc w:val="center"/>
      </w:pPr>
    </w:p>
    <w:p w:rsidR="003117C2" w:rsidRPr="00EA1426" w:rsidRDefault="003117C2" w:rsidP="003117C2">
      <w:pPr>
        <w:jc w:val="center"/>
      </w:pPr>
      <w:r>
        <w:t xml:space="preserve">ANNEX </w:t>
      </w:r>
      <w:r w:rsidR="00136315">
        <w:t>–</w:t>
      </w:r>
      <w:r>
        <w:t xml:space="preserve"> </w:t>
      </w:r>
      <w:r w:rsidRPr="00EA1426">
        <w:t>APPENDIX I</w:t>
      </w:r>
    </w:p>
    <w:p w:rsidR="003117C2" w:rsidRPr="00EA1426" w:rsidRDefault="003117C2" w:rsidP="003117C2">
      <w:pPr>
        <w:jc w:val="center"/>
      </w:pPr>
    </w:p>
    <w:p w:rsidR="003117C2" w:rsidRPr="00EA1426" w:rsidRDefault="003117C2" w:rsidP="003117C2">
      <w:pPr>
        <w:jc w:val="center"/>
      </w:pPr>
    </w:p>
    <w:p w:rsidR="003117C2" w:rsidRPr="00EA1426" w:rsidRDefault="003117C2" w:rsidP="003117C2">
      <w:pPr>
        <w:jc w:val="center"/>
      </w:pPr>
      <w:r w:rsidRPr="00EA1426">
        <w:t>BUDGET METHODOLOGY</w:t>
      </w:r>
    </w:p>
    <w:p w:rsidR="003117C2" w:rsidRPr="00EA1426" w:rsidRDefault="003117C2" w:rsidP="003117C2">
      <w:pPr>
        <w:jc w:val="center"/>
      </w:pPr>
    </w:p>
    <w:p w:rsidR="003117C2" w:rsidRPr="00EA1426" w:rsidRDefault="003117C2" w:rsidP="003117C2">
      <w:pPr>
        <w:jc w:val="center"/>
      </w:pPr>
    </w:p>
    <w:p w:rsidR="003117C2" w:rsidRPr="00EA1426" w:rsidRDefault="003117C2" w:rsidP="003117C2">
      <w:pPr>
        <w:tabs>
          <w:tab w:val="left" w:pos="567"/>
        </w:tabs>
      </w:pPr>
      <w:r w:rsidRPr="00EA1426">
        <w:t>1.</w:t>
      </w:r>
      <w:r w:rsidRPr="00EA1426">
        <w:tab/>
        <w:t>The description of the regular budget methodology provides for the codification and clarification of budget practice as well as the role of the different sections within this proposed program and budget.  The budget formulation process starts with the adopted budget for 201</w:t>
      </w:r>
      <w:r>
        <w:t>4</w:t>
      </w:r>
      <w:r w:rsidRPr="00EA1426">
        <w:t>-201</w:t>
      </w:r>
      <w:r>
        <w:t>5</w:t>
      </w:r>
      <w:r w:rsidRPr="00EA1426">
        <w:t xml:space="preserve">, and concludes with the proposed budget for the </w:t>
      </w:r>
      <w:r w:rsidRPr="00EA1426">
        <w:rPr>
          <w:snapToGrid w:val="0"/>
          <w:spacing w:val="-2"/>
          <w:szCs w:val="24"/>
        </w:rPr>
        <w:t>201</w:t>
      </w:r>
      <w:r>
        <w:rPr>
          <w:snapToGrid w:val="0"/>
          <w:spacing w:val="-2"/>
          <w:szCs w:val="24"/>
        </w:rPr>
        <w:t>6</w:t>
      </w:r>
      <w:r w:rsidRPr="00EA1426">
        <w:rPr>
          <w:snapToGrid w:val="0"/>
          <w:spacing w:val="-2"/>
          <w:szCs w:val="24"/>
        </w:rPr>
        <w:t>­201</w:t>
      </w:r>
      <w:r>
        <w:rPr>
          <w:snapToGrid w:val="0"/>
          <w:spacing w:val="-2"/>
          <w:szCs w:val="24"/>
        </w:rPr>
        <w:t>7</w:t>
      </w:r>
      <w:r w:rsidRPr="00EA1426">
        <w:t xml:space="preserve"> </w:t>
      </w:r>
      <w:r>
        <w:t>Biennium</w:t>
      </w:r>
      <w:r w:rsidRPr="00EA1426">
        <w:t xml:space="preserve"> by incorporating the resource variation between the budget for 201</w:t>
      </w:r>
      <w:r w:rsidRPr="00363038">
        <w:t>4</w:t>
      </w:r>
      <w:r w:rsidRPr="00363038">
        <w:noBreakHyphen/>
        <w:t>20</w:t>
      </w:r>
      <w:r w:rsidRPr="00EA1426">
        <w:t>1</w:t>
      </w:r>
      <w:r>
        <w:t xml:space="preserve">5 </w:t>
      </w:r>
      <w:r w:rsidRPr="00EA1426">
        <w:t xml:space="preserve">and the proposed budget for the </w:t>
      </w:r>
      <w:r w:rsidRPr="00EA1426">
        <w:rPr>
          <w:snapToGrid w:val="0"/>
          <w:spacing w:val="-2"/>
          <w:szCs w:val="24"/>
        </w:rPr>
        <w:t>201</w:t>
      </w:r>
      <w:r>
        <w:rPr>
          <w:snapToGrid w:val="0"/>
          <w:spacing w:val="-2"/>
          <w:szCs w:val="24"/>
        </w:rPr>
        <w:t>6</w:t>
      </w:r>
      <w:r w:rsidRPr="00EA1426">
        <w:rPr>
          <w:snapToGrid w:val="0"/>
          <w:spacing w:val="-2"/>
          <w:szCs w:val="24"/>
        </w:rPr>
        <w:t>­201</w:t>
      </w:r>
      <w:r>
        <w:rPr>
          <w:snapToGrid w:val="0"/>
          <w:spacing w:val="-2"/>
          <w:szCs w:val="24"/>
        </w:rPr>
        <w:t>7</w:t>
      </w:r>
      <w:r w:rsidRPr="00EA1426">
        <w:t xml:space="preserve"> </w:t>
      </w:r>
      <w:r>
        <w:t>Biennium</w:t>
      </w:r>
      <w:r w:rsidRPr="00EA1426">
        <w:t>.  Table 4 summarizes the main indicators discussed in this Appendix I.</w:t>
      </w:r>
    </w:p>
    <w:p w:rsidR="003117C2" w:rsidRPr="00EA1426" w:rsidRDefault="003117C2" w:rsidP="003117C2"/>
    <w:p w:rsidR="003117C2" w:rsidRPr="00EA1426" w:rsidRDefault="003117C2" w:rsidP="003117C2">
      <w:pPr>
        <w:tabs>
          <w:tab w:val="left" w:pos="567"/>
        </w:tabs>
      </w:pPr>
      <w:r w:rsidRPr="00EA1426">
        <w:t>2.</w:t>
      </w:r>
      <w:r w:rsidRPr="00EA1426">
        <w:tab/>
        <w:t>Budget 201</w:t>
      </w:r>
      <w:r>
        <w:t>4</w:t>
      </w:r>
      <w:r w:rsidRPr="00EA1426">
        <w:t>-201</w:t>
      </w:r>
      <w:r>
        <w:t>5</w:t>
      </w:r>
      <w:r w:rsidRPr="00EA1426">
        <w:t>:  The starting point for the budg</w:t>
      </w:r>
      <w:r>
        <w:t>et is presented in document C/47</w:t>
      </w:r>
      <w:r w:rsidRPr="00EA1426">
        <w:t>/4 Rev.</w:t>
      </w:r>
    </w:p>
    <w:p w:rsidR="003117C2" w:rsidRPr="00EA1426" w:rsidRDefault="003117C2" w:rsidP="003117C2"/>
    <w:p w:rsidR="003117C2" w:rsidRPr="00EA1426" w:rsidRDefault="003117C2" w:rsidP="003117C2">
      <w:pPr>
        <w:tabs>
          <w:tab w:val="left" w:pos="567"/>
        </w:tabs>
      </w:pPr>
      <w:r w:rsidRPr="00EA1426">
        <w:t>3.</w:t>
      </w:r>
      <w:r w:rsidRPr="00EA1426">
        <w:tab/>
        <w:t xml:space="preserve">Proposed budget </w:t>
      </w:r>
      <w:r w:rsidRPr="00EA1426">
        <w:rPr>
          <w:snapToGrid w:val="0"/>
          <w:spacing w:val="-2"/>
          <w:szCs w:val="24"/>
        </w:rPr>
        <w:t>201</w:t>
      </w:r>
      <w:r>
        <w:rPr>
          <w:snapToGrid w:val="0"/>
          <w:spacing w:val="-2"/>
          <w:szCs w:val="24"/>
        </w:rPr>
        <w:t>6</w:t>
      </w:r>
      <w:r w:rsidRPr="00EA1426">
        <w:rPr>
          <w:snapToGrid w:val="0"/>
          <w:spacing w:val="-2"/>
          <w:szCs w:val="24"/>
        </w:rPr>
        <w:t>­201</w:t>
      </w:r>
      <w:r>
        <w:rPr>
          <w:snapToGrid w:val="0"/>
          <w:spacing w:val="-2"/>
          <w:szCs w:val="24"/>
        </w:rPr>
        <w:t>7</w:t>
      </w:r>
      <w:r w:rsidRPr="00EA1426">
        <w:t>:  The proposed budget is the result of adding the resource variation to the 201</w:t>
      </w:r>
      <w:r>
        <w:t>4</w:t>
      </w:r>
      <w:r w:rsidRPr="00EA1426">
        <w:t>-201</w:t>
      </w:r>
      <w:r>
        <w:t xml:space="preserve">5 </w:t>
      </w:r>
      <w:r w:rsidRPr="00EA1426">
        <w:t>budget and subsequent adjustments of items of expenditure according to UPOV’s priorities.</w:t>
      </w:r>
    </w:p>
    <w:p w:rsidR="003117C2" w:rsidRPr="00EA1426" w:rsidRDefault="003117C2" w:rsidP="003117C2"/>
    <w:p w:rsidR="003117C2" w:rsidRPr="00EA1426" w:rsidRDefault="003117C2" w:rsidP="003117C2">
      <w:pPr>
        <w:tabs>
          <w:tab w:val="left" w:pos="567"/>
        </w:tabs>
      </w:pPr>
      <w:r w:rsidRPr="00EA1426">
        <w:t>4.</w:t>
      </w:r>
      <w:r w:rsidRPr="00EA1426">
        <w:tab/>
        <w:t>A 10-year resource plan is presented in Table 9 of this document in order to provide an integrated financial overview, including budget estimates, resource availability and reserve movements.  This resource plan is seen to help assessing the financial sustainability</w:t>
      </w:r>
      <w:r>
        <w:t xml:space="preserve"> of</w:t>
      </w:r>
      <w:r w:rsidRPr="00EA1426">
        <w:t xml:space="preserve"> the Union over the medium term.</w:t>
      </w:r>
    </w:p>
    <w:p w:rsidR="003117C2" w:rsidRPr="00EA1426" w:rsidRDefault="003117C2" w:rsidP="003117C2"/>
    <w:p w:rsidR="003117C2" w:rsidRPr="00EA1426" w:rsidRDefault="003117C2" w:rsidP="003117C2"/>
    <w:p w:rsidR="003117C2" w:rsidRPr="00EA1426" w:rsidRDefault="003117C2" w:rsidP="003117C2"/>
    <w:p w:rsidR="003117C2" w:rsidRPr="00EA1426" w:rsidRDefault="003117C2" w:rsidP="003117C2">
      <w:pPr>
        <w:pStyle w:val="Endofdocument"/>
        <w:jc w:val="right"/>
        <w:rPr>
          <w:rFonts w:ascii="Arial" w:hAnsi="Arial" w:cs="Arial"/>
          <w:snapToGrid w:val="0"/>
          <w:color w:val="000000"/>
          <w:sz w:val="20"/>
        </w:rPr>
      </w:pPr>
      <w:r w:rsidRPr="00EA1426">
        <w:rPr>
          <w:rFonts w:ascii="Arial" w:hAnsi="Arial" w:cs="Arial"/>
          <w:snapToGrid w:val="0"/>
          <w:color w:val="000000"/>
          <w:sz w:val="20"/>
        </w:rPr>
        <w:t>[Appendix II follows]</w:t>
      </w:r>
    </w:p>
    <w:p w:rsidR="003117C2" w:rsidRPr="00EA1426" w:rsidRDefault="003117C2" w:rsidP="003117C2"/>
    <w:p w:rsidR="003117C2" w:rsidRPr="00EA1426" w:rsidRDefault="003117C2" w:rsidP="003117C2"/>
    <w:p w:rsidR="003117C2" w:rsidRPr="00EA1426" w:rsidRDefault="003117C2" w:rsidP="003117C2"/>
    <w:p w:rsidR="003117C2" w:rsidRPr="00EA1426" w:rsidRDefault="003117C2" w:rsidP="003117C2"/>
    <w:p w:rsidR="003117C2" w:rsidRPr="0050046B" w:rsidRDefault="003117C2" w:rsidP="003117C2">
      <w:pPr>
        <w:sectPr w:rsidR="003117C2" w:rsidRPr="0050046B" w:rsidSect="00DC5E39">
          <w:headerReference w:type="default" r:id="rId19"/>
          <w:pgSz w:w="11907" w:h="16840" w:code="9"/>
          <w:pgMar w:top="510" w:right="1134" w:bottom="1134" w:left="1134" w:header="510" w:footer="624" w:gutter="0"/>
          <w:cols w:space="720"/>
          <w:titlePg/>
        </w:sectPr>
      </w:pPr>
    </w:p>
    <w:p w:rsidR="00F6116C" w:rsidRDefault="00D046B8" w:rsidP="003117C2">
      <w:pPr>
        <w:jc w:val="center"/>
      </w:pPr>
      <w:r>
        <w:t>C/49/4 Rev.</w:t>
      </w:r>
    </w:p>
    <w:p w:rsidR="00F6116C" w:rsidRDefault="00F6116C" w:rsidP="003117C2">
      <w:pPr>
        <w:jc w:val="center"/>
      </w:pPr>
    </w:p>
    <w:p w:rsidR="003117C2" w:rsidRPr="00DD6106" w:rsidRDefault="003117C2" w:rsidP="003117C2">
      <w:pPr>
        <w:jc w:val="center"/>
      </w:pPr>
      <w:r>
        <w:t xml:space="preserve">ANNEX - </w:t>
      </w:r>
      <w:r w:rsidRPr="00EA1426">
        <w:t>APPENDIX II</w:t>
      </w:r>
    </w:p>
    <w:p w:rsidR="003117C2" w:rsidRPr="00DD6106" w:rsidRDefault="003117C2" w:rsidP="003117C2">
      <w:pPr>
        <w:jc w:val="center"/>
      </w:pPr>
    </w:p>
    <w:p w:rsidR="003117C2" w:rsidRPr="00DD6106" w:rsidRDefault="003117C2" w:rsidP="003117C2">
      <w:pPr>
        <w:jc w:val="center"/>
      </w:pPr>
    </w:p>
    <w:p w:rsidR="003117C2" w:rsidRPr="009F5358" w:rsidRDefault="003117C2" w:rsidP="003117C2">
      <w:pPr>
        <w:jc w:val="center"/>
      </w:pPr>
      <w:r w:rsidRPr="009F5358">
        <w:t>CONTRIBUTIONS OF MEMBERS</w:t>
      </w:r>
    </w:p>
    <w:p w:rsidR="003117C2" w:rsidRPr="009F5358" w:rsidRDefault="003117C2" w:rsidP="003117C2">
      <w:pPr>
        <w:jc w:val="center"/>
      </w:pPr>
      <w:r w:rsidRPr="005139E3">
        <w:t xml:space="preserve">AS OF </w:t>
      </w:r>
      <w:r w:rsidR="00136315" w:rsidRPr="005139E3">
        <w:t>JULY 31</w:t>
      </w:r>
      <w:r w:rsidRPr="005139E3">
        <w:t>, 201</w:t>
      </w:r>
      <w:r w:rsidR="005139E3" w:rsidRPr="005139E3">
        <w:t>5</w:t>
      </w:r>
    </w:p>
    <w:p w:rsidR="003117C2" w:rsidRPr="009F5358" w:rsidRDefault="003117C2" w:rsidP="003117C2">
      <w:pPr>
        <w:jc w:val="center"/>
        <w:rPr>
          <w:caps/>
        </w:rPr>
      </w:pPr>
      <w:r w:rsidRPr="009F5358">
        <w:t>(in Swiss Francs)</w:t>
      </w:r>
    </w:p>
    <w:p w:rsidR="005139E3" w:rsidRPr="009F5358" w:rsidRDefault="005139E3" w:rsidP="005139E3">
      <w:pPr>
        <w:jc w:val="cente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134"/>
        <w:gridCol w:w="3177"/>
        <w:gridCol w:w="1032"/>
        <w:gridCol w:w="1560"/>
        <w:gridCol w:w="1559"/>
      </w:tblGrid>
      <w:tr w:rsidR="005139E3" w:rsidRPr="006863D3" w:rsidTr="00AE2369">
        <w:trPr>
          <w:cantSplit/>
          <w:tblHeader/>
        </w:trPr>
        <w:tc>
          <w:tcPr>
            <w:tcW w:w="1218" w:type="dxa"/>
            <w:tcBorders>
              <w:top w:val="single" w:sz="8" w:space="0" w:color="auto"/>
              <w:bottom w:val="single" w:sz="8" w:space="0" w:color="auto"/>
            </w:tcBorders>
            <w:vAlign w:val="bottom"/>
          </w:tcPr>
          <w:p w:rsidR="005139E3" w:rsidRPr="00E256A6" w:rsidRDefault="005139E3" w:rsidP="00AE2369">
            <w:pPr>
              <w:jc w:val="center"/>
              <w:rPr>
                <w:rFonts w:cs="Arial"/>
                <w:sz w:val="18"/>
                <w:szCs w:val="18"/>
              </w:rPr>
            </w:pPr>
            <w:r w:rsidRPr="00E256A6">
              <w:rPr>
                <w:rFonts w:cs="Arial"/>
                <w:sz w:val="18"/>
                <w:szCs w:val="18"/>
              </w:rPr>
              <w:t>2014</w:t>
            </w:r>
            <w:r w:rsidRPr="00E256A6">
              <w:rPr>
                <w:rFonts w:cs="Arial"/>
                <w:sz w:val="18"/>
                <w:szCs w:val="18"/>
              </w:rPr>
              <w:br/>
            </w:r>
            <w:r w:rsidRPr="00E256A6">
              <w:rPr>
                <w:rFonts w:cs="Arial"/>
                <w:snapToGrid w:val="0"/>
                <w:sz w:val="18"/>
                <w:szCs w:val="18"/>
              </w:rPr>
              <w:t>Actual</w:t>
            </w:r>
          </w:p>
        </w:tc>
        <w:tc>
          <w:tcPr>
            <w:tcW w:w="1134" w:type="dxa"/>
            <w:tcBorders>
              <w:top w:val="single" w:sz="8" w:space="0" w:color="auto"/>
              <w:bottom w:val="single" w:sz="8" w:space="0" w:color="auto"/>
            </w:tcBorders>
            <w:vAlign w:val="bottom"/>
          </w:tcPr>
          <w:p w:rsidR="005139E3" w:rsidRPr="00E256A6" w:rsidRDefault="005139E3" w:rsidP="00AE2369">
            <w:pPr>
              <w:jc w:val="center"/>
              <w:rPr>
                <w:rFonts w:cs="Arial"/>
                <w:sz w:val="18"/>
                <w:szCs w:val="18"/>
              </w:rPr>
            </w:pPr>
            <w:r w:rsidRPr="00E256A6">
              <w:rPr>
                <w:rFonts w:cs="Arial"/>
                <w:sz w:val="18"/>
                <w:szCs w:val="18"/>
              </w:rPr>
              <w:t>2015</w:t>
            </w:r>
            <w:r w:rsidRPr="00E256A6">
              <w:rPr>
                <w:rFonts w:cs="Arial"/>
                <w:sz w:val="18"/>
                <w:szCs w:val="18"/>
              </w:rPr>
              <w:br/>
            </w:r>
            <w:r w:rsidRPr="00E256A6">
              <w:rPr>
                <w:rFonts w:cs="Arial"/>
                <w:snapToGrid w:val="0"/>
                <w:sz w:val="18"/>
                <w:szCs w:val="18"/>
              </w:rPr>
              <w:t>Actual</w:t>
            </w:r>
          </w:p>
        </w:tc>
        <w:tc>
          <w:tcPr>
            <w:tcW w:w="3177" w:type="dxa"/>
            <w:tcBorders>
              <w:top w:val="single" w:sz="8" w:space="0" w:color="auto"/>
              <w:bottom w:val="single" w:sz="8" w:space="0" w:color="auto"/>
            </w:tcBorders>
            <w:vAlign w:val="bottom"/>
          </w:tcPr>
          <w:p w:rsidR="005139E3" w:rsidRPr="00E256A6" w:rsidRDefault="005139E3" w:rsidP="00AE2369">
            <w:pPr>
              <w:jc w:val="center"/>
              <w:rPr>
                <w:rFonts w:cs="Arial"/>
                <w:snapToGrid w:val="0"/>
                <w:sz w:val="18"/>
                <w:szCs w:val="18"/>
              </w:rPr>
            </w:pPr>
            <w:r w:rsidRPr="00E256A6">
              <w:rPr>
                <w:rFonts w:cs="Arial"/>
                <w:snapToGrid w:val="0"/>
                <w:sz w:val="18"/>
                <w:szCs w:val="18"/>
              </w:rPr>
              <w:t>Members</w:t>
            </w:r>
          </w:p>
        </w:tc>
        <w:tc>
          <w:tcPr>
            <w:tcW w:w="1032" w:type="dxa"/>
            <w:tcBorders>
              <w:top w:val="single" w:sz="8" w:space="0" w:color="auto"/>
              <w:bottom w:val="single" w:sz="8" w:space="0" w:color="auto"/>
            </w:tcBorders>
            <w:vAlign w:val="bottom"/>
          </w:tcPr>
          <w:p w:rsidR="005139E3" w:rsidRPr="00E256A6" w:rsidRDefault="005139E3" w:rsidP="00AE2369">
            <w:pPr>
              <w:jc w:val="center"/>
              <w:rPr>
                <w:rFonts w:cs="Arial"/>
                <w:snapToGrid w:val="0"/>
                <w:sz w:val="18"/>
                <w:szCs w:val="18"/>
              </w:rPr>
            </w:pPr>
            <w:r w:rsidRPr="00E256A6">
              <w:rPr>
                <w:rFonts w:cs="Arial"/>
                <w:snapToGrid w:val="0"/>
                <w:sz w:val="18"/>
                <w:szCs w:val="18"/>
              </w:rPr>
              <w:t>Number</w:t>
            </w:r>
            <w:r w:rsidRPr="00E256A6">
              <w:rPr>
                <w:rFonts w:cs="Arial"/>
                <w:snapToGrid w:val="0"/>
                <w:sz w:val="18"/>
                <w:szCs w:val="18"/>
              </w:rPr>
              <w:br/>
            </w:r>
            <w:r w:rsidRPr="00E256A6">
              <w:rPr>
                <w:rFonts w:cs="Arial"/>
                <w:sz w:val="18"/>
                <w:szCs w:val="18"/>
              </w:rPr>
              <w:t>of Units</w:t>
            </w:r>
          </w:p>
        </w:tc>
        <w:tc>
          <w:tcPr>
            <w:tcW w:w="1560" w:type="dxa"/>
            <w:tcBorders>
              <w:top w:val="single" w:sz="8" w:space="0" w:color="auto"/>
              <w:bottom w:val="single" w:sz="8" w:space="0" w:color="auto"/>
            </w:tcBorders>
            <w:vAlign w:val="bottom"/>
          </w:tcPr>
          <w:p w:rsidR="005139E3" w:rsidRPr="00E256A6" w:rsidRDefault="005139E3" w:rsidP="00AE2369">
            <w:pPr>
              <w:jc w:val="center"/>
              <w:rPr>
                <w:rFonts w:cs="Arial"/>
                <w:sz w:val="18"/>
                <w:szCs w:val="18"/>
              </w:rPr>
            </w:pPr>
            <w:r w:rsidRPr="00E256A6">
              <w:rPr>
                <w:rFonts w:cs="Arial"/>
                <w:sz w:val="18"/>
                <w:szCs w:val="18"/>
              </w:rPr>
              <w:t>Payable in</w:t>
            </w:r>
            <w:r w:rsidRPr="00E256A6">
              <w:rPr>
                <w:rFonts w:cs="Arial"/>
                <w:sz w:val="18"/>
                <w:szCs w:val="18"/>
              </w:rPr>
              <w:br/>
            </w:r>
            <w:r w:rsidRPr="00E256A6">
              <w:rPr>
                <w:rFonts w:cs="Arial"/>
                <w:snapToGrid w:val="0"/>
                <w:sz w:val="18"/>
                <w:szCs w:val="18"/>
              </w:rPr>
              <w:t>January 2016</w:t>
            </w:r>
          </w:p>
        </w:tc>
        <w:tc>
          <w:tcPr>
            <w:tcW w:w="1559" w:type="dxa"/>
            <w:tcBorders>
              <w:top w:val="single" w:sz="8" w:space="0" w:color="auto"/>
              <w:bottom w:val="single" w:sz="8" w:space="0" w:color="auto"/>
            </w:tcBorders>
            <w:vAlign w:val="bottom"/>
          </w:tcPr>
          <w:p w:rsidR="005139E3" w:rsidRPr="006863D3" w:rsidRDefault="005139E3" w:rsidP="00AE2369">
            <w:pPr>
              <w:jc w:val="center"/>
              <w:rPr>
                <w:rFonts w:cs="Arial"/>
                <w:sz w:val="18"/>
                <w:szCs w:val="18"/>
              </w:rPr>
            </w:pPr>
            <w:r w:rsidRPr="00E256A6">
              <w:rPr>
                <w:rFonts w:cs="Arial"/>
                <w:sz w:val="18"/>
                <w:szCs w:val="18"/>
              </w:rPr>
              <w:t>Payable in</w:t>
            </w:r>
            <w:r w:rsidRPr="00E256A6">
              <w:rPr>
                <w:rFonts w:cs="Arial"/>
                <w:sz w:val="18"/>
                <w:szCs w:val="18"/>
              </w:rPr>
              <w:br/>
            </w:r>
            <w:r w:rsidRPr="00E256A6">
              <w:rPr>
                <w:rFonts w:cs="Arial"/>
                <w:snapToGrid w:val="0"/>
                <w:sz w:val="18"/>
                <w:szCs w:val="18"/>
              </w:rPr>
              <w:t>January 2017</w:t>
            </w:r>
          </w:p>
        </w:tc>
      </w:tr>
      <w:tr w:rsidR="005139E3" w:rsidRPr="006863D3" w:rsidTr="00AE2369">
        <w:trPr>
          <w:cantSplit/>
          <w:tblHeader/>
        </w:trPr>
        <w:tc>
          <w:tcPr>
            <w:tcW w:w="1218" w:type="dxa"/>
            <w:tcBorders>
              <w:top w:val="single" w:sz="8" w:space="0" w:color="auto"/>
            </w:tcBorders>
          </w:tcPr>
          <w:p w:rsidR="005139E3" w:rsidRPr="006863D3" w:rsidRDefault="005139E3" w:rsidP="00AE2369">
            <w:pPr>
              <w:jc w:val="right"/>
              <w:rPr>
                <w:rFonts w:cs="Arial"/>
                <w:snapToGrid w:val="0"/>
                <w:color w:val="000000"/>
                <w:sz w:val="18"/>
                <w:szCs w:val="18"/>
              </w:rPr>
            </w:pPr>
          </w:p>
        </w:tc>
        <w:tc>
          <w:tcPr>
            <w:tcW w:w="1134" w:type="dxa"/>
            <w:tcBorders>
              <w:top w:val="single" w:sz="8" w:space="0" w:color="auto"/>
            </w:tcBorders>
          </w:tcPr>
          <w:p w:rsidR="005139E3" w:rsidRPr="006863D3" w:rsidRDefault="005139E3" w:rsidP="00AE2369">
            <w:pPr>
              <w:jc w:val="right"/>
              <w:rPr>
                <w:rFonts w:cs="Arial"/>
                <w:snapToGrid w:val="0"/>
                <w:color w:val="000000"/>
                <w:sz w:val="18"/>
                <w:szCs w:val="18"/>
              </w:rPr>
            </w:pPr>
          </w:p>
        </w:tc>
        <w:tc>
          <w:tcPr>
            <w:tcW w:w="3177" w:type="dxa"/>
            <w:tcBorders>
              <w:top w:val="single" w:sz="8" w:space="0" w:color="auto"/>
            </w:tcBorders>
          </w:tcPr>
          <w:p w:rsidR="005139E3" w:rsidRPr="006863D3" w:rsidRDefault="005139E3" w:rsidP="00AE2369">
            <w:pPr>
              <w:rPr>
                <w:rFonts w:cs="Arial"/>
                <w:snapToGrid w:val="0"/>
                <w:color w:val="000000"/>
                <w:sz w:val="18"/>
                <w:szCs w:val="18"/>
              </w:rPr>
            </w:pPr>
          </w:p>
        </w:tc>
        <w:tc>
          <w:tcPr>
            <w:tcW w:w="1032" w:type="dxa"/>
            <w:tcBorders>
              <w:top w:val="single" w:sz="8" w:space="0" w:color="auto"/>
            </w:tcBorders>
          </w:tcPr>
          <w:p w:rsidR="005139E3" w:rsidRPr="006863D3" w:rsidRDefault="005139E3" w:rsidP="00AE2369">
            <w:pPr>
              <w:tabs>
                <w:tab w:val="decimal" w:pos="482"/>
              </w:tabs>
              <w:jc w:val="left"/>
              <w:rPr>
                <w:rFonts w:cs="Arial"/>
                <w:snapToGrid w:val="0"/>
                <w:color w:val="000000"/>
                <w:sz w:val="18"/>
                <w:szCs w:val="18"/>
              </w:rPr>
            </w:pPr>
          </w:p>
        </w:tc>
        <w:tc>
          <w:tcPr>
            <w:tcW w:w="1560" w:type="dxa"/>
            <w:tcBorders>
              <w:top w:val="single" w:sz="8" w:space="0" w:color="auto"/>
            </w:tcBorders>
          </w:tcPr>
          <w:p w:rsidR="005139E3" w:rsidRPr="006863D3" w:rsidRDefault="005139E3" w:rsidP="00AE2369">
            <w:pPr>
              <w:jc w:val="right"/>
              <w:rPr>
                <w:rFonts w:cs="Arial"/>
                <w:snapToGrid w:val="0"/>
                <w:color w:val="000000"/>
                <w:sz w:val="18"/>
                <w:szCs w:val="18"/>
              </w:rPr>
            </w:pPr>
          </w:p>
        </w:tc>
        <w:tc>
          <w:tcPr>
            <w:tcW w:w="1559" w:type="dxa"/>
            <w:tcBorders>
              <w:top w:val="single" w:sz="8" w:space="0" w:color="auto"/>
            </w:tcBorders>
          </w:tcPr>
          <w:p w:rsidR="005139E3" w:rsidRPr="006863D3" w:rsidRDefault="005139E3" w:rsidP="00AE2369">
            <w:pPr>
              <w:jc w:val="right"/>
              <w:rPr>
                <w:rFonts w:cs="Arial"/>
                <w:snapToGrid w:val="0"/>
                <w:color w:val="000000"/>
                <w:sz w:val="18"/>
                <w:szCs w:val="18"/>
              </w:rPr>
            </w:pP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bookmarkStart w:id="15" w:name="_Hlk173836680"/>
            <w:r w:rsidRPr="005139E3">
              <w:rPr>
                <w:rFonts w:cs="Arial"/>
                <w:snapToGrid w:val="0"/>
                <w:color w:val="000000"/>
                <w:sz w:val="18"/>
                <w:szCs w:val="18"/>
              </w:rPr>
              <w:t>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African Intellectual Property Organization (OAPI)</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 xml:space="preserve">10,728  </w:t>
            </w:r>
          </w:p>
        </w:tc>
      </w:tr>
      <w:bookmarkEnd w:id="15"/>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Albania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Argentina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Australia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40,231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40,231</w:t>
            </w:r>
          </w:p>
        </w:tc>
        <w:tc>
          <w:tcPr>
            <w:tcW w:w="3177" w:type="dxa"/>
          </w:tcPr>
          <w:p w:rsidR="005139E3" w:rsidRPr="005139E3" w:rsidRDefault="005139E3" w:rsidP="00AE2369">
            <w:pPr>
              <w:jc w:val="left"/>
              <w:rPr>
                <w:rFonts w:cs="Arial"/>
                <w:snapToGrid w:val="0"/>
                <w:color w:val="000000"/>
                <w:sz w:val="18"/>
                <w:szCs w:val="18"/>
                <w:vertAlign w:val="superscript"/>
              </w:rPr>
            </w:pPr>
            <w:r w:rsidRPr="005139E3">
              <w:rPr>
                <w:rFonts w:cs="Arial"/>
                <w:snapToGrid w:val="0"/>
                <w:color w:val="000000"/>
                <w:sz w:val="18"/>
                <w:szCs w:val="18"/>
              </w:rPr>
              <w:t>Austria</w:t>
            </w:r>
            <w:r w:rsidRPr="005139E3">
              <w:rPr>
                <w:rFonts w:cs="Arial"/>
                <w:snapToGrid w:val="0"/>
                <w:color w:val="000000"/>
                <w:sz w:val="18"/>
                <w:szCs w:val="18"/>
                <w:vertAlign w:val="superscript"/>
              </w:rPr>
              <w:t xml:space="preserve"> </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0.75</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40,231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40,231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Azerbaijan</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vertAlign w:val="superscript"/>
              </w:rPr>
            </w:pPr>
            <w:r w:rsidRPr="005139E3">
              <w:rPr>
                <w:rFonts w:cs="Arial"/>
                <w:snapToGrid w:val="0"/>
                <w:color w:val="000000"/>
                <w:sz w:val="18"/>
                <w:szCs w:val="18"/>
              </w:rPr>
              <w:t>Belarus</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vertAlign w:val="superscript"/>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3177" w:type="dxa"/>
          </w:tcPr>
          <w:p w:rsidR="005139E3" w:rsidRPr="005139E3" w:rsidRDefault="005139E3" w:rsidP="00AE2369">
            <w:pPr>
              <w:jc w:val="left"/>
              <w:rPr>
                <w:rFonts w:cs="Arial"/>
                <w:snapToGrid w:val="0"/>
                <w:color w:val="000000"/>
                <w:sz w:val="18"/>
                <w:szCs w:val="18"/>
                <w:vertAlign w:val="superscript"/>
              </w:rPr>
            </w:pPr>
            <w:r w:rsidRPr="005139E3">
              <w:rPr>
                <w:rFonts w:cs="Arial"/>
                <w:snapToGrid w:val="0"/>
                <w:color w:val="000000"/>
                <w:sz w:val="18"/>
                <w:szCs w:val="18"/>
              </w:rPr>
              <w:t>Belgium</w:t>
            </w:r>
            <w:r w:rsidRPr="005139E3">
              <w:rPr>
                <w:rFonts w:cs="Arial"/>
                <w:snapToGrid w:val="0"/>
                <w:color w:val="000000"/>
                <w:sz w:val="18"/>
                <w:szCs w:val="18"/>
                <w:vertAlign w:val="superscript"/>
              </w:rPr>
              <w:t xml:space="preserve"> </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1.50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Bolivia (</w:t>
            </w:r>
            <w:proofErr w:type="spellStart"/>
            <w:r w:rsidRPr="005139E3">
              <w:rPr>
                <w:rFonts w:cs="Arial"/>
                <w:snapToGrid w:val="0"/>
                <w:color w:val="000000"/>
                <w:sz w:val="18"/>
                <w:szCs w:val="18"/>
              </w:rPr>
              <w:t>Plurinational</w:t>
            </w:r>
            <w:proofErr w:type="spellEnd"/>
            <w:r w:rsidRPr="005139E3">
              <w:rPr>
                <w:rFonts w:cs="Arial"/>
                <w:snapToGrid w:val="0"/>
                <w:color w:val="000000"/>
                <w:sz w:val="18"/>
                <w:szCs w:val="18"/>
              </w:rPr>
              <w:t xml:space="preserve"> State of)</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13,410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13,410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Brazil</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0.25</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13,410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13,410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Bulgaria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Canada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Chile</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China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Colombia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Costa Rica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Croatia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 xml:space="preserve">Czech Republic </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Denmark</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Dominican Republic</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Ecuador</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Estonia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European Union</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5.00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Finland</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France</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5.00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Georgia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Germany</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5.00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Hungary</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Iceland</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Ireland</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vertAlign w:val="superscript"/>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Israel</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3177" w:type="dxa"/>
          </w:tcPr>
          <w:p w:rsidR="005139E3" w:rsidRPr="005139E3" w:rsidRDefault="005139E3" w:rsidP="00AE2369">
            <w:pPr>
              <w:jc w:val="left"/>
              <w:rPr>
                <w:rFonts w:cs="Arial"/>
                <w:snapToGrid w:val="0"/>
                <w:color w:val="000000"/>
                <w:sz w:val="18"/>
                <w:szCs w:val="18"/>
                <w:vertAlign w:val="superscript"/>
              </w:rPr>
            </w:pPr>
            <w:r w:rsidRPr="005139E3">
              <w:rPr>
                <w:rFonts w:cs="Arial"/>
                <w:snapToGrid w:val="0"/>
                <w:color w:val="000000"/>
                <w:sz w:val="18"/>
                <w:szCs w:val="18"/>
              </w:rPr>
              <w:t>Italy</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2.00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Japan</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z w:val="18"/>
                <w:szCs w:val="18"/>
              </w:rPr>
              <w:t>5.00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Jordan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napToGrid w:val="0"/>
                <w:color w:val="000000"/>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Kenya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Kyrgyzstan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Latvia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Lithuania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40,231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40,231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Mexico</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0.75</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40,231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40,231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Morocco</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160,923</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160,923</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 xml:space="preserve">Netherlands </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3.00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160,923</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160,923</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New Zealand</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Nicaragua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Norway</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Oman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Panama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Paraguay</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Peru</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Poland</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Portugal</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Republic of Korea</w:t>
            </w:r>
          </w:p>
        </w:tc>
        <w:tc>
          <w:tcPr>
            <w:tcW w:w="1032" w:type="dxa"/>
          </w:tcPr>
          <w:p w:rsidR="005139E3" w:rsidRPr="005139E3" w:rsidRDefault="005139E3" w:rsidP="00AE2369">
            <w:pPr>
              <w:tabs>
                <w:tab w:val="decimal" w:pos="284"/>
                <w:tab w:val="decimal" w:pos="482"/>
              </w:tabs>
              <w:jc w:val="center"/>
              <w:rPr>
                <w:rFonts w:cs="Arial"/>
                <w:snapToGrid w:val="0"/>
                <w:color w:val="000000"/>
                <w:sz w:val="18"/>
                <w:szCs w:val="18"/>
              </w:rPr>
            </w:pPr>
            <w:r w:rsidRPr="005139E3">
              <w:rPr>
                <w:rFonts w:cs="Arial"/>
                <w:snapToGrid w:val="0"/>
                <w:color w:val="000000"/>
                <w:sz w:val="18"/>
                <w:szCs w:val="18"/>
              </w:rPr>
              <w:t>1.50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Republic of Moldova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Romania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 xml:space="preserve">Russian Federation </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Serbia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Singapore</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Slovakia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Slovenia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53,641</w:t>
            </w:r>
          </w:p>
        </w:tc>
        <w:tc>
          <w:tcPr>
            <w:tcW w:w="3177" w:type="dxa"/>
          </w:tcPr>
          <w:p w:rsidR="005139E3" w:rsidRPr="005139E3" w:rsidRDefault="005139E3" w:rsidP="00AE2369">
            <w:pPr>
              <w:tabs>
                <w:tab w:val="left" w:pos="212"/>
              </w:tabs>
              <w:jc w:val="left"/>
              <w:rPr>
                <w:rFonts w:cs="Arial"/>
                <w:snapToGrid w:val="0"/>
                <w:color w:val="000000"/>
                <w:sz w:val="18"/>
                <w:szCs w:val="18"/>
              </w:rPr>
            </w:pPr>
            <w:r w:rsidRPr="005139E3">
              <w:rPr>
                <w:rFonts w:cs="Arial"/>
                <w:snapToGrid w:val="0"/>
                <w:color w:val="000000"/>
                <w:sz w:val="18"/>
                <w:szCs w:val="18"/>
              </w:rPr>
              <w:t>South Africa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53,641</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Spain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2.00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Sweden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80,462</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Switzerland</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1.50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80,462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The former Yugoslav Republic of Macedonia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Trinidad and Tobago</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Tunisia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Turkey</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0.50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Ukraine</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107,282</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United Kingdom</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2.00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107,282</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268,205</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United States of America</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5.00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268,205</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Uruguay</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Uzbekistan</w:t>
            </w:r>
          </w:p>
        </w:tc>
        <w:tc>
          <w:tcPr>
            <w:tcW w:w="1032" w:type="dxa"/>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blHeader/>
        </w:trPr>
        <w:tc>
          <w:tcPr>
            <w:tcW w:w="1218" w:type="dxa"/>
            <w:tcBorders>
              <w:bottom w:val="single" w:sz="8" w:space="0" w:color="auto"/>
            </w:tcBorders>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1134" w:type="dxa"/>
            <w:tcBorders>
              <w:bottom w:val="single" w:sz="8" w:space="0" w:color="auto"/>
            </w:tcBorders>
          </w:tcPr>
          <w:p w:rsidR="005139E3" w:rsidRPr="005139E3" w:rsidRDefault="005139E3" w:rsidP="00AE2369">
            <w:pPr>
              <w:ind w:right="170"/>
              <w:jc w:val="right"/>
              <w:rPr>
                <w:rFonts w:cs="Arial"/>
                <w:snapToGrid w:val="0"/>
                <w:color w:val="000000"/>
                <w:sz w:val="18"/>
                <w:szCs w:val="18"/>
              </w:rPr>
            </w:pPr>
            <w:r w:rsidRPr="005139E3">
              <w:rPr>
                <w:rFonts w:cs="Arial"/>
                <w:snapToGrid w:val="0"/>
                <w:color w:val="000000"/>
                <w:sz w:val="18"/>
                <w:szCs w:val="18"/>
              </w:rPr>
              <w:t>10,728</w:t>
            </w:r>
          </w:p>
        </w:tc>
        <w:tc>
          <w:tcPr>
            <w:tcW w:w="3177" w:type="dxa"/>
            <w:tcBorders>
              <w:bottom w:val="single" w:sz="8" w:space="0" w:color="auto"/>
            </w:tcBorders>
          </w:tcPr>
          <w:p w:rsidR="005139E3" w:rsidRPr="005139E3" w:rsidRDefault="005139E3" w:rsidP="00AE2369">
            <w:pPr>
              <w:jc w:val="left"/>
              <w:rPr>
                <w:rFonts w:cs="Arial"/>
                <w:snapToGrid w:val="0"/>
                <w:color w:val="000000"/>
                <w:sz w:val="18"/>
                <w:szCs w:val="18"/>
              </w:rPr>
            </w:pPr>
            <w:r w:rsidRPr="005139E3">
              <w:rPr>
                <w:rFonts w:cs="Arial"/>
                <w:snapToGrid w:val="0"/>
                <w:color w:val="000000"/>
                <w:sz w:val="18"/>
                <w:szCs w:val="18"/>
              </w:rPr>
              <w:t>Viet Nam</w:t>
            </w:r>
          </w:p>
        </w:tc>
        <w:tc>
          <w:tcPr>
            <w:tcW w:w="1032" w:type="dxa"/>
            <w:tcBorders>
              <w:bottom w:val="single" w:sz="8" w:space="0" w:color="auto"/>
            </w:tcBorders>
          </w:tcPr>
          <w:p w:rsidR="005139E3" w:rsidRPr="005139E3" w:rsidRDefault="005139E3" w:rsidP="00AE2369">
            <w:pPr>
              <w:tabs>
                <w:tab w:val="decimal" w:pos="284"/>
                <w:tab w:val="decimal" w:pos="482"/>
              </w:tabs>
              <w:jc w:val="center"/>
              <w:rPr>
                <w:rFonts w:cs="Arial"/>
                <w:sz w:val="18"/>
                <w:szCs w:val="18"/>
              </w:rPr>
            </w:pPr>
            <w:r w:rsidRPr="005139E3">
              <w:rPr>
                <w:rFonts w:cs="Arial"/>
                <w:sz w:val="18"/>
                <w:szCs w:val="18"/>
              </w:rPr>
              <w:t>0.20</w:t>
            </w:r>
          </w:p>
        </w:tc>
        <w:tc>
          <w:tcPr>
            <w:tcW w:w="1560" w:type="dxa"/>
            <w:tcBorders>
              <w:bottom w:val="single" w:sz="8" w:space="0" w:color="auto"/>
            </w:tcBorders>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c>
          <w:tcPr>
            <w:tcW w:w="1559" w:type="dxa"/>
            <w:tcBorders>
              <w:bottom w:val="single" w:sz="8" w:space="0" w:color="auto"/>
            </w:tcBorders>
          </w:tcPr>
          <w:p w:rsidR="005139E3" w:rsidRPr="005139E3" w:rsidRDefault="005139E3" w:rsidP="00AE2369">
            <w:pPr>
              <w:ind w:right="284"/>
              <w:jc w:val="right"/>
              <w:rPr>
                <w:rFonts w:cs="Arial"/>
                <w:snapToGrid w:val="0"/>
                <w:color w:val="000000"/>
                <w:sz w:val="18"/>
                <w:szCs w:val="18"/>
              </w:rPr>
            </w:pPr>
            <w:r w:rsidRPr="005139E3">
              <w:rPr>
                <w:rFonts w:cs="Arial"/>
                <w:snapToGrid w:val="0"/>
                <w:color w:val="000000"/>
                <w:sz w:val="18"/>
                <w:szCs w:val="18"/>
              </w:rPr>
              <w:t>10,728</w:t>
            </w:r>
          </w:p>
        </w:tc>
      </w:tr>
      <w:tr w:rsidR="005139E3" w:rsidRPr="005139E3" w:rsidTr="00AE2369">
        <w:trPr>
          <w:cantSplit/>
        </w:trPr>
        <w:tc>
          <w:tcPr>
            <w:tcW w:w="1218" w:type="dxa"/>
            <w:tcBorders>
              <w:top w:val="single" w:sz="8" w:space="0" w:color="auto"/>
              <w:bottom w:val="single" w:sz="8" w:space="0" w:color="auto"/>
            </w:tcBorders>
          </w:tcPr>
          <w:p w:rsidR="005139E3" w:rsidRPr="005139E3" w:rsidRDefault="005139E3" w:rsidP="00AE2369">
            <w:pPr>
              <w:jc w:val="right"/>
              <w:rPr>
                <w:rFonts w:cs="Arial"/>
                <w:snapToGrid w:val="0"/>
                <w:color w:val="000000"/>
                <w:sz w:val="18"/>
                <w:szCs w:val="18"/>
              </w:rPr>
            </w:pPr>
          </w:p>
        </w:tc>
        <w:tc>
          <w:tcPr>
            <w:tcW w:w="1134" w:type="dxa"/>
            <w:tcBorders>
              <w:top w:val="single" w:sz="8" w:space="0" w:color="auto"/>
              <w:bottom w:val="single" w:sz="8" w:space="0" w:color="auto"/>
            </w:tcBorders>
          </w:tcPr>
          <w:p w:rsidR="005139E3" w:rsidRPr="005139E3" w:rsidRDefault="005139E3" w:rsidP="00AE2369">
            <w:pPr>
              <w:jc w:val="right"/>
              <w:rPr>
                <w:rFonts w:cs="Arial"/>
                <w:snapToGrid w:val="0"/>
                <w:color w:val="000000"/>
                <w:sz w:val="18"/>
                <w:szCs w:val="18"/>
              </w:rPr>
            </w:pPr>
          </w:p>
        </w:tc>
        <w:tc>
          <w:tcPr>
            <w:tcW w:w="3177" w:type="dxa"/>
            <w:tcBorders>
              <w:top w:val="single" w:sz="8" w:space="0" w:color="auto"/>
              <w:bottom w:val="single" w:sz="8" w:space="0" w:color="auto"/>
            </w:tcBorders>
          </w:tcPr>
          <w:p w:rsidR="005139E3" w:rsidRPr="005139E3" w:rsidRDefault="005139E3" w:rsidP="00AE2369">
            <w:pPr>
              <w:rPr>
                <w:rFonts w:cs="Arial"/>
                <w:snapToGrid w:val="0"/>
                <w:color w:val="000000"/>
                <w:sz w:val="18"/>
                <w:szCs w:val="18"/>
              </w:rPr>
            </w:pPr>
          </w:p>
        </w:tc>
        <w:tc>
          <w:tcPr>
            <w:tcW w:w="1032" w:type="dxa"/>
            <w:tcBorders>
              <w:top w:val="single" w:sz="8" w:space="0" w:color="auto"/>
              <w:bottom w:val="single" w:sz="8" w:space="0" w:color="auto"/>
            </w:tcBorders>
          </w:tcPr>
          <w:p w:rsidR="005139E3" w:rsidRPr="005139E3" w:rsidRDefault="005139E3" w:rsidP="00AE2369">
            <w:pPr>
              <w:tabs>
                <w:tab w:val="decimal" w:pos="284"/>
                <w:tab w:val="decimal" w:pos="482"/>
              </w:tabs>
              <w:jc w:val="left"/>
              <w:rPr>
                <w:rFonts w:cs="Arial"/>
                <w:snapToGrid w:val="0"/>
                <w:color w:val="000000"/>
                <w:sz w:val="18"/>
                <w:szCs w:val="18"/>
              </w:rPr>
            </w:pPr>
          </w:p>
        </w:tc>
        <w:tc>
          <w:tcPr>
            <w:tcW w:w="1560" w:type="dxa"/>
            <w:tcBorders>
              <w:top w:val="single" w:sz="8" w:space="0" w:color="auto"/>
              <w:bottom w:val="single" w:sz="8" w:space="0" w:color="auto"/>
            </w:tcBorders>
          </w:tcPr>
          <w:p w:rsidR="005139E3" w:rsidRPr="005139E3" w:rsidRDefault="005139E3" w:rsidP="00AE2369">
            <w:pPr>
              <w:ind w:right="284"/>
              <w:jc w:val="right"/>
              <w:rPr>
                <w:rFonts w:cs="Arial"/>
                <w:snapToGrid w:val="0"/>
                <w:color w:val="000000"/>
                <w:sz w:val="18"/>
                <w:szCs w:val="18"/>
              </w:rPr>
            </w:pPr>
          </w:p>
        </w:tc>
        <w:tc>
          <w:tcPr>
            <w:tcW w:w="1559" w:type="dxa"/>
            <w:tcBorders>
              <w:top w:val="single" w:sz="8" w:space="0" w:color="auto"/>
              <w:bottom w:val="single" w:sz="8" w:space="0" w:color="auto"/>
            </w:tcBorders>
          </w:tcPr>
          <w:p w:rsidR="005139E3" w:rsidRPr="005139E3" w:rsidRDefault="005139E3" w:rsidP="00AE2369">
            <w:pPr>
              <w:ind w:right="284"/>
              <w:jc w:val="right"/>
              <w:rPr>
                <w:rFonts w:cs="Arial"/>
                <w:snapToGrid w:val="0"/>
                <w:color w:val="000000"/>
                <w:sz w:val="18"/>
                <w:szCs w:val="18"/>
              </w:rPr>
            </w:pPr>
          </w:p>
        </w:tc>
      </w:tr>
      <w:tr w:rsidR="005139E3" w:rsidRPr="006863D3" w:rsidTr="00AE2369">
        <w:trPr>
          <w:cantSplit/>
        </w:trPr>
        <w:tc>
          <w:tcPr>
            <w:tcW w:w="1218" w:type="dxa"/>
            <w:tcBorders>
              <w:top w:val="single" w:sz="8" w:space="0" w:color="auto"/>
              <w:bottom w:val="single" w:sz="8" w:space="0" w:color="auto"/>
            </w:tcBorders>
          </w:tcPr>
          <w:p w:rsidR="005139E3" w:rsidRPr="005139E3" w:rsidRDefault="005139E3" w:rsidP="00AE2369">
            <w:pPr>
              <w:jc w:val="center"/>
              <w:rPr>
                <w:rFonts w:cs="Arial"/>
                <w:b/>
                <w:snapToGrid w:val="0"/>
                <w:sz w:val="18"/>
                <w:szCs w:val="18"/>
              </w:rPr>
            </w:pPr>
            <w:r w:rsidRPr="005139E3">
              <w:rPr>
                <w:rFonts w:cs="Arial"/>
                <w:b/>
                <w:snapToGrid w:val="0"/>
                <w:sz w:val="18"/>
                <w:szCs w:val="18"/>
              </w:rPr>
              <w:t>3,333,778</w:t>
            </w:r>
          </w:p>
        </w:tc>
        <w:tc>
          <w:tcPr>
            <w:tcW w:w="1134" w:type="dxa"/>
            <w:tcBorders>
              <w:top w:val="single" w:sz="8" w:space="0" w:color="auto"/>
              <w:bottom w:val="single" w:sz="8" w:space="0" w:color="auto"/>
            </w:tcBorders>
          </w:tcPr>
          <w:p w:rsidR="005139E3" w:rsidRPr="005139E3" w:rsidRDefault="005139E3" w:rsidP="00AE2369">
            <w:pPr>
              <w:jc w:val="center"/>
              <w:rPr>
                <w:rFonts w:cs="Arial"/>
                <w:b/>
                <w:snapToGrid w:val="0"/>
                <w:sz w:val="18"/>
                <w:szCs w:val="18"/>
              </w:rPr>
            </w:pPr>
            <w:r w:rsidRPr="005139E3">
              <w:rPr>
                <w:rFonts w:cs="Arial"/>
                <w:b/>
                <w:snapToGrid w:val="0"/>
                <w:sz w:val="18"/>
                <w:szCs w:val="18"/>
              </w:rPr>
              <w:t>3,344,506</w:t>
            </w:r>
          </w:p>
        </w:tc>
        <w:tc>
          <w:tcPr>
            <w:tcW w:w="3177" w:type="dxa"/>
            <w:tcBorders>
              <w:top w:val="single" w:sz="8" w:space="0" w:color="auto"/>
              <w:bottom w:val="single" w:sz="8" w:space="0" w:color="auto"/>
            </w:tcBorders>
          </w:tcPr>
          <w:p w:rsidR="005139E3" w:rsidRPr="005139E3" w:rsidRDefault="005139E3" w:rsidP="00AE2369">
            <w:pPr>
              <w:rPr>
                <w:rFonts w:cs="Arial"/>
                <w:b/>
                <w:snapToGrid w:val="0"/>
                <w:sz w:val="18"/>
                <w:szCs w:val="18"/>
                <w:vertAlign w:val="superscript"/>
              </w:rPr>
            </w:pPr>
          </w:p>
        </w:tc>
        <w:tc>
          <w:tcPr>
            <w:tcW w:w="1032" w:type="dxa"/>
            <w:tcBorders>
              <w:top w:val="single" w:sz="8" w:space="0" w:color="auto"/>
              <w:bottom w:val="single" w:sz="8" w:space="0" w:color="auto"/>
            </w:tcBorders>
          </w:tcPr>
          <w:p w:rsidR="005139E3" w:rsidRPr="005139E3" w:rsidRDefault="005139E3" w:rsidP="00AE2369">
            <w:pPr>
              <w:tabs>
                <w:tab w:val="decimal" w:pos="284"/>
              </w:tabs>
              <w:jc w:val="left"/>
              <w:rPr>
                <w:rFonts w:cs="Arial"/>
                <w:b/>
                <w:snapToGrid w:val="0"/>
                <w:sz w:val="18"/>
                <w:szCs w:val="18"/>
              </w:rPr>
            </w:pPr>
            <w:r w:rsidRPr="005139E3">
              <w:rPr>
                <w:rFonts w:cs="Arial"/>
                <w:b/>
                <w:snapToGrid w:val="0"/>
                <w:sz w:val="18"/>
                <w:szCs w:val="18"/>
              </w:rPr>
              <w:t>62.35</w:t>
            </w:r>
          </w:p>
        </w:tc>
        <w:tc>
          <w:tcPr>
            <w:tcW w:w="1560" w:type="dxa"/>
            <w:tcBorders>
              <w:top w:val="single" w:sz="8" w:space="0" w:color="auto"/>
              <w:bottom w:val="single" w:sz="8" w:space="0" w:color="auto"/>
            </w:tcBorders>
          </w:tcPr>
          <w:p w:rsidR="005139E3" w:rsidRPr="005139E3" w:rsidRDefault="005139E3" w:rsidP="00AE2369">
            <w:pPr>
              <w:ind w:right="284"/>
              <w:jc w:val="right"/>
              <w:rPr>
                <w:rFonts w:cs="Arial"/>
                <w:b/>
                <w:snapToGrid w:val="0"/>
                <w:sz w:val="18"/>
                <w:szCs w:val="18"/>
              </w:rPr>
            </w:pPr>
            <w:r w:rsidRPr="005139E3">
              <w:rPr>
                <w:rFonts w:cs="Arial"/>
                <w:b/>
                <w:snapToGrid w:val="0"/>
                <w:sz w:val="18"/>
                <w:szCs w:val="18"/>
              </w:rPr>
              <w:t>3,344,506</w:t>
            </w:r>
          </w:p>
        </w:tc>
        <w:tc>
          <w:tcPr>
            <w:tcW w:w="1559" w:type="dxa"/>
            <w:tcBorders>
              <w:top w:val="single" w:sz="8" w:space="0" w:color="auto"/>
              <w:bottom w:val="single" w:sz="8" w:space="0" w:color="auto"/>
            </w:tcBorders>
          </w:tcPr>
          <w:p w:rsidR="005139E3" w:rsidRPr="006863D3" w:rsidRDefault="005139E3" w:rsidP="00AE2369">
            <w:pPr>
              <w:ind w:right="284"/>
              <w:jc w:val="right"/>
              <w:rPr>
                <w:rFonts w:cs="Arial"/>
                <w:b/>
                <w:snapToGrid w:val="0"/>
                <w:sz w:val="18"/>
                <w:szCs w:val="18"/>
              </w:rPr>
            </w:pPr>
            <w:r w:rsidRPr="005139E3">
              <w:rPr>
                <w:rFonts w:cs="Arial"/>
                <w:b/>
                <w:snapToGrid w:val="0"/>
                <w:sz w:val="18"/>
                <w:szCs w:val="18"/>
              </w:rPr>
              <w:t>3,344,506</w:t>
            </w:r>
          </w:p>
        </w:tc>
      </w:tr>
    </w:tbl>
    <w:p w:rsidR="005139E3" w:rsidRPr="00DD6106" w:rsidRDefault="005139E3" w:rsidP="005139E3"/>
    <w:p w:rsidR="003117C2" w:rsidRPr="00DD6106" w:rsidRDefault="003117C2" w:rsidP="003117C2"/>
    <w:p w:rsidR="003117C2" w:rsidRPr="00DD6106" w:rsidRDefault="003117C2" w:rsidP="003117C2"/>
    <w:p w:rsidR="003117C2" w:rsidRPr="00FC083C" w:rsidRDefault="003117C2" w:rsidP="003117C2">
      <w:pPr>
        <w:pStyle w:val="Endofdocument"/>
        <w:tabs>
          <w:tab w:val="decimal" w:pos="9071"/>
        </w:tabs>
        <w:ind w:right="-1"/>
        <w:jc w:val="right"/>
        <w:rPr>
          <w:rFonts w:ascii="Arial" w:hAnsi="Arial" w:cs="Arial"/>
          <w:sz w:val="20"/>
        </w:rPr>
      </w:pPr>
      <w:r w:rsidRPr="00EA1426">
        <w:rPr>
          <w:rFonts w:ascii="Arial" w:hAnsi="Arial" w:cs="Arial"/>
          <w:snapToGrid w:val="0"/>
          <w:sz w:val="20"/>
        </w:rPr>
        <w:t>[Appendix III follows]</w:t>
      </w:r>
    </w:p>
    <w:p w:rsidR="003117C2" w:rsidRDefault="003117C2" w:rsidP="003117C2"/>
    <w:p w:rsidR="003117C2" w:rsidRPr="00FC083C" w:rsidRDefault="003117C2" w:rsidP="003117C2">
      <w:pPr>
        <w:rPr>
          <w:rFonts w:cs="Arial"/>
          <w:b/>
          <w:color w:val="0000FF"/>
        </w:rPr>
        <w:sectPr w:rsidR="003117C2" w:rsidRPr="00FC083C" w:rsidSect="00DC5E39">
          <w:headerReference w:type="default" r:id="rId20"/>
          <w:footerReference w:type="first" r:id="rId21"/>
          <w:pgSz w:w="11907" w:h="16840" w:code="9"/>
          <w:pgMar w:top="510" w:right="1134" w:bottom="1134" w:left="1134" w:header="510" w:footer="624" w:gutter="0"/>
          <w:pgNumType w:start="1"/>
          <w:cols w:space="720"/>
          <w:titlePg/>
        </w:sectPr>
      </w:pPr>
    </w:p>
    <w:p w:rsidR="00EB6579" w:rsidRDefault="00D046B8" w:rsidP="003117C2">
      <w:pPr>
        <w:jc w:val="center"/>
      </w:pPr>
      <w:r>
        <w:t>C/49/4 Rev.</w:t>
      </w:r>
    </w:p>
    <w:p w:rsidR="00EB6579" w:rsidRDefault="00EB6579" w:rsidP="003117C2">
      <w:pPr>
        <w:jc w:val="center"/>
      </w:pPr>
    </w:p>
    <w:p w:rsidR="003117C2" w:rsidRPr="00DD6106" w:rsidRDefault="003117C2" w:rsidP="003117C2">
      <w:pPr>
        <w:jc w:val="center"/>
      </w:pPr>
      <w:r>
        <w:t>ANNEX</w:t>
      </w:r>
      <w:r w:rsidR="00EB6579">
        <w:t xml:space="preserve"> </w:t>
      </w:r>
      <w:r>
        <w:t xml:space="preserve">– </w:t>
      </w:r>
      <w:r w:rsidRPr="0050046B">
        <w:t>APPENDIX III</w:t>
      </w:r>
    </w:p>
    <w:p w:rsidR="003117C2" w:rsidRDefault="003117C2" w:rsidP="003117C2">
      <w:pPr>
        <w:jc w:val="center"/>
      </w:pPr>
    </w:p>
    <w:p w:rsidR="003117C2" w:rsidRPr="00DD6106" w:rsidRDefault="003117C2" w:rsidP="003117C2">
      <w:pPr>
        <w:jc w:val="center"/>
      </w:pPr>
    </w:p>
    <w:p w:rsidR="003117C2" w:rsidRPr="00DD6106" w:rsidRDefault="003117C2" w:rsidP="003117C2">
      <w:pPr>
        <w:jc w:val="center"/>
      </w:pPr>
      <w:r w:rsidRPr="00DD6106">
        <w:t>DEFINITIONS OF BUDGET HEADINGS</w:t>
      </w:r>
    </w:p>
    <w:p w:rsidR="003117C2" w:rsidRDefault="003117C2" w:rsidP="003117C2"/>
    <w:p w:rsidR="003117C2" w:rsidRPr="00DD6106" w:rsidRDefault="003117C2" w:rsidP="003117C2"/>
    <w:p w:rsidR="003117C2" w:rsidRPr="00DD6106" w:rsidRDefault="003117C2" w:rsidP="003117C2">
      <w:pPr>
        <w:jc w:val="center"/>
        <w:rPr>
          <w:b/>
          <w:szCs w:val="24"/>
        </w:rPr>
      </w:pPr>
      <w:r w:rsidRPr="00DD6106">
        <w:rPr>
          <w:rStyle w:val="underline"/>
          <w:b/>
          <w:szCs w:val="24"/>
        </w:rPr>
        <w:t>Sources of Income</w:t>
      </w:r>
    </w:p>
    <w:p w:rsidR="003117C2" w:rsidRPr="00DD6106" w:rsidRDefault="003117C2" w:rsidP="003117C2"/>
    <w:p w:rsidR="003117C2" w:rsidRPr="00EA1426" w:rsidRDefault="003117C2" w:rsidP="003117C2">
      <w:pPr>
        <w:rPr>
          <w:rStyle w:val="underline"/>
          <w:b/>
          <w:i/>
        </w:rPr>
      </w:pPr>
      <w:r w:rsidRPr="00EA1426">
        <w:rPr>
          <w:b/>
          <w:u w:val="single"/>
        </w:rPr>
        <w:t>Contributions</w:t>
      </w:r>
    </w:p>
    <w:p w:rsidR="003117C2" w:rsidRDefault="003117C2" w:rsidP="003117C2"/>
    <w:p w:rsidR="003117C2" w:rsidRPr="00DD6106" w:rsidRDefault="003117C2" w:rsidP="003117C2">
      <w:r w:rsidRPr="00DD6106">
        <w:t>Contributions of members of the Union under the UPOV Convention (Article</w:t>
      </w:r>
      <w:r>
        <w:t xml:space="preserve"> 29 of the 1991 Act and Article </w:t>
      </w:r>
      <w:r w:rsidRPr="00DD6106">
        <w:t>26 of the 1978 Act).</w:t>
      </w:r>
    </w:p>
    <w:p w:rsidR="003117C2" w:rsidRPr="00DD6106" w:rsidRDefault="003117C2" w:rsidP="003117C2"/>
    <w:p w:rsidR="003117C2" w:rsidRPr="00EA1426" w:rsidRDefault="003117C2" w:rsidP="003117C2">
      <w:pPr>
        <w:keepNext/>
        <w:spacing w:after="40"/>
        <w:rPr>
          <w:b/>
        </w:rPr>
      </w:pPr>
      <w:r w:rsidRPr="00EA1426">
        <w:rPr>
          <w:b/>
        </w:rPr>
        <w:t>Publications Income</w:t>
      </w:r>
    </w:p>
    <w:p w:rsidR="003117C2" w:rsidRPr="00DD6106" w:rsidRDefault="003117C2" w:rsidP="003117C2">
      <w:r w:rsidRPr="00DD6106">
        <w:t>Revenue from the sale of publications and products by the Office of the Union.</w:t>
      </w:r>
    </w:p>
    <w:p w:rsidR="003117C2" w:rsidRPr="00DD6106" w:rsidRDefault="003117C2" w:rsidP="003117C2"/>
    <w:p w:rsidR="003117C2" w:rsidRPr="00DD6106" w:rsidRDefault="003117C2" w:rsidP="003117C2">
      <w:pPr>
        <w:keepNext/>
        <w:spacing w:after="40"/>
        <w:rPr>
          <w:b/>
        </w:rPr>
      </w:pPr>
      <w:r w:rsidRPr="00DD6106">
        <w:rPr>
          <w:b/>
        </w:rPr>
        <w:t>Interest Income</w:t>
      </w:r>
    </w:p>
    <w:p w:rsidR="003117C2" w:rsidRPr="00DD6106" w:rsidRDefault="003117C2" w:rsidP="003117C2">
      <w:r w:rsidRPr="00DD6106">
        <w:t>Revenues from interest on capital deposits.</w:t>
      </w:r>
    </w:p>
    <w:p w:rsidR="003117C2" w:rsidRPr="00DD6106" w:rsidRDefault="003117C2" w:rsidP="003117C2"/>
    <w:p w:rsidR="003117C2" w:rsidRPr="00C97817" w:rsidRDefault="003117C2" w:rsidP="003117C2">
      <w:pPr>
        <w:keepNext/>
        <w:spacing w:after="40"/>
        <w:rPr>
          <w:b/>
        </w:rPr>
      </w:pPr>
      <w:r w:rsidRPr="00C97817">
        <w:rPr>
          <w:b/>
        </w:rPr>
        <w:t>Other Income</w:t>
      </w:r>
    </w:p>
    <w:p w:rsidR="003117C2" w:rsidRPr="00DD6106" w:rsidRDefault="003117C2" w:rsidP="003117C2">
      <w:r w:rsidRPr="00C97817">
        <w:t>All other income not described above, including accounting adjustments (credits) in respect of prior years, currency adjustments (credits) and income to cover “support costs” in respect of extra</w:t>
      </w:r>
      <w:r w:rsidRPr="00C97817">
        <w:noBreakHyphen/>
        <w:t xml:space="preserve">budgetary activities executed by UPOV and financed by Funds-in-Trust;  UPOV’s share in WIPO’s common income; </w:t>
      </w:r>
      <w:r w:rsidRPr="00C97817">
        <w:rPr>
          <w:rFonts w:cs="Arial"/>
          <w:snapToGrid w:val="0"/>
          <w:color w:val="000000"/>
        </w:rPr>
        <w:t xml:space="preserve"> nominal income from the new electronic application system.</w:t>
      </w:r>
    </w:p>
    <w:p w:rsidR="003117C2" w:rsidRPr="00DD6106" w:rsidRDefault="003117C2" w:rsidP="003117C2"/>
    <w:p w:rsidR="003117C2" w:rsidRPr="00DD6106" w:rsidRDefault="003117C2" w:rsidP="003117C2"/>
    <w:p w:rsidR="003117C2" w:rsidRPr="00DD6106" w:rsidRDefault="003117C2" w:rsidP="003117C2">
      <w:pPr>
        <w:jc w:val="center"/>
        <w:rPr>
          <w:rStyle w:val="underline"/>
          <w:b/>
          <w:szCs w:val="24"/>
        </w:rPr>
      </w:pPr>
      <w:r w:rsidRPr="00DD6106">
        <w:rPr>
          <w:rStyle w:val="underline"/>
          <w:b/>
          <w:szCs w:val="24"/>
        </w:rPr>
        <w:t>Objects of Expenditure</w:t>
      </w:r>
    </w:p>
    <w:p w:rsidR="003117C2" w:rsidRPr="00DD6106" w:rsidRDefault="003117C2" w:rsidP="003117C2">
      <w:pPr>
        <w:jc w:val="center"/>
      </w:pPr>
    </w:p>
    <w:p w:rsidR="003117C2" w:rsidRPr="00EA1426" w:rsidRDefault="003117C2" w:rsidP="003117C2">
      <w:pPr>
        <w:rPr>
          <w:b/>
          <w:u w:val="single"/>
        </w:rPr>
      </w:pPr>
      <w:r w:rsidRPr="00EA1426">
        <w:rPr>
          <w:b/>
          <w:u w:val="single"/>
        </w:rPr>
        <w:t>Personnel Resources</w:t>
      </w:r>
    </w:p>
    <w:p w:rsidR="003117C2" w:rsidRPr="00DD6106" w:rsidRDefault="003117C2" w:rsidP="003117C2"/>
    <w:p w:rsidR="003117C2" w:rsidRPr="00DD6106" w:rsidRDefault="003117C2" w:rsidP="003117C2">
      <w:pPr>
        <w:keepNext/>
        <w:spacing w:after="40"/>
        <w:rPr>
          <w:b/>
        </w:rPr>
      </w:pPr>
      <w:r w:rsidRPr="00DD6106">
        <w:rPr>
          <w:b/>
        </w:rPr>
        <w:t>Posts</w:t>
      </w:r>
    </w:p>
    <w:p w:rsidR="003117C2" w:rsidRPr="00DD6106" w:rsidRDefault="003117C2" w:rsidP="003117C2">
      <w:r w:rsidRPr="00DD6106">
        <w:t>Remuneration received by staff members, in particular salaries, post adjustment, dependency allowances, language allowances and overtime, no</w:t>
      </w:r>
      <w:r w:rsidRPr="00363038">
        <w:t>n-re</w:t>
      </w:r>
      <w:r w:rsidRPr="00DD6106">
        <w:t xml:space="preserve">sident allowances, assignment grant and representation allowances and allowances received by staff members not included in their salaries.  The latter includes employer’s contribution towards pension fund, participation in sickness insurance scheme, contribution towards the separation provision used for covering payments due upon separation from service, education grants, removal expenses, travel expenses of dependent children attending educational institutions, home leave, grants to cover costs of installation in the duty station, professional accident insurance </w:t>
      </w:r>
      <w:proofErr w:type="spellStart"/>
      <w:r w:rsidRPr="00DD6106">
        <w:t>premia</w:t>
      </w:r>
      <w:proofErr w:type="spellEnd"/>
      <w:r w:rsidRPr="00DD6106">
        <w:t>, refund of national income taxes on salaries and other allowances, indemnities or grants paid by the Office of the Union.</w:t>
      </w:r>
    </w:p>
    <w:p w:rsidR="003117C2" w:rsidRPr="00DD6106" w:rsidRDefault="003117C2" w:rsidP="003117C2"/>
    <w:p w:rsidR="003117C2" w:rsidRPr="00DD6106" w:rsidRDefault="004F001B" w:rsidP="003117C2">
      <w:pPr>
        <w:keepNext/>
        <w:spacing w:after="40"/>
        <w:rPr>
          <w:b/>
        </w:rPr>
      </w:pPr>
      <w:r>
        <w:rPr>
          <w:b/>
        </w:rPr>
        <w:t>Temporary Staff</w:t>
      </w:r>
    </w:p>
    <w:p w:rsidR="003117C2" w:rsidRPr="00DD6106" w:rsidRDefault="003117C2" w:rsidP="003117C2">
      <w:r w:rsidRPr="00DD6106">
        <w:t>Remuneration and allowances paid to staff on short term appointments.</w:t>
      </w:r>
    </w:p>
    <w:p w:rsidR="003117C2" w:rsidRDefault="003117C2" w:rsidP="003117C2"/>
    <w:p w:rsidR="003117C2" w:rsidRPr="00DD6106" w:rsidRDefault="003117C2" w:rsidP="003117C2"/>
    <w:p w:rsidR="003117C2" w:rsidRDefault="003117C2" w:rsidP="003117C2">
      <w:pPr>
        <w:rPr>
          <w:b/>
          <w:u w:val="single"/>
        </w:rPr>
      </w:pPr>
      <w:r w:rsidRPr="00EA1426">
        <w:rPr>
          <w:b/>
          <w:u w:val="single"/>
        </w:rPr>
        <w:t>Non-Personnel Resources</w:t>
      </w:r>
    </w:p>
    <w:p w:rsidR="0064558E" w:rsidRDefault="0064558E" w:rsidP="003117C2">
      <w:pPr>
        <w:rPr>
          <w:b/>
          <w:u w:val="single"/>
        </w:rPr>
      </w:pPr>
    </w:p>
    <w:p w:rsidR="0064558E" w:rsidRPr="00633455" w:rsidRDefault="0064558E" w:rsidP="0064558E">
      <w:pPr>
        <w:rPr>
          <w:rFonts w:cs="Arial"/>
          <w:b/>
          <w:bCs/>
        </w:rPr>
      </w:pPr>
      <w:r w:rsidRPr="00633455">
        <w:rPr>
          <w:rFonts w:cs="Arial"/>
          <w:b/>
          <w:bCs/>
        </w:rPr>
        <w:t>Internships and Fellowships</w:t>
      </w:r>
    </w:p>
    <w:p w:rsidR="0064558E" w:rsidRPr="00633455" w:rsidRDefault="0064558E" w:rsidP="0064558E">
      <w:pPr>
        <w:rPr>
          <w:rFonts w:cs="Arial"/>
        </w:rPr>
      </w:pPr>
    </w:p>
    <w:p w:rsidR="0064558E" w:rsidRDefault="0064558E" w:rsidP="0064558E">
      <w:pPr>
        <w:rPr>
          <w:rFonts w:cs="Arial"/>
        </w:rPr>
      </w:pPr>
      <w:r w:rsidRPr="0064558E">
        <w:rPr>
          <w:rFonts w:cs="Arial"/>
          <w:b/>
          <w:bCs/>
          <w:i/>
          <w:iCs/>
          <w:color w:val="000000"/>
        </w:rPr>
        <w:t>Internships</w:t>
      </w:r>
      <w:r>
        <w:rPr>
          <w:rFonts w:cs="Arial"/>
        </w:rPr>
        <w:t xml:space="preserve">: remuneration and allowances paid to interns. </w:t>
      </w:r>
    </w:p>
    <w:p w:rsidR="0064558E" w:rsidRPr="0019282D" w:rsidRDefault="0064558E" w:rsidP="0019282D"/>
    <w:p w:rsidR="0064558E" w:rsidRPr="00C27F17" w:rsidRDefault="0064558E" w:rsidP="0019282D">
      <w:pPr>
        <w:rPr>
          <w:rFonts w:cs="Arial"/>
        </w:rPr>
      </w:pPr>
      <w:r w:rsidRPr="0064558E">
        <w:rPr>
          <w:rFonts w:cs="Arial"/>
          <w:b/>
          <w:bCs/>
          <w:i/>
          <w:iCs/>
          <w:color w:val="000000"/>
        </w:rPr>
        <w:t>Fellowships:</w:t>
      </w:r>
      <w:r w:rsidRPr="00C27F17">
        <w:rPr>
          <w:rFonts w:cs="Arial"/>
          <w:b/>
          <w:bCs/>
          <w:i/>
          <w:iCs/>
        </w:rPr>
        <w:t xml:space="preserve"> </w:t>
      </w:r>
      <w:r w:rsidRPr="00C27F17">
        <w:rPr>
          <w:rFonts w:cs="Arial"/>
          <w:bCs/>
          <w:iCs/>
        </w:rPr>
        <w:t xml:space="preserve">expenses related to a </w:t>
      </w:r>
      <w:r w:rsidRPr="00C27F17">
        <w:rPr>
          <w:rFonts w:cs="Arial"/>
        </w:rPr>
        <w:t xml:space="preserve">training activity that provides a monetary grant to qualified individuals for the purpose of fulfilling special learning objectives. </w:t>
      </w:r>
    </w:p>
    <w:p w:rsidR="0064558E" w:rsidRPr="00EA1426" w:rsidRDefault="0064558E" w:rsidP="003117C2">
      <w:pPr>
        <w:rPr>
          <w:b/>
          <w:u w:val="single"/>
        </w:rPr>
      </w:pPr>
    </w:p>
    <w:p w:rsidR="003117C2" w:rsidRPr="00EB6579" w:rsidRDefault="003117C2" w:rsidP="003117C2">
      <w:pPr>
        <w:keepNext/>
        <w:rPr>
          <w:b/>
        </w:rPr>
      </w:pPr>
      <w:r w:rsidRPr="00EB6579">
        <w:rPr>
          <w:b/>
        </w:rPr>
        <w:t>Travel</w:t>
      </w:r>
      <w:r w:rsidR="004F001B">
        <w:rPr>
          <w:b/>
        </w:rPr>
        <w:t>, Training and Grants</w:t>
      </w:r>
      <w:r w:rsidRPr="00EB6579">
        <w:rPr>
          <w:b/>
        </w:rPr>
        <w:t xml:space="preserve"> </w:t>
      </w:r>
    </w:p>
    <w:p w:rsidR="003117C2" w:rsidRPr="00EB6579" w:rsidRDefault="003117C2" w:rsidP="003117C2">
      <w:pPr>
        <w:keepNext/>
        <w:rPr>
          <w:b/>
          <w:u w:val="single"/>
        </w:rPr>
      </w:pPr>
    </w:p>
    <w:p w:rsidR="003117C2" w:rsidRPr="00EB6579" w:rsidRDefault="003117C2" w:rsidP="003117C2">
      <w:pPr>
        <w:jc w:val="left"/>
        <w:rPr>
          <w:rFonts w:cs="Arial"/>
          <w:color w:val="000000"/>
        </w:rPr>
      </w:pPr>
      <w:r w:rsidRPr="00EB6579">
        <w:rPr>
          <w:rFonts w:cs="Arial"/>
          <w:b/>
          <w:bCs/>
          <w:i/>
          <w:iCs/>
          <w:color w:val="000000"/>
        </w:rPr>
        <w:t>Staff missions</w:t>
      </w:r>
      <w:r w:rsidRPr="00EB6579">
        <w:rPr>
          <w:rFonts w:cs="Arial"/>
          <w:color w:val="000000"/>
        </w:rPr>
        <w:t>:  travel expenses and daily subsistence allowances for all staff on official travel.</w:t>
      </w:r>
    </w:p>
    <w:p w:rsidR="003117C2" w:rsidRPr="00EB6579" w:rsidRDefault="003117C2" w:rsidP="003117C2"/>
    <w:p w:rsidR="003117C2" w:rsidRPr="00EB6579" w:rsidRDefault="003117C2" w:rsidP="003117C2">
      <w:pPr>
        <w:jc w:val="left"/>
        <w:rPr>
          <w:rFonts w:cs="Arial"/>
          <w:color w:val="000000"/>
        </w:rPr>
      </w:pPr>
      <w:r w:rsidRPr="00EB6579">
        <w:rPr>
          <w:rFonts w:cs="Arial"/>
          <w:b/>
          <w:bCs/>
          <w:i/>
          <w:iCs/>
          <w:color w:val="000000"/>
        </w:rPr>
        <w:t>Third party travel</w:t>
      </w:r>
      <w:r w:rsidRPr="00EB6579">
        <w:rPr>
          <w:rFonts w:cs="Arial"/>
          <w:color w:val="000000"/>
        </w:rPr>
        <w:t>:  travel expenses and daily subsistence allowances for all third parties – i.e. non-staff.  This will include the travel costs of Government officials, participants and lecturers attending UPOV-sponsored meetings.</w:t>
      </w:r>
    </w:p>
    <w:p w:rsidR="003117C2" w:rsidRPr="00EB6579" w:rsidRDefault="003117C2" w:rsidP="003117C2"/>
    <w:p w:rsidR="003117C2" w:rsidRPr="00EB6579" w:rsidRDefault="004F001B" w:rsidP="003117C2">
      <w:pPr>
        <w:jc w:val="left"/>
        <w:rPr>
          <w:rFonts w:cs="Arial"/>
        </w:rPr>
      </w:pPr>
      <w:r>
        <w:rPr>
          <w:rFonts w:cs="Arial"/>
          <w:b/>
          <w:bCs/>
          <w:i/>
          <w:iCs/>
          <w:color w:val="000000"/>
        </w:rPr>
        <w:t>Training and related travel grants</w:t>
      </w:r>
      <w:r w:rsidRPr="00633455">
        <w:rPr>
          <w:rFonts w:cs="Arial"/>
          <w:color w:val="000000"/>
        </w:rPr>
        <w:t>:</w:t>
      </w:r>
      <w:r>
        <w:rPr>
          <w:rFonts w:cs="Arial"/>
          <w:color w:val="000000"/>
        </w:rPr>
        <w:t xml:space="preserve"> </w:t>
      </w:r>
      <w:r w:rsidR="003117C2" w:rsidRPr="00EB6579">
        <w:rPr>
          <w:rFonts w:cs="Arial"/>
          <w:color w:val="000000"/>
        </w:rPr>
        <w:t xml:space="preserve">travel expenses, daily subsistence allowances and training and other fees in connection with trainees attending courses, seminars, fellowships.  </w:t>
      </w:r>
    </w:p>
    <w:p w:rsidR="003117C2" w:rsidRPr="00EB6579" w:rsidRDefault="003117C2" w:rsidP="003117C2"/>
    <w:p w:rsidR="003117C2" w:rsidRPr="00DD6106" w:rsidRDefault="003117C2" w:rsidP="003117C2">
      <w:pPr>
        <w:keepNext/>
        <w:rPr>
          <w:b/>
        </w:rPr>
      </w:pPr>
      <w:r w:rsidRPr="00DD6106">
        <w:rPr>
          <w:b/>
        </w:rPr>
        <w:t>Contractual Services</w:t>
      </w:r>
    </w:p>
    <w:p w:rsidR="003117C2" w:rsidRPr="00DD6106" w:rsidRDefault="003117C2" w:rsidP="003117C2">
      <w:pPr>
        <w:keepNext/>
        <w:rPr>
          <w:b/>
          <w:u w:val="single"/>
        </w:rPr>
      </w:pPr>
    </w:p>
    <w:p w:rsidR="003117C2" w:rsidRPr="00F42FDB" w:rsidRDefault="003117C2" w:rsidP="003117C2">
      <w:pPr>
        <w:keepNext/>
        <w:keepLines/>
        <w:jc w:val="left"/>
        <w:rPr>
          <w:color w:val="000000"/>
          <w:szCs w:val="22"/>
        </w:rPr>
      </w:pPr>
      <w:r w:rsidRPr="00F42FDB">
        <w:rPr>
          <w:b/>
          <w:bCs/>
          <w:i/>
          <w:iCs/>
          <w:color w:val="000000"/>
          <w:szCs w:val="22"/>
        </w:rPr>
        <w:t>Conferences</w:t>
      </w:r>
      <w:r w:rsidRPr="00F42FDB">
        <w:rPr>
          <w:color w:val="000000"/>
          <w:szCs w:val="22"/>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3117C2" w:rsidRPr="00F42FDB" w:rsidRDefault="003117C2" w:rsidP="003117C2"/>
    <w:p w:rsidR="003117C2" w:rsidRPr="00F42FDB" w:rsidRDefault="003117C2" w:rsidP="003117C2">
      <w:pPr>
        <w:rPr>
          <w:color w:val="000000"/>
          <w:szCs w:val="22"/>
        </w:rPr>
      </w:pPr>
      <w:r w:rsidRPr="00F42FDB">
        <w:rPr>
          <w:b/>
          <w:bCs/>
          <w:i/>
          <w:iCs/>
          <w:color w:val="000000"/>
          <w:szCs w:val="22"/>
        </w:rPr>
        <w:t>Publishing</w:t>
      </w:r>
      <w:r w:rsidRPr="00F42FDB">
        <w:rPr>
          <w:color w:val="000000"/>
          <w:szCs w:val="22"/>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3117C2" w:rsidRPr="00F42FDB" w:rsidRDefault="003117C2" w:rsidP="003117C2"/>
    <w:p w:rsidR="003117C2" w:rsidRPr="00F42FDB" w:rsidRDefault="003117C2" w:rsidP="003117C2">
      <w:pPr>
        <w:rPr>
          <w:color w:val="000000"/>
          <w:szCs w:val="22"/>
        </w:rPr>
      </w:pPr>
      <w:r w:rsidRPr="00F42FDB">
        <w:rPr>
          <w:b/>
          <w:bCs/>
          <w:i/>
          <w:iCs/>
          <w:color w:val="000000"/>
          <w:szCs w:val="22"/>
        </w:rPr>
        <w:t>Individual Contractual Services</w:t>
      </w:r>
      <w:r w:rsidRPr="00B23595">
        <w:rPr>
          <w:color w:val="000000"/>
          <w:szCs w:val="22"/>
        </w:rPr>
        <w:t>:</w:t>
      </w:r>
      <w:r w:rsidRPr="00F42FDB">
        <w:rPr>
          <w:color w:val="000000"/>
          <w:szCs w:val="22"/>
        </w:rPr>
        <w:t xml:space="preserve">  remuneration paid in respect of individual contractual services.  This category will also include the budget for Experts’ Honoraria.</w:t>
      </w:r>
    </w:p>
    <w:p w:rsidR="003117C2" w:rsidRPr="00F42FDB" w:rsidRDefault="003117C2" w:rsidP="003117C2"/>
    <w:p w:rsidR="003117C2" w:rsidRPr="00F42FDB" w:rsidRDefault="003117C2" w:rsidP="003117C2">
      <w:pPr>
        <w:rPr>
          <w:color w:val="000000"/>
          <w:szCs w:val="22"/>
        </w:rPr>
      </w:pPr>
      <w:r w:rsidRPr="00F42FDB">
        <w:rPr>
          <w:b/>
          <w:bCs/>
          <w:i/>
          <w:iCs/>
          <w:color w:val="000000"/>
          <w:szCs w:val="22"/>
        </w:rPr>
        <w:t xml:space="preserve">Other Contractual Services: </w:t>
      </w:r>
      <w:r w:rsidRPr="00F42FDB">
        <w:rPr>
          <w:color w:val="000000"/>
          <w:szCs w:val="22"/>
        </w:rPr>
        <w:t>includes all other contractual services with both commercial and non-commercial service providers.</w:t>
      </w:r>
    </w:p>
    <w:p w:rsidR="003117C2" w:rsidRPr="00DD6106" w:rsidRDefault="003117C2" w:rsidP="003117C2"/>
    <w:p w:rsidR="003117C2" w:rsidRPr="00DD6106" w:rsidRDefault="003117C2" w:rsidP="003117C2">
      <w:pPr>
        <w:keepNext/>
        <w:rPr>
          <w:b/>
        </w:rPr>
      </w:pPr>
      <w:r w:rsidRPr="00DD6106">
        <w:rPr>
          <w:b/>
        </w:rPr>
        <w:t>Operating Expenses</w:t>
      </w:r>
    </w:p>
    <w:p w:rsidR="003117C2" w:rsidRPr="00DD6106" w:rsidRDefault="003117C2" w:rsidP="003117C2">
      <w:pPr>
        <w:keepNext/>
        <w:rPr>
          <w:b/>
          <w:u w:val="single"/>
        </w:rPr>
      </w:pPr>
    </w:p>
    <w:p w:rsidR="003117C2" w:rsidRPr="00DD6106" w:rsidRDefault="003117C2" w:rsidP="003117C2">
      <w:pPr>
        <w:rPr>
          <w:color w:val="000000"/>
        </w:rPr>
      </w:pPr>
      <w:r w:rsidRPr="00DD6106">
        <w:t xml:space="preserve">All expenses arising from the acquisition, rental, improvement and maintenance of office space and rental or maintenance of equipment and furniture.  </w:t>
      </w:r>
      <w:r w:rsidRPr="00DD6106">
        <w:rPr>
          <w:color w:val="000000"/>
        </w:rPr>
        <w:t xml:space="preserve">Communication expenses such as telephone, telegrams, telexes, facsimile and mail, postage and carriage of documents;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w:t>
      </w:r>
      <w:r w:rsidR="000A155F">
        <w:rPr>
          <w:color w:val="000000"/>
        </w:rPr>
        <w:t>Additionally</w:t>
      </w:r>
      <w:r w:rsidRPr="00DD6106">
        <w:rPr>
          <w:color w:val="000000"/>
        </w:rPr>
        <w:t>, all common expenses related to</w:t>
      </w:r>
      <w:r w:rsidR="000A155F">
        <w:rPr>
          <w:color w:val="000000"/>
        </w:rPr>
        <w:t xml:space="preserve"> either</w:t>
      </w:r>
      <w:r w:rsidRPr="00DD6106">
        <w:rPr>
          <w:color w:val="000000"/>
        </w:rPr>
        <w:t xml:space="preserve"> joint activities with WIPO or services actually rendered by WIPO.</w:t>
      </w:r>
    </w:p>
    <w:p w:rsidR="003117C2" w:rsidRDefault="003117C2" w:rsidP="003117C2">
      <w:pPr>
        <w:rPr>
          <w:rStyle w:val="underline"/>
          <w:b/>
        </w:rPr>
      </w:pPr>
    </w:p>
    <w:p w:rsidR="003117C2" w:rsidRPr="00EB6579" w:rsidRDefault="003117C2" w:rsidP="003117C2">
      <w:pPr>
        <w:jc w:val="left"/>
        <w:rPr>
          <w:rFonts w:cs="Arial"/>
          <w:b/>
          <w:bCs/>
        </w:rPr>
      </w:pPr>
      <w:r w:rsidRPr="00EB6579">
        <w:rPr>
          <w:rFonts w:cs="Arial"/>
          <w:b/>
          <w:bCs/>
        </w:rPr>
        <w:t>Equipment and Supplies</w:t>
      </w:r>
    </w:p>
    <w:p w:rsidR="003117C2" w:rsidRPr="00EB6579" w:rsidRDefault="003117C2" w:rsidP="003117C2">
      <w:pPr>
        <w:rPr>
          <w:rFonts w:cs="Arial"/>
        </w:rPr>
      </w:pPr>
    </w:p>
    <w:p w:rsidR="003117C2" w:rsidRPr="00EB6579" w:rsidRDefault="003117C2" w:rsidP="003117C2">
      <w:pPr>
        <w:rPr>
          <w:rFonts w:cs="Arial"/>
          <w:color w:val="000000"/>
        </w:rPr>
      </w:pPr>
      <w:r w:rsidRPr="00EB6579">
        <w:rPr>
          <w:rFonts w:cs="Arial"/>
          <w:b/>
          <w:bCs/>
          <w:i/>
          <w:iCs/>
          <w:color w:val="000000"/>
        </w:rPr>
        <w:t>Furniture and equipment</w:t>
      </w:r>
      <w:r w:rsidRPr="00EB6579">
        <w:rPr>
          <w:rFonts w:cs="Arial"/>
          <w:color w:val="000000"/>
        </w:rPr>
        <w:t>: purchase of office furniture, office machines, computer equipment (desktop, laptops, printers, servers, etc.), conference servicing equipment, reproduction equipment and transportation equipment.</w:t>
      </w:r>
    </w:p>
    <w:p w:rsidR="003117C2" w:rsidRPr="00EB6579" w:rsidRDefault="003117C2" w:rsidP="003117C2"/>
    <w:p w:rsidR="003117C2" w:rsidRPr="00EB6579" w:rsidRDefault="003117C2" w:rsidP="003117C2">
      <w:pPr>
        <w:rPr>
          <w:rFonts w:cs="Arial"/>
          <w:color w:val="000000"/>
        </w:rPr>
      </w:pPr>
      <w:r w:rsidRPr="00EB6579">
        <w:rPr>
          <w:rFonts w:cs="Arial"/>
          <w:b/>
          <w:bCs/>
          <w:i/>
          <w:iCs/>
          <w:color w:val="000000"/>
        </w:rPr>
        <w:t>Supplies and materials</w:t>
      </w:r>
      <w:r w:rsidRPr="00EB6579">
        <w:rPr>
          <w:rFonts w:cs="Arial"/>
          <w:color w:val="000000"/>
        </w:rPr>
        <w:t>: stationery and office supplies; internal reproduction supplies (offset, microfilms, etc.); library books and subscriptions to reviews and periodicals; uniforms; computer supplies, software and licenses.</w:t>
      </w:r>
    </w:p>
    <w:p w:rsidR="003117C2" w:rsidRPr="00EB6579" w:rsidRDefault="003117C2" w:rsidP="003117C2"/>
    <w:p w:rsidR="003117C2" w:rsidRPr="00EB6579" w:rsidRDefault="003117C2" w:rsidP="003117C2"/>
    <w:p w:rsidR="003117C2" w:rsidRPr="00DD6106" w:rsidRDefault="003117C2" w:rsidP="003117C2">
      <w:pPr>
        <w:jc w:val="center"/>
        <w:rPr>
          <w:rStyle w:val="underline"/>
          <w:b/>
          <w:szCs w:val="24"/>
        </w:rPr>
      </w:pPr>
      <w:r w:rsidRPr="00DD6106">
        <w:rPr>
          <w:rStyle w:val="underline"/>
          <w:b/>
          <w:szCs w:val="24"/>
        </w:rPr>
        <w:t>Program</w:t>
      </w:r>
    </w:p>
    <w:p w:rsidR="003117C2" w:rsidRPr="00DD6106" w:rsidRDefault="003117C2" w:rsidP="003117C2">
      <w:pPr>
        <w:jc w:val="center"/>
      </w:pPr>
    </w:p>
    <w:p w:rsidR="003117C2" w:rsidRPr="00DD6106" w:rsidRDefault="003117C2" w:rsidP="003117C2">
      <w:r w:rsidRPr="00DD6106">
        <w:rPr>
          <w:b/>
        </w:rPr>
        <w:t>Main Program:</w:t>
      </w:r>
      <w:r w:rsidRPr="00DD6106">
        <w:t xml:space="preserve">  UPOV consists of a single Main Program which has been designed according to the need to realize priorities as defined by its membership.  Its over-reaching goals</w:t>
      </w:r>
      <w:r>
        <w:t xml:space="preserve"> are grouped by type at the sub</w:t>
      </w:r>
      <w:r>
        <w:noBreakHyphen/>
      </w:r>
      <w:r w:rsidRPr="00DD6106">
        <w:t>program level.</w:t>
      </w:r>
    </w:p>
    <w:p w:rsidR="003117C2" w:rsidRPr="00DD6106" w:rsidRDefault="003117C2" w:rsidP="003117C2"/>
    <w:p w:rsidR="003117C2" w:rsidRPr="00DD6106" w:rsidRDefault="003117C2" w:rsidP="003117C2">
      <w:r w:rsidRPr="00DD6106">
        <w:rPr>
          <w:b/>
        </w:rPr>
        <w:t>Sub-programs:</w:t>
      </w:r>
      <w:r w:rsidRPr="00DD6106">
        <w:t xml:space="preserve">  The UPOV Main Program is divided into four Sub-programs (UV.1</w:t>
      </w:r>
      <w:r w:rsidRPr="00DD6106">
        <w:noBreakHyphen/>
        <w:t>UV.4).  Progress in each sub</w:t>
      </w:r>
      <w:r w:rsidRPr="00DD6106">
        <w:noBreakHyphen/>
        <w:t xml:space="preserve">program is monitored against pre-determined objectives.  This process </w:t>
      </w:r>
      <w:r>
        <w:t>supports the efficient and cost</w:t>
      </w:r>
      <w:r>
        <w:noBreakHyphen/>
      </w:r>
      <w:r w:rsidRPr="00DD6106">
        <w:t>effective utilization of resources and the maintenance of a system of accountabili</w:t>
      </w:r>
      <w:r>
        <w:t>ty for program implementation.</w:t>
      </w:r>
    </w:p>
    <w:p w:rsidR="003117C2" w:rsidRPr="004312D5" w:rsidRDefault="003117C2" w:rsidP="003117C2">
      <w:pPr>
        <w:pStyle w:val="endofdoc"/>
        <w:rPr>
          <w:rFonts w:cs="Arial"/>
        </w:rPr>
      </w:pPr>
      <w:r w:rsidRPr="00EA1426">
        <w:t xml:space="preserve">[End of </w:t>
      </w:r>
      <w:r>
        <w:t xml:space="preserve">Annex </w:t>
      </w:r>
      <w:r w:rsidRPr="00EA1426">
        <w:t>and of document]</w:t>
      </w:r>
    </w:p>
    <w:p w:rsidR="003117C2" w:rsidRDefault="003117C2" w:rsidP="003117C2">
      <w:pPr>
        <w:jc w:val="left"/>
        <w:rPr>
          <w:snapToGrid w:val="0"/>
        </w:rPr>
      </w:pPr>
    </w:p>
    <w:p w:rsidR="0067078A" w:rsidRPr="008E6BA0" w:rsidRDefault="0067078A" w:rsidP="008E6BA0"/>
    <w:p w:rsidR="006B17D2" w:rsidRPr="00C5280D" w:rsidRDefault="006B17D2" w:rsidP="0067078A">
      <w:pPr>
        <w:jc w:val="left"/>
      </w:pPr>
    </w:p>
    <w:sectPr w:rsidR="006B17D2" w:rsidRPr="00C5280D" w:rsidSect="005E34C9">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D4" w:rsidRDefault="00ED21D4" w:rsidP="006655D3">
      <w:r>
        <w:separator/>
      </w:r>
    </w:p>
    <w:p w:rsidR="00ED21D4" w:rsidRDefault="00ED21D4" w:rsidP="006655D3"/>
    <w:p w:rsidR="00ED21D4" w:rsidRDefault="00ED21D4" w:rsidP="006655D3"/>
  </w:endnote>
  <w:endnote w:type="continuationSeparator" w:id="0">
    <w:p w:rsidR="00ED21D4" w:rsidRDefault="00ED21D4" w:rsidP="006655D3">
      <w:r>
        <w:separator/>
      </w:r>
    </w:p>
    <w:p w:rsidR="00ED21D4" w:rsidRPr="00560A6D" w:rsidRDefault="00ED21D4">
      <w:pPr>
        <w:pStyle w:val="Footer"/>
        <w:spacing w:after="60"/>
        <w:rPr>
          <w:sz w:val="18"/>
          <w:lang w:val="fr-FR"/>
        </w:rPr>
      </w:pPr>
      <w:r w:rsidRPr="00560A6D">
        <w:rPr>
          <w:sz w:val="18"/>
          <w:lang w:val="fr-FR"/>
        </w:rPr>
        <w:t>[Suite de la note de la page précédente]</w:t>
      </w:r>
    </w:p>
    <w:p w:rsidR="00ED21D4" w:rsidRPr="00560A6D" w:rsidRDefault="00ED21D4" w:rsidP="006655D3">
      <w:pPr>
        <w:rPr>
          <w:lang w:val="fr-FR"/>
        </w:rPr>
      </w:pPr>
    </w:p>
    <w:p w:rsidR="00ED21D4" w:rsidRPr="00560A6D" w:rsidRDefault="00ED21D4" w:rsidP="006655D3">
      <w:pPr>
        <w:rPr>
          <w:lang w:val="fr-FR"/>
        </w:rPr>
      </w:pPr>
    </w:p>
  </w:endnote>
  <w:endnote w:type="continuationNotice" w:id="1">
    <w:p w:rsidR="00ED21D4" w:rsidRPr="00560A6D" w:rsidRDefault="00ED21D4" w:rsidP="006655D3">
      <w:pPr>
        <w:rPr>
          <w:lang w:val="fr-FR"/>
        </w:rPr>
      </w:pPr>
      <w:r w:rsidRPr="00560A6D">
        <w:rPr>
          <w:lang w:val="fr-FR"/>
        </w:rPr>
        <w:t>[Suite de la note page suivante]</w:t>
      </w:r>
    </w:p>
    <w:p w:rsidR="00ED21D4" w:rsidRPr="00560A6D" w:rsidRDefault="00ED21D4" w:rsidP="006655D3">
      <w:pPr>
        <w:rPr>
          <w:lang w:val="fr-FR"/>
        </w:rPr>
      </w:pPr>
    </w:p>
    <w:p w:rsidR="00ED21D4" w:rsidRPr="00560A6D" w:rsidRDefault="00ED21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Pr="003117C2" w:rsidRDefault="00ED21D4" w:rsidP="00311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Default="00ED2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D4" w:rsidRDefault="00ED21D4" w:rsidP="00C95616">
      <w:pPr>
        <w:spacing w:before="120"/>
      </w:pPr>
      <w:r>
        <w:separator/>
      </w:r>
    </w:p>
  </w:footnote>
  <w:footnote w:type="continuationSeparator" w:id="0">
    <w:p w:rsidR="00ED21D4" w:rsidRDefault="00ED21D4" w:rsidP="006655D3">
      <w:r>
        <w:separator/>
      </w:r>
    </w:p>
  </w:footnote>
  <w:footnote w:type="continuationNotice" w:id="1">
    <w:p w:rsidR="00ED21D4" w:rsidRPr="00A56FAA" w:rsidRDefault="00ED21D4" w:rsidP="00A56FAA">
      <w:pPr>
        <w:pStyle w:val="Footer"/>
        <w:rPr>
          <w:szCs w:val="18"/>
        </w:rPr>
      </w:pPr>
    </w:p>
  </w:footnote>
  <w:footnote w:id="2">
    <w:p w:rsidR="00ED21D4" w:rsidRPr="00C300A2" w:rsidRDefault="00ED21D4" w:rsidP="003117C2">
      <w:pPr>
        <w:pStyle w:val="FootnoteText"/>
      </w:pPr>
      <w:r w:rsidRPr="00C300A2">
        <w:rPr>
          <w:rStyle w:val="FootnoteReference"/>
        </w:rPr>
        <w:footnoteRef/>
      </w:r>
      <w:r w:rsidRPr="00C300A2">
        <w:tab/>
        <w:t>OAPI operates a plant variety protection system which covers 17 States:  Benin, Burkina Faso, Cameroon, Central African Republic, Chad, Comoros, Congo, Côte d’Ivoire, Equatorial Guinea, Gabon, Guinea, Guinea Bissau, Mali, Mauritania, Niger, Senegal and Togo.</w:t>
      </w:r>
    </w:p>
  </w:footnote>
  <w:footnote w:id="3">
    <w:p w:rsidR="00ED21D4" w:rsidRDefault="00ED21D4" w:rsidP="003117C2">
      <w:pPr>
        <w:pStyle w:val="FootnoteText"/>
      </w:pPr>
      <w:r>
        <w:rPr>
          <w:rStyle w:val="FootnoteReference"/>
        </w:rPr>
        <w:footnoteRef/>
      </w:r>
      <w:r>
        <w:tab/>
        <w:t>These examples of the situation in 2015 should not be construed as constituting any specific financial commitment or approval beyond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Pr="00C5280D" w:rsidRDefault="00D046B8" w:rsidP="00EB048E">
    <w:pPr>
      <w:pStyle w:val="Header"/>
      <w:rPr>
        <w:rStyle w:val="PageNumber"/>
        <w:lang w:val="en-US"/>
      </w:rPr>
    </w:pPr>
    <w:r>
      <w:rPr>
        <w:rStyle w:val="PageNumber"/>
        <w:lang w:val="en-US"/>
      </w:rPr>
      <w:t>C/49/4 Rev.</w:t>
    </w:r>
  </w:p>
  <w:p w:rsidR="00ED21D4" w:rsidRPr="00C5280D" w:rsidRDefault="00ED21D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23D3E">
      <w:rPr>
        <w:rStyle w:val="PageNumber"/>
        <w:noProof/>
        <w:lang w:val="en-US"/>
      </w:rPr>
      <w:t>2</w:t>
    </w:r>
    <w:r w:rsidRPr="00C5280D">
      <w:rPr>
        <w:rStyle w:val="PageNumber"/>
        <w:lang w:val="en-US"/>
      </w:rPr>
      <w:fldChar w:fldCharType="end"/>
    </w:r>
  </w:p>
  <w:p w:rsidR="00ED21D4" w:rsidRPr="00C5280D" w:rsidRDefault="00ED21D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Pr="00FE0119" w:rsidRDefault="00D046B8">
    <w:pPr>
      <w:pStyle w:val="Header"/>
      <w:rPr>
        <w:lang w:val="en-US"/>
      </w:rPr>
    </w:pPr>
    <w:r>
      <w:rPr>
        <w:lang w:val="en-US"/>
      </w:rPr>
      <w:t>C/49/4 Rev.</w:t>
    </w:r>
  </w:p>
  <w:p w:rsidR="00ED21D4" w:rsidRPr="00FE0119" w:rsidRDefault="00ED21D4">
    <w:pPr>
      <w:pStyle w:val="Header"/>
      <w:rPr>
        <w:lang w:val="en-US"/>
      </w:rPr>
    </w:pPr>
    <w:r w:rsidRPr="00FE0119">
      <w:rPr>
        <w:lang w:val="en-US"/>
      </w:rPr>
      <w:t xml:space="preserve">Annex, page </w:t>
    </w:r>
    <w:sdt>
      <w:sdtPr>
        <w:rPr>
          <w:lang w:val="en-US"/>
        </w:rPr>
        <w:id w:val="1355917200"/>
        <w:docPartObj>
          <w:docPartGallery w:val="Page Numbers (Top of Page)"/>
          <w:docPartUnique/>
        </w:docPartObj>
      </w:sdtPr>
      <w:sdtEndPr>
        <w:rPr>
          <w:noProof/>
        </w:rPr>
      </w:sdtEndPr>
      <w:sdtContent>
        <w:r w:rsidRPr="00FE0119">
          <w:rPr>
            <w:lang w:val="en-US"/>
          </w:rPr>
          <w:fldChar w:fldCharType="begin"/>
        </w:r>
        <w:r w:rsidRPr="00FE0119">
          <w:rPr>
            <w:lang w:val="en-US"/>
          </w:rPr>
          <w:instrText xml:space="preserve"> PAGE   \* MERGEFORMAT </w:instrText>
        </w:r>
        <w:r w:rsidRPr="00FE0119">
          <w:rPr>
            <w:lang w:val="en-US"/>
          </w:rPr>
          <w:fldChar w:fldCharType="separate"/>
        </w:r>
        <w:r w:rsidR="00C23D3E">
          <w:rPr>
            <w:noProof/>
            <w:lang w:val="en-US"/>
          </w:rPr>
          <w:t>2</w:t>
        </w:r>
        <w:r w:rsidRPr="00FE0119">
          <w:rPr>
            <w:noProof/>
            <w:lang w:val="en-US"/>
          </w:rPr>
          <w:fldChar w:fldCharType="end"/>
        </w:r>
      </w:sdtContent>
    </w:sdt>
  </w:p>
  <w:p w:rsidR="00ED21D4" w:rsidRPr="00FE0119" w:rsidRDefault="00ED21D4" w:rsidP="00DC5E3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Pr="00C5280D" w:rsidRDefault="00ED21D4" w:rsidP="00DC5E39">
    <w:pPr>
      <w:pStyle w:val="Header"/>
      <w:rPr>
        <w:rStyle w:val="PageNumber"/>
        <w:lang w:val="en-US"/>
      </w:rPr>
    </w:pPr>
    <w:r>
      <w:rPr>
        <w:rStyle w:val="PageNumber"/>
        <w:lang w:val="en-US"/>
      </w:rPr>
      <w:t>CC/85/4:  ANNEX</w:t>
    </w:r>
  </w:p>
  <w:p w:rsidR="00ED21D4" w:rsidRPr="00C5280D" w:rsidRDefault="00ED21D4"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Pr="00F31D9C" w:rsidRDefault="00D046B8">
    <w:pPr>
      <w:pStyle w:val="Header"/>
      <w:rPr>
        <w:lang w:val="fr-CH"/>
      </w:rPr>
    </w:pPr>
    <w:r>
      <w:rPr>
        <w:lang w:val="fr-CH"/>
      </w:rPr>
      <w:t xml:space="preserve">C/49/4 </w:t>
    </w:r>
    <w:proofErr w:type="spellStart"/>
    <w:r>
      <w:rPr>
        <w:lang w:val="fr-CH"/>
      </w:rPr>
      <w:t>Rev</w:t>
    </w:r>
    <w:proofErr w:type="spellEnd"/>
    <w:r>
      <w:rPr>
        <w:lang w:val="fr-CH"/>
      </w:rPr>
      <w:t>.</w:t>
    </w:r>
  </w:p>
  <w:p w:rsidR="00ED21D4" w:rsidRPr="00F31D9C" w:rsidRDefault="00ED21D4">
    <w:pPr>
      <w:pStyle w:val="Header"/>
      <w:rPr>
        <w:lang w:val="fr-CH"/>
      </w:rPr>
    </w:pPr>
    <w:proofErr w:type="spellStart"/>
    <w:r w:rsidRPr="00F31D9C">
      <w:rPr>
        <w:lang w:val="fr-CH"/>
      </w:rPr>
      <w:t>Annex</w:t>
    </w:r>
    <w:proofErr w:type="spellEnd"/>
    <w:r w:rsidRPr="00F31D9C">
      <w:rPr>
        <w:lang w:val="fr-CH"/>
      </w:rPr>
      <w:t xml:space="preserve"> – </w:t>
    </w:r>
    <w:proofErr w:type="spellStart"/>
    <w:r w:rsidRPr="00F31D9C">
      <w:rPr>
        <w:lang w:val="fr-CH"/>
      </w:rPr>
      <w:t>Appendix</w:t>
    </w:r>
    <w:proofErr w:type="spellEnd"/>
    <w:r w:rsidRPr="00F31D9C">
      <w:rPr>
        <w:lang w:val="fr-CH"/>
      </w:rPr>
      <w:t xml:space="preserve"> II, page </w:t>
    </w:r>
    <w:sdt>
      <w:sdtPr>
        <w:rPr>
          <w:lang w:val="en-US"/>
        </w:rPr>
        <w:id w:val="-1276558123"/>
        <w:docPartObj>
          <w:docPartGallery w:val="Page Numbers (Top of Page)"/>
          <w:docPartUnique/>
        </w:docPartObj>
      </w:sdtPr>
      <w:sdtEndPr>
        <w:rPr>
          <w:noProof/>
        </w:rPr>
      </w:sdtEndPr>
      <w:sdtContent>
        <w:r w:rsidRPr="005E34C9">
          <w:rPr>
            <w:lang w:val="en-US"/>
          </w:rPr>
          <w:fldChar w:fldCharType="begin"/>
        </w:r>
        <w:r w:rsidRPr="00F31D9C">
          <w:rPr>
            <w:lang w:val="fr-CH"/>
          </w:rPr>
          <w:instrText xml:space="preserve"> PAGE   \* MERGEFORMAT </w:instrText>
        </w:r>
        <w:r w:rsidRPr="005E34C9">
          <w:rPr>
            <w:lang w:val="en-US"/>
          </w:rPr>
          <w:fldChar w:fldCharType="separate"/>
        </w:r>
        <w:r w:rsidR="00C23D3E">
          <w:rPr>
            <w:noProof/>
            <w:lang w:val="fr-CH"/>
          </w:rPr>
          <w:t>2</w:t>
        </w:r>
        <w:r w:rsidRPr="005E34C9">
          <w:rPr>
            <w:noProof/>
            <w:lang w:val="en-US"/>
          </w:rPr>
          <w:fldChar w:fldCharType="end"/>
        </w:r>
      </w:sdtContent>
    </w:sdt>
  </w:p>
  <w:p w:rsidR="00ED21D4" w:rsidRPr="0028442D" w:rsidRDefault="00ED21D4" w:rsidP="00DC5E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D4" w:rsidRDefault="00D046B8">
    <w:pPr>
      <w:pStyle w:val="Header"/>
    </w:pPr>
    <w:r>
      <w:t xml:space="preserve">C/49/4 </w:t>
    </w:r>
    <w:proofErr w:type="spellStart"/>
    <w:r>
      <w:t>Rev</w:t>
    </w:r>
    <w:proofErr w:type="spellEnd"/>
    <w:r>
      <w:t>.</w:t>
    </w:r>
  </w:p>
  <w:p w:rsidR="00ED21D4" w:rsidRDefault="00ED21D4">
    <w:pPr>
      <w:pStyle w:val="Header"/>
    </w:pPr>
    <w:proofErr w:type="spellStart"/>
    <w:r>
      <w:t>Annex</w:t>
    </w:r>
    <w:proofErr w:type="spellEnd"/>
    <w:r>
      <w:t xml:space="preserve"> – </w:t>
    </w:r>
    <w:proofErr w:type="spellStart"/>
    <w:r>
      <w:t>Appendix</w:t>
    </w:r>
    <w:proofErr w:type="spellEnd"/>
    <w:r>
      <w:t xml:space="preserve"> III, page </w:t>
    </w:r>
    <w:sdt>
      <w:sdtPr>
        <w:id w:val="939020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3D3E">
          <w:rPr>
            <w:noProof/>
          </w:rPr>
          <w:t>2</w:t>
        </w:r>
        <w:r>
          <w:rPr>
            <w:noProof/>
          </w:rPr>
          <w:fldChar w:fldCharType="end"/>
        </w:r>
      </w:sdtContent>
    </w:sdt>
  </w:p>
  <w:p w:rsidR="00ED21D4" w:rsidRPr="0028442D" w:rsidRDefault="00ED21D4" w:rsidP="00DC5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8">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4"/>
  </w:num>
  <w:num w:numId="6">
    <w:abstractNumId w:val="10"/>
  </w:num>
  <w:num w:numId="7">
    <w:abstractNumId w:val="6"/>
  </w:num>
  <w:num w:numId="8">
    <w:abstractNumId w:val="13"/>
  </w:num>
  <w:num w:numId="9">
    <w:abstractNumId w:val="15"/>
  </w:num>
  <w:num w:numId="10">
    <w:abstractNumId w:val="3"/>
  </w:num>
  <w:num w:numId="11">
    <w:abstractNumId w:val="1"/>
  </w:num>
  <w:num w:numId="12">
    <w:abstractNumId w:val="12"/>
  </w:num>
  <w:num w:numId="13">
    <w:abstractNumId w:val="11"/>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F0"/>
    <w:rsid w:val="00004F01"/>
    <w:rsid w:val="000065F9"/>
    <w:rsid w:val="00010CF3"/>
    <w:rsid w:val="00011E27"/>
    <w:rsid w:val="000148BC"/>
    <w:rsid w:val="00024AB8"/>
    <w:rsid w:val="00030854"/>
    <w:rsid w:val="00036028"/>
    <w:rsid w:val="00044642"/>
    <w:rsid w:val="000446B9"/>
    <w:rsid w:val="00047E21"/>
    <w:rsid w:val="00085505"/>
    <w:rsid w:val="000A155F"/>
    <w:rsid w:val="000A68B4"/>
    <w:rsid w:val="000C7021"/>
    <w:rsid w:val="000D5CAA"/>
    <w:rsid w:val="000D6BBC"/>
    <w:rsid w:val="000D7780"/>
    <w:rsid w:val="00104E20"/>
    <w:rsid w:val="00105929"/>
    <w:rsid w:val="001131D5"/>
    <w:rsid w:val="00124828"/>
    <w:rsid w:val="00136315"/>
    <w:rsid w:val="00141DB8"/>
    <w:rsid w:val="00161AEB"/>
    <w:rsid w:val="001631CB"/>
    <w:rsid w:val="0017474A"/>
    <w:rsid w:val="001758C6"/>
    <w:rsid w:val="00182B99"/>
    <w:rsid w:val="0019282D"/>
    <w:rsid w:val="001930AB"/>
    <w:rsid w:val="001A0080"/>
    <w:rsid w:val="001A05E3"/>
    <w:rsid w:val="001C050D"/>
    <w:rsid w:val="001E0CF9"/>
    <w:rsid w:val="0021332C"/>
    <w:rsid w:val="00213982"/>
    <w:rsid w:val="0024416D"/>
    <w:rsid w:val="002521B6"/>
    <w:rsid w:val="002800A0"/>
    <w:rsid w:val="002801B3"/>
    <w:rsid w:val="0028098F"/>
    <w:rsid w:val="00281060"/>
    <w:rsid w:val="002878FA"/>
    <w:rsid w:val="002940E8"/>
    <w:rsid w:val="002A6E50"/>
    <w:rsid w:val="002C256A"/>
    <w:rsid w:val="002D2395"/>
    <w:rsid w:val="002E5C0A"/>
    <w:rsid w:val="00305A7F"/>
    <w:rsid w:val="003117C2"/>
    <w:rsid w:val="00315280"/>
    <w:rsid w:val="003152FE"/>
    <w:rsid w:val="00321492"/>
    <w:rsid w:val="00327436"/>
    <w:rsid w:val="0033507D"/>
    <w:rsid w:val="00344BD6"/>
    <w:rsid w:val="0035528D"/>
    <w:rsid w:val="00361821"/>
    <w:rsid w:val="003877EA"/>
    <w:rsid w:val="00390FA7"/>
    <w:rsid w:val="003910CF"/>
    <w:rsid w:val="003B2B75"/>
    <w:rsid w:val="003B7437"/>
    <w:rsid w:val="003B7CA8"/>
    <w:rsid w:val="003C027A"/>
    <w:rsid w:val="003D227C"/>
    <w:rsid w:val="003D2B4D"/>
    <w:rsid w:val="00444A88"/>
    <w:rsid w:val="00472B84"/>
    <w:rsid w:val="00474DA4"/>
    <w:rsid w:val="00476B4D"/>
    <w:rsid w:val="004805FA"/>
    <w:rsid w:val="004A300D"/>
    <w:rsid w:val="004D047D"/>
    <w:rsid w:val="004F001B"/>
    <w:rsid w:val="004F0FC8"/>
    <w:rsid w:val="004F305A"/>
    <w:rsid w:val="00503C8A"/>
    <w:rsid w:val="00512164"/>
    <w:rsid w:val="005139E3"/>
    <w:rsid w:val="00520297"/>
    <w:rsid w:val="005338F9"/>
    <w:rsid w:val="0054281C"/>
    <w:rsid w:val="0055268D"/>
    <w:rsid w:val="00560A6D"/>
    <w:rsid w:val="00576BE4"/>
    <w:rsid w:val="0058599C"/>
    <w:rsid w:val="00590D37"/>
    <w:rsid w:val="005933D4"/>
    <w:rsid w:val="005962B8"/>
    <w:rsid w:val="005A400A"/>
    <w:rsid w:val="005C512B"/>
    <w:rsid w:val="005E34C9"/>
    <w:rsid w:val="005F05B6"/>
    <w:rsid w:val="00612379"/>
    <w:rsid w:val="0061555F"/>
    <w:rsid w:val="00641200"/>
    <w:rsid w:val="0064558E"/>
    <w:rsid w:val="00663239"/>
    <w:rsid w:val="006655D3"/>
    <w:rsid w:val="0067078A"/>
    <w:rsid w:val="00670E0A"/>
    <w:rsid w:val="00677596"/>
    <w:rsid w:val="00682631"/>
    <w:rsid w:val="00687EB4"/>
    <w:rsid w:val="006B17D2"/>
    <w:rsid w:val="006C108E"/>
    <w:rsid w:val="006C224E"/>
    <w:rsid w:val="006D780A"/>
    <w:rsid w:val="006F0776"/>
    <w:rsid w:val="006F5F70"/>
    <w:rsid w:val="00720DA3"/>
    <w:rsid w:val="00732DEC"/>
    <w:rsid w:val="00735BD5"/>
    <w:rsid w:val="0073768E"/>
    <w:rsid w:val="00746BCB"/>
    <w:rsid w:val="007556F6"/>
    <w:rsid w:val="00760EEF"/>
    <w:rsid w:val="00777EE5"/>
    <w:rsid w:val="00784836"/>
    <w:rsid w:val="0079023E"/>
    <w:rsid w:val="007A2854"/>
    <w:rsid w:val="007D0B9D"/>
    <w:rsid w:val="007D19B0"/>
    <w:rsid w:val="007D39ED"/>
    <w:rsid w:val="007F498F"/>
    <w:rsid w:val="00806251"/>
    <w:rsid w:val="0080679D"/>
    <w:rsid w:val="008108B0"/>
    <w:rsid w:val="00811B20"/>
    <w:rsid w:val="0082296E"/>
    <w:rsid w:val="00824099"/>
    <w:rsid w:val="0085023D"/>
    <w:rsid w:val="00867AC1"/>
    <w:rsid w:val="008954FA"/>
    <w:rsid w:val="008A3C6D"/>
    <w:rsid w:val="008A743F"/>
    <w:rsid w:val="008C0970"/>
    <w:rsid w:val="008D2CF7"/>
    <w:rsid w:val="008E1BA7"/>
    <w:rsid w:val="008E6BA0"/>
    <w:rsid w:val="00900C26"/>
    <w:rsid w:val="0090197F"/>
    <w:rsid w:val="00901A3F"/>
    <w:rsid w:val="00906DDC"/>
    <w:rsid w:val="00934E09"/>
    <w:rsid w:val="009355F1"/>
    <w:rsid w:val="00936253"/>
    <w:rsid w:val="00947760"/>
    <w:rsid w:val="00952DD4"/>
    <w:rsid w:val="00970FED"/>
    <w:rsid w:val="00997029"/>
    <w:rsid w:val="009D5A0A"/>
    <w:rsid w:val="009D690D"/>
    <w:rsid w:val="009E65B6"/>
    <w:rsid w:val="009F7D0F"/>
    <w:rsid w:val="00A42AC3"/>
    <w:rsid w:val="00A430CF"/>
    <w:rsid w:val="00A54309"/>
    <w:rsid w:val="00A56FAA"/>
    <w:rsid w:val="00A75214"/>
    <w:rsid w:val="00A9306F"/>
    <w:rsid w:val="00AB2B93"/>
    <w:rsid w:val="00AB7E5B"/>
    <w:rsid w:val="00AC2B58"/>
    <w:rsid w:val="00AC4D3E"/>
    <w:rsid w:val="00AD5E7E"/>
    <w:rsid w:val="00AE0EF1"/>
    <w:rsid w:val="00AE2937"/>
    <w:rsid w:val="00B07301"/>
    <w:rsid w:val="00B224DE"/>
    <w:rsid w:val="00B46575"/>
    <w:rsid w:val="00B55DEB"/>
    <w:rsid w:val="00B84BBD"/>
    <w:rsid w:val="00BA43FB"/>
    <w:rsid w:val="00BB122C"/>
    <w:rsid w:val="00BC127D"/>
    <w:rsid w:val="00BC1FE6"/>
    <w:rsid w:val="00BD535D"/>
    <w:rsid w:val="00BF2667"/>
    <w:rsid w:val="00BF34A0"/>
    <w:rsid w:val="00C061B6"/>
    <w:rsid w:val="00C23D3E"/>
    <w:rsid w:val="00C2446C"/>
    <w:rsid w:val="00C36AE5"/>
    <w:rsid w:val="00C41F17"/>
    <w:rsid w:val="00C51D44"/>
    <w:rsid w:val="00C5280D"/>
    <w:rsid w:val="00C5791C"/>
    <w:rsid w:val="00C651CE"/>
    <w:rsid w:val="00C66290"/>
    <w:rsid w:val="00C678ED"/>
    <w:rsid w:val="00C72B7A"/>
    <w:rsid w:val="00C73369"/>
    <w:rsid w:val="00C95616"/>
    <w:rsid w:val="00C95D6B"/>
    <w:rsid w:val="00C973F2"/>
    <w:rsid w:val="00CA304C"/>
    <w:rsid w:val="00CA774A"/>
    <w:rsid w:val="00CC11B0"/>
    <w:rsid w:val="00CE0A5F"/>
    <w:rsid w:val="00CF7E36"/>
    <w:rsid w:val="00D046B8"/>
    <w:rsid w:val="00D3708D"/>
    <w:rsid w:val="00D40426"/>
    <w:rsid w:val="00D57C96"/>
    <w:rsid w:val="00D91203"/>
    <w:rsid w:val="00D95174"/>
    <w:rsid w:val="00DA6F36"/>
    <w:rsid w:val="00DB596E"/>
    <w:rsid w:val="00DC00EA"/>
    <w:rsid w:val="00DC5A3A"/>
    <w:rsid w:val="00DC5E39"/>
    <w:rsid w:val="00E11396"/>
    <w:rsid w:val="00E22750"/>
    <w:rsid w:val="00E230DC"/>
    <w:rsid w:val="00E32F7E"/>
    <w:rsid w:val="00E72D49"/>
    <w:rsid w:val="00E7593C"/>
    <w:rsid w:val="00E7678A"/>
    <w:rsid w:val="00E86001"/>
    <w:rsid w:val="00E90FB5"/>
    <w:rsid w:val="00E935F1"/>
    <w:rsid w:val="00E94A81"/>
    <w:rsid w:val="00EA1FFB"/>
    <w:rsid w:val="00EB048E"/>
    <w:rsid w:val="00EB6579"/>
    <w:rsid w:val="00ED21D4"/>
    <w:rsid w:val="00EE34DF"/>
    <w:rsid w:val="00EF2F89"/>
    <w:rsid w:val="00F00EF6"/>
    <w:rsid w:val="00F1237A"/>
    <w:rsid w:val="00F22257"/>
    <w:rsid w:val="00F22CBD"/>
    <w:rsid w:val="00F31D9C"/>
    <w:rsid w:val="00F45372"/>
    <w:rsid w:val="00F560F7"/>
    <w:rsid w:val="00F56C99"/>
    <w:rsid w:val="00F6116C"/>
    <w:rsid w:val="00F6334D"/>
    <w:rsid w:val="00F80602"/>
    <w:rsid w:val="00F96AD9"/>
    <w:rsid w:val="00FA39F0"/>
    <w:rsid w:val="00FA49AB"/>
    <w:rsid w:val="00FE0119"/>
    <w:rsid w:val="00FE39C7"/>
    <w:rsid w:val="00FE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3117C2"/>
    <w:pPr>
      <w:ind w:left="720"/>
      <w:contextualSpacing/>
    </w:pPr>
  </w:style>
  <w:style w:type="table" w:styleId="TableGrid">
    <w:name w:val="Table Grid"/>
    <w:basedOn w:val="TableNormal"/>
    <w:rsid w:val="003117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3117C2"/>
    <w:pPr>
      <w:spacing w:before="108"/>
    </w:pPr>
    <w:rPr>
      <w:rFonts w:ascii="Times New Roman" w:hAnsi="Times New Roman"/>
      <w:sz w:val="24"/>
    </w:rPr>
  </w:style>
  <w:style w:type="paragraph" w:customStyle="1" w:styleId="Inf4Heading4">
    <w:name w:val="Inf_4_Heading_4"/>
    <w:basedOn w:val="Heading4"/>
    <w:next w:val="Normal"/>
    <w:rsid w:val="003117C2"/>
    <w:pPr>
      <w:spacing w:before="120"/>
      <w:ind w:left="0"/>
    </w:pPr>
    <w:rPr>
      <w:rFonts w:ascii="Times New Roman" w:hAnsi="Times New Roman"/>
      <w:b/>
      <w:bCs/>
      <w:i w:val="0"/>
      <w:sz w:val="22"/>
      <w:lang w:val="en-US"/>
    </w:rPr>
  </w:style>
  <w:style w:type="paragraph" w:customStyle="1" w:styleId="Inf4Heading6">
    <w:name w:val="Inf_4_Heading_6"/>
    <w:basedOn w:val="Normal"/>
    <w:rsid w:val="003117C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3117C2"/>
    <w:pPr>
      <w:spacing w:before="240"/>
      <w:jc w:val="center"/>
    </w:pPr>
    <w:rPr>
      <w:rFonts w:cs="Arial"/>
      <w:bCs/>
    </w:rPr>
  </w:style>
  <w:style w:type="paragraph" w:customStyle="1" w:styleId="ZchnZchn1">
    <w:name w:val="Zchn Zchn1"/>
    <w:basedOn w:val="Normal"/>
    <w:rsid w:val="003117C2"/>
    <w:pPr>
      <w:spacing w:after="160" w:line="240" w:lineRule="exact"/>
      <w:jc w:val="left"/>
    </w:pPr>
    <w:rPr>
      <w:rFonts w:ascii="Verdana" w:eastAsia="PMingLiU" w:hAnsi="Verdana"/>
    </w:rPr>
  </w:style>
  <w:style w:type="paragraph" w:styleId="Subtitle">
    <w:name w:val="Subtitle"/>
    <w:basedOn w:val="Normal"/>
    <w:link w:val="SubtitleChar"/>
    <w:qFormat/>
    <w:rsid w:val="003117C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3117C2"/>
    <w:rPr>
      <w:b/>
      <w:caps/>
      <w:color w:val="0000FF"/>
      <w:sz w:val="28"/>
    </w:rPr>
  </w:style>
  <w:style w:type="paragraph" w:customStyle="1" w:styleId="Endofdocument">
    <w:name w:val="End of document"/>
    <w:basedOn w:val="Normal"/>
    <w:rsid w:val="003117C2"/>
    <w:pPr>
      <w:ind w:left="4536"/>
      <w:jc w:val="center"/>
    </w:pPr>
    <w:rPr>
      <w:rFonts w:ascii="Times New Roman" w:hAnsi="Times New Roman"/>
      <w:sz w:val="24"/>
    </w:rPr>
  </w:style>
  <w:style w:type="character" w:customStyle="1" w:styleId="underline">
    <w:name w:val="underline"/>
    <w:basedOn w:val="DefaultParagraphFont"/>
    <w:rsid w:val="003117C2"/>
    <w:rPr>
      <w:u w:val="single"/>
    </w:rPr>
  </w:style>
  <w:style w:type="paragraph" w:customStyle="1" w:styleId="BodyTextKeep">
    <w:name w:val="Body Text Keep"/>
    <w:basedOn w:val="BodyText"/>
    <w:rsid w:val="003117C2"/>
    <w:pPr>
      <w:keepNext/>
      <w:spacing w:after="160"/>
      <w:jc w:val="left"/>
    </w:pPr>
    <w:rPr>
      <w:rFonts w:ascii="Times New Roman" w:hAnsi="Times New Roman"/>
    </w:rPr>
  </w:style>
  <w:style w:type="character" w:customStyle="1" w:styleId="Heading3Char">
    <w:name w:val="Heading 3 Char"/>
    <w:basedOn w:val="DefaultParagraphFont"/>
    <w:link w:val="Heading3"/>
    <w:rsid w:val="003117C2"/>
    <w:rPr>
      <w:rFonts w:ascii="Arial" w:hAnsi="Arial"/>
      <w:i/>
    </w:rPr>
  </w:style>
  <w:style w:type="character" w:styleId="Emphasis">
    <w:name w:val="Emphasis"/>
    <w:basedOn w:val="DefaultParagraphFont"/>
    <w:qFormat/>
    <w:rsid w:val="003117C2"/>
    <w:rPr>
      <w:i/>
      <w:iCs/>
    </w:rPr>
  </w:style>
  <w:style w:type="character" w:customStyle="1" w:styleId="HeaderChar">
    <w:name w:val="Header Char"/>
    <w:basedOn w:val="DefaultParagraphFont"/>
    <w:link w:val="Header"/>
    <w:uiPriority w:val="99"/>
    <w:rsid w:val="003117C2"/>
    <w:rPr>
      <w:rFonts w:ascii="Arial" w:hAnsi="Arial"/>
      <w:lang w:val="fr-FR"/>
    </w:rPr>
  </w:style>
  <w:style w:type="character" w:styleId="CommentReference">
    <w:name w:val="annotation reference"/>
    <w:basedOn w:val="DefaultParagraphFont"/>
    <w:rsid w:val="008E1BA7"/>
    <w:rPr>
      <w:sz w:val="16"/>
      <w:szCs w:val="16"/>
    </w:rPr>
  </w:style>
  <w:style w:type="paragraph" w:styleId="CommentText">
    <w:name w:val="annotation text"/>
    <w:basedOn w:val="Normal"/>
    <w:link w:val="CommentTextChar"/>
    <w:rsid w:val="008E1BA7"/>
  </w:style>
  <w:style w:type="character" w:customStyle="1" w:styleId="CommentTextChar">
    <w:name w:val="Comment Text Char"/>
    <w:basedOn w:val="DefaultParagraphFont"/>
    <w:link w:val="CommentText"/>
    <w:rsid w:val="008E1BA7"/>
    <w:rPr>
      <w:rFonts w:ascii="Arial" w:hAnsi="Arial"/>
    </w:rPr>
  </w:style>
  <w:style w:type="paragraph" w:styleId="CommentSubject">
    <w:name w:val="annotation subject"/>
    <w:basedOn w:val="CommentText"/>
    <w:next w:val="CommentText"/>
    <w:link w:val="CommentSubjectChar"/>
    <w:rsid w:val="008E1BA7"/>
    <w:rPr>
      <w:b/>
      <w:bCs/>
    </w:rPr>
  </w:style>
  <w:style w:type="character" w:customStyle="1" w:styleId="CommentSubjectChar">
    <w:name w:val="Comment Subject Char"/>
    <w:basedOn w:val="CommentTextChar"/>
    <w:link w:val="CommentSubject"/>
    <w:rsid w:val="008E1BA7"/>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3117C2"/>
    <w:pPr>
      <w:ind w:left="720"/>
      <w:contextualSpacing/>
    </w:pPr>
  </w:style>
  <w:style w:type="table" w:styleId="TableGrid">
    <w:name w:val="Table Grid"/>
    <w:basedOn w:val="TableNormal"/>
    <w:rsid w:val="003117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3117C2"/>
    <w:pPr>
      <w:spacing w:before="108"/>
    </w:pPr>
    <w:rPr>
      <w:rFonts w:ascii="Times New Roman" w:hAnsi="Times New Roman"/>
      <w:sz w:val="24"/>
    </w:rPr>
  </w:style>
  <w:style w:type="paragraph" w:customStyle="1" w:styleId="Inf4Heading4">
    <w:name w:val="Inf_4_Heading_4"/>
    <w:basedOn w:val="Heading4"/>
    <w:next w:val="Normal"/>
    <w:rsid w:val="003117C2"/>
    <w:pPr>
      <w:spacing w:before="120"/>
      <w:ind w:left="0"/>
    </w:pPr>
    <w:rPr>
      <w:rFonts w:ascii="Times New Roman" w:hAnsi="Times New Roman"/>
      <w:b/>
      <w:bCs/>
      <w:i w:val="0"/>
      <w:sz w:val="22"/>
      <w:lang w:val="en-US"/>
    </w:rPr>
  </w:style>
  <w:style w:type="paragraph" w:customStyle="1" w:styleId="Inf4Heading6">
    <w:name w:val="Inf_4_Heading_6"/>
    <w:basedOn w:val="Normal"/>
    <w:rsid w:val="003117C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3117C2"/>
    <w:pPr>
      <w:spacing w:before="240"/>
      <w:jc w:val="center"/>
    </w:pPr>
    <w:rPr>
      <w:rFonts w:cs="Arial"/>
      <w:bCs/>
    </w:rPr>
  </w:style>
  <w:style w:type="paragraph" w:customStyle="1" w:styleId="ZchnZchn1">
    <w:name w:val="Zchn Zchn1"/>
    <w:basedOn w:val="Normal"/>
    <w:rsid w:val="003117C2"/>
    <w:pPr>
      <w:spacing w:after="160" w:line="240" w:lineRule="exact"/>
      <w:jc w:val="left"/>
    </w:pPr>
    <w:rPr>
      <w:rFonts w:ascii="Verdana" w:eastAsia="PMingLiU" w:hAnsi="Verdana"/>
    </w:rPr>
  </w:style>
  <w:style w:type="paragraph" w:styleId="Subtitle">
    <w:name w:val="Subtitle"/>
    <w:basedOn w:val="Normal"/>
    <w:link w:val="SubtitleChar"/>
    <w:qFormat/>
    <w:rsid w:val="003117C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3117C2"/>
    <w:rPr>
      <w:b/>
      <w:caps/>
      <w:color w:val="0000FF"/>
      <w:sz w:val="28"/>
    </w:rPr>
  </w:style>
  <w:style w:type="paragraph" w:customStyle="1" w:styleId="Endofdocument">
    <w:name w:val="End of document"/>
    <w:basedOn w:val="Normal"/>
    <w:rsid w:val="003117C2"/>
    <w:pPr>
      <w:ind w:left="4536"/>
      <w:jc w:val="center"/>
    </w:pPr>
    <w:rPr>
      <w:rFonts w:ascii="Times New Roman" w:hAnsi="Times New Roman"/>
      <w:sz w:val="24"/>
    </w:rPr>
  </w:style>
  <w:style w:type="character" w:customStyle="1" w:styleId="underline">
    <w:name w:val="underline"/>
    <w:basedOn w:val="DefaultParagraphFont"/>
    <w:rsid w:val="003117C2"/>
    <w:rPr>
      <w:u w:val="single"/>
    </w:rPr>
  </w:style>
  <w:style w:type="paragraph" w:customStyle="1" w:styleId="BodyTextKeep">
    <w:name w:val="Body Text Keep"/>
    <w:basedOn w:val="BodyText"/>
    <w:rsid w:val="003117C2"/>
    <w:pPr>
      <w:keepNext/>
      <w:spacing w:after="160"/>
      <w:jc w:val="left"/>
    </w:pPr>
    <w:rPr>
      <w:rFonts w:ascii="Times New Roman" w:hAnsi="Times New Roman"/>
    </w:rPr>
  </w:style>
  <w:style w:type="character" w:customStyle="1" w:styleId="Heading3Char">
    <w:name w:val="Heading 3 Char"/>
    <w:basedOn w:val="DefaultParagraphFont"/>
    <w:link w:val="Heading3"/>
    <w:rsid w:val="003117C2"/>
    <w:rPr>
      <w:rFonts w:ascii="Arial" w:hAnsi="Arial"/>
      <w:i/>
    </w:rPr>
  </w:style>
  <w:style w:type="character" w:styleId="Emphasis">
    <w:name w:val="Emphasis"/>
    <w:basedOn w:val="DefaultParagraphFont"/>
    <w:qFormat/>
    <w:rsid w:val="003117C2"/>
    <w:rPr>
      <w:i/>
      <w:iCs/>
    </w:rPr>
  </w:style>
  <w:style w:type="character" w:customStyle="1" w:styleId="HeaderChar">
    <w:name w:val="Header Char"/>
    <w:basedOn w:val="DefaultParagraphFont"/>
    <w:link w:val="Header"/>
    <w:uiPriority w:val="99"/>
    <w:rsid w:val="003117C2"/>
    <w:rPr>
      <w:rFonts w:ascii="Arial" w:hAnsi="Arial"/>
      <w:lang w:val="fr-FR"/>
    </w:rPr>
  </w:style>
  <w:style w:type="character" w:styleId="CommentReference">
    <w:name w:val="annotation reference"/>
    <w:basedOn w:val="DefaultParagraphFont"/>
    <w:rsid w:val="008E1BA7"/>
    <w:rPr>
      <w:sz w:val="16"/>
      <w:szCs w:val="16"/>
    </w:rPr>
  </w:style>
  <w:style w:type="paragraph" w:styleId="CommentText">
    <w:name w:val="annotation text"/>
    <w:basedOn w:val="Normal"/>
    <w:link w:val="CommentTextChar"/>
    <w:rsid w:val="008E1BA7"/>
  </w:style>
  <w:style w:type="character" w:customStyle="1" w:styleId="CommentTextChar">
    <w:name w:val="Comment Text Char"/>
    <w:basedOn w:val="DefaultParagraphFont"/>
    <w:link w:val="CommentText"/>
    <w:rsid w:val="008E1BA7"/>
    <w:rPr>
      <w:rFonts w:ascii="Arial" w:hAnsi="Arial"/>
    </w:rPr>
  </w:style>
  <w:style w:type="paragraph" w:styleId="CommentSubject">
    <w:name w:val="annotation subject"/>
    <w:basedOn w:val="CommentText"/>
    <w:next w:val="CommentText"/>
    <w:link w:val="CommentSubjectChar"/>
    <w:rsid w:val="008E1BA7"/>
    <w:rPr>
      <w:b/>
      <w:bCs/>
    </w:rPr>
  </w:style>
  <w:style w:type="character" w:customStyle="1" w:styleId="CommentSubjectChar">
    <w:name w:val="Comment Subject Char"/>
    <w:basedOn w:val="CommentTextChar"/>
    <w:link w:val="CommentSubject"/>
    <w:rsid w:val="008E1BA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48\c_48_12_Performance_Report\graphs_updated_post_c48\membershi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OV\Shared\Document\C\C48\c_48_12_Performance_Report\graphs_updated_post_c48\Copy%20of%20c_48_12_figures_FINAL_EN_corr_p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UPOV\Shared\Document\C\C48\Presentations\C48_5_6_7\graphs_c_48_5-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DAT1\OrgUPOV\Shared\Document\C\C49\c_49_04_P&amp;B_2016_2017\doc_and_tables_revised_by_Divya\FINAL_cc_89_05_Tables_revised_by_Dyvia_for_c_49_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a:pPr>
            <a:r>
              <a:rPr lang="en-US" sz="1000" b="1"/>
              <a:t>Development of UPOV</a:t>
            </a:r>
          </a:p>
        </c:rich>
      </c:tx>
      <c:layout>
        <c:manualLayout>
          <c:xMode val="edge"/>
          <c:yMode val="edge"/>
          <c:x val="0.39495351393728306"/>
          <c:y val="1.8935273120732835E-4"/>
        </c:manualLayout>
      </c:layout>
      <c:overlay val="0"/>
    </c:title>
    <c:autoTitleDeleted val="0"/>
    <c:plotArea>
      <c:layout>
        <c:manualLayout>
          <c:layoutTarget val="inner"/>
          <c:xMode val="edge"/>
          <c:yMode val="edge"/>
          <c:x val="5.5336133366680751E-2"/>
          <c:y val="8.0904394874616273E-2"/>
          <c:w val="0.92221550482531411"/>
          <c:h val="0.80436072026518401"/>
        </c:manualLayout>
      </c:layout>
      <c:barChart>
        <c:barDir val="col"/>
        <c:grouping val="clustered"/>
        <c:varyColors val="0"/>
        <c:ser>
          <c:idx val="1"/>
          <c:order val="0"/>
          <c:tx>
            <c:strRef>
              <c:f>'members&amp;PRB titles'!$C$5</c:f>
              <c:strCache>
                <c:ptCount val="1"/>
                <c:pt idx="0">
                  <c:v>Members</c:v>
                </c:pt>
              </c:strCache>
            </c:strRef>
          </c:tx>
          <c:spPr>
            <a:solidFill>
              <a:srgbClr val="006600"/>
            </a:solidFill>
            <a:ln>
              <a:solidFill>
                <a:schemeClr val="tx1"/>
              </a:solidFill>
            </a:ln>
          </c:spPr>
          <c:invertIfNegative val="0"/>
          <c:cat>
            <c:numRef>
              <c:f>'members&amp;PRB titles'!$B$6:$B$52</c:f>
              <c:numCache>
                <c:formatCode>General</c:formatCode>
                <c:ptCount val="47"/>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numCache>
            </c:numRef>
          </c:cat>
          <c:val>
            <c:numRef>
              <c:f>'members&amp;PRB titles'!$C$6:$C$52</c:f>
              <c:numCache>
                <c:formatCode>#\ ###\ ###</c:formatCode>
                <c:ptCount val="47"/>
                <c:pt idx="0">
                  <c:v>4</c:v>
                </c:pt>
                <c:pt idx="1">
                  <c:v>4</c:v>
                </c:pt>
                <c:pt idx="2">
                  <c:v>4</c:v>
                </c:pt>
                <c:pt idx="3" formatCode="General">
                  <c:v>6</c:v>
                </c:pt>
                <c:pt idx="4" formatCode="General">
                  <c:v>6</c:v>
                </c:pt>
                <c:pt idx="5" formatCode="General">
                  <c:v>6</c:v>
                </c:pt>
                <c:pt idx="6" formatCode="General">
                  <c:v>6</c:v>
                </c:pt>
                <c:pt idx="7" formatCode="General">
                  <c:v>6</c:v>
                </c:pt>
                <c:pt idx="8" formatCode="General">
                  <c:v>7</c:v>
                </c:pt>
                <c:pt idx="9" formatCode="General">
                  <c:v>10</c:v>
                </c:pt>
                <c:pt idx="10" formatCode="General">
                  <c:v>10</c:v>
                </c:pt>
                <c:pt idx="11" formatCode="General">
                  <c:v>11</c:v>
                </c:pt>
                <c:pt idx="12" formatCode="General">
                  <c:v>12</c:v>
                </c:pt>
                <c:pt idx="13" formatCode="General">
                  <c:v>15</c:v>
                </c:pt>
                <c:pt idx="14" formatCode="General">
                  <c:v>16</c:v>
                </c:pt>
                <c:pt idx="15" formatCode="General">
                  <c:v>17</c:v>
                </c:pt>
                <c:pt idx="16" formatCode="General">
                  <c:v>17</c:v>
                </c:pt>
                <c:pt idx="17" formatCode="General">
                  <c:v>17</c:v>
                </c:pt>
                <c:pt idx="18" formatCode="General">
                  <c:v>17</c:v>
                </c:pt>
                <c:pt idx="19" formatCode="General">
                  <c:v>17</c:v>
                </c:pt>
                <c:pt idx="20" formatCode="General">
                  <c:v>17</c:v>
                </c:pt>
                <c:pt idx="21" formatCode="General">
                  <c:v>19</c:v>
                </c:pt>
                <c:pt idx="22" formatCode="General">
                  <c:v>19</c:v>
                </c:pt>
                <c:pt idx="23" formatCode="General">
                  <c:v>20</c:v>
                </c:pt>
                <c:pt idx="24" formatCode="General">
                  <c:v>20</c:v>
                </c:pt>
                <c:pt idx="25" formatCode="General">
                  <c:v>24</c:v>
                </c:pt>
                <c:pt idx="26" formatCode="General">
                  <c:v>27</c:v>
                </c:pt>
                <c:pt idx="27" formatCode="General">
                  <c:v>29</c:v>
                </c:pt>
                <c:pt idx="28" formatCode="General">
                  <c:v>31</c:v>
                </c:pt>
                <c:pt idx="29" formatCode="General">
                  <c:v>34</c:v>
                </c:pt>
                <c:pt idx="30" formatCode="General">
                  <c:v>38</c:v>
                </c:pt>
                <c:pt idx="31" formatCode="General">
                  <c:v>44</c:v>
                </c:pt>
                <c:pt idx="32" formatCode="General">
                  <c:v>46</c:v>
                </c:pt>
                <c:pt idx="33" formatCode="General">
                  <c:v>49</c:v>
                </c:pt>
                <c:pt idx="34" formatCode="General">
                  <c:v>51</c:v>
                </c:pt>
                <c:pt idx="35" formatCode="General">
                  <c:v>54</c:v>
                </c:pt>
                <c:pt idx="36" formatCode="General">
                  <c:v>58</c:v>
                </c:pt>
                <c:pt idx="37" formatCode="General">
                  <c:v>60</c:v>
                </c:pt>
                <c:pt idx="38" formatCode="General">
                  <c:v>63</c:v>
                </c:pt>
                <c:pt idx="39" formatCode="General">
                  <c:v>65</c:v>
                </c:pt>
                <c:pt idx="40" formatCode="General">
                  <c:v>66</c:v>
                </c:pt>
                <c:pt idx="41" formatCode="General">
                  <c:v>68</c:v>
                </c:pt>
                <c:pt idx="42" formatCode="General">
                  <c:v>68</c:v>
                </c:pt>
                <c:pt idx="43" formatCode="General">
                  <c:v>70</c:v>
                </c:pt>
                <c:pt idx="44" formatCode="General">
                  <c:v>70</c:v>
                </c:pt>
                <c:pt idx="45" formatCode="General">
                  <c:v>71</c:v>
                </c:pt>
                <c:pt idx="46" formatCode="General">
                  <c:v>72</c:v>
                </c:pt>
              </c:numCache>
            </c:numRef>
          </c:val>
        </c:ser>
        <c:ser>
          <c:idx val="2"/>
          <c:order val="1"/>
          <c:tx>
            <c:strRef>
              <c:f>'members&amp;PRB titles'!$D$5</c:f>
              <c:strCache>
                <c:ptCount val="1"/>
                <c:pt idx="0">
                  <c:v>States to which UPOV Convention applies</c:v>
                </c:pt>
              </c:strCache>
            </c:strRef>
          </c:tx>
          <c:spPr>
            <a:solidFill>
              <a:srgbClr val="FFFF99"/>
            </a:solidFill>
            <a:ln w="12700" cmpd="dbl">
              <a:solidFill>
                <a:schemeClr val="tx1"/>
              </a:solidFill>
            </a:ln>
          </c:spPr>
          <c:invertIfNegative val="0"/>
          <c:cat>
            <c:numRef>
              <c:f>'members&amp;PRB titles'!$B$6:$B$52</c:f>
              <c:numCache>
                <c:formatCode>General</c:formatCode>
                <c:ptCount val="47"/>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numCache>
            </c:numRef>
          </c:cat>
          <c:val>
            <c:numRef>
              <c:f>'members&amp;PRB titles'!$D$6:$D$52</c:f>
              <c:numCache>
                <c:formatCode>#\ ###\ ###</c:formatCode>
                <c:ptCount val="47"/>
                <c:pt idx="0">
                  <c:v>4</c:v>
                </c:pt>
                <c:pt idx="1">
                  <c:v>4</c:v>
                </c:pt>
                <c:pt idx="2">
                  <c:v>4</c:v>
                </c:pt>
                <c:pt idx="3">
                  <c:v>6</c:v>
                </c:pt>
                <c:pt idx="4">
                  <c:v>6</c:v>
                </c:pt>
                <c:pt idx="5">
                  <c:v>6</c:v>
                </c:pt>
                <c:pt idx="6">
                  <c:v>6</c:v>
                </c:pt>
                <c:pt idx="7">
                  <c:v>6</c:v>
                </c:pt>
                <c:pt idx="8">
                  <c:v>7</c:v>
                </c:pt>
                <c:pt idx="9">
                  <c:v>10</c:v>
                </c:pt>
                <c:pt idx="10">
                  <c:v>10</c:v>
                </c:pt>
                <c:pt idx="11">
                  <c:v>11</c:v>
                </c:pt>
                <c:pt idx="12">
                  <c:v>12</c:v>
                </c:pt>
                <c:pt idx="13">
                  <c:v>15</c:v>
                </c:pt>
                <c:pt idx="14">
                  <c:v>16</c:v>
                </c:pt>
                <c:pt idx="15">
                  <c:v>17</c:v>
                </c:pt>
                <c:pt idx="16">
                  <c:v>17</c:v>
                </c:pt>
                <c:pt idx="17">
                  <c:v>17</c:v>
                </c:pt>
                <c:pt idx="18">
                  <c:v>17</c:v>
                </c:pt>
                <c:pt idx="19">
                  <c:v>17</c:v>
                </c:pt>
                <c:pt idx="20">
                  <c:v>17</c:v>
                </c:pt>
                <c:pt idx="21">
                  <c:v>19</c:v>
                </c:pt>
                <c:pt idx="22">
                  <c:v>19</c:v>
                </c:pt>
                <c:pt idx="23">
                  <c:v>20</c:v>
                </c:pt>
                <c:pt idx="24">
                  <c:v>20</c:v>
                </c:pt>
                <c:pt idx="25">
                  <c:v>24</c:v>
                </c:pt>
                <c:pt idx="26">
                  <c:v>27</c:v>
                </c:pt>
                <c:pt idx="27">
                  <c:v>29</c:v>
                </c:pt>
                <c:pt idx="28">
                  <c:v>31</c:v>
                </c:pt>
                <c:pt idx="29">
                  <c:v>34</c:v>
                </c:pt>
                <c:pt idx="30">
                  <c:v>38</c:v>
                </c:pt>
                <c:pt idx="31">
                  <c:v>44</c:v>
                </c:pt>
                <c:pt idx="32">
                  <c:v>46</c:v>
                </c:pt>
                <c:pt idx="33">
                  <c:v>49</c:v>
                </c:pt>
                <c:pt idx="34">
                  <c:v>51</c:v>
                </c:pt>
                <c:pt idx="35">
                  <c:v>54</c:v>
                </c:pt>
                <c:pt idx="36">
                  <c:v>58</c:v>
                </c:pt>
                <c:pt idx="37">
                  <c:v>63</c:v>
                </c:pt>
                <c:pt idx="38">
                  <c:v>66</c:v>
                </c:pt>
                <c:pt idx="39">
                  <c:v>68</c:v>
                </c:pt>
                <c:pt idx="40">
                  <c:v>69</c:v>
                </c:pt>
                <c:pt idx="41">
                  <c:v>71</c:v>
                </c:pt>
                <c:pt idx="42">
                  <c:v>71</c:v>
                </c:pt>
                <c:pt idx="43">
                  <c:v>73</c:v>
                </c:pt>
                <c:pt idx="44">
                  <c:v>73</c:v>
                </c:pt>
                <c:pt idx="45">
                  <c:v>74</c:v>
                </c:pt>
                <c:pt idx="46">
                  <c:v>91</c:v>
                </c:pt>
              </c:numCache>
            </c:numRef>
          </c:val>
        </c:ser>
        <c:dLbls>
          <c:showLegendKey val="0"/>
          <c:showVal val="0"/>
          <c:showCatName val="0"/>
          <c:showSerName val="0"/>
          <c:showPercent val="0"/>
          <c:showBubbleSize val="0"/>
        </c:dLbls>
        <c:gapWidth val="107"/>
        <c:axId val="37821440"/>
        <c:axId val="37831808"/>
      </c:barChart>
      <c:catAx>
        <c:axId val="37821440"/>
        <c:scaling>
          <c:orientation val="minMax"/>
        </c:scaling>
        <c:delete val="0"/>
        <c:axPos val="b"/>
        <c:title>
          <c:tx>
            <c:rich>
              <a:bodyPr/>
              <a:lstStyle/>
              <a:p>
                <a:pPr>
                  <a:defRPr sz="1050" b="1"/>
                </a:pPr>
                <a:r>
                  <a:rPr lang="en-US" sz="1000" b="1"/>
                  <a:t>Year</a:t>
                </a:r>
              </a:p>
            </c:rich>
          </c:tx>
          <c:layout>
            <c:manualLayout>
              <c:xMode val="edge"/>
              <c:yMode val="edge"/>
              <c:x val="0.46957544922269334"/>
              <c:y val="0.94551765317387704"/>
            </c:manualLayout>
          </c:layout>
          <c:overlay val="0"/>
        </c:title>
        <c:numFmt formatCode="General" sourceLinked="1"/>
        <c:majorTickMark val="out"/>
        <c:minorTickMark val="none"/>
        <c:tickLblPos val="nextTo"/>
        <c:txPr>
          <a:bodyPr/>
          <a:lstStyle/>
          <a:p>
            <a:pPr>
              <a:defRPr sz="1050"/>
            </a:pPr>
            <a:endParaRPr lang="en-US"/>
          </a:p>
        </c:txPr>
        <c:crossAx val="37831808"/>
        <c:crosses val="autoZero"/>
        <c:auto val="1"/>
        <c:lblAlgn val="ctr"/>
        <c:lblOffset val="100"/>
        <c:noMultiLvlLbl val="0"/>
      </c:catAx>
      <c:valAx>
        <c:axId val="37831808"/>
        <c:scaling>
          <c:orientation val="minMax"/>
        </c:scaling>
        <c:delete val="0"/>
        <c:axPos val="l"/>
        <c:majorGridlines/>
        <c:title>
          <c:tx>
            <c:rich>
              <a:bodyPr/>
              <a:lstStyle/>
              <a:p>
                <a:pPr>
                  <a:defRPr sz="1050" b="1"/>
                </a:pPr>
                <a:r>
                  <a:rPr lang="en-US" sz="1050" b="1"/>
                  <a:t>Number</a:t>
                </a:r>
              </a:p>
            </c:rich>
          </c:tx>
          <c:layout>
            <c:manualLayout>
              <c:xMode val="edge"/>
              <c:yMode val="edge"/>
              <c:x val="0"/>
              <c:y val="0.402692853409715"/>
            </c:manualLayout>
          </c:layout>
          <c:overlay val="0"/>
        </c:title>
        <c:numFmt formatCode="#\ ###\ ###" sourceLinked="1"/>
        <c:majorTickMark val="out"/>
        <c:minorTickMark val="none"/>
        <c:tickLblPos val="nextTo"/>
        <c:txPr>
          <a:bodyPr/>
          <a:lstStyle/>
          <a:p>
            <a:pPr>
              <a:defRPr sz="1050"/>
            </a:pPr>
            <a:endParaRPr lang="en-US"/>
          </a:p>
        </c:txPr>
        <c:crossAx val="37821440"/>
        <c:crosses val="autoZero"/>
        <c:crossBetween val="between"/>
      </c:valAx>
      <c:spPr>
        <a:solidFill>
          <a:schemeClr val="bg1">
            <a:lumMod val="75000"/>
          </a:schemeClr>
        </a:solidFill>
      </c:spPr>
    </c:plotArea>
    <c:legend>
      <c:legendPos val="r"/>
      <c:layout>
        <c:manualLayout>
          <c:xMode val="edge"/>
          <c:yMode val="edge"/>
          <c:x val="0.13764418870718084"/>
          <c:y val="0.10422702223901589"/>
          <c:w val="0.46907201926392367"/>
          <c:h val="0.10167994306834095"/>
        </c:manualLayout>
      </c:layout>
      <c:overlay val="0"/>
      <c:spPr>
        <a:solidFill>
          <a:schemeClr val="bg1"/>
        </a:solidFill>
      </c:spPr>
      <c:txPr>
        <a:bodyPr/>
        <a:lstStyle/>
        <a:p>
          <a:pPr>
            <a:defRPr sz="1050"/>
          </a:pPr>
          <a:endParaRPr lang="en-US"/>
        </a:p>
      </c:txPr>
    </c:legend>
    <c:plotVisOnly val="1"/>
    <c:dispBlanksAs val="gap"/>
    <c:showDLblsOverMax val="0"/>
  </c:chart>
  <c:spPr>
    <a:ln>
      <a:noFill/>
    </a:ln>
  </c:spPr>
  <c:txPr>
    <a:bodyPr/>
    <a:lstStyle/>
    <a:p>
      <a:pPr>
        <a:defRPr sz="105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Development of PVP in UPOV</a:t>
            </a:r>
          </a:p>
        </c:rich>
      </c:tx>
      <c:layout>
        <c:manualLayout>
          <c:xMode val="edge"/>
          <c:yMode val="edge"/>
          <c:x val="0.30776275248202667"/>
          <c:y val="2.9679112691558714E-2"/>
        </c:manualLayout>
      </c:layout>
      <c:overlay val="0"/>
      <c:spPr>
        <a:noFill/>
        <a:ln w="25400">
          <a:noFill/>
        </a:ln>
      </c:spPr>
    </c:title>
    <c:autoTitleDeleted val="0"/>
    <c:plotArea>
      <c:layout>
        <c:manualLayout>
          <c:layoutTarget val="inner"/>
          <c:xMode val="edge"/>
          <c:yMode val="edge"/>
          <c:x val="0.1094891811715675"/>
          <c:y val="0.14100185528756956"/>
          <c:w val="0.62408833267793473"/>
          <c:h val="0.7142857142857143"/>
        </c:manualLayout>
      </c:layout>
      <c:barChart>
        <c:barDir val="col"/>
        <c:grouping val="clustered"/>
        <c:varyColors val="0"/>
        <c:ser>
          <c:idx val="1"/>
          <c:order val="0"/>
          <c:tx>
            <c:v>Applications</c:v>
          </c:tx>
          <c:spPr>
            <a:solidFill>
              <a:srgbClr val="FFFF00"/>
            </a:solidFill>
            <a:ln w="12700">
              <a:solidFill>
                <a:srgbClr val="000000"/>
              </a:solidFill>
              <a:prstDash val="solid"/>
            </a:ln>
          </c:spPr>
          <c:invertIfNegative val="0"/>
          <c:cat>
            <c:numRef>
              <c:f>fig_20_titles_res!$H$7:$H$35</c:f>
              <c:numCache>
                <c:formatCode>General</c:formatCode>
                <c:ptCount val="2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numCache>
            </c:numRef>
          </c:cat>
          <c:val>
            <c:numRef>
              <c:f>fig_20_titles_res!$L$7:$L$35</c:f>
              <c:numCache>
                <c:formatCode>#,##0</c:formatCode>
                <c:ptCount val="29"/>
                <c:pt idx="0">
                  <c:v>4979</c:v>
                </c:pt>
                <c:pt idx="1">
                  <c:v>4906</c:v>
                </c:pt>
                <c:pt idx="2">
                  <c:v>4273</c:v>
                </c:pt>
                <c:pt idx="3">
                  <c:v>6459.5</c:v>
                </c:pt>
                <c:pt idx="4">
                  <c:v>6320</c:v>
                </c:pt>
                <c:pt idx="5">
                  <c:v>7489</c:v>
                </c:pt>
                <c:pt idx="6">
                  <c:v>7440</c:v>
                </c:pt>
                <c:pt idx="7">
                  <c:v>7792</c:v>
                </c:pt>
                <c:pt idx="8">
                  <c:v>8642</c:v>
                </c:pt>
                <c:pt idx="9">
                  <c:v>8894</c:v>
                </c:pt>
                <c:pt idx="10">
                  <c:v>10353</c:v>
                </c:pt>
                <c:pt idx="11">
                  <c:v>8833</c:v>
                </c:pt>
                <c:pt idx="12">
                  <c:v>8919</c:v>
                </c:pt>
                <c:pt idx="13">
                  <c:v>9873</c:v>
                </c:pt>
                <c:pt idx="14">
                  <c:v>10001</c:v>
                </c:pt>
                <c:pt idx="15">
                  <c:v>9383</c:v>
                </c:pt>
                <c:pt idx="16">
                  <c:v>10974</c:v>
                </c:pt>
                <c:pt idx="17">
                  <c:v>11325</c:v>
                </c:pt>
                <c:pt idx="18">
                  <c:v>11975</c:v>
                </c:pt>
                <c:pt idx="19">
                  <c:v>12036</c:v>
                </c:pt>
                <c:pt idx="20">
                  <c:v>12702</c:v>
                </c:pt>
                <c:pt idx="21">
                  <c:v>12262</c:v>
                </c:pt>
                <c:pt idx="22">
                  <c:v>13186</c:v>
                </c:pt>
                <c:pt idx="23">
                  <c:v>12698</c:v>
                </c:pt>
                <c:pt idx="24">
                  <c:v>13022</c:v>
                </c:pt>
                <c:pt idx="25">
                  <c:v>13038</c:v>
                </c:pt>
                <c:pt idx="26">
                  <c:v>13981</c:v>
                </c:pt>
                <c:pt idx="27">
                  <c:v>13908</c:v>
                </c:pt>
                <c:pt idx="28">
                  <c:v>14788</c:v>
                </c:pt>
              </c:numCache>
            </c:numRef>
          </c:val>
        </c:ser>
        <c:ser>
          <c:idx val="0"/>
          <c:order val="1"/>
          <c:tx>
            <c:v>Titles granted</c:v>
          </c:tx>
          <c:spPr>
            <a:solidFill>
              <a:srgbClr val="008000"/>
            </a:solidFill>
            <a:ln w="12700">
              <a:solidFill>
                <a:srgbClr val="000000"/>
              </a:solidFill>
              <a:prstDash val="solid"/>
            </a:ln>
          </c:spPr>
          <c:invertIfNegative val="0"/>
          <c:cat>
            <c:numRef>
              <c:f>fig_20_titles_res!$H$7:$H$35</c:f>
              <c:numCache>
                <c:formatCode>General</c:formatCode>
                <c:ptCount val="2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numCache>
            </c:numRef>
          </c:cat>
          <c:val>
            <c:numRef>
              <c:f>fig_20_titles_res!$O$7:$O$35</c:f>
              <c:numCache>
                <c:formatCode>#,##0</c:formatCode>
                <c:ptCount val="29"/>
                <c:pt idx="0">
                  <c:v>3570</c:v>
                </c:pt>
                <c:pt idx="1">
                  <c:v>2850</c:v>
                </c:pt>
                <c:pt idx="2">
                  <c:v>2498</c:v>
                </c:pt>
                <c:pt idx="3">
                  <c:v>3899</c:v>
                </c:pt>
                <c:pt idx="4">
                  <c:v>3795</c:v>
                </c:pt>
                <c:pt idx="5">
                  <c:v>4586</c:v>
                </c:pt>
                <c:pt idx="6">
                  <c:v>4646</c:v>
                </c:pt>
                <c:pt idx="7">
                  <c:v>5054</c:v>
                </c:pt>
                <c:pt idx="8">
                  <c:v>5371</c:v>
                </c:pt>
                <c:pt idx="9">
                  <c:v>6890</c:v>
                </c:pt>
                <c:pt idx="10">
                  <c:v>6459</c:v>
                </c:pt>
                <c:pt idx="11">
                  <c:v>6985</c:v>
                </c:pt>
                <c:pt idx="12">
                  <c:v>6319</c:v>
                </c:pt>
                <c:pt idx="13">
                  <c:v>7470</c:v>
                </c:pt>
                <c:pt idx="14">
                  <c:v>6493</c:v>
                </c:pt>
                <c:pt idx="15">
                  <c:v>7298</c:v>
                </c:pt>
                <c:pt idx="16">
                  <c:v>7714</c:v>
                </c:pt>
                <c:pt idx="17">
                  <c:v>8589</c:v>
                </c:pt>
                <c:pt idx="18">
                  <c:v>8460</c:v>
                </c:pt>
                <c:pt idx="19">
                  <c:v>9142</c:v>
                </c:pt>
                <c:pt idx="20">
                  <c:v>8500</c:v>
                </c:pt>
                <c:pt idx="21">
                  <c:v>9770</c:v>
                </c:pt>
                <c:pt idx="22">
                  <c:v>10361</c:v>
                </c:pt>
                <c:pt idx="23">
                  <c:v>10471</c:v>
                </c:pt>
                <c:pt idx="24">
                  <c:v>10730</c:v>
                </c:pt>
                <c:pt idx="25">
                  <c:v>11115</c:v>
                </c:pt>
                <c:pt idx="26">
                  <c:v>10189</c:v>
                </c:pt>
                <c:pt idx="27">
                  <c:v>9822</c:v>
                </c:pt>
                <c:pt idx="28">
                  <c:v>10052</c:v>
                </c:pt>
              </c:numCache>
            </c:numRef>
          </c:val>
        </c:ser>
        <c:dLbls>
          <c:showLegendKey val="0"/>
          <c:showVal val="0"/>
          <c:showCatName val="0"/>
          <c:showSerName val="0"/>
          <c:showPercent val="0"/>
          <c:showBubbleSize val="0"/>
        </c:dLbls>
        <c:gapWidth val="150"/>
        <c:axId val="37867904"/>
        <c:axId val="37869824"/>
      </c:barChart>
      <c:lineChart>
        <c:grouping val="standard"/>
        <c:varyColors val="0"/>
        <c:ser>
          <c:idx val="2"/>
          <c:order val="2"/>
          <c:tx>
            <c:v>Titles in force</c:v>
          </c:tx>
          <c:spPr>
            <a:ln w="38100">
              <a:solidFill>
                <a:srgbClr val="000080"/>
              </a:solidFill>
              <a:prstDash val="solid"/>
            </a:ln>
          </c:spPr>
          <c:marker>
            <c:symbol val="none"/>
          </c:marker>
          <c:val>
            <c:numRef>
              <c:f>fig_20_titles_res!$Q$7:$Q$35</c:f>
              <c:numCache>
                <c:formatCode>#,##0</c:formatCode>
                <c:ptCount val="29"/>
                <c:pt idx="0">
                  <c:v>16262</c:v>
                </c:pt>
                <c:pt idx="1">
                  <c:v>17444</c:v>
                </c:pt>
                <c:pt idx="2">
                  <c:v>19264</c:v>
                </c:pt>
                <c:pt idx="3">
                  <c:v>21698</c:v>
                </c:pt>
                <c:pt idx="4">
                  <c:v>23077</c:v>
                </c:pt>
                <c:pt idx="5">
                  <c:v>26651</c:v>
                </c:pt>
                <c:pt idx="6">
                  <c:v>28995</c:v>
                </c:pt>
                <c:pt idx="7">
                  <c:v>30979</c:v>
                </c:pt>
                <c:pt idx="8">
                  <c:v>30692</c:v>
                </c:pt>
                <c:pt idx="9">
                  <c:v>33467</c:v>
                </c:pt>
                <c:pt idx="10">
                  <c:v>39681</c:v>
                </c:pt>
                <c:pt idx="11">
                  <c:v>42196</c:v>
                </c:pt>
                <c:pt idx="12">
                  <c:v>43246</c:v>
                </c:pt>
                <c:pt idx="13">
                  <c:v>46593</c:v>
                </c:pt>
                <c:pt idx="14">
                  <c:v>49316</c:v>
                </c:pt>
                <c:pt idx="15">
                  <c:v>51861</c:v>
                </c:pt>
                <c:pt idx="16">
                  <c:v>55002</c:v>
                </c:pt>
                <c:pt idx="17">
                  <c:v>58539</c:v>
                </c:pt>
                <c:pt idx="18">
                  <c:v>61537</c:v>
                </c:pt>
                <c:pt idx="19">
                  <c:v>64300</c:v>
                </c:pt>
                <c:pt idx="20">
                  <c:v>66915</c:v>
                </c:pt>
                <c:pt idx="21">
                  <c:v>70810</c:v>
                </c:pt>
                <c:pt idx="22">
                  <c:v>76511</c:v>
                </c:pt>
                <c:pt idx="23">
                  <c:v>81595</c:v>
                </c:pt>
                <c:pt idx="24">
                  <c:v>86484</c:v>
                </c:pt>
                <c:pt idx="25">
                  <c:v>90344</c:v>
                </c:pt>
                <c:pt idx="26">
                  <c:v>95164</c:v>
                </c:pt>
                <c:pt idx="27">
                  <c:v>99501</c:v>
                </c:pt>
                <c:pt idx="28">
                  <c:v>103261</c:v>
                </c:pt>
              </c:numCache>
            </c:numRef>
          </c:val>
          <c:smooth val="0"/>
        </c:ser>
        <c:dLbls>
          <c:showLegendKey val="0"/>
          <c:showVal val="0"/>
          <c:showCatName val="0"/>
          <c:showSerName val="0"/>
          <c:showPercent val="0"/>
          <c:showBubbleSize val="0"/>
        </c:dLbls>
        <c:marker val="1"/>
        <c:smooth val="0"/>
        <c:axId val="37876096"/>
        <c:axId val="37877632"/>
      </c:lineChart>
      <c:catAx>
        <c:axId val="3786790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sz="800"/>
                  <a:t>Year</a:t>
                </a:r>
              </a:p>
            </c:rich>
          </c:tx>
          <c:layout>
            <c:manualLayout>
              <c:xMode val="edge"/>
              <c:yMode val="edge"/>
              <c:x val="0.40146027201145312"/>
              <c:y val="0.92949907235621521"/>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37869824"/>
        <c:crosses val="autoZero"/>
        <c:auto val="0"/>
        <c:lblAlgn val="ctr"/>
        <c:lblOffset val="100"/>
        <c:tickLblSkip val="1"/>
        <c:tickMarkSkip val="1"/>
        <c:noMultiLvlLbl val="0"/>
      </c:catAx>
      <c:valAx>
        <c:axId val="37869824"/>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US" sz="800"/>
                  <a:t>Number (applications/titles granted)</a:t>
                </a:r>
              </a:p>
            </c:rich>
          </c:tx>
          <c:layout>
            <c:manualLayout>
              <c:xMode val="edge"/>
              <c:yMode val="edge"/>
              <c:x val="1.9464821442774199E-2"/>
              <c:y val="0.28385899814471244"/>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867904"/>
        <c:crosses val="autoZero"/>
        <c:crossBetween val="between"/>
      </c:valAx>
      <c:catAx>
        <c:axId val="37876096"/>
        <c:scaling>
          <c:orientation val="minMax"/>
        </c:scaling>
        <c:delete val="1"/>
        <c:axPos val="b"/>
        <c:majorTickMark val="out"/>
        <c:minorTickMark val="none"/>
        <c:tickLblPos val="nextTo"/>
        <c:crossAx val="37877632"/>
        <c:crosses val="autoZero"/>
        <c:auto val="0"/>
        <c:lblAlgn val="ctr"/>
        <c:lblOffset val="100"/>
        <c:noMultiLvlLbl val="0"/>
      </c:catAx>
      <c:valAx>
        <c:axId val="37877632"/>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US"/>
                  <a:t>Number of titles in force</a:t>
                </a:r>
              </a:p>
            </c:rich>
          </c:tx>
          <c:layout>
            <c:manualLayout>
              <c:xMode val="edge"/>
              <c:yMode val="edge"/>
              <c:x val="0.80413724648055351"/>
              <c:y val="0.35250463821892392"/>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876096"/>
        <c:crosses val="max"/>
        <c:crossBetween val="between"/>
      </c:valAx>
      <c:spPr>
        <a:solidFill>
          <a:srgbClr val="C0C0C0"/>
        </a:solidFill>
        <a:ln w="12700">
          <a:solidFill>
            <a:srgbClr val="808080"/>
          </a:solidFill>
          <a:prstDash val="solid"/>
        </a:ln>
      </c:spPr>
    </c:plotArea>
    <c:legend>
      <c:legendPos val="r"/>
      <c:layout>
        <c:manualLayout>
          <c:xMode val="edge"/>
          <c:yMode val="edge"/>
          <c:x val="0.84671636045494314"/>
          <c:y val="0.43970315398886828"/>
          <c:w val="0.14355256502028158"/>
          <c:h val="0.2078321661405227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699146451604689E-2"/>
          <c:y val="0.18241758241758241"/>
          <c:w val="0.88853056534330621"/>
          <c:h val="0.72747252747252744"/>
        </c:manualLayout>
      </c:layout>
      <c:bar3DChart>
        <c:barDir val="col"/>
        <c:grouping val="standard"/>
        <c:varyColors val="0"/>
        <c:ser>
          <c:idx val="0"/>
          <c:order val="0"/>
          <c:tx>
            <c:v>Cooperation Agreements</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0.10339256865912755"/>
                  <c:y val="-0.3838827838827838"/>
                </c:manualLayout>
              </c:layout>
              <c:showLegendKey val="0"/>
              <c:showVal val="1"/>
              <c:showCatName val="0"/>
              <c:showSerName val="0"/>
              <c:showPercent val="0"/>
              <c:showBubbleSize val="0"/>
            </c:dLbl>
            <c:dLbl>
              <c:idx val="8"/>
              <c:layout>
                <c:manualLayout>
                  <c:x val="-0.1206246634356489"/>
                  <c:y val="-0.36630036630036628"/>
                </c:manualLayout>
              </c:layout>
              <c:showLegendKey val="0"/>
              <c:showVal val="1"/>
              <c:showCatName val="0"/>
              <c:showSerName val="0"/>
              <c:showPercent val="0"/>
              <c:showBubbleSize val="0"/>
            </c:dLbl>
            <c:dLbl>
              <c:idx val="9"/>
              <c:layout>
                <c:manualLayout>
                  <c:x val="6.462035541195477E-3"/>
                  <c:y val="5.8608058608058608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coop_agreements!$A$30:$A$39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coop_agreements!$E$30:$E$39</c:f>
              <c:numCache>
                <c:formatCode>General</c:formatCode>
                <c:ptCount val="10"/>
                <c:pt idx="0">
                  <c:v>640</c:v>
                </c:pt>
                <c:pt idx="1">
                  <c:v>570</c:v>
                </c:pt>
                <c:pt idx="2">
                  <c:v>1360</c:v>
                </c:pt>
                <c:pt idx="3">
                  <c:v>1360</c:v>
                </c:pt>
                <c:pt idx="4">
                  <c:v>1379</c:v>
                </c:pt>
                <c:pt idx="5">
                  <c:v>1417</c:v>
                </c:pt>
                <c:pt idx="6">
                  <c:v>1990</c:v>
                </c:pt>
                <c:pt idx="7">
                  <c:v>1991</c:v>
                </c:pt>
                <c:pt idx="8">
                  <c:v>1997</c:v>
                </c:pt>
                <c:pt idx="9">
                  <c:v>2005</c:v>
                </c:pt>
              </c:numCache>
            </c:numRef>
          </c:val>
        </c:ser>
        <c:ser>
          <c:idx val="1"/>
          <c:order val="1"/>
          <c:tx>
            <c:v>Practical Experience</c:v>
          </c:tx>
          <c:spPr>
            <a:solidFill>
              <a:srgbClr val="99CC00"/>
            </a:solidFill>
            <a:ln w="12700">
              <a:solidFill>
                <a:srgbClr val="000000"/>
              </a:solidFill>
              <a:prstDash val="solid"/>
            </a:ln>
          </c:spPr>
          <c:invertIfNegative val="0"/>
          <c:dLbls>
            <c:dLbl>
              <c:idx val="0"/>
              <c:layout>
                <c:manualLayout>
                  <c:x val="-2.1034688919135511E-3"/>
                  <c:y val="4.8408179746762425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0.32956398220820138"/>
                  <c:y val="-0.22857165931181675"/>
                </c:manualLayout>
              </c:layout>
              <c:showLegendKey val="0"/>
              <c:showVal val="1"/>
              <c:showCatName val="0"/>
              <c:showSerName val="0"/>
              <c:showPercent val="0"/>
              <c:showBubbleSize val="0"/>
            </c:dLbl>
            <c:dLbl>
              <c:idx val="8"/>
              <c:layout>
                <c:manualLayout>
                  <c:x val="-0.21970920840064628"/>
                  <c:y val="-0.22564102564102562"/>
                </c:manualLayout>
              </c:layout>
              <c:showLegendKey val="0"/>
              <c:showVal val="1"/>
              <c:showCatName val="0"/>
              <c:showSerName val="0"/>
              <c:showPercent val="0"/>
              <c:showBubbleSize val="0"/>
            </c:dLbl>
            <c:dLbl>
              <c:idx val="9"/>
              <c:layout>
                <c:manualLayout>
                  <c:x val="6.462035541195477E-3"/>
                  <c:y val="6.446886446886447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coop_agreements!$A$30:$A$39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coop_agreements!$D$30:$D$39</c:f>
              <c:numCache>
                <c:formatCode>General</c:formatCode>
                <c:ptCount val="10"/>
                <c:pt idx="0">
                  <c:v>1750</c:v>
                </c:pt>
                <c:pt idx="1">
                  <c:v>1900</c:v>
                </c:pt>
                <c:pt idx="2">
                  <c:v>2000</c:v>
                </c:pt>
                <c:pt idx="3">
                  <c:v>2170</c:v>
                </c:pt>
                <c:pt idx="4">
                  <c:v>2209</c:v>
                </c:pt>
                <c:pt idx="5">
                  <c:v>2254</c:v>
                </c:pt>
                <c:pt idx="6">
                  <c:v>2679</c:v>
                </c:pt>
                <c:pt idx="7">
                  <c:v>2726</c:v>
                </c:pt>
                <c:pt idx="8">
                  <c:v>2589</c:v>
                </c:pt>
                <c:pt idx="9">
                  <c:v>3305</c:v>
                </c:pt>
              </c:numCache>
            </c:numRef>
          </c:val>
        </c:ser>
        <c:ser>
          <c:idx val="2"/>
          <c:order val="2"/>
          <c:tx>
            <c:v>Plant Breeders' Rights Entries in Plant Variety Database</c:v>
          </c:tx>
          <c:spPr>
            <a:solidFill>
              <a:srgbClr val="FFFFCC"/>
            </a:solidFill>
            <a:ln w="12700">
              <a:solidFill>
                <a:srgbClr val="000000"/>
              </a:solidFill>
              <a:prstDash val="solid"/>
            </a:ln>
          </c:spPr>
          <c:invertIfNegative val="0"/>
          <c:dLbls>
            <c:dLbl>
              <c:idx val="0"/>
              <c:layout>
                <c:manualLayout>
                  <c:x val="-6.0023999423335409E-4"/>
                  <c:y val="4.9303683193446975E-2"/>
                </c:manualLayout>
              </c:layout>
              <c:tx>
                <c:rich>
                  <a:bodyPr/>
                  <a:lstStyle/>
                  <a:p>
                    <a:pPr>
                      <a:defRPr sz="800" b="1" baseline="0"/>
                    </a:pPr>
                    <a:r>
                      <a:rPr lang="en-US" sz="800" b="1" baseline="0"/>
                      <a:t>2336</a:t>
                    </a:r>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0.33387183629509964"/>
                  <c:y val="-0.10549450549450545"/>
                </c:manualLayout>
              </c:layout>
              <c:showLegendKey val="0"/>
              <c:showVal val="1"/>
              <c:showCatName val="0"/>
              <c:showSerName val="0"/>
              <c:showPercent val="0"/>
              <c:showBubbleSize val="0"/>
            </c:dLbl>
            <c:dLbl>
              <c:idx val="8"/>
              <c:layout>
                <c:manualLayout>
                  <c:x val="-0.31663974151857838"/>
                  <c:y val="-7.9120879120879103E-2"/>
                </c:manualLayout>
              </c:layout>
              <c:tx>
                <c:rich>
                  <a:bodyPr/>
                  <a:lstStyle/>
                  <a:p>
                    <a:r>
                      <a:rPr lang="en-US" sz="800" b="1"/>
                      <a:t>3455</a:t>
                    </a:r>
                  </a:p>
                </c:rich>
              </c:tx>
              <c:showLegendKey val="0"/>
              <c:showVal val="1"/>
              <c:showCatName val="0"/>
              <c:showSerName val="0"/>
              <c:showPercent val="0"/>
              <c:showBubbleSize val="0"/>
            </c:dLbl>
            <c:dLbl>
              <c:idx val="9"/>
              <c:layout>
                <c:manualLayout>
                  <c:x val="1.2924071082390954E-2"/>
                  <c:y val="4.395604395604398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coop_agreements!$A$30:$A$39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coop_agreements!$C$30:$C$39</c:f>
              <c:numCache>
                <c:formatCode>General</c:formatCode>
                <c:ptCount val="10"/>
                <c:pt idx="0">
                  <c:v>2336</c:v>
                </c:pt>
                <c:pt idx="1">
                  <c:v>2429</c:v>
                </c:pt>
                <c:pt idx="2">
                  <c:v>2522</c:v>
                </c:pt>
                <c:pt idx="3">
                  <c:v>2654</c:v>
                </c:pt>
                <c:pt idx="4">
                  <c:v>2790</c:v>
                </c:pt>
                <c:pt idx="5">
                  <c:v>2940</c:v>
                </c:pt>
                <c:pt idx="6">
                  <c:v>3042</c:v>
                </c:pt>
                <c:pt idx="7">
                  <c:v>3144</c:v>
                </c:pt>
                <c:pt idx="8">
                  <c:v>3297</c:v>
                </c:pt>
                <c:pt idx="9">
                  <c:v>3455</c:v>
                </c:pt>
              </c:numCache>
            </c:numRef>
          </c:val>
        </c:ser>
        <c:dLbls>
          <c:showLegendKey val="0"/>
          <c:showVal val="0"/>
          <c:showCatName val="0"/>
          <c:showSerName val="0"/>
          <c:showPercent val="0"/>
          <c:showBubbleSize val="0"/>
        </c:dLbls>
        <c:gapWidth val="110"/>
        <c:shape val="box"/>
        <c:axId val="36354688"/>
        <c:axId val="38740736"/>
        <c:axId val="119621824"/>
      </c:bar3DChart>
      <c:catAx>
        <c:axId val="36354688"/>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Year</a:t>
                </a:r>
              </a:p>
            </c:rich>
          </c:tx>
          <c:layout>
            <c:manualLayout>
              <c:xMode val="edge"/>
              <c:yMode val="edge"/>
              <c:x val="0.49865408181004839"/>
              <c:y val="0.9399267399267399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38740736"/>
        <c:crosses val="autoZero"/>
        <c:auto val="1"/>
        <c:lblAlgn val="ctr"/>
        <c:lblOffset val="100"/>
        <c:tickLblSkip val="1"/>
        <c:tickMarkSkip val="1"/>
        <c:noMultiLvlLbl val="1"/>
      </c:catAx>
      <c:valAx>
        <c:axId val="38740736"/>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Number of genera/species</a:t>
                </a:r>
              </a:p>
            </c:rich>
          </c:tx>
          <c:layout>
            <c:manualLayout>
              <c:xMode val="edge"/>
              <c:yMode val="edge"/>
              <c:x val="2.3694130317716746E-2"/>
              <c:y val="0.321611721611721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36354688"/>
        <c:crosses val="autoZero"/>
        <c:crossBetween val="between"/>
      </c:valAx>
      <c:serAx>
        <c:axId val="119621824"/>
        <c:scaling>
          <c:orientation val="minMax"/>
        </c:scaling>
        <c:delete val="1"/>
        <c:axPos val="b"/>
        <c:majorTickMark val="out"/>
        <c:minorTickMark val="none"/>
        <c:tickLblPos val="nextTo"/>
        <c:crossAx val="38740736"/>
        <c:crosses val="autoZero"/>
      </c:serAx>
      <c:spPr>
        <a:noFill/>
        <a:ln w="25400">
          <a:noFill/>
        </a:ln>
      </c:spPr>
    </c:plotArea>
    <c:legend>
      <c:legendPos val="t"/>
      <c:legendEntry>
        <c:idx val="0"/>
        <c:txPr>
          <a:bodyPr/>
          <a:lstStyle/>
          <a:p>
            <a:pPr>
              <a:defRPr sz="1000" b="0" i="0" u="none" strike="noStrike" baseline="0">
                <a:solidFill>
                  <a:srgbClr val="000000"/>
                </a:solidFill>
                <a:latin typeface="Arial"/>
                <a:ea typeface="Arial"/>
                <a:cs typeface="Arial"/>
              </a:defRPr>
            </a:pPr>
            <a:endParaRPr lang="en-US"/>
          </a:p>
        </c:txPr>
      </c:legendEntry>
      <c:legendEntry>
        <c:idx val="1"/>
        <c:txPr>
          <a:bodyPr/>
          <a:lstStyle/>
          <a:p>
            <a:pPr>
              <a:defRPr sz="1000" b="0" i="0" u="none" strike="noStrike" baseline="0">
                <a:solidFill>
                  <a:srgbClr val="000000"/>
                </a:solidFill>
                <a:latin typeface="Arial"/>
                <a:ea typeface="Arial"/>
                <a:cs typeface="Arial"/>
              </a:defRPr>
            </a:pPr>
            <a:endParaRPr lang="en-US"/>
          </a:p>
        </c:txPr>
      </c:legendEntry>
      <c:legendEntry>
        <c:idx val="2"/>
        <c:txPr>
          <a:bodyPr/>
          <a:lstStyle/>
          <a:p>
            <a:pPr>
              <a:defRPr sz="1000" b="0" i="0" u="none" strike="noStrike" baseline="0">
                <a:solidFill>
                  <a:srgbClr val="000000"/>
                </a:solidFill>
                <a:latin typeface="Arial"/>
                <a:ea typeface="Arial"/>
                <a:cs typeface="Arial"/>
              </a:defRPr>
            </a:pPr>
            <a:endParaRPr lang="en-US"/>
          </a:p>
        </c:txPr>
      </c:legendEntry>
      <c:layout>
        <c:manualLayout>
          <c:xMode val="edge"/>
          <c:yMode val="edge"/>
          <c:x val="0.23047960685043611"/>
          <c:y val="2.6373626373626374E-2"/>
          <c:w val="0.61443221858980068"/>
          <c:h val="0.14652014652014653"/>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93630573248401E-2"/>
          <c:y val="5.9241706161137442E-2"/>
          <c:w val="0.88917197452229302"/>
          <c:h val="0.78199052132701419"/>
        </c:manualLayout>
      </c:layout>
      <c:barChart>
        <c:barDir val="col"/>
        <c:grouping val="clustered"/>
        <c:varyColors val="0"/>
        <c:ser>
          <c:idx val="1"/>
          <c:order val="0"/>
          <c:tx>
            <c:strRef>
              <c:f>'Chart on table 9'!$B$7</c:f>
              <c:strCache>
                <c:ptCount val="1"/>
                <c:pt idx="0">
                  <c:v>Income</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9'!$C$7:$N$7</c:f>
              <c:numCache>
                <c:formatCode>#,##0</c:formatCode>
                <c:ptCount val="12"/>
                <c:pt idx="0">
                  <c:v>3378</c:v>
                </c:pt>
                <c:pt idx="1">
                  <c:v>3393</c:v>
                </c:pt>
                <c:pt idx="2">
                  <c:v>3412</c:v>
                </c:pt>
                <c:pt idx="3">
                  <c:v>3489</c:v>
                </c:pt>
                <c:pt idx="4">
                  <c:v>3388</c:v>
                </c:pt>
                <c:pt idx="5">
                  <c:v>3403</c:v>
                </c:pt>
                <c:pt idx="6">
                  <c:v>3392</c:v>
                </c:pt>
                <c:pt idx="7">
                  <c:v>3402</c:v>
                </c:pt>
                <c:pt idx="8">
                  <c:v>3406</c:v>
                </c:pt>
                <c:pt idx="9">
                  <c:v>3416</c:v>
                </c:pt>
                <c:pt idx="10">
                  <c:v>3427</c:v>
                </c:pt>
                <c:pt idx="11">
                  <c:v>3438</c:v>
                </c:pt>
              </c:numCache>
            </c:numRef>
          </c:val>
        </c:ser>
        <c:ser>
          <c:idx val="0"/>
          <c:order val="1"/>
          <c:tx>
            <c:strRef>
              <c:f>'Chart on table 9'!$B$8</c:f>
              <c:strCache>
                <c:ptCount val="1"/>
                <c:pt idx="0">
                  <c:v>Expenditure</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9'!$C$8:$N$8</c:f>
              <c:numCache>
                <c:formatCode>#,##0</c:formatCode>
                <c:ptCount val="12"/>
                <c:pt idx="0">
                  <c:v>3034</c:v>
                </c:pt>
                <c:pt idx="1">
                  <c:v>3347</c:v>
                </c:pt>
                <c:pt idx="2">
                  <c:v>3501</c:v>
                </c:pt>
                <c:pt idx="3">
                  <c:v>2978</c:v>
                </c:pt>
                <c:pt idx="4">
                  <c:v>2954</c:v>
                </c:pt>
                <c:pt idx="5">
                  <c:v>3331</c:v>
                </c:pt>
                <c:pt idx="6">
                  <c:v>3392</c:v>
                </c:pt>
                <c:pt idx="7">
                  <c:v>3402</c:v>
                </c:pt>
                <c:pt idx="8">
                  <c:v>3406</c:v>
                </c:pt>
                <c:pt idx="9">
                  <c:v>3416</c:v>
                </c:pt>
                <c:pt idx="10">
                  <c:v>3427</c:v>
                </c:pt>
                <c:pt idx="11">
                  <c:v>3438</c:v>
                </c:pt>
              </c:numCache>
            </c:numRef>
          </c:val>
        </c:ser>
        <c:ser>
          <c:idx val="4"/>
          <c:order val="2"/>
          <c:tx>
            <c:strRef>
              <c:f>'Chart on table 9'!$B$9</c:f>
              <c:strCache>
                <c:ptCount val="1"/>
                <c:pt idx="0">
                  <c:v>WCF</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9'!$C$9:$N$9</c:f>
              <c:numCache>
                <c:formatCode>#,##0</c:formatCode>
                <c:ptCount val="12"/>
                <c:pt idx="0" formatCode="General">
                  <c:v>#N/A</c:v>
                </c:pt>
                <c:pt idx="1">
                  <c:v>523</c:v>
                </c:pt>
                <c:pt idx="2" formatCode="General">
                  <c:v>#N/A</c:v>
                </c:pt>
                <c:pt idx="3">
                  <c:v>533</c:v>
                </c:pt>
                <c:pt idx="4" formatCode="General">
                  <c:v>#N/A</c:v>
                </c:pt>
                <c:pt idx="5">
                  <c:v>540</c:v>
                </c:pt>
                <c:pt idx="6" formatCode="General">
                  <c:v>#N/A</c:v>
                </c:pt>
                <c:pt idx="7">
                  <c:v>543</c:v>
                </c:pt>
                <c:pt idx="8" formatCode="General">
                  <c:v>#N/A</c:v>
                </c:pt>
                <c:pt idx="9">
                  <c:v>546</c:v>
                </c:pt>
                <c:pt idx="11" formatCode="0">
                  <c:v>549</c:v>
                </c:pt>
              </c:numCache>
            </c:numRef>
          </c:val>
        </c:ser>
        <c:dLbls>
          <c:showLegendKey val="0"/>
          <c:showVal val="0"/>
          <c:showCatName val="0"/>
          <c:showSerName val="0"/>
          <c:showPercent val="0"/>
          <c:showBubbleSize val="0"/>
        </c:dLbls>
        <c:gapWidth val="150"/>
        <c:axId val="38475648"/>
        <c:axId val="38477184"/>
      </c:barChart>
      <c:catAx>
        <c:axId val="3847564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38477184"/>
        <c:crosses val="autoZero"/>
        <c:auto val="0"/>
        <c:lblAlgn val="ctr"/>
        <c:lblOffset val="100"/>
        <c:tickLblSkip val="1"/>
        <c:tickMarkSkip val="1"/>
        <c:noMultiLvlLbl val="0"/>
      </c:catAx>
      <c:valAx>
        <c:axId val="38477184"/>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CHF ('000)</a:t>
                </a:r>
              </a:p>
            </c:rich>
          </c:tx>
          <c:layout>
            <c:manualLayout>
              <c:xMode val="edge"/>
              <c:yMode val="edge"/>
              <c:x val="7.5615788411064018E-3"/>
              <c:y val="0.37770263650947211"/>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38475648"/>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058"/>
          <c:w val="0.7184713375796179"/>
          <c:h val="5.2132701421800931E-2"/>
        </c:manualLayout>
      </c:layout>
      <c:overlay val="0"/>
      <c:spPr>
        <a:solidFill>
          <a:srgbClr val="FFFFFF"/>
        </a:solidFill>
        <a:ln w="3175">
          <a:solidFill>
            <a:srgbClr val="000000"/>
          </a:solidFill>
          <a:prstDash val="solid"/>
        </a:ln>
      </c:spPr>
      <c:txPr>
        <a:bodyPr/>
        <a:lstStyle/>
        <a:p>
          <a:pPr>
            <a:defRPr sz="675"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10799</Words>
  <Characters>63055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C/49/4</vt:lpstr>
    </vt:vector>
  </TitlesOfParts>
  <Company>UPOV</Company>
  <LinksUpToDate>false</LinksUpToDate>
  <CharactersWithSpaces>73707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C/49/4</dc:title>
  <dc:creator>Servansing Divya Navishti</dc:creator>
  <cp:lastModifiedBy>SANCHEZ-VIZCAINO GOMEZ Rosa Maria</cp:lastModifiedBy>
  <cp:revision>7</cp:revision>
  <cp:lastPrinted>2015-11-04T15:22:00Z</cp:lastPrinted>
  <dcterms:created xsi:type="dcterms:W3CDTF">2015-11-04T15:12:00Z</dcterms:created>
  <dcterms:modified xsi:type="dcterms:W3CDTF">2015-11-04T15:22:00Z</dcterms:modified>
</cp:coreProperties>
</file>