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67078A" w:rsidRPr="0060702E" w:rsidTr="001935AE">
        <w:trPr>
          <w:trHeight w:val="1760"/>
        </w:trPr>
        <w:tc>
          <w:tcPr>
            <w:tcW w:w="3993" w:type="dxa"/>
          </w:tcPr>
          <w:p w:rsidR="0067078A" w:rsidRPr="0060702E" w:rsidRDefault="0067078A" w:rsidP="001935AE">
            <w:bookmarkStart w:id="0" w:name="TitleOfDoc"/>
            <w:bookmarkEnd w:id="0"/>
          </w:p>
        </w:tc>
        <w:tc>
          <w:tcPr>
            <w:tcW w:w="1549" w:type="dxa"/>
            <w:vAlign w:val="center"/>
          </w:tcPr>
          <w:p w:rsidR="0067078A" w:rsidRPr="00DB7D8A" w:rsidRDefault="0067078A" w:rsidP="001935AE">
            <w:pPr>
              <w:pStyle w:val="LogoUPOV"/>
            </w:pPr>
            <w:r w:rsidRPr="00DB7D8A">
              <w:rPr>
                <w:noProof/>
              </w:rPr>
              <w:drawing>
                <wp:inline distT="0" distB="0" distL="0" distR="0" wp14:anchorId="7D4FE0CE" wp14:editId="7C703C90">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3992" w:type="dxa"/>
            <w:vAlign w:val="center"/>
          </w:tcPr>
          <w:p w:rsidR="0067078A" w:rsidRPr="00DB7D8A" w:rsidRDefault="0067078A" w:rsidP="001935AE">
            <w:pPr>
              <w:pStyle w:val="Lettrine"/>
            </w:pPr>
            <w:r w:rsidRPr="00DB7D8A">
              <w:t>E</w:t>
            </w:r>
          </w:p>
          <w:p w:rsidR="0067078A" w:rsidRPr="00DB7D8A" w:rsidRDefault="0067078A" w:rsidP="001935AE">
            <w:pPr>
              <w:pStyle w:val="Docoriginal"/>
            </w:pPr>
            <w:r w:rsidRPr="00DB7D8A">
              <w:t>C/48/</w:t>
            </w:r>
            <w:bookmarkStart w:id="1" w:name="Code"/>
            <w:bookmarkEnd w:id="1"/>
            <w:r w:rsidR="006C6389" w:rsidRPr="00DB7D8A">
              <w:t>1</w:t>
            </w:r>
            <w:r w:rsidR="00D04BEC" w:rsidRPr="00DB7D8A">
              <w:t>2</w:t>
            </w:r>
          </w:p>
          <w:p w:rsidR="0067078A" w:rsidRPr="00DB7D8A" w:rsidRDefault="0067078A" w:rsidP="001935AE">
            <w:pPr>
              <w:pStyle w:val="Docoriginal"/>
              <w:rPr>
                <w:b w:val="0"/>
                <w:spacing w:val="0"/>
              </w:rPr>
            </w:pPr>
            <w:r w:rsidRPr="00DB7D8A">
              <w:rPr>
                <w:rStyle w:val="StyleDoclangBold"/>
                <w:b/>
                <w:bCs/>
                <w:spacing w:val="0"/>
              </w:rPr>
              <w:t>ORIGINAL:</w:t>
            </w:r>
            <w:r w:rsidRPr="00DB7D8A">
              <w:rPr>
                <w:rStyle w:val="StyleDocoriginalNotBold1"/>
                <w:spacing w:val="0"/>
              </w:rPr>
              <w:t xml:space="preserve"> </w:t>
            </w:r>
            <w:r w:rsidRPr="00DB7D8A">
              <w:t xml:space="preserve"> </w:t>
            </w:r>
            <w:bookmarkStart w:id="2" w:name="Original"/>
            <w:bookmarkEnd w:id="2"/>
            <w:r w:rsidRPr="00DB7D8A">
              <w:rPr>
                <w:b w:val="0"/>
                <w:spacing w:val="0"/>
              </w:rPr>
              <w:t>English</w:t>
            </w:r>
          </w:p>
          <w:p w:rsidR="0067078A" w:rsidRPr="0060702E" w:rsidRDefault="0067078A" w:rsidP="00DB7D8A">
            <w:pPr>
              <w:pStyle w:val="Docoriginal"/>
            </w:pPr>
            <w:r w:rsidRPr="00DB7D8A">
              <w:t xml:space="preserve">DATE: </w:t>
            </w:r>
            <w:r w:rsidRPr="00DB7D8A">
              <w:rPr>
                <w:rStyle w:val="StyleDocoriginalNotBold1"/>
                <w:spacing w:val="0"/>
              </w:rPr>
              <w:t xml:space="preserve"> </w:t>
            </w:r>
            <w:bookmarkStart w:id="3" w:name="Date"/>
            <w:bookmarkEnd w:id="3"/>
            <w:r w:rsidR="00DB7D8A" w:rsidRPr="00DB7D8A">
              <w:rPr>
                <w:b w:val="0"/>
                <w:spacing w:val="0"/>
              </w:rPr>
              <w:t>September 17</w:t>
            </w:r>
            <w:r w:rsidR="002F7A6A" w:rsidRPr="00DB7D8A">
              <w:rPr>
                <w:b w:val="0"/>
                <w:spacing w:val="0"/>
              </w:rPr>
              <w:t>, 2014</w:t>
            </w:r>
            <w:bookmarkStart w:id="4" w:name="_GoBack"/>
            <w:bookmarkEnd w:id="4"/>
          </w:p>
        </w:tc>
      </w:tr>
      <w:tr w:rsidR="0067078A" w:rsidRPr="0060702E" w:rsidTr="001935AE">
        <w:tc>
          <w:tcPr>
            <w:tcW w:w="9534" w:type="dxa"/>
            <w:gridSpan w:val="3"/>
          </w:tcPr>
          <w:p w:rsidR="0067078A" w:rsidRPr="0060702E" w:rsidRDefault="0067078A" w:rsidP="001935AE">
            <w:pPr>
              <w:pStyle w:val="upove"/>
              <w:rPr>
                <w:sz w:val="28"/>
              </w:rPr>
            </w:pPr>
            <w:r w:rsidRPr="0060702E">
              <w:rPr>
                <w:snapToGrid w:val="0"/>
              </w:rPr>
              <w:t xml:space="preserve">INTERNATIONAL UNION FOR THE PROTECTION OF NEW VARIETIES OF PLANTS </w:t>
            </w:r>
          </w:p>
        </w:tc>
      </w:tr>
      <w:tr w:rsidR="0067078A" w:rsidRPr="0060702E" w:rsidTr="001935AE">
        <w:tc>
          <w:tcPr>
            <w:tcW w:w="9534" w:type="dxa"/>
            <w:gridSpan w:val="3"/>
          </w:tcPr>
          <w:p w:rsidR="0067078A" w:rsidRPr="0060702E" w:rsidRDefault="0067078A" w:rsidP="001935AE">
            <w:pPr>
              <w:pStyle w:val="Country"/>
            </w:pPr>
            <w:r w:rsidRPr="0060702E">
              <w:t>Geneva</w:t>
            </w:r>
          </w:p>
        </w:tc>
      </w:tr>
    </w:tbl>
    <w:p w:rsidR="0067078A" w:rsidRPr="0060702E" w:rsidRDefault="0067078A" w:rsidP="0067078A">
      <w:pPr>
        <w:pStyle w:val="Sessiontc"/>
      </w:pPr>
      <w:r w:rsidRPr="0060702E">
        <w:t>COUNCIL</w:t>
      </w:r>
    </w:p>
    <w:p w:rsidR="0067078A" w:rsidRPr="0060702E" w:rsidRDefault="0067078A" w:rsidP="0067078A">
      <w:pPr>
        <w:pStyle w:val="Sessiontcplacedate"/>
      </w:pPr>
      <w:r w:rsidRPr="0060702E">
        <w:t>Forty-Eighth Ordinary Session</w:t>
      </w:r>
      <w:r w:rsidRPr="0060702E">
        <w:br/>
        <w:t>Geneva, October 16, 2014</w:t>
      </w:r>
    </w:p>
    <w:p w:rsidR="000D7780" w:rsidRPr="0060702E" w:rsidRDefault="001D7A75" w:rsidP="006655D3">
      <w:pPr>
        <w:pStyle w:val="Titleofdoc0"/>
      </w:pPr>
      <w:r w:rsidRPr="0060702E">
        <w:t>Performance report for the 2012-</w:t>
      </w:r>
      <w:r w:rsidR="00D04BEC" w:rsidRPr="0060702E">
        <w:t>2013 Biennium</w:t>
      </w:r>
    </w:p>
    <w:p w:rsidR="000D7780" w:rsidRPr="0060702E" w:rsidRDefault="0061555F" w:rsidP="006655D3">
      <w:pPr>
        <w:pStyle w:val="preparedby1"/>
      </w:pPr>
      <w:bookmarkStart w:id="5" w:name="Prepared"/>
      <w:bookmarkEnd w:id="5"/>
      <w:proofErr w:type="gramStart"/>
      <w:r w:rsidRPr="0060702E">
        <w:t>prepared</w:t>
      </w:r>
      <w:proofErr w:type="gramEnd"/>
      <w:r w:rsidRPr="0060702E">
        <w:t xml:space="preserve"> by the Office of the Union</w:t>
      </w:r>
      <w:r w:rsidR="00560A6D" w:rsidRPr="0060702E">
        <w:br/>
      </w:r>
      <w:r w:rsidR="00560A6D" w:rsidRPr="0060702E">
        <w:br/>
      </w:r>
      <w:r w:rsidR="00560A6D" w:rsidRPr="0060702E">
        <w:rPr>
          <w:color w:val="A6A6A6" w:themeColor="background1" w:themeShade="A6"/>
        </w:rPr>
        <w:t>Disclaimer:  this document does not represent UPOV policies or guidance</w:t>
      </w:r>
    </w:p>
    <w:p w:rsidR="002D6F42" w:rsidRPr="0060702E" w:rsidRDefault="002D6F42" w:rsidP="001D7A75"/>
    <w:p w:rsidR="00473FF8" w:rsidRPr="0060702E" w:rsidRDefault="001D7A75" w:rsidP="001D7A75">
      <w:r w:rsidRPr="0060702E">
        <w:t>This document presents the Performance Report for the 2012-2013 Biennium</w:t>
      </w:r>
      <w:r w:rsidR="00172859" w:rsidRPr="0060702E">
        <w:t xml:space="preserve"> </w:t>
      </w:r>
      <w:r w:rsidR="00473FF8" w:rsidRPr="0060702E">
        <w:t>on the basis of the Program and Budget for the 2012-2013 Biennium adopted by the Council (see document C/45/4 Rev.2 “Program and Budget for the 2012-2013 Biennium”).</w:t>
      </w:r>
    </w:p>
    <w:p w:rsidR="00473FF8" w:rsidRPr="0060702E" w:rsidRDefault="00473FF8" w:rsidP="001D7A75"/>
    <w:p w:rsidR="002D6F42" w:rsidRPr="0060702E" w:rsidRDefault="002D6F42">
      <w:pPr>
        <w:jc w:val="left"/>
        <w:rPr>
          <w:snapToGrid w:val="0"/>
          <w:color w:val="000000" w:themeColor="text1"/>
        </w:rPr>
      </w:pPr>
      <w:r w:rsidRPr="0060702E">
        <w:rPr>
          <w:snapToGrid w:val="0"/>
          <w:color w:val="000000" w:themeColor="text1"/>
        </w:rPr>
        <w:br w:type="page"/>
      </w:r>
    </w:p>
    <w:p w:rsidR="002D6F42" w:rsidRPr="0060702E" w:rsidRDefault="002D6F42" w:rsidP="002D6F42">
      <w:pPr>
        <w:jc w:val="center"/>
      </w:pPr>
      <w:bookmarkStart w:id="6" w:name="_Toc207186207"/>
      <w:r w:rsidRPr="0060702E">
        <w:lastRenderedPageBreak/>
        <w:t>RESULTS TABLE</w:t>
      </w:r>
      <w:bookmarkEnd w:id="6"/>
      <w:r w:rsidRPr="0060702E">
        <w:t xml:space="preserve"> FOR THE 2012-2013 BIENNIUM</w:t>
      </w:r>
    </w:p>
    <w:p w:rsidR="002D6F42" w:rsidRPr="0060702E" w:rsidRDefault="002D6F42" w:rsidP="002D6F42">
      <w:pPr>
        <w:jc w:val="center"/>
      </w:pPr>
    </w:p>
    <w:p w:rsidR="002D6F42" w:rsidRPr="0060702E" w:rsidRDefault="002D6F42" w:rsidP="002D6F42">
      <w:pPr>
        <w:jc w:val="center"/>
      </w:pPr>
    </w:p>
    <w:p w:rsidR="002D6F42" w:rsidRPr="0060702E" w:rsidRDefault="002D6F42" w:rsidP="002D6F42">
      <w:pPr>
        <w:jc w:val="center"/>
        <w:rPr>
          <w:u w:val="single"/>
        </w:rPr>
      </w:pPr>
      <w:r w:rsidRPr="0060702E">
        <w:rPr>
          <w:u w:val="single"/>
        </w:rPr>
        <w:t>Table of contents</w:t>
      </w:r>
    </w:p>
    <w:p w:rsidR="002D6F42" w:rsidRPr="0060702E" w:rsidRDefault="002D6F42" w:rsidP="002D6F42"/>
    <w:p w:rsidR="00E3435B" w:rsidRDefault="002D6F42">
      <w:pPr>
        <w:pStyle w:val="TOC3"/>
        <w:tabs>
          <w:tab w:val="left" w:pos="425"/>
        </w:tabs>
        <w:rPr>
          <w:rFonts w:asciiTheme="minorHAnsi" w:eastAsiaTheme="minorEastAsia" w:hAnsiTheme="minorHAnsi" w:cstheme="minorBidi"/>
          <w:b w:val="0"/>
          <w:noProof/>
          <w:sz w:val="22"/>
          <w:szCs w:val="22"/>
          <w:lang w:val="en-US"/>
        </w:rPr>
      </w:pPr>
      <w:r w:rsidRPr="0060702E">
        <w:rPr>
          <w:caps/>
          <w:lang w:val="en-US"/>
        </w:rPr>
        <w:fldChar w:fldCharType="begin"/>
      </w:r>
      <w:r w:rsidRPr="0060702E">
        <w:rPr>
          <w:caps/>
          <w:lang w:val="en-US"/>
        </w:rPr>
        <w:instrText xml:space="preserve"> TOC \o "3-9" \u </w:instrText>
      </w:r>
      <w:r w:rsidRPr="0060702E">
        <w:rPr>
          <w:caps/>
          <w:lang w:val="en-US"/>
        </w:rPr>
        <w:fldChar w:fldCharType="separate"/>
      </w:r>
      <w:r w:rsidR="00E3435B">
        <w:rPr>
          <w:noProof/>
        </w:rPr>
        <w:t>1.</w:t>
      </w:r>
      <w:r w:rsidR="00E3435B">
        <w:rPr>
          <w:rFonts w:asciiTheme="minorHAnsi" w:eastAsiaTheme="minorEastAsia" w:hAnsiTheme="minorHAnsi" w:cstheme="minorBidi"/>
          <w:b w:val="0"/>
          <w:noProof/>
          <w:sz w:val="22"/>
          <w:szCs w:val="22"/>
          <w:lang w:val="en-US"/>
        </w:rPr>
        <w:tab/>
      </w:r>
      <w:r w:rsidR="00E3435B">
        <w:rPr>
          <w:noProof/>
        </w:rPr>
        <w:t>INTRODUCTION</w:t>
      </w:r>
      <w:r w:rsidR="00E3435B">
        <w:rPr>
          <w:noProof/>
        </w:rPr>
        <w:tab/>
      </w:r>
      <w:r w:rsidR="00E3435B">
        <w:rPr>
          <w:noProof/>
        </w:rPr>
        <w:fldChar w:fldCharType="begin"/>
      </w:r>
      <w:r w:rsidR="00E3435B">
        <w:rPr>
          <w:noProof/>
        </w:rPr>
        <w:instrText xml:space="preserve"> PAGEREF _Toc398738920 \h </w:instrText>
      </w:r>
      <w:r w:rsidR="00E3435B">
        <w:rPr>
          <w:noProof/>
        </w:rPr>
      </w:r>
      <w:r w:rsidR="00E3435B">
        <w:rPr>
          <w:noProof/>
        </w:rPr>
        <w:fldChar w:fldCharType="separate"/>
      </w:r>
      <w:r w:rsidR="00217EC3">
        <w:rPr>
          <w:noProof/>
        </w:rPr>
        <w:t>5</w:t>
      </w:r>
      <w:r w:rsidR="00E3435B">
        <w:rPr>
          <w:noProof/>
        </w:rPr>
        <w:fldChar w:fldCharType="end"/>
      </w:r>
    </w:p>
    <w:p w:rsidR="00E3435B" w:rsidRDefault="00E3435B">
      <w:pPr>
        <w:pStyle w:val="TOC3"/>
        <w:tabs>
          <w:tab w:val="left" w:pos="425"/>
        </w:tabs>
        <w:rPr>
          <w:rFonts w:asciiTheme="minorHAnsi" w:eastAsiaTheme="minorEastAsia" w:hAnsiTheme="minorHAnsi" w:cstheme="minorBidi"/>
          <w:b w:val="0"/>
          <w:noProof/>
          <w:sz w:val="22"/>
          <w:szCs w:val="22"/>
          <w:lang w:val="en-US"/>
        </w:rPr>
      </w:pPr>
      <w:r>
        <w:rPr>
          <w:noProof/>
        </w:rPr>
        <w:t>2.</w:t>
      </w:r>
      <w:r>
        <w:rPr>
          <w:rFonts w:asciiTheme="minorHAnsi" w:eastAsiaTheme="minorEastAsia" w:hAnsiTheme="minorHAnsi" w:cstheme="minorBidi"/>
          <w:b w:val="0"/>
          <w:noProof/>
          <w:sz w:val="22"/>
          <w:szCs w:val="22"/>
          <w:lang w:val="en-US"/>
        </w:rPr>
        <w:tab/>
      </w:r>
      <w:r>
        <w:rPr>
          <w:noProof/>
        </w:rPr>
        <w:t>PROGRAM PERFORMANCE</w:t>
      </w:r>
      <w:r>
        <w:rPr>
          <w:noProof/>
        </w:rPr>
        <w:tab/>
      </w:r>
      <w:r>
        <w:rPr>
          <w:noProof/>
        </w:rPr>
        <w:fldChar w:fldCharType="begin"/>
      </w:r>
      <w:r>
        <w:rPr>
          <w:noProof/>
        </w:rPr>
        <w:instrText xml:space="preserve"> PAGEREF _Toc398738921 \h </w:instrText>
      </w:r>
      <w:r>
        <w:rPr>
          <w:noProof/>
        </w:rPr>
      </w:r>
      <w:r>
        <w:rPr>
          <w:noProof/>
        </w:rPr>
        <w:fldChar w:fldCharType="separate"/>
      </w:r>
      <w:r w:rsidR="00217EC3">
        <w:rPr>
          <w:noProof/>
        </w:rPr>
        <w:t>7</w:t>
      </w:r>
      <w:r>
        <w:rPr>
          <w:noProof/>
        </w:rPr>
        <w:fldChar w:fldCharType="end"/>
      </w:r>
    </w:p>
    <w:p w:rsidR="00E3435B" w:rsidRDefault="00E3435B">
      <w:pPr>
        <w:pStyle w:val="TOC4"/>
        <w:tabs>
          <w:tab w:val="left" w:pos="851"/>
        </w:tabs>
        <w:rPr>
          <w:rFonts w:asciiTheme="minorHAnsi" w:eastAsiaTheme="minorEastAsia" w:hAnsiTheme="minorHAnsi" w:cstheme="minorBidi"/>
          <w:b w:val="0"/>
          <w:smallCaps w:val="0"/>
          <w:sz w:val="22"/>
          <w:szCs w:val="22"/>
          <w:lang w:val="en-US"/>
        </w:rPr>
      </w:pPr>
      <w:r>
        <w:t>2.1</w:t>
      </w:r>
      <w:r>
        <w:rPr>
          <w:rFonts w:asciiTheme="minorHAnsi" w:eastAsiaTheme="minorEastAsia" w:hAnsiTheme="minorHAnsi" w:cstheme="minorBidi"/>
          <w:b w:val="0"/>
          <w:smallCaps w:val="0"/>
          <w:sz w:val="22"/>
          <w:szCs w:val="22"/>
          <w:lang w:val="en-US"/>
        </w:rPr>
        <w:tab/>
      </w:r>
      <w:r>
        <w:t>Sub-program UV.1:  Overall Policy on Plant Variety Protection</w:t>
      </w:r>
      <w:r>
        <w:tab/>
      </w:r>
      <w:r>
        <w:fldChar w:fldCharType="begin"/>
      </w:r>
      <w:r>
        <w:instrText xml:space="preserve"> PAGEREF _Toc398738922 \h </w:instrText>
      </w:r>
      <w:r>
        <w:fldChar w:fldCharType="separate"/>
      </w:r>
      <w:r w:rsidR="00217EC3">
        <w:t>7</w:t>
      </w:r>
      <w:r>
        <w:fldChar w:fldCharType="end"/>
      </w:r>
    </w:p>
    <w:p w:rsidR="00E3435B" w:rsidRDefault="00E3435B">
      <w:pPr>
        <w:pStyle w:val="TOC5"/>
        <w:rPr>
          <w:rFonts w:asciiTheme="minorHAnsi" w:eastAsiaTheme="minorEastAsia" w:hAnsiTheme="minorHAnsi" w:cstheme="minorBidi"/>
          <w:b w:val="0"/>
          <w:sz w:val="22"/>
          <w:szCs w:val="22"/>
          <w:lang w:val="en-US"/>
        </w:rPr>
      </w:pPr>
      <w:r>
        <w:t>Objectives</w:t>
      </w:r>
      <w:r>
        <w:tab/>
      </w:r>
      <w:r>
        <w:fldChar w:fldCharType="begin"/>
      </w:r>
      <w:r>
        <w:instrText xml:space="preserve"> PAGEREF _Toc398738923 \h </w:instrText>
      </w:r>
      <w:r>
        <w:fldChar w:fldCharType="separate"/>
      </w:r>
      <w:r w:rsidR="00217EC3">
        <w:t>7</w:t>
      </w:r>
      <w:r>
        <w:fldChar w:fldCharType="end"/>
      </w:r>
    </w:p>
    <w:p w:rsidR="00E3435B" w:rsidRDefault="00E3435B">
      <w:pPr>
        <w:pStyle w:val="TOC5"/>
        <w:rPr>
          <w:rFonts w:asciiTheme="minorHAnsi" w:eastAsiaTheme="minorEastAsia" w:hAnsiTheme="minorHAnsi" w:cstheme="minorBidi"/>
          <w:b w:val="0"/>
          <w:sz w:val="22"/>
          <w:szCs w:val="22"/>
          <w:lang w:val="en-US"/>
        </w:rPr>
      </w:pPr>
      <w:r>
        <w:t>Results Achieved:  Selected Performance Indicators</w:t>
      </w:r>
      <w:r>
        <w:tab/>
      </w:r>
      <w:r>
        <w:fldChar w:fldCharType="begin"/>
      </w:r>
      <w:r>
        <w:instrText xml:space="preserve"> PAGEREF _Toc398738924 \h </w:instrText>
      </w:r>
      <w:r>
        <w:fldChar w:fldCharType="separate"/>
      </w:r>
      <w:r w:rsidR="00217EC3">
        <w:t>7</w:t>
      </w:r>
      <w:r>
        <w:fldChar w:fldCharType="end"/>
      </w:r>
    </w:p>
    <w:p w:rsidR="00E3435B" w:rsidRDefault="00E3435B">
      <w:pPr>
        <w:pStyle w:val="TOC6"/>
        <w:rPr>
          <w:rFonts w:asciiTheme="minorHAnsi" w:eastAsiaTheme="minorEastAsia" w:hAnsiTheme="minorHAnsi" w:cstheme="minorBidi"/>
          <w:caps w:val="0"/>
          <w:sz w:val="22"/>
          <w:szCs w:val="22"/>
        </w:rPr>
      </w:pPr>
      <w:r>
        <w:t>1.  ORGANIZATION OF COUNCIL AND CONSULTATIVE COMMITTEE SESSIONS</w:t>
      </w:r>
      <w:r>
        <w:tab/>
      </w:r>
      <w:r>
        <w:fldChar w:fldCharType="begin"/>
      </w:r>
      <w:r>
        <w:instrText xml:space="preserve"> PAGEREF _Toc398738925 \h </w:instrText>
      </w:r>
      <w:r>
        <w:fldChar w:fldCharType="separate"/>
      </w:r>
      <w:r w:rsidR="00217EC3">
        <w:t>7</w:t>
      </w:r>
      <w:r>
        <w:fldChar w:fldCharType="end"/>
      </w:r>
    </w:p>
    <w:p w:rsidR="00E3435B" w:rsidRDefault="00E3435B">
      <w:pPr>
        <w:pStyle w:val="TOC8"/>
        <w:rPr>
          <w:rFonts w:asciiTheme="minorHAnsi" w:eastAsiaTheme="minorEastAsia" w:hAnsiTheme="minorHAnsi" w:cstheme="minorBidi"/>
          <w:sz w:val="22"/>
          <w:szCs w:val="22"/>
        </w:rPr>
      </w:pPr>
      <w:r>
        <w:t>(a)  Participation in the sessions of the Council and the Consultative Committee</w:t>
      </w:r>
      <w:r>
        <w:tab/>
      </w:r>
      <w:r>
        <w:fldChar w:fldCharType="begin"/>
      </w:r>
      <w:r>
        <w:instrText xml:space="preserve"> PAGEREF _Toc398738926 \h </w:instrText>
      </w:r>
      <w:r>
        <w:fldChar w:fldCharType="separate"/>
      </w:r>
      <w:r w:rsidR="00217EC3">
        <w:t>7</w:t>
      </w:r>
      <w:r>
        <w:fldChar w:fldCharType="end"/>
      </w:r>
    </w:p>
    <w:p w:rsidR="00E3435B" w:rsidRDefault="00E3435B">
      <w:pPr>
        <w:pStyle w:val="TOC9"/>
        <w:rPr>
          <w:rFonts w:asciiTheme="minorHAnsi" w:eastAsiaTheme="minorEastAsia" w:hAnsiTheme="minorHAnsi" w:cstheme="minorBidi"/>
          <w:sz w:val="22"/>
          <w:szCs w:val="22"/>
        </w:rPr>
      </w:pPr>
      <w:r>
        <w:t>Figure 1.  Participation in Ordinary Sessions of the Council (October sessions)</w:t>
      </w:r>
      <w:r>
        <w:tab/>
      </w:r>
      <w:r>
        <w:fldChar w:fldCharType="begin"/>
      </w:r>
      <w:r>
        <w:instrText xml:space="preserve"> PAGEREF _Toc398738927 \h </w:instrText>
      </w:r>
      <w:r>
        <w:fldChar w:fldCharType="separate"/>
      </w:r>
      <w:r w:rsidR="00217EC3">
        <w:t>7</w:t>
      </w:r>
      <w:r>
        <w:fldChar w:fldCharType="end"/>
      </w:r>
    </w:p>
    <w:p w:rsidR="00E3435B" w:rsidRDefault="00E3435B">
      <w:pPr>
        <w:pStyle w:val="TOC9"/>
        <w:rPr>
          <w:rFonts w:asciiTheme="minorHAnsi" w:eastAsiaTheme="minorEastAsia" w:hAnsiTheme="minorHAnsi" w:cstheme="minorBidi"/>
          <w:sz w:val="22"/>
          <w:szCs w:val="22"/>
        </w:rPr>
      </w:pPr>
      <w:r>
        <w:t>Figure 2.  Participation</w:t>
      </w:r>
      <w:r w:rsidRPr="00610BEE">
        <w:rPr>
          <w:vertAlign w:val="superscript"/>
        </w:rPr>
        <w:t>*</w:t>
      </w:r>
      <w:r>
        <w:t xml:space="preserve"> in Extraordinary Sessions of the Council (April sessions)</w:t>
      </w:r>
      <w:r>
        <w:tab/>
      </w:r>
      <w:r>
        <w:fldChar w:fldCharType="begin"/>
      </w:r>
      <w:r>
        <w:instrText xml:space="preserve"> PAGEREF _Toc398738928 \h </w:instrText>
      </w:r>
      <w:r>
        <w:fldChar w:fldCharType="separate"/>
      </w:r>
      <w:r w:rsidR="00217EC3">
        <w:t>7</w:t>
      </w:r>
      <w:r>
        <w:fldChar w:fldCharType="end"/>
      </w:r>
    </w:p>
    <w:p w:rsidR="00E3435B" w:rsidRDefault="00E3435B">
      <w:pPr>
        <w:pStyle w:val="TOC9"/>
        <w:rPr>
          <w:rFonts w:asciiTheme="minorHAnsi" w:eastAsiaTheme="minorEastAsia" w:hAnsiTheme="minorHAnsi" w:cstheme="minorBidi"/>
          <w:sz w:val="22"/>
          <w:szCs w:val="22"/>
        </w:rPr>
      </w:pPr>
      <w:r>
        <w:t>Figure 3.  Participation</w:t>
      </w:r>
      <w:r w:rsidRPr="00610BEE">
        <w:rPr>
          <w:vertAlign w:val="superscript"/>
        </w:rPr>
        <w:t>*</w:t>
      </w:r>
      <w:r>
        <w:t xml:space="preserve"> in Consultative Committee Sessions</w:t>
      </w:r>
      <w:r>
        <w:tab/>
      </w:r>
      <w:r>
        <w:fldChar w:fldCharType="begin"/>
      </w:r>
      <w:r>
        <w:instrText xml:space="preserve"> PAGEREF _Toc398738929 \h </w:instrText>
      </w:r>
      <w:r>
        <w:fldChar w:fldCharType="separate"/>
      </w:r>
      <w:r w:rsidR="00217EC3">
        <w:t>7</w:t>
      </w:r>
      <w:r>
        <w:fldChar w:fldCharType="end"/>
      </w:r>
    </w:p>
    <w:p w:rsidR="00E3435B" w:rsidRDefault="00E3435B">
      <w:pPr>
        <w:pStyle w:val="TOC6"/>
        <w:rPr>
          <w:rFonts w:asciiTheme="minorHAnsi" w:eastAsiaTheme="minorEastAsia" w:hAnsiTheme="minorHAnsi" w:cstheme="minorBidi"/>
          <w:caps w:val="0"/>
          <w:sz w:val="22"/>
          <w:szCs w:val="22"/>
        </w:rPr>
      </w:pPr>
      <w:r>
        <w:t>2.  Coordination, monitoring and performance assessment of Program and Budget for the 2012-2013 Biennium</w:t>
      </w:r>
      <w:r>
        <w:tab/>
      </w:r>
      <w:r>
        <w:fldChar w:fldCharType="begin"/>
      </w:r>
      <w:r>
        <w:instrText xml:space="preserve"> PAGEREF _Toc398738930 \h </w:instrText>
      </w:r>
      <w:r>
        <w:fldChar w:fldCharType="separate"/>
      </w:r>
      <w:r w:rsidR="00217EC3">
        <w:t>8</w:t>
      </w:r>
      <w:r>
        <w:fldChar w:fldCharType="end"/>
      </w:r>
    </w:p>
    <w:p w:rsidR="00E3435B" w:rsidRDefault="00E3435B">
      <w:pPr>
        <w:pStyle w:val="TOC8"/>
        <w:rPr>
          <w:rFonts w:asciiTheme="minorHAnsi" w:eastAsiaTheme="minorEastAsia" w:hAnsiTheme="minorHAnsi" w:cstheme="minorBidi"/>
          <w:sz w:val="22"/>
          <w:szCs w:val="22"/>
        </w:rPr>
      </w:pPr>
      <w:r>
        <w:t>(a)  Delivery of program within budget for the 2012-2013 Biennium</w:t>
      </w:r>
      <w:r>
        <w:tab/>
      </w:r>
      <w:r>
        <w:fldChar w:fldCharType="begin"/>
      </w:r>
      <w:r>
        <w:instrText xml:space="preserve"> PAGEREF _Toc398738931 \h </w:instrText>
      </w:r>
      <w:r>
        <w:fldChar w:fldCharType="separate"/>
      </w:r>
      <w:r w:rsidR="00217EC3">
        <w:t>8</w:t>
      </w:r>
      <w:r>
        <w:fldChar w:fldCharType="end"/>
      </w:r>
    </w:p>
    <w:p w:rsidR="00E3435B" w:rsidRDefault="00E3435B">
      <w:pPr>
        <w:pStyle w:val="TOC6"/>
        <w:rPr>
          <w:rFonts w:asciiTheme="minorHAnsi" w:eastAsiaTheme="minorEastAsia" w:hAnsiTheme="minorHAnsi" w:cstheme="minorBidi"/>
          <w:caps w:val="0"/>
          <w:sz w:val="22"/>
          <w:szCs w:val="22"/>
        </w:rPr>
      </w:pPr>
      <w:r>
        <w:t>3.  Preparation and adoption of the Program and Budget for the 2014</w:t>
      </w:r>
      <w:r>
        <w:noBreakHyphen/>
        <w:t>2015 Biennium</w:t>
      </w:r>
      <w:r>
        <w:tab/>
      </w:r>
      <w:r>
        <w:fldChar w:fldCharType="begin"/>
      </w:r>
      <w:r>
        <w:instrText xml:space="preserve"> PAGEREF _Toc398738932 \h </w:instrText>
      </w:r>
      <w:r>
        <w:fldChar w:fldCharType="separate"/>
      </w:r>
      <w:r w:rsidR="00217EC3">
        <w:t>8</w:t>
      </w:r>
      <w:r>
        <w:fldChar w:fldCharType="end"/>
      </w:r>
    </w:p>
    <w:p w:rsidR="00E3435B" w:rsidRDefault="00E3435B">
      <w:pPr>
        <w:pStyle w:val="TOC8"/>
        <w:rPr>
          <w:rFonts w:asciiTheme="minorHAnsi" w:eastAsiaTheme="minorEastAsia" w:hAnsiTheme="minorHAnsi" w:cstheme="minorBidi"/>
          <w:sz w:val="22"/>
          <w:szCs w:val="22"/>
        </w:rPr>
      </w:pPr>
      <w:r>
        <w:t>(a)  Preparation and adoption of the Program and Budget for the 2014-2015 Biennium in accordance with the “Financial Regulations and Rules of UPOV”</w:t>
      </w:r>
      <w:r>
        <w:tab/>
      </w:r>
      <w:r>
        <w:fldChar w:fldCharType="begin"/>
      </w:r>
      <w:r>
        <w:instrText xml:space="preserve"> PAGEREF _Toc398738933 \h </w:instrText>
      </w:r>
      <w:r>
        <w:fldChar w:fldCharType="separate"/>
      </w:r>
      <w:r w:rsidR="00217EC3">
        <w:t>8</w:t>
      </w:r>
      <w:r>
        <w:fldChar w:fldCharType="end"/>
      </w:r>
    </w:p>
    <w:p w:rsidR="00E3435B" w:rsidRDefault="00E3435B">
      <w:pPr>
        <w:pStyle w:val="TOC6"/>
        <w:rPr>
          <w:rFonts w:asciiTheme="minorHAnsi" w:eastAsiaTheme="minorEastAsia" w:hAnsiTheme="minorHAnsi" w:cstheme="minorBidi"/>
          <w:caps w:val="0"/>
          <w:sz w:val="22"/>
          <w:szCs w:val="22"/>
        </w:rPr>
      </w:pPr>
      <w:r>
        <w:t>4.  Council policy</w:t>
      </w:r>
      <w:r>
        <w:tab/>
      </w:r>
      <w:r>
        <w:fldChar w:fldCharType="begin"/>
      </w:r>
      <w:r>
        <w:instrText xml:space="preserve"> PAGEREF _Toc398738934 \h </w:instrText>
      </w:r>
      <w:r>
        <w:fldChar w:fldCharType="separate"/>
      </w:r>
      <w:r w:rsidR="00217EC3">
        <w:t>8</w:t>
      </w:r>
      <w:r>
        <w:fldChar w:fldCharType="end"/>
      </w:r>
    </w:p>
    <w:p w:rsidR="00E3435B" w:rsidRDefault="00E3435B">
      <w:pPr>
        <w:pStyle w:val="TOC8"/>
        <w:rPr>
          <w:rFonts w:asciiTheme="minorHAnsi" w:eastAsiaTheme="minorEastAsia" w:hAnsiTheme="minorHAnsi" w:cstheme="minorBidi"/>
          <w:sz w:val="22"/>
          <w:szCs w:val="22"/>
        </w:rPr>
      </w:pPr>
      <w:r>
        <w:t>(a)  Recommendations by the Consultative Committee, and decisions by the Council</w:t>
      </w:r>
      <w:r>
        <w:tab/>
      </w:r>
      <w:r>
        <w:fldChar w:fldCharType="begin"/>
      </w:r>
      <w:r>
        <w:instrText xml:space="preserve"> PAGEREF _Toc398738935 \h </w:instrText>
      </w:r>
      <w:r>
        <w:fldChar w:fldCharType="separate"/>
      </w:r>
      <w:r w:rsidR="00217EC3">
        <w:t>8</w:t>
      </w:r>
      <w:r>
        <w:fldChar w:fldCharType="end"/>
      </w:r>
    </w:p>
    <w:p w:rsidR="00E3435B" w:rsidRDefault="00E3435B">
      <w:pPr>
        <w:pStyle w:val="TOC8"/>
        <w:rPr>
          <w:rFonts w:asciiTheme="minorHAnsi" w:eastAsiaTheme="minorEastAsia" w:hAnsiTheme="minorHAnsi" w:cstheme="minorBidi"/>
          <w:sz w:val="22"/>
          <w:szCs w:val="22"/>
        </w:rPr>
      </w:pPr>
      <w:r>
        <w:t>(b)  Other decisions by the Council</w:t>
      </w:r>
      <w:r>
        <w:tab/>
      </w:r>
      <w:r>
        <w:fldChar w:fldCharType="begin"/>
      </w:r>
      <w:r>
        <w:instrText xml:space="preserve"> PAGEREF _Toc398738936 \h </w:instrText>
      </w:r>
      <w:r>
        <w:fldChar w:fldCharType="separate"/>
      </w:r>
      <w:r w:rsidR="00217EC3">
        <w:t>8</w:t>
      </w:r>
      <w:r>
        <w:fldChar w:fldCharType="end"/>
      </w:r>
    </w:p>
    <w:p w:rsidR="00E3435B" w:rsidRDefault="00E3435B">
      <w:pPr>
        <w:pStyle w:val="TOC8"/>
        <w:rPr>
          <w:rFonts w:asciiTheme="minorHAnsi" w:eastAsiaTheme="minorEastAsia" w:hAnsiTheme="minorHAnsi" w:cstheme="minorBidi"/>
          <w:sz w:val="22"/>
          <w:szCs w:val="22"/>
        </w:rPr>
      </w:pPr>
      <w:r>
        <w:t>(c)  Other work of the Consultative Committee</w:t>
      </w:r>
      <w:r>
        <w:tab/>
      </w:r>
      <w:r>
        <w:fldChar w:fldCharType="begin"/>
      </w:r>
      <w:r>
        <w:instrText xml:space="preserve"> PAGEREF _Toc398738937 \h </w:instrText>
      </w:r>
      <w:r>
        <w:fldChar w:fldCharType="separate"/>
      </w:r>
      <w:r w:rsidR="00217EC3">
        <w:t>9</w:t>
      </w:r>
      <w:r>
        <w:fldChar w:fldCharType="end"/>
      </w:r>
    </w:p>
    <w:p w:rsidR="00E3435B" w:rsidRDefault="00E3435B">
      <w:pPr>
        <w:pStyle w:val="TOC8"/>
        <w:rPr>
          <w:rFonts w:asciiTheme="minorHAnsi" w:eastAsiaTheme="minorEastAsia" w:hAnsiTheme="minorHAnsi" w:cstheme="minorBidi"/>
          <w:sz w:val="22"/>
          <w:szCs w:val="22"/>
        </w:rPr>
      </w:pPr>
      <w:r>
        <w:t>(d)  Adoption of information and position papers by the Council</w:t>
      </w:r>
      <w:r>
        <w:tab/>
      </w:r>
      <w:r>
        <w:fldChar w:fldCharType="begin"/>
      </w:r>
      <w:r>
        <w:instrText xml:space="preserve"> PAGEREF _Toc398738938 \h </w:instrText>
      </w:r>
      <w:r>
        <w:fldChar w:fldCharType="separate"/>
      </w:r>
      <w:r w:rsidR="00217EC3">
        <w:t>9</w:t>
      </w:r>
      <w:r>
        <w:fldChar w:fldCharType="end"/>
      </w:r>
    </w:p>
    <w:p w:rsidR="00E3435B" w:rsidRDefault="00E3435B">
      <w:pPr>
        <w:pStyle w:val="TOC4"/>
        <w:tabs>
          <w:tab w:val="left" w:pos="851"/>
        </w:tabs>
        <w:rPr>
          <w:rFonts w:asciiTheme="minorHAnsi" w:eastAsiaTheme="minorEastAsia" w:hAnsiTheme="minorHAnsi" w:cstheme="minorBidi"/>
          <w:b w:val="0"/>
          <w:smallCaps w:val="0"/>
          <w:sz w:val="22"/>
          <w:szCs w:val="22"/>
          <w:lang w:val="en-US"/>
        </w:rPr>
      </w:pPr>
      <w:r>
        <w:t>2.2</w:t>
      </w:r>
      <w:r>
        <w:rPr>
          <w:rFonts w:asciiTheme="minorHAnsi" w:eastAsiaTheme="minorEastAsia" w:hAnsiTheme="minorHAnsi" w:cstheme="minorBidi"/>
          <w:b w:val="0"/>
          <w:smallCaps w:val="0"/>
          <w:sz w:val="22"/>
          <w:szCs w:val="22"/>
          <w:lang w:val="en-US"/>
        </w:rPr>
        <w:tab/>
      </w:r>
      <w:r>
        <w:t>Sub-program UV.2:  Services to the Union for enhancing the Effectiveness of the UPOV System</w:t>
      </w:r>
      <w:r>
        <w:tab/>
      </w:r>
      <w:r>
        <w:fldChar w:fldCharType="begin"/>
      </w:r>
      <w:r>
        <w:instrText xml:space="preserve"> PAGEREF _Toc398738939 \h </w:instrText>
      </w:r>
      <w:r>
        <w:fldChar w:fldCharType="separate"/>
      </w:r>
      <w:r w:rsidR="00217EC3">
        <w:t>10</w:t>
      </w:r>
      <w:r>
        <w:fldChar w:fldCharType="end"/>
      </w:r>
    </w:p>
    <w:p w:rsidR="00E3435B" w:rsidRDefault="00E3435B">
      <w:pPr>
        <w:pStyle w:val="TOC5"/>
        <w:rPr>
          <w:rFonts w:asciiTheme="minorHAnsi" w:eastAsiaTheme="minorEastAsia" w:hAnsiTheme="minorHAnsi" w:cstheme="minorBidi"/>
          <w:b w:val="0"/>
          <w:sz w:val="22"/>
          <w:szCs w:val="22"/>
          <w:lang w:val="en-US"/>
        </w:rPr>
      </w:pPr>
      <w:r>
        <w:t>Objectives</w:t>
      </w:r>
      <w:r>
        <w:tab/>
      </w:r>
      <w:r>
        <w:fldChar w:fldCharType="begin"/>
      </w:r>
      <w:r>
        <w:instrText xml:space="preserve"> PAGEREF _Toc398738940 \h </w:instrText>
      </w:r>
      <w:r>
        <w:fldChar w:fldCharType="separate"/>
      </w:r>
      <w:r w:rsidR="00217EC3">
        <w:t>10</w:t>
      </w:r>
      <w:r>
        <w:fldChar w:fldCharType="end"/>
      </w:r>
    </w:p>
    <w:p w:rsidR="00E3435B" w:rsidRDefault="00E3435B">
      <w:pPr>
        <w:pStyle w:val="TOC5"/>
        <w:rPr>
          <w:rFonts w:asciiTheme="minorHAnsi" w:eastAsiaTheme="minorEastAsia" w:hAnsiTheme="minorHAnsi" w:cstheme="minorBidi"/>
          <w:b w:val="0"/>
          <w:sz w:val="22"/>
          <w:szCs w:val="22"/>
          <w:lang w:val="en-US"/>
        </w:rPr>
      </w:pPr>
      <w:r>
        <w:t>Results Achieved:  Selected Performance Indicators</w:t>
      </w:r>
      <w:r>
        <w:tab/>
      </w:r>
      <w:r>
        <w:fldChar w:fldCharType="begin"/>
      </w:r>
      <w:r>
        <w:instrText xml:space="preserve"> PAGEREF _Toc398738941 \h </w:instrText>
      </w:r>
      <w:r>
        <w:fldChar w:fldCharType="separate"/>
      </w:r>
      <w:r w:rsidR="00217EC3">
        <w:t>10</w:t>
      </w:r>
      <w:r>
        <w:fldChar w:fldCharType="end"/>
      </w:r>
    </w:p>
    <w:p w:rsidR="00E3435B" w:rsidRDefault="00E3435B">
      <w:pPr>
        <w:pStyle w:val="TOC6"/>
        <w:rPr>
          <w:rFonts w:asciiTheme="minorHAnsi" w:eastAsiaTheme="minorEastAsia" w:hAnsiTheme="minorHAnsi" w:cstheme="minorBidi"/>
          <w:caps w:val="0"/>
          <w:sz w:val="22"/>
          <w:szCs w:val="22"/>
        </w:rPr>
      </w:pPr>
      <w:r>
        <w:t>1.  Guidance on the UPOV Convention and its implementation and information on its application</w:t>
      </w:r>
      <w:r>
        <w:tab/>
      </w:r>
      <w:r>
        <w:fldChar w:fldCharType="begin"/>
      </w:r>
      <w:r>
        <w:instrText xml:space="preserve"> PAGEREF _Toc398738942 \h </w:instrText>
      </w:r>
      <w:r>
        <w:fldChar w:fldCharType="separate"/>
      </w:r>
      <w:r w:rsidR="00217EC3">
        <w:t>10</w:t>
      </w:r>
      <w:r>
        <w:fldChar w:fldCharType="end"/>
      </w:r>
    </w:p>
    <w:p w:rsidR="00E3435B" w:rsidRDefault="00E3435B">
      <w:pPr>
        <w:pStyle w:val="TOC8"/>
        <w:rPr>
          <w:rFonts w:asciiTheme="minorHAnsi" w:eastAsiaTheme="minorEastAsia" w:hAnsiTheme="minorHAnsi" w:cstheme="minorBidi"/>
          <w:sz w:val="22"/>
          <w:szCs w:val="22"/>
        </w:rPr>
      </w:pPr>
      <w:r>
        <w:t>(a)  Adoption of new or revised information materials concerning the UPOV Convention</w:t>
      </w:r>
      <w:r>
        <w:tab/>
      </w:r>
      <w:r>
        <w:fldChar w:fldCharType="begin"/>
      </w:r>
      <w:r>
        <w:instrText xml:space="preserve"> PAGEREF _Toc398738943 \h </w:instrText>
      </w:r>
      <w:r>
        <w:fldChar w:fldCharType="separate"/>
      </w:r>
      <w:r w:rsidR="00217EC3">
        <w:t>10</w:t>
      </w:r>
      <w:r>
        <w:fldChar w:fldCharType="end"/>
      </w:r>
    </w:p>
    <w:p w:rsidR="00E3435B" w:rsidRDefault="00E3435B">
      <w:pPr>
        <w:pStyle w:val="TOC8"/>
        <w:rPr>
          <w:rFonts w:asciiTheme="minorHAnsi" w:eastAsiaTheme="minorEastAsia" w:hAnsiTheme="minorHAnsi" w:cstheme="minorBidi"/>
          <w:sz w:val="22"/>
          <w:szCs w:val="22"/>
        </w:rPr>
      </w:pPr>
      <w:r>
        <w:t>(b)  Publication of the UPOV Gazette and Newsletter</w:t>
      </w:r>
      <w:r>
        <w:tab/>
      </w:r>
      <w:r>
        <w:fldChar w:fldCharType="begin"/>
      </w:r>
      <w:r>
        <w:instrText xml:space="preserve"> PAGEREF _Toc398738944 \h </w:instrText>
      </w:r>
      <w:r>
        <w:fldChar w:fldCharType="separate"/>
      </w:r>
      <w:r w:rsidR="00217EC3">
        <w:t>11</w:t>
      </w:r>
      <w:r>
        <w:fldChar w:fldCharType="end"/>
      </w:r>
    </w:p>
    <w:p w:rsidR="00E3435B" w:rsidRDefault="00E3435B">
      <w:pPr>
        <w:pStyle w:val="TOC8"/>
        <w:rPr>
          <w:rFonts w:asciiTheme="minorHAnsi" w:eastAsiaTheme="minorEastAsia" w:hAnsiTheme="minorHAnsi" w:cstheme="minorBidi"/>
          <w:sz w:val="22"/>
          <w:szCs w:val="22"/>
        </w:rPr>
      </w:pPr>
      <w:r>
        <w:t>(c)  Inclusion of laws of members of the Union in UPOV Lex database</w:t>
      </w:r>
      <w:r>
        <w:tab/>
      </w:r>
      <w:r>
        <w:fldChar w:fldCharType="begin"/>
      </w:r>
      <w:r>
        <w:instrText xml:space="preserve"> PAGEREF _Toc398738945 \h </w:instrText>
      </w:r>
      <w:r>
        <w:fldChar w:fldCharType="separate"/>
      </w:r>
      <w:r w:rsidR="00217EC3">
        <w:t>11</w:t>
      </w:r>
      <w:r>
        <w:fldChar w:fldCharType="end"/>
      </w:r>
    </w:p>
    <w:p w:rsidR="00E3435B" w:rsidRDefault="00E3435B">
      <w:pPr>
        <w:pStyle w:val="TOC8"/>
        <w:rPr>
          <w:rFonts w:asciiTheme="minorHAnsi" w:eastAsiaTheme="minorEastAsia" w:hAnsiTheme="minorHAnsi" w:cstheme="minorBidi"/>
          <w:sz w:val="22"/>
          <w:szCs w:val="22"/>
        </w:rPr>
      </w:pPr>
      <w:r>
        <w:t>UPOV Lex database:  visits to the UPOV Website</w:t>
      </w:r>
      <w:r w:rsidRPr="00610BEE">
        <w:rPr>
          <w:b/>
        </w:rPr>
        <w:t xml:space="preserve"> </w:t>
      </w:r>
      <w:r>
        <w:t>in 2013</w:t>
      </w:r>
      <w:r>
        <w:tab/>
      </w:r>
      <w:r>
        <w:fldChar w:fldCharType="begin"/>
      </w:r>
      <w:r>
        <w:instrText xml:space="preserve"> PAGEREF _Toc398738946 \h </w:instrText>
      </w:r>
      <w:r>
        <w:fldChar w:fldCharType="separate"/>
      </w:r>
      <w:r w:rsidR="00217EC3">
        <w:t>11</w:t>
      </w:r>
      <w:r>
        <w:fldChar w:fldCharType="end"/>
      </w:r>
    </w:p>
    <w:p w:rsidR="00E3435B" w:rsidRDefault="00E3435B">
      <w:pPr>
        <w:pStyle w:val="TOC8"/>
        <w:rPr>
          <w:rFonts w:asciiTheme="minorHAnsi" w:eastAsiaTheme="minorEastAsia" w:hAnsiTheme="minorHAnsi" w:cstheme="minorBidi"/>
          <w:sz w:val="22"/>
          <w:szCs w:val="22"/>
        </w:rPr>
      </w:pPr>
      <w:r>
        <w:t>(d)  Participation in seminars and symposia held in Geneva in conjunction with UPOV sessions</w:t>
      </w:r>
      <w:r>
        <w:tab/>
      </w:r>
      <w:r>
        <w:fldChar w:fldCharType="begin"/>
      </w:r>
      <w:r>
        <w:instrText xml:space="preserve"> PAGEREF _Toc398738947 \h </w:instrText>
      </w:r>
      <w:r>
        <w:fldChar w:fldCharType="separate"/>
      </w:r>
      <w:r w:rsidR="00217EC3">
        <w:t>11</w:t>
      </w:r>
      <w:r>
        <w:fldChar w:fldCharType="end"/>
      </w:r>
    </w:p>
    <w:p w:rsidR="00E3435B" w:rsidRDefault="00E3435B">
      <w:pPr>
        <w:pStyle w:val="TOC6"/>
        <w:rPr>
          <w:rFonts w:asciiTheme="minorHAnsi" w:eastAsiaTheme="minorEastAsia" w:hAnsiTheme="minorHAnsi" w:cstheme="minorBidi"/>
          <w:caps w:val="0"/>
          <w:sz w:val="22"/>
          <w:szCs w:val="22"/>
        </w:rPr>
      </w:pPr>
      <w:r>
        <w:t>2.  Guidance on the examination of varieties</w:t>
      </w:r>
      <w:r>
        <w:tab/>
      </w:r>
      <w:r>
        <w:fldChar w:fldCharType="begin"/>
      </w:r>
      <w:r>
        <w:instrText xml:space="preserve"> PAGEREF _Toc398738948 \h </w:instrText>
      </w:r>
      <w:r>
        <w:fldChar w:fldCharType="separate"/>
      </w:r>
      <w:r w:rsidR="00217EC3">
        <w:t>12</w:t>
      </w:r>
      <w:r>
        <w:fldChar w:fldCharType="end"/>
      </w:r>
    </w:p>
    <w:p w:rsidR="00E3435B" w:rsidRDefault="00E3435B">
      <w:pPr>
        <w:pStyle w:val="TOC8"/>
        <w:rPr>
          <w:rFonts w:asciiTheme="minorHAnsi" w:eastAsiaTheme="minorEastAsia" w:hAnsiTheme="minorHAnsi" w:cstheme="minorBidi"/>
          <w:sz w:val="22"/>
          <w:szCs w:val="22"/>
        </w:rPr>
      </w:pPr>
      <w:r>
        <w:t>(a)  Adoption of new or revised TGP documents and information materials</w:t>
      </w:r>
      <w:r>
        <w:tab/>
      </w:r>
      <w:r>
        <w:fldChar w:fldCharType="begin"/>
      </w:r>
      <w:r>
        <w:instrText xml:space="preserve"> PAGEREF _Toc398738949 \h </w:instrText>
      </w:r>
      <w:r>
        <w:fldChar w:fldCharType="separate"/>
      </w:r>
      <w:r w:rsidR="00217EC3">
        <w:t>12</w:t>
      </w:r>
      <w:r>
        <w:fldChar w:fldCharType="end"/>
      </w:r>
    </w:p>
    <w:p w:rsidR="00E3435B" w:rsidRDefault="00E3435B">
      <w:pPr>
        <w:pStyle w:val="TOC8"/>
        <w:rPr>
          <w:rFonts w:asciiTheme="minorHAnsi" w:eastAsiaTheme="minorEastAsia" w:hAnsiTheme="minorHAnsi" w:cstheme="minorBidi"/>
          <w:sz w:val="22"/>
          <w:szCs w:val="22"/>
        </w:rPr>
      </w:pPr>
      <w:r>
        <w:t>(b)  Adoption of new or revised Test Guidelines</w:t>
      </w:r>
      <w:r>
        <w:tab/>
      </w:r>
      <w:r>
        <w:fldChar w:fldCharType="begin"/>
      </w:r>
      <w:r>
        <w:instrText xml:space="preserve"> PAGEREF _Toc398738950 \h </w:instrText>
      </w:r>
      <w:r>
        <w:fldChar w:fldCharType="separate"/>
      </w:r>
      <w:r w:rsidR="00217EC3">
        <w:t>12</w:t>
      </w:r>
      <w:r>
        <w:fldChar w:fldCharType="end"/>
      </w:r>
    </w:p>
    <w:p w:rsidR="00E3435B" w:rsidRDefault="00E3435B">
      <w:pPr>
        <w:pStyle w:val="TOC8"/>
        <w:rPr>
          <w:rFonts w:asciiTheme="minorHAnsi" w:eastAsiaTheme="minorEastAsia" w:hAnsiTheme="minorHAnsi" w:cstheme="minorBidi"/>
          <w:sz w:val="22"/>
          <w:szCs w:val="22"/>
        </w:rPr>
      </w:pPr>
      <w:r w:rsidRPr="00610BEE">
        <w:rPr>
          <w:rFonts w:eastAsiaTheme="minorEastAsia"/>
        </w:rPr>
        <w:t>Test Guidelines:  visits to the UPOV Website in 2013</w:t>
      </w:r>
      <w:r>
        <w:tab/>
      </w:r>
      <w:r>
        <w:fldChar w:fldCharType="begin"/>
      </w:r>
      <w:r>
        <w:instrText xml:space="preserve"> PAGEREF _Toc398738951 \h </w:instrText>
      </w:r>
      <w:r>
        <w:fldChar w:fldCharType="separate"/>
      </w:r>
      <w:r w:rsidR="00217EC3">
        <w:t>13</w:t>
      </w:r>
      <w:r>
        <w:fldChar w:fldCharType="end"/>
      </w:r>
    </w:p>
    <w:p w:rsidR="00E3435B" w:rsidRDefault="00E3435B">
      <w:pPr>
        <w:pStyle w:val="TOC9"/>
        <w:rPr>
          <w:rFonts w:asciiTheme="minorHAnsi" w:eastAsiaTheme="minorEastAsia" w:hAnsiTheme="minorHAnsi" w:cstheme="minorBidi"/>
          <w:sz w:val="22"/>
          <w:szCs w:val="22"/>
        </w:rPr>
      </w:pPr>
      <w:r>
        <w:t>Figure 4.  Adoption of Test Guidelines</w:t>
      </w:r>
      <w:r>
        <w:tab/>
      </w:r>
      <w:r>
        <w:fldChar w:fldCharType="begin"/>
      </w:r>
      <w:r>
        <w:instrText xml:space="preserve"> PAGEREF _Toc398738952 \h </w:instrText>
      </w:r>
      <w:r>
        <w:fldChar w:fldCharType="separate"/>
      </w:r>
      <w:r w:rsidR="00217EC3">
        <w:t>13</w:t>
      </w:r>
      <w:r>
        <w:fldChar w:fldCharType="end"/>
      </w:r>
    </w:p>
    <w:p w:rsidR="00E3435B" w:rsidRDefault="00E3435B">
      <w:pPr>
        <w:pStyle w:val="TOC9"/>
        <w:rPr>
          <w:rFonts w:asciiTheme="minorHAnsi" w:eastAsiaTheme="minorEastAsia" w:hAnsiTheme="minorHAnsi" w:cstheme="minorBidi"/>
          <w:sz w:val="22"/>
          <w:szCs w:val="22"/>
        </w:rPr>
      </w:pPr>
      <w:r>
        <w:t>Figure 5.  Draft Test Guidelines discussed in TWPs</w:t>
      </w:r>
      <w:r>
        <w:tab/>
      </w:r>
      <w:r>
        <w:fldChar w:fldCharType="begin"/>
      </w:r>
      <w:r>
        <w:instrText xml:space="preserve"> PAGEREF _Toc398738953 \h </w:instrText>
      </w:r>
      <w:r>
        <w:fldChar w:fldCharType="separate"/>
      </w:r>
      <w:r w:rsidR="00217EC3">
        <w:t>13</w:t>
      </w:r>
      <w:r>
        <w:fldChar w:fldCharType="end"/>
      </w:r>
    </w:p>
    <w:p w:rsidR="00E3435B" w:rsidRDefault="00E3435B">
      <w:pPr>
        <w:pStyle w:val="TOC9"/>
        <w:rPr>
          <w:rFonts w:asciiTheme="minorHAnsi" w:eastAsiaTheme="minorEastAsia" w:hAnsiTheme="minorHAnsi" w:cstheme="minorBidi"/>
          <w:sz w:val="22"/>
          <w:szCs w:val="22"/>
        </w:rPr>
      </w:pPr>
      <w:r>
        <w:t>Figure 6.  Plant Breeders’ Rights Entries in Plant Variety Database covered by Test Guidelines</w:t>
      </w:r>
      <w:r>
        <w:tab/>
      </w:r>
      <w:r>
        <w:fldChar w:fldCharType="begin"/>
      </w:r>
      <w:r>
        <w:instrText xml:space="preserve"> PAGEREF _Toc398738954 \h </w:instrText>
      </w:r>
      <w:r>
        <w:fldChar w:fldCharType="separate"/>
      </w:r>
      <w:r w:rsidR="00217EC3">
        <w:t>13</w:t>
      </w:r>
      <w:r>
        <w:fldChar w:fldCharType="end"/>
      </w:r>
    </w:p>
    <w:p w:rsidR="00E3435B" w:rsidRDefault="00E3435B">
      <w:pPr>
        <w:pStyle w:val="TOC8"/>
        <w:rPr>
          <w:rFonts w:asciiTheme="minorHAnsi" w:eastAsiaTheme="minorEastAsia" w:hAnsiTheme="minorHAnsi" w:cstheme="minorBidi"/>
          <w:sz w:val="22"/>
          <w:szCs w:val="22"/>
        </w:rPr>
      </w:pPr>
      <w:r>
        <w:t>(c)  Participation in seminars and symposia held in Geneva in conjunction with UPOV sessions</w:t>
      </w:r>
      <w:r>
        <w:tab/>
      </w:r>
      <w:r>
        <w:fldChar w:fldCharType="begin"/>
      </w:r>
      <w:r>
        <w:instrText xml:space="preserve"> PAGEREF _Toc398738955 \h </w:instrText>
      </w:r>
      <w:r>
        <w:fldChar w:fldCharType="separate"/>
      </w:r>
      <w:r w:rsidR="00217EC3">
        <w:t>14</w:t>
      </w:r>
      <w:r>
        <w:fldChar w:fldCharType="end"/>
      </w:r>
    </w:p>
    <w:p w:rsidR="00E3435B" w:rsidRDefault="00E3435B">
      <w:pPr>
        <w:pStyle w:val="TOC6"/>
        <w:rPr>
          <w:rFonts w:asciiTheme="minorHAnsi" w:eastAsiaTheme="minorEastAsia" w:hAnsiTheme="minorHAnsi" w:cstheme="minorBidi"/>
          <w:caps w:val="0"/>
          <w:sz w:val="22"/>
          <w:szCs w:val="22"/>
        </w:rPr>
      </w:pPr>
      <w:r>
        <w:t>3.  Cooperation for the examination of plant breeders’ rights</w:t>
      </w:r>
      <w:r>
        <w:tab/>
      </w:r>
      <w:r>
        <w:fldChar w:fldCharType="begin"/>
      </w:r>
      <w:r>
        <w:instrText xml:space="preserve"> PAGEREF _Toc398738956 \h </w:instrText>
      </w:r>
      <w:r>
        <w:fldChar w:fldCharType="separate"/>
      </w:r>
      <w:r w:rsidR="00217EC3">
        <w:t>14</w:t>
      </w:r>
      <w:r>
        <w:fldChar w:fldCharType="end"/>
      </w:r>
    </w:p>
    <w:p w:rsidR="00E3435B" w:rsidRDefault="00E3435B">
      <w:pPr>
        <w:pStyle w:val="TOC8"/>
        <w:rPr>
          <w:rFonts w:asciiTheme="minorHAnsi" w:eastAsiaTheme="minorEastAsia" w:hAnsiTheme="minorHAnsi" w:cstheme="minorBidi"/>
          <w:sz w:val="22"/>
          <w:szCs w:val="22"/>
        </w:rPr>
      </w:pPr>
      <w:r>
        <w:t>GENIE Database:  visits to the UPOV Website in 2013</w:t>
      </w:r>
      <w:r>
        <w:tab/>
      </w:r>
      <w:r>
        <w:fldChar w:fldCharType="begin"/>
      </w:r>
      <w:r>
        <w:instrText xml:space="preserve"> PAGEREF _Toc398738957 \h </w:instrText>
      </w:r>
      <w:r>
        <w:fldChar w:fldCharType="separate"/>
      </w:r>
      <w:r w:rsidR="00217EC3">
        <w:t>14</w:t>
      </w:r>
      <w:r>
        <w:fldChar w:fldCharType="end"/>
      </w:r>
    </w:p>
    <w:p w:rsidR="00E3435B" w:rsidRDefault="00E3435B">
      <w:pPr>
        <w:pStyle w:val="TOC8"/>
        <w:rPr>
          <w:rFonts w:asciiTheme="minorHAnsi" w:eastAsiaTheme="minorEastAsia" w:hAnsiTheme="minorHAnsi" w:cstheme="minorBidi"/>
          <w:sz w:val="22"/>
          <w:szCs w:val="22"/>
        </w:rPr>
      </w:pPr>
      <w:r>
        <w:t>(a)  Plant genera and species for which members of the Union have practical experience</w:t>
      </w:r>
      <w:r>
        <w:tab/>
      </w:r>
      <w:r>
        <w:fldChar w:fldCharType="begin"/>
      </w:r>
      <w:r>
        <w:instrText xml:space="preserve"> PAGEREF _Toc398738958 \h </w:instrText>
      </w:r>
      <w:r>
        <w:fldChar w:fldCharType="separate"/>
      </w:r>
      <w:r w:rsidR="00217EC3">
        <w:t>15</w:t>
      </w:r>
      <w:r>
        <w:fldChar w:fldCharType="end"/>
      </w:r>
    </w:p>
    <w:p w:rsidR="00E3435B" w:rsidRDefault="00E3435B">
      <w:pPr>
        <w:pStyle w:val="TOC9"/>
        <w:rPr>
          <w:rFonts w:asciiTheme="minorHAnsi" w:eastAsiaTheme="minorEastAsia" w:hAnsiTheme="minorHAnsi" w:cstheme="minorBidi"/>
          <w:sz w:val="22"/>
          <w:szCs w:val="22"/>
        </w:rPr>
      </w:pPr>
      <w:r>
        <w:t>Figure 7.  Plant Genera/Species with Cooperation Agreements, Practical Experience and Plant Breeders’ Rights Entries in Plant Variety Database</w:t>
      </w:r>
      <w:r>
        <w:tab/>
      </w:r>
      <w:r>
        <w:fldChar w:fldCharType="begin"/>
      </w:r>
      <w:r>
        <w:instrText xml:space="preserve"> PAGEREF _Toc398738959 \h </w:instrText>
      </w:r>
      <w:r>
        <w:fldChar w:fldCharType="separate"/>
      </w:r>
      <w:r w:rsidR="00217EC3">
        <w:t>15</w:t>
      </w:r>
      <w:r>
        <w:fldChar w:fldCharType="end"/>
      </w:r>
    </w:p>
    <w:p w:rsidR="00E3435B" w:rsidRDefault="00E3435B">
      <w:pPr>
        <w:pStyle w:val="TOC8"/>
        <w:rPr>
          <w:rFonts w:asciiTheme="minorHAnsi" w:eastAsiaTheme="minorEastAsia" w:hAnsiTheme="minorHAnsi" w:cstheme="minorBidi"/>
          <w:sz w:val="22"/>
          <w:szCs w:val="22"/>
        </w:rPr>
      </w:pPr>
      <w:r>
        <w:t>(b)  Plant genera and species for which members of the Union cooperate in DUS examination, as indicated in GENIE database</w:t>
      </w:r>
      <w:r>
        <w:tab/>
      </w:r>
      <w:r>
        <w:fldChar w:fldCharType="begin"/>
      </w:r>
      <w:r>
        <w:instrText xml:space="preserve"> PAGEREF _Toc398738960 \h </w:instrText>
      </w:r>
      <w:r>
        <w:fldChar w:fldCharType="separate"/>
      </w:r>
      <w:r w:rsidR="00217EC3">
        <w:t>15</w:t>
      </w:r>
      <w:r>
        <w:fldChar w:fldCharType="end"/>
      </w:r>
    </w:p>
    <w:p w:rsidR="00E3435B" w:rsidRDefault="00E3435B">
      <w:pPr>
        <w:pStyle w:val="TOC8"/>
        <w:rPr>
          <w:rFonts w:asciiTheme="minorHAnsi" w:eastAsiaTheme="minorEastAsia" w:hAnsiTheme="minorHAnsi" w:cstheme="minorBidi"/>
          <w:sz w:val="22"/>
          <w:szCs w:val="22"/>
        </w:rPr>
      </w:pPr>
      <w:r w:rsidRPr="00610BEE">
        <w:rPr>
          <w:i/>
        </w:rPr>
        <w:t>-  General cooperation</w:t>
      </w:r>
      <w:r>
        <w:tab/>
      </w:r>
      <w:r>
        <w:fldChar w:fldCharType="begin"/>
      </w:r>
      <w:r>
        <w:instrText xml:space="preserve"> PAGEREF _Toc398738961 \h </w:instrText>
      </w:r>
      <w:r>
        <w:fldChar w:fldCharType="separate"/>
      </w:r>
      <w:r w:rsidR="00217EC3">
        <w:t>15</w:t>
      </w:r>
      <w:r>
        <w:fldChar w:fldCharType="end"/>
      </w:r>
    </w:p>
    <w:p w:rsidR="00E3435B" w:rsidRDefault="00E3435B">
      <w:pPr>
        <w:pStyle w:val="TOC8"/>
        <w:rPr>
          <w:rFonts w:asciiTheme="minorHAnsi" w:eastAsiaTheme="minorEastAsia" w:hAnsiTheme="minorHAnsi" w:cstheme="minorBidi"/>
          <w:sz w:val="22"/>
          <w:szCs w:val="22"/>
        </w:rPr>
      </w:pPr>
      <w:r w:rsidRPr="00610BEE">
        <w:rPr>
          <w:i/>
        </w:rPr>
        <w:t>-  Number of specific bilateral and regional arrangements on plant variety protection</w:t>
      </w:r>
      <w:r>
        <w:tab/>
      </w:r>
      <w:r>
        <w:fldChar w:fldCharType="begin"/>
      </w:r>
      <w:r>
        <w:instrText xml:space="preserve"> PAGEREF _Toc398738962 \h </w:instrText>
      </w:r>
      <w:r>
        <w:fldChar w:fldCharType="separate"/>
      </w:r>
      <w:r w:rsidR="00217EC3">
        <w:t>15</w:t>
      </w:r>
      <w:r>
        <w:fldChar w:fldCharType="end"/>
      </w:r>
    </w:p>
    <w:p w:rsidR="00E3435B" w:rsidRDefault="00E3435B">
      <w:pPr>
        <w:pStyle w:val="TOC8"/>
        <w:rPr>
          <w:rFonts w:asciiTheme="minorHAnsi" w:eastAsiaTheme="minorEastAsia" w:hAnsiTheme="minorHAnsi" w:cstheme="minorBidi"/>
          <w:sz w:val="22"/>
          <w:szCs w:val="22"/>
        </w:rPr>
      </w:pPr>
      <w:r>
        <w:t>(c)  Participation in the development of Test Guidelines</w:t>
      </w:r>
      <w:r>
        <w:tab/>
      </w:r>
      <w:r>
        <w:fldChar w:fldCharType="begin"/>
      </w:r>
      <w:r>
        <w:instrText xml:space="preserve"> PAGEREF _Toc398738963 \h </w:instrText>
      </w:r>
      <w:r>
        <w:fldChar w:fldCharType="separate"/>
      </w:r>
      <w:r w:rsidR="00217EC3">
        <w:t>16</w:t>
      </w:r>
      <w:r>
        <w:fldChar w:fldCharType="end"/>
      </w:r>
    </w:p>
    <w:p w:rsidR="00E3435B" w:rsidRDefault="00E3435B">
      <w:pPr>
        <w:pStyle w:val="TOC9"/>
        <w:rPr>
          <w:rFonts w:asciiTheme="minorHAnsi" w:eastAsiaTheme="minorEastAsia" w:hAnsiTheme="minorHAnsi" w:cstheme="minorBidi"/>
          <w:sz w:val="22"/>
          <w:szCs w:val="22"/>
        </w:rPr>
      </w:pPr>
      <w:r>
        <w:t xml:space="preserve">Figure 8.  Total number of Test Guidelines adopted </w:t>
      </w:r>
      <w:r w:rsidRPr="00610BEE">
        <w:t xml:space="preserve"> (by Technical Working Party)</w:t>
      </w:r>
      <w:r>
        <w:tab/>
      </w:r>
      <w:r>
        <w:fldChar w:fldCharType="begin"/>
      </w:r>
      <w:r>
        <w:instrText xml:space="preserve"> PAGEREF _Toc398738964 \h </w:instrText>
      </w:r>
      <w:r>
        <w:fldChar w:fldCharType="separate"/>
      </w:r>
      <w:r w:rsidR="00217EC3">
        <w:t>16</w:t>
      </w:r>
      <w:r>
        <w:fldChar w:fldCharType="end"/>
      </w:r>
    </w:p>
    <w:p w:rsidR="00E3435B" w:rsidRDefault="00E3435B">
      <w:pPr>
        <w:pStyle w:val="TOC9"/>
        <w:rPr>
          <w:rFonts w:asciiTheme="minorHAnsi" w:eastAsiaTheme="minorEastAsia" w:hAnsiTheme="minorHAnsi" w:cstheme="minorBidi"/>
          <w:sz w:val="22"/>
          <w:szCs w:val="22"/>
        </w:rPr>
      </w:pPr>
      <w:r>
        <w:t>Figure 9.  Total number of Test Guidelines under development</w:t>
      </w:r>
      <w:r>
        <w:tab/>
      </w:r>
      <w:r>
        <w:fldChar w:fldCharType="begin"/>
      </w:r>
      <w:r>
        <w:instrText xml:space="preserve"> PAGEREF _Toc398738965 \h </w:instrText>
      </w:r>
      <w:r>
        <w:fldChar w:fldCharType="separate"/>
      </w:r>
      <w:r w:rsidR="00217EC3">
        <w:t>16</w:t>
      </w:r>
      <w:r>
        <w:fldChar w:fldCharType="end"/>
      </w:r>
    </w:p>
    <w:p w:rsidR="00E3435B" w:rsidRDefault="00E3435B">
      <w:pPr>
        <w:pStyle w:val="TOC9"/>
        <w:rPr>
          <w:rFonts w:asciiTheme="minorHAnsi" w:eastAsiaTheme="minorEastAsia" w:hAnsiTheme="minorHAnsi" w:cstheme="minorBidi"/>
          <w:sz w:val="22"/>
          <w:szCs w:val="22"/>
        </w:rPr>
      </w:pPr>
      <w:r>
        <w:t xml:space="preserve">Figure 10.  Total number of Test Guidelines adopted </w:t>
      </w:r>
      <w:r w:rsidRPr="00610BEE">
        <w:t>(by region of the leading expert)</w:t>
      </w:r>
      <w:r>
        <w:tab/>
      </w:r>
      <w:r>
        <w:fldChar w:fldCharType="begin"/>
      </w:r>
      <w:r>
        <w:instrText xml:space="preserve"> PAGEREF _Toc398738966 \h </w:instrText>
      </w:r>
      <w:r>
        <w:fldChar w:fldCharType="separate"/>
      </w:r>
      <w:r w:rsidR="00217EC3">
        <w:t>16</w:t>
      </w:r>
      <w:r>
        <w:fldChar w:fldCharType="end"/>
      </w:r>
    </w:p>
    <w:p w:rsidR="00E3435B" w:rsidRDefault="00E3435B">
      <w:pPr>
        <w:pStyle w:val="TOC9"/>
        <w:rPr>
          <w:rFonts w:asciiTheme="minorHAnsi" w:eastAsiaTheme="minorEastAsia" w:hAnsiTheme="minorHAnsi" w:cstheme="minorBidi"/>
          <w:sz w:val="22"/>
          <w:szCs w:val="22"/>
        </w:rPr>
      </w:pPr>
      <w:r>
        <w:t>Figure 11.  Total number of Test Guidelines under development</w:t>
      </w:r>
      <w:r>
        <w:tab/>
      </w:r>
      <w:r>
        <w:fldChar w:fldCharType="begin"/>
      </w:r>
      <w:r>
        <w:instrText xml:space="preserve"> PAGEREF _Toc398738967 \h </w:instrText>
      </w:r>
      <w:r>
        <w:fldChar w:fldCharType="separate"/>
      </w:r>
      <w:r w:rsidR="00217EC3">
        <w:t>16</w:t>
      </w:r>
      <w:r>
        <w:fldChar w:fldCharType="end"/>
      </w:r>
    </w:p>
    <w:p w:rsidR="00E3435B" w:rsidRDefault="00E3435B">
      <w:pPr>
        <w:pStyle w:val="TOC9"/>
        <w:rPr>
          <w:rFonts w:asciiTheme="minorHAnsi" w:eastAsiaTheme="minorEastAsia" w:hAnsiTheme="minorHAnsi" w:cstheme="minorBidi"/>
          <w:sz w:val="22"/>
          <w:szCs w:val="22"/>
        </w:rPr>
      </w:pPr>
      <w:r>
        <w:t>Figure 12.  Number of members of the Union involved in drafting Test Guidelines</w:t>
      </w:r>
      <w:r>
        <w:tab/>
      </w:r>
      <w:r>
        <w:fldChar w:fldCharType="begin"/>
      </w:r>
      <w:r>
        <w:instrText xml:space="preserve"> PAGEREF _Toc398738968 \h </w:instrText>
      </w:r>
      <w:r>
        <w:fldChar w:fldCharType="separate"/>
      </w:r>
      <w:r w:rsidR="00217EC3">
        <w:t>17</w:t>
      </w:r>
      <w:r>
        <w:fldChar w:fldCharType="end"/>
      </w:r>
    </w:p>
    <w:p w:rsidR="00E3435B" w:rsidRDefault="00E3435B">
      <w:pPr>
        <w:pStyle w:val="TOC8"/>
        <w:rPr>
          <w:rFonts w:asciiTheme="minorHAnsi" w:eastAsiaTheme="minorEastAsia" w:hAnsiTheme="minorHAnsi" w:cstheme="minorBidi"/>
          <w:sz w:val="22"/>
          <w:szCs w:val="22"/>
        </w:rPr>
      </w:pPr>
      <w:r>
        <w:lastRenderedPageBreak/>
        <w:t>(d)  Quality and completeness of data in the Plant Variety Database and quality of search facility; and facilities for access to other relevant data</w:t>
      </w:r>
      <w:r>
        <w:tab/>
      </w:r>
      <w:r>
        <w:fldChar w:fldCharType="begin"/>
      </w:r>
      <w:r>
        <w:instrText xml:space="preserve"> PAGEREF _Toc398738969 \h </w:instrText>
      </w:r>
      <w:r>
        <w:fldChar w:fldCharType="separate"/>
      </w:r>
      <w:r w:rsidR="00217EC3">
        <w:t>17</w:t>
      </w:r>
      <w:r>
        <w:fldChar w:fldCharType="end"/>
      </w:r>
    </w:p>
    <w:p w:rsidR="00E3435B" w:rsidRDefault="00E3435B">
      <w:pPr>
        <w:pStyle w:val="TOC8"/>
        <w:rPr>
          <w:rFonts w:asciiTheme="minorHAnsi" w:eastAsiaTheme="minorEastAsia" w:hAnsiTheme="minorHAnsi" w:cstheme="minorBidi"/>
          <w:sz w:val="22"/>
          <w:szCs w:val="22"/>
        </w:rPr>
      </w:pPr>
      <w:r>
        <w:t>PLUTO Database:  visits to the UPOV Website in 2013</w:t>
      </w:r>
      <w:r>
        <w:tab/>
      </w:r>
      <w:r>
        <w:fldChar w:fldCharType="begin"/>
      </w:r>
      <w:r>
        <w:instrText xml:space="preserve"> PAGEREF _Toc398738970 \h </w:instrText>
      </w:r>
      <w:r>
        <w:fldChar w:fldCharType="separate"/>
      </w:r>
      <w:r w:rsidR="00217EC3">
        <w:t>18</w:t>
      </w:r>
      <w:r>
        <w:fldChar w:fldCharType="end"/>
      </w:r>
    </w:p>
    <w:p w:rsidR="00E3435B" w:rsidRDefault="00E3435B">
      <w:pPr>
        <w:pStyle w:val="TOC8"/>
        <w:rPr>
          <w:rFonts w:asciiTheme="minorHAnsi" w:eastAsiaTheme="minorEastAsia" w:hAnsiTheme="minorHAnsi" w:cstheme="minorBidi"/>
          <w:sz w:val="22"/>
          <w:szCs w:val="22"/>
        </w:rPr>
      </w:pPr>
      <w:r>
        <w:t>(e)  Exchangeable software included in document UPOV/INF/16 “Exchangeable Software”</w:t>
      </w:r>
      <w:r>
        <w:tab/>
      </w:r>
      <w:r>
        <w:fldChar w:fldCharType="begin"/>
      </w:r>
      <w:r>
        <w:instrText xml:space="preserve"> PAGEREF _Toc398738971 \h </w:instrText>
      </w:r>
      <w:r>
        <w:fldChar w:fldCharType="separate"/>
      </w:r>
      <w:r w:rsidR="00217EC3">
        <w:t>19</w:t>
      </w:r>
      <w:r>
        <w:fldChar w:fldCharType="end"/>
      </w:r>
    </w:p>
    <w:p w:rsidR="00E3435B" w:rsidRDefault="00E3435B">
      <w:pPr>
        <w:pStyle w:val="TOC6"/>
        <w:rPr>
          <w:rFonts w:asciiTheme="minorHAnsi" w:eastAsiaTheme="minorEastAsia" w:hAnsiTheme="minorHAnsi" w:cstheme="minorBidi"/>
          <w:caps w:val="0"/>
          <w:sz w:val="22"/>
          <w:szCs w:val="22"/>
        </w:rPr>
      </w:pPr>
      <w:r>
        <w:t>4.  Participation by members of the Union and stakeholders in the work of the UPOV bodies</w:t>
      </w:r>
      <w:r>
        <w:tab/>
      </w:r>
      <w:r>
        <w:fldChar w:fldCharType="begin"/>
      </w:r>
      <w:r>
        <w:instrText xml:space="preserve"> PAGEREF _Toc398738972 \h </w:instrText>
      </w:r>
      <w:r>
        <w:fldChar w:fldCharType="separate"/>
      </w:r>
      <w:r w:rsidR="00217EC3">
        <w:t>19</w:t>
      </w:r>
      <w:r>
        <w:fldChar w:fldCharType="end"/>
      </w:r>
    </w:p>
    <w:p w:rsidR="00E3435B" w:rsidRDefault="00E3435B">
      <w:pPr>
        <w:pStyle w:val="TOC8"/>
        <w:rPr>
          <w:rFonts w:asciiTheme="minorHAnsi" w:eastAsiaTheme="minorEastAsia" w:hAnsiTheme="minorHAnsi" w:cstheme="minorBidi"/>
          <w:sz w:val="22"/>
          <w:szCs w:val="22"/>
        </w:rPr>
      </w:pPr>
      <w:r>
        <w:t>(a)  Participation in the Administrative and Legal Committee</w:t>
      </w:r>
      <w:r>
        <w:tab/>
      </w:r>
      <w:r>
        <w:fldChar w:fldCharType="begin"/>
      </w:r>
      <w:r>
        <w:instrText xml:space="preserve"> PAGEREF _Toc398738973 \h </w:instrText>
      </w:r>
      <w:r>
        <w:fldChar w:fldCharType="separate"/>
      </w:r>
      <w:r w:rsidR="00217EC3">
        <w:t>19</w:t>
      </w:r>
      <w:r>
        <w:fldChar w:fldCharType="end"/>
      </w:r>
    </w:p>
    <w:p w:rsidR="00E3435B" w:rsidRDefault="00E3435B">
      <w:pPr>
        <w:pStyle w:val="TOC9"/>
        <w:rPr>
          <w:rFonts w:asciiTheme="minorHAnsi" w:eastAsiaTheme="minorEastAsia" w:hAnsiTheme="minorHAnsi" w:cstheme="minorBidi"/>
          <w:sz w:val="22"/>
          <w:szCs w:val="22"/>
        </w:rPr>
      </w:pPr>
      <w:r>
        <w:t>Figure 13.  Number of Participating Members and Observer States/Organizations in the CAJ</w:t>
      </w:r>
      <w:r>
        <w:tab/>
      </w:r>
      <w:r>
        <w:fldChar w:fldCharType="begin"/>
      </w:r>
      <w:r>
        <w:instrText xml:space="preserve"> PAGEREF _Toc398738974 \h </w:instrText>
      </w:r>
      <w:r>
        <w:fldChar w:fldCharType="separate"/>
      </w:r>
      <w:r w:rsidR="00217EC3">
        <w:t>19</w:t>
      </w:r>
      <w:r>
        <w:fldChar w:fldCharType="end"/>
      </w:r>
    </w:p>
    <w:p w:rsidR="00E3435B" w:rsidRDefault="00E3435B">
      <w:pPr>
        <w:pStyle w:val="TOC8"/>
        <w:rPr>
          <w:rFonts w:asciiTheme="minorHAnsi" w:eastAsiaTheme="minorEastAsia" w:hAnsiTheme="minorHAnsi" w:cstheme="minorBidi"/>
          <w:sz w:val="22"/>
          <w:szCs w:val="22"/>
        </w:rPr>
      </w:pPr>
      <w:r>
        <w:t>(b)  Participation in the Technical Committee</w:t>
      </w:r>
      <w:r>
        <w:tab/>
      </w:r>
      <w:r>
        <w:fldChar w:fldCharType="begin"/>
      </w:r>
      <w:r>
        <w:instrText xml:space="preserve"> PAGEREF _Toc398738975 \h </w:instrText>
      </w:r>
      <w:r>
        <w:fldChar w:fldCharType="separate"/>
      </w:r>
      <w:r w:rsidR="00217EC3">
        <w:t>20</w:t>
      </w:r>
      <w:r>
        <w:fldChar w:fldCharType="end"/>
      </w:r>
    </w:p>
    <w:p w:rsidR="00E3435B" w:rsidRDefault="00E3435B">
      <w:pPr>
        <w:pStyle w:val="TOC9"/>
        <w:rPr>
          <w:rFonts w:asciiTheme="minorHAnsi" w:eastAsiaTheme="minorEastAsia" w:hAnsiTheme="minorHAnsi" w:cstheme="minorBidi"/>
          <w:sz w:val="22"/>
          <w:szCs w:val="22"/>
        </w:rPr>
      </w:pPr>
      <w:r>
        <w:t>Figure 14.  Number of Participating Members and Observer States/Organizations in the TC</w:t>
      </w:r>
      <w:r>
        <w:tab/>
      </w:r>
      <w:r>
        <w:fldChar w:fldCharType="begin"/>
      </w:r>
      <w:r>
        <w:instrText xml:space="preserve"> PAGEREF _Toc398738976 \h </w:instrText>
      </w:r>
      <w:r>
        <w:fldChar w:fldCharType="separate"/>
      </w:r>
      <w:r w:rsidR="00217EC3">
        <w:t>20</w:t>
      </w:r>
      <w:r>
        <w:fldChar w:fldCharType="end"/>
      </w:r>
    </w:p>
    <w:p w:rsidR="00E3435B" w:rsidRDefault="00E3435B">
      <w:pPr>
        <w:pStyle w:val="TOC8"/>
        <w:rPr>
          <w:rFonts w:asciiTheme="minorHAnsi" w:eastAsiaTheme="minorEastAsia" w:hAnsiTheme="minorHAnsi" w:cstheme="minorBidi"/>
          <w:sz w:val="22"/>
          <w:szCs w:val="22"/>
        </w:rPr>
      </w:pPr>
      <w:r>
        <w:t>(c)  Participation in Technical Working Party Sessions</w:t>
      </w:r>
      <w:r>
        <w:tab/>
      </w:r>
      <w:r>
        <w:fldChar w:fldCharType="begin"/>
      </w:r>
      <w:r>
        <w:instrText xml:space="preserve"> PAGEREF _Toc398738977 \h </w:instrText>
      </w:r>
      <w:r>
        <w:fldChar w:fldCharType="separate"/>
      </w:r>
      <w:r w:rsidR="00217EC3">
        <w:t>20</w:t>
      </w:r>
      <w:r>
        <w:fldChar w:fldCharType="end"/>
      </w:r>
    </w:p>
    <w:p w:rsidR="00E3435B" w:rsidRDefault="00E3435B">
      <w:pPr>
        <w:pStyle w:val="TOC9"/>
        <w:rPr>
          <w:rFonts w:asciiTheme="minorHAnsi" w:eastAsiaTheme="minorEastAsia" w:hAnsiTheme="minorHAnsi" w:cstheme="minorBidi"/>
          <w:sz w:val="22"/>
          <w:szCs w:val="22"/>
        </w:rPr>
      </w:pPr>
      <w:r>
        <w:t>Figure 15.  Number of Participating Members and Observer States/Organizations in the TWPs</w:t>
      </w:r>
      <w:r>
        <w:tab/>
      </w:r>
      <w:r>
        <w:fldChar w:fldCharType="begin"/>
      </w:r>
      <w:r>
        <w:instrText xml:space="preserve"> PAGEREF _Toc398738978 \h </w:instrText>
      </w:r>
      <w:r>
        <w:fldChar w:fldCharType="separate"/>
      </w:r>
      <w:r w:rsidR="00217EC3">
        <w:t>20</w:t>
      </w:r>
      <w:r>
        <w:fldChar w:fldCharType="end"/>
      </w:r>
    </w:p>
    <w:p w:rsidR="00E3435B" w:rsidRDefault="00E3435B">
      <w:pPr>
        <w:pStyle w:val="TOC8"/>
        <w:rPr>
          <w:rFonts w:asciiTheme="minorHAnsi" w:eastAsiaTheme="minorEastAsia" w:hAnsiTheme="minorHAnsi" w:cstheme="minorBidi"/>
          <w:sz w:val="22"/>
          <w:szCs w:val="22"/>
        </w:rPr>
      </w:pPr>
      <w:r>
        <w:t>(d)  Participation in Preparatory Workshops for the Technical Working Party Sessions</w:t>
      </w:r>
      <w:r>
        <w:tab/>
      </w:r>
      <w:r>
        <w:fldChar w:fldCharType="begin"/>
      </w:r>
      <w:r>
        <w:instrText xml:space="preserve"> PAGEREF _Toc398738979 \h </w:instrText>
      </w:r>
      <w:r>
        <w:fldChar w:fldCharType="separate"/>
      </w:r>
      <w:r w:rsidR="00217EC3">
        <w:t>21</w:t>
      </w:r>
      <w:r>
        <w:fldChar w:fldCharType="end"/>
      </w:r>
    </w:p>
    <w:p w:rsidR="00E3435B" w:rsidRDefault="00E3435B">
      <w:pPr>
        <w:pStyle w:val="TOC9"/>
        <w:rPr>
          <w:rFonts w:asciiTheme="minorHAnsi" w:eastAsiaTheme="minorEastAsia" w:hAnsiTheme="minorHAnsi" w:cstheme="minorBidi"/>
          <w:sz w:val="22"/>
          <w:szCs w:val="22"/>
        </w:rPr>
      </w:pPr>
      <w:r>
        <w:t>Figure 16.</w:t>
      </w:r>
      <w:r>
        <w:tab/>
      </w:r>
      <w:r>
        <w:fldChar w:fldCharType="begin"/>
      </w:r>
      <w:r>
        <w:instrText xml:space="preserve"> PAGEREF _Toc398738980 \h </w:instrText>
      </w:r>
      <w:r>
        <w:fldChar w:fldCharType="separate"/>
      </w:r>
      <w:r w:rsidR="00217EC3">
        <w:t>21</w:t>
      </w:r>
      <w:r>
        <w:fldChar w:fldCharType="end"/>
      </w:r>
    </w:p>
    <w:p w:rsidR="00E3435B" w:rsidRDefault="00E3435B">
      <w:pPr>
        <w:pStyle w:val="TOC9"/>
        <w:rPr>
          <w:rFonts w:asciiTheme="minorHAnsi" w:eastAsiaTheme="minorEastAsia" w:hAnsiTheme="minorHAnsi" w:cstheme="minorBidi"/>
          <w:sz w:val="22"/>
          <w:szCs w:val="22"/>
        </w:rPr>
      </w:pPr>
      <w:r>
        <w:t>(i)  Number of individual participants in the Preparatory Workshops: members and observers</w:t>
      </w:r>
      <w:r>
        <w:tab/>
      </w:r>
      <w:r>
        <w:fldChar w:fldCharType="begin"/>
      </w:r>
      <w:r>
        <w:instrText xml:space="preserve"> PAGEREF _Toc398738981 \h </w:instrText>
      </w:r>
      <w:r>
        <w:fldChar w:fldCharType="separate"/>
      </w:r>
      <w:r w:rsidR="00217EC3">
        <w:t>21</w:t>
      </w:r>
      <w:r>
        <w:fldChar w:fldCharType="end"/>
      </w:r>
    </w:p>
    <w:p w:rsidR="00E3435B" w:rsidRDefault="00E3435B">
      <w:pPr>
        <w:pStyle w:val="TOC9"/>
        <w:rPr>
          <w:rFonts w:asciiTheme="minorHAnsi" w:eastAsiaTheme="minorEastAsia" w:hAnsiTheme="minorHAnsi" w:cstheme="minorBidi"/>
          <w:sz w:val="22"/>
          <w:szCs w:val="22"/>
        </w:rPr>
      </w:pPr>
      <w:r>
        <w:t>(ii)  Number of individual participants in the Preparatory Workshops by Technical Working Party</w:t>
      </w:r>
      <w:r>
        <w:tab/>
      </w:r>
      <w:r>
        <w:fldChar w:fldCharType="begin"/>
      </w:r>
      <w:r>
        <w:instrText xml:space="preserve"> PAGEREF _Toc398738982 \h </w:instrText>
      </w:r>
      <w:r>
        <w:fldChar w:fldCharType="separate"/>
      </w:r>
      <w:r w:rsidR="00217EC3">
        <w:t>21</w:t>
      </w:r>
      <w:r>
        <w:fldChar w:fldCharType="end"/>
      </w:r>
    </w:p>
    <w:p w:rsidR="00E3435B" w:rsidRDefault="00E3435B">
      <w:pPr>
        <w:pStyle w:val="TOC8"/>
        <w:rPr>
          <w:rFonts w:asciiTheme="minorHAnsi" w:eastAsiaTheme="minorEastAsia" w:hAnsiTheme="minorHAnsi" w:cstheme="minorBidi"/>
          <w:sz w:val="22"/>
          <w:szCs w:val="22"/>
        </w:rPr>
      </w:pPr>
      <w:r>
        <w:t>(e)  Measures to improve the effectiveness of the TC, TWPs and Preparatory Workshops</w:t>
      </w:r>
      <w:r>
        <w:tab/>
      </w:r>
      <w:r>
        <w:fldChar w:fldCharType="begin"/>
      </w:r>
      <w:r>
        <w:instrText xml:space="preserve"> PAGEREF _Toc398738983 \h </w:instrText>
      </w:r>
      <w:r>
        <w:fldChar w:fldCharType="separate"/>
      </w:r>
      <w:r w:rsidR="00217EC3">
        <w:t>21</w:t>
      </w:r>
      <w:r>
        <w:fldChar w:fldCharType="end"/>
      </w:r>
    </w:p>
    <w:p w:rsidR="00E3435B" w:rsidRDefault="00E3435B">
      <w:pPr>
        <w:pStyle w:val="TOC6"/>
        <w:rPr>
          <w:rFonts w:asciiTheme="minorHAnsi" w:eastAsiaTheme="minorEastAsia" w:hAnsiTheme="minorHAnsi" w:cstheme="minorBidi"/>
          <w:caps w:val="0"/>
          <w:sz w:val="22"/>
          <w:szCs w:val="22"/>
        </w:rPr>
      </w:pPr>
      <w:r>
        <w:t>5.  UPOV documents and materials in additional languages</w:t>
      </w:r>
      <w:r>
        <w:tab/>
      </w:r>
      <w:r>
        <w:fldChar w:fldCharType="begin"/>
      </w:r>
      <w:r>
        <w:instrText xml:space="preserve"> PAGEREF _Toc398738984 \h </w:instrText>
      </w:r>
      <w:r>
        <w:fldChar w:fldCharType="separate"/>
      </w:r>
      <w:r w:rsidR="00217EC3">
        <w:t>22</w:t>
      </w:r>
      <w:r>
        <w:fldChar w:fldCharType="end"/>
      </w:r>
    </w:p>
    <w:p w:rsidR="00E3435B" w:rsidRDefault="00E3435B">
      <w:pPr>
        <w:pStyle w:val="TOC8"/>
        <w:rPr>
          <w:rFonts w:asciiTheme="minorHAnsi" w:eastAsiaTheme="minorEastAsia" w:hAnsiTheme="minorHAnsi" w:cstheme="minorBidi"/>
          <w:sz w:val="22"/>
          <w:szCs w:val="22"/>
        </w:rPr>
      </w:pPr>
      <w:r>
        <w:t>(a)  Availability of UPOV documents and materials in languages other than the UPOV languages (English, French, German and Spanish)</w:t>
      </w:r>
      <w:r>
        <w:tab/>
      </w:r>
      <w:r>
        <w:fldChar w:fldCharType="begin"/>
      </w:r>
      <w:r>
        <w:instrText xml:space="preserve"> PAGEREF _Toc398738985 \h </w:instrText>
      </w:r>
      <w:r>
        <w:fldChar w:fldCharType="separate"/>
      </w:r>
      <w:r w:rsidR="00217EC3">
        <w:t>22</w:t>
      </w:r>
      <w:r>
        <w:fldChar w:fldCharType="end"/>
      </w:r>
    </w:p>
    <w:p w:rsidR="00E3435B" w:rsidRDefault="00E3435B">
      <w:pPr>
        <w:pStyle w:val="TOC6"/>
        <w:rPr>
          <w:rFonts w:asciiTheme="minorHAnsi" w:eastAsiaTheme="minorEastAsia" w:hAnsiTheme="minorHAnsi" w:cstheme="minorBidi"/>
          <w:caps w:val="0"/>
          <w:sz w:val="22"/>
          <w:szCs w:val="22"/>
        </w:rPr>
      </w:pPr>
      <w:r>
        <w:t>6.  Facilitating applications for plant breeders’ rights</w:t>
      </w:r>
      <w:r>
        <w:tab/>
      </w:r>
      <w:r>
        <w:fldChar w:fldCharType="begin"/>
      </w:r>
      <w:r>
        <w:instrText xml:space="preserve"> PAGEREF _Toc398738986 \h </w:instrText>
      </w:r>
      <w:r>
        <w:fldChar w:fldCharType="separate"/>
      </w:r>
      <w:r w:rsidR="00217EC3">
        <w:t>22</w:t>
      </w:r>
      <w:r>
        <w:fldChar w:fldCharType="end"/>
      </w:r>
    </w:p>
    <w:p w:rsidR="00E3435B" w:rsidRDefault="00E3435B">
      <w:pPr>
        <w:pStyle w:val="TOC8"/>
        <w:rPr>
          <w:rFonts w:asciiTheme="minorHAnsi" w:eastAsiaTheme="minorEastAsia" w:hAnsiTheme="minorHAnsi" w:cstheme="minorBidi"/>
          <w:sz w:val="22"/>
          <w:szCs w:val="22"/>
        </w:rPr>
      </w:pPr>
      <w:r>
        <w:t>(a)  Number of applications for plant breeders’ rights</w:t>
      </w:r>
      <w:r>
        <w:tab/>
      </w:r>
      <w:r>
        <w:fldChar w:fldCharType="begin"/>
      </w:r>
      <w:r>
        <w:instrText xml:space="preserve"> PAGEREF _Toc398738987 \h </w:instrText>
      </w:r>
      <w:r>
        <w:fldChar w:fldCharType="separate"/>
      </w:r>
      <w:r w:rsidR="00217EC3">
        <w:t>22</w:t>
      </w:r>
      <w:r>
        <w:fldChar w:fldCharType="end"/>
      </w:r>
    </w:p>
    <w:p w:rsidR="00E3435B" w:rsidRDefault="00E3435B">
      <w:pPr>
        <w:pStyle w:val="TOC8"/>
        <w:rPr>
          <w:rFonts w:asciiTheme="minorHAnsi" w:eastAsiaTheme="minorEastAsia" w:hAnsiTheme="minorHAnsi" w:cstheme="minorBidi"/>
          <w:sz w:val="22"/>
          <w:szCs w:val="22"/>
        </w:rPr>
      </w:pPr>
      <w:r>
        <w:t>(b)  Number of titles granted</w:t>
      </w:r>
      <w:r>
        <w:tab/>
      </w:r>
      <w:r>
        <w:fldChar w:fldCharType="begin"/>
      </w:r>
      <w:r>
        <w:instrText xml:space="preserve"> PAGEREF _Toc398738988 \h </w:instrText>
      </w:r>
      <w:r>
        <w:fldChar w:fldCharType="separate"/>
      </w:r>
      <w:r w:rsidR="00217EC3">
        <w:t>22</w:t>
      </w:r>
      <w:r>
        <w:fldChar w:fldCharType="end"/>
      </w:r>
    </w:p>
    <w:p w:rsidR="00E3435B" w:rsidRDefault="00E3435B">
      <w:pPr>
        <w:pStyle w:val="TOC8"/>
        <w:rPr>
          <w:rFonts w:asciiTheme="minorHAnsi" w:eastAsiaTheme="minorEastAsia" w:hAnsiTheme="minorHAnsi" w:cstheme="minorBidi"/>
          <w:sz w:val="22"/>
          <w:szCs w:val="22"/>
        </w:rPr>
      </w:pPr>
      <w:r>
        <w:t>(c)  Number of titles in force</w:t>
      </w:r>
      <w:r>
        <w:tab/>
      </w:r>
      <w:r>
        <w:fldChar w:fldCharType="begin"/>
      </w:r>
      <w:r>
        <w:instrText xml:space="preserve"> PAGEREF _Toc398738989 \h </w:instrText>
      </w:r>
      <w:r>
        <w:fldChar w:fldCharType="separate"/>
      </w:r>
      <w:r w:rsidR="00217EC3">
        <w:t>22</w:t>
      </w:r>
      <w:r>
        <w:fldChar w:fldCharType="end"/>
      </w:r>
    </w:p>
    <w:p w:rsidR="00E3435B" w:rsidRDefault="00E3435B">
      <w:pPr>
        <w:pStyle w:val="TOC9"/>
        <w:rPr>
          <w:rFonts w:asciiTheme="minorHAnsi" w:eastAsiaTheme="minorEastAsia" w:hAnsiTheme="minorHAnsi" w:cstheme="minorBidi"/>
          <w:sz w:val="22"/>
          <w:szCs w:val="22"/>
        </w:rPr>
      </w:pPr>
      <w:r>
        <w:t>Figure 17.  Applications for Plant Breeders’ Rights</w:t>
      </w:r>
      <w:r>
        <w:tab/>
      </w:r>
      <w:r>
        <w:fldChar w:fldCharType="begin"/>
      </w:r>
      <w:r>
        <w:instrText xml:space="preserve"> PAGEREF _Toc398738990 \h </w:instrText>
      </w:r>
      <w:r>
        <w:fldChar w:fldCharType="separate"/>
      </w:r>
      <w:r w:rsidR="00217EC3">
        <w:t>22</w:t>
      </w:r>
      <w:r>
        <w:fldChar w:fldCharType="end"/>
      </w:r>
    </w:p>
    <w:p w:rsidR="00E3435B" w:rsidRDefault="00E3435B">
      <w:pPr>
        <w:pStyle w:val="TOC9"/>
        <w:rPr>
          <w:rFonts w:asciiTheme="minorHAnsi" w:eastAsiaTheme="minorEastAsia" w:hAnsiTheme="minorHAnsi" w:cstheme="minorBidi"/>
          <w:sz w:val="22"/>
          <w:szCs w:val="22"/>
        </w:rPr>
      </w:pPr>
      <w:r>
        <w:t>Figure 18.  Plant Breeders’ Rights Titles in Force</w:t>
      </w:r>
      <w:r>
        <w:tab/>
      </w:r>
      <w:r>
        <w:fldChar w:fldCharType="begin"/>
      </w:r>
      <w:r>
        <w:instrText xml:space="preserve"> PAGEREF _Toc398738991 \h </w:instrText>
      </w:r>
      <w:r>
        <w:fldChar w:fldCharType="separate"/>
      </w:r>
      <w:r w:rsidR="00217EC3">
        <w:t>22</w:t>
      </w:r>
      <w:r>
        <w:fldChar w:fldCharType="end"/>
      </w:r>
    </w:p>
    <w:p w:rsidR="00E3435B" w:rsidRDefault="00E3435B">
      <w:pPr>
        <w:pStyle w:val="TOC9"/>
        <w:rPr>
          <w:rFonts w:asciiTheme="minorHAnsi" w:eastAsiaTheme="minorEastAsia" w:hAnsiTheme="minorHAnsi" w:cstheme="minorBidi"/>
          <w:sz w:val="22"/>
          <w:szCs w:val="22"/>
        </w:rPr>
      </w:pPr>
      <w:r>
        <w:t>Figure 19.  Applications for Plant Breeders’ Rights by Resident/Non-Resident</w:t>
      </w:r>
      <w:r>
        <w:tab/>
      </w:r>
      <w:r>
        <w:fldChar w:fldCharType="begin"/>
      </w:r>
      <w:r>
        <w:instrText xml:space="preserve"> PAGEREF _Toc398738992 \h </w:instrText>
      </w:r>
      <w:r>
        <w:fldChar w:fldCharType="separate"/>
      </w:r>
      <w:r w:rsidR="00217EC3">
        <w:t>22</w:t>
      </w:r>
      <w:r>
        <w:fldChar w:fldCharType="end"/>
      </w:r>
    </w:p>
    <w:p w:rsidR="00E3435B" w:rsidRDefault="00E3435B">
      <w:pPr>
        <w:pStyle w:val="TOC9"/>
        <w:rPr>
          <w:rFonts w:asciiTheme="minorHAnsi" w:eastAsiaTheme="minorEastAsia" w:hAnsiTheme="minorHAnsi" w:cstheme="minorBidi"/>
          <w:sz w:val="22"/>
          <w:szCs w:val="22"/>
        </w:rPr>
      </w:pPr>
      <w:r>
        <w:t>Figure 20.  Plant Breeders’ Rights Titles Granted by Resident/Non-Resident</w:t>
      </w:r>
      <w:r>
        <w:tab/>
      </w:r>
      <w:r>
        <w:fldChar w:fldCharType="begin"/>
      </w:r>
      <w:r>
        <w:instrText xml:space="preserve"> PAGEREF _Toc398738993 \h </w:instrText>
      </w:r>
      <w:r>
        <w:fldChar w:fldCharType="separate"/>
      </w:r>
      <w:r w:rsidR="00217EC3">
        <w:t>22</w:t>
      </w:r>
      <w:r>
        <w:fldChar w:fldCharType="end"/>
      </w:r>
    </w:p>
    <w:p w:rsidR="00E3435B" w:rsidRDefault="00E3435B">
      <w:pPr>
        <w:pStyle w:val="TOC8"/>
        <w:rPr>
          <w:rFonts w:asciiTheme="minorHAnsi" w:eastAsiaTheme="minorEastAsia" w:hAnsiTheme="minorHAnsi" w:cstheme="minorBidi"/>
          <w:sz w:val="22"/>
          <w:szCs w:val="22"/>
        </w:rPr>
      </w:pPr>
      <w:r>
        <w:t>(d)  Number of genera/species protected by members of the Union</w:t>
      </w:r>
      <w:r>
        <w:tab/>
      </w:r>
      <w:r>
        <w:fldChar w:fldCharType="begin"/>
      </w:r>
      <w:r>
        <w:instrText xml:space="preserve"> PAGEREF _Toc398738994 \h </w:instrText>
      </w:r>
      <w:r>
        <w:fldChar w:fldCharType="separate"/>
      </w:r>
      <w:r w:rsidR="00217EC3">
        <w:t>23</w:t>
      </w:r>
      <w:r>
        <w:fldChar w:fldCharType="end"/>
      </w:r>
    </w:p>
    <w:p w:rsidR="00E3435B" w:rsidRDefault="00E3435B">
      <w:pPr>
        <w:pStyle w:val="TOC9"/>
        <w:rPr>
          <w:rFonts w:asciiTheme="minorHAnsi" w:eastAsiaTheme="minorEastAsia" w:hAnsiTheme="minorHAnsi" w:cstheme="minorBidi"/>
          <w:sz w:val="22"/>
          <w:szCs w:val="22"/>
        </w:rPr>
      </w:pPr>
      <w:r>
        <w:t>Figure 21.  Protection to plant genera and species in 2013</w:t>
      </w:r>
      <w:r>
        <w:tab/>
      </w:r>
      <w:r>
        <w:fldChar w:fldCharType="begin"/>
      </w:r>
      <w:r>
        <w:instrText xml:space="preserve"> PAGEREF _Toc398738995 \h </w:instrText>
      </w:r>
      <w:r>
        <w:fldChar w:fldCharType="separate"/>
      </w:r>
      <w:r w:rsidR="00217EC3">
        <w:t>23</w:t>
      </w:r>
      <w:r>
        <w:fldChar w:fldCharType="end"/>
      </w:r>
    </w:p>
    <w:p w:rsidR="00E3435B" w:rsidRDefault="00E3435B">
      <w:pPr>
        <w:pStyle w:val="TOC9"/>
        <w:rPr>
          <w:rFonts w:asciiTheme="minorHAnsi" w:eastAsiaTheme="minorEastAsia" w:hAnsiTheme="minorHAnsi" w:cstheme="minorBidi"/>
          <w:sz w:val="22"/>
          <w:szCs w:val="22"/>
        </w:rPr>
      </w:pPr>
      <w:r>
        <w:t xml:space="preserve">Figure 22.  Evolution of offering </w:t>
      </w:r>
      <w:r w:rsidRPr="00610BEE">
        <w:rPr>
          <w:color w:val="000000"/>
        </w:rPr>
        <w:t>protection to plant genera and species</w:t>
      </w:r>
      <w:r>
        <w:tab/>
      </w:r>
      <w:r>
        <w:fldChar w:fldCharType="begin"/>
      </w:r>
      <w:r>
        <w:instrText xml:space="preserve"> PAGEREF _Toc398738996 \h </w:instrText>
      </w:r>
      <w:r>
        <w:fldChar w:fldCharType="separate"/>
      </w:r>
      <w:r w:rsidR="00217EC3">
        <w:t>23</w:t>
      </w:r>
      <w:r>
        <w:fldChar w:fldCharType="end"/>
      </w:r>
    </w:p>
    <w:p w:rsidR="00E3435B" w:rsidRDefault="00E3435B">
      <w:pPr>
        <w:pStyle w:val="TOC8"/>
        <w:rPr>
          <w:rFonts w:asciiTheme="minorHAnsi" w:eastAsiaTheme="minorEastAsia" w:hAnsiTheme="minorHAnsi" w:cstheme="minorBidi"/>
          <w:sz w:val="22"/>
          <w:szCs w:val="22"/>
        </w:rPr>
      </w:pPr>
      <w:r>
        <w:t>(e)  Number of genera/species for which varieties have been protected</w:t>
      </w:r>
      <w:r>
        <w:tab/>
      </w:r>
      <w:r>
        <w:fldChar w:fldCharType="begin"/>
      </w:r>
      <w:r>
        <w:instrText xml:space="preserve"> PAGEREF _Toc398738997 \h </w:instrText>
      </w:r>
      <w:r>
        <w:fldChar w:fldCharType="separate"/>
      </w:r>
      <w:r w:rsidR="00217EC3">
        <w:t>24</w:t>
      </w:r>
      <w:r>
        <w:fldChar w:fldCharType="end"/>
      </w:r>
    </w:p>
    <w:p w:rsidR="00E3435B" w:rsidRDefault="00E3435B">
      <w:pPr>
        <w:pStyle w:val="TOC8"/>
        <w:rPr>
          <w:rFonts w:asciiTheme="minorHAnsi" w:eastAsiaTheme="minorEastAsia" w:hAnsiTheme="minorHAnsi" w:cstheme="minorBidi"/>
          <w:sz w:val="22"/>
          <w:szCs w:val="22"/>
        </w:rPr>
      </w:pPr>
      <w:r>
        <w:t>(f)  Use by members of the Union of standard UPOV references in application forms</w:t>
      </w:r>
      <w:r>
        <w:tab/>
      </w:r>
      <w:r>
        <w:fldChar w:fldCharType="begin"/>
      </w:r>
      <w:r>
        <w:instrText xml:space="preserve"> PAGEREF _Toc398738998 \h </w:instrText>
      </w:r>
      <w:r>
        <w:fldChar w:fldCharType="separate"/>
      </w:r>
      <w:r w:rsidR="00217EC3">
        <w:t>24</w:t>
      </w:r>
      <w:r>
        <w:fldChar w:fldCharType="end"/>
      </w:r>
    </w:p>
    <w:p w:rsidR="00E3435B" w:rsidRDefault="00E3435B">
      <w:pPr>
        <w:pStyle w:val="TOC8"/>
        <w:rPr>
          <w:rFonts w:asciiTheme="minorHAnsi" w:eastAsiaTheme="minorEastAsia" w:hAnsiTheme="minorHAnsi" w:cstheme="minorBidi"/>
          <w:sz w:val="22"/>
          <w:szCs w:val="22"/>
        </w:rPr>
      </w:pPr>
      <w:r>
        <w:t>(g)  Use of linear blank forms corresponding to the “UPOV Model Form for the Application for Plant Breeders’ Rights”</w:t>
      </w:r>
      <w:r>
        <w:tab/>
      </w:r>
      <w:r>
        <w:fldChar w:fldCharType="begin"/>
      </w:r>
      <w:r>
        <w:instrText xml:space="preserve"> PAGEREF _Toc398738999 \h </w:instrText>
      </w:r>
      <w:r>
        <w:fldChar w:fldCharType="separate"/>
      </w:r>
      <w:r w:rsidR="00217EC3">
        <w:t>24</w:t>
      </w:r>
      <w:r>
        <w:fldChar w:fldCharType="end"/>
      </w:r>
    </w:p>
    <w:p w:rsidR="00E3435B" w:rsidRDefault="00E3435B">
      <w:pPr>
        <w:pStyle w:val="TOC6"/>
        <w:rPr>
          <w:rFonts w:asciiTheme="minorHAnsi" w:eastAsiaTheme="minorEastAsia" w:hAnsiTheme="minorHAnsi" w:cstheme="minorBidi"/>
          <w:caps w:val="0"/>
          <w:sz w:val="22"/>
          <w:szCs w:val="22"/>
        </w:rPr>
      </w:pPr>
      <w:r>
        <w:t>7.  Provision of information on the UPOV Convention for stakeholders (breeders, farmers, growers, seed-merchants, etc.)</w:t>
      </w:r>
      <w:r>
        <w:tab/>
      </w:r>
      <w:r>
        <w:fldChar w:fldCharType="begin"/>
      </w:r>
      <w:r>
        <w:instrText xml:space="preserve"> PAGEREF _Toc398739000 \h </w:instrText>
      </w:r>
      <w:r>
        <w:fldChar w:fldCharType="separate"/>
      </w:r>
      <w:r w:rsidR="00217EC3">
        <w:t>24</w:t>
      </w:r>
      <w:r>
        <w:fldChar w:fldCharType="end"/>
      </w:r>
    </w:p>
    <w:p w:rsidR="00E3435B" w:rsidRDefault="00E3435B">
      <w:pPr>
        <w:pStyle w:val="TOC8"/>
        <w:rPr>
          <w:rFonts w:asciiTheme="minorHAnsi" w:eastAsiaTheme="minorEastAsia" w:hAnsiTheme="minorHAnsi" w:cstheme="minorBidi"/>
          <w:sz w:val="22"/>
          <w:szCs w:val="22"/>
        </w:rPr>
      </w:pPr>
      <w:r>
        <w:t>(a)  Stakeholder-orientated information on the UPOV website</w:t>
      </w:r>
      <w:r>
        <w:tab/>
      </w:r>
      <w:r>
        <w:fldChar w:fldCharType="begin"/>
      </w:r>
      <w:r>
        <w:instrText xml:space="preserve"> PAGEREF _Toc398739001 \h </w:instrText>
      </w:r>
      <w:r>
        <w:fldChar w:fldCharType="separate"/>
      </w:r>
      <w:r w:rsidR="00217EC3">
        <w:t>24</w:t>
      </w:r>
      <w:r>
        <w:fldChar w:fldCharType="end"/>
      </w:r>
    </w:p>
    <w:p w:rsidR="00E3435B" w:rsidRDefault="00E3435B">
      <w:pPr>
        <w:pStyle w:val="TOC4"/>
        <w:tabs>
          <w:tab w:val="left" w:pos="851"/>
        </w:tabs>
        <w:rPr>
          <w:rFonts w:asciiTheme="minorHAnsi" w:eastAsiaTheme="minorEastAsia" w:hAnsiTheme="minorHAnsi" w:cstheme="minorBidi"/>
          <w:b w:val="0"/>
          <w:smallCaps w:val="0"/>
          <w:sz w:val="22"/>
          <w:szCs w:val="22"/>
          <w:lang w:val="en-US"/>
        </w:rPr>
      </w:pPr>
      <w:r>
        <w:t>2.3</w:t>
      </w:r>
      <w:r>
        <w:rPr>
          <w:rFonts w:asciiTheme="minorHAnsi" w:eastAsiaTheme="minorEastAsia" w:hAnsiTheme="minorHAnsi" w:cstheme="minorBidi"/>
          <w:b w:val="0"/>
          <w:smallCaps w:val="0"/>
          <w:sz w:val="22"/>
          <w:szCs w:val="22"/>
          <w:lang w:val="en-US"/>
        </w:rPr>
        <w:tab/>
      </w:r>
      <w:r>
        <w:t>Sub-Program UV.3:  Assistance in the Introduction and Implementation of the UPOV System</w:t>
      </w:r>
      <w:r>
        <w:tab/>
      </w:r>
      <w:r>
        <w:fldChar w:fldCharType="begin"/>
      </w:r>
      <w:r>
        <w:instrText xml:space="preserve"> PAGEREF _Toc398739002 \h </w:instrText>
      </w:r>
      <w:r>
        <w:fldChar w:fldCharType="separate"/>
      </w:r>
      <w:r w:rsidR="00217EC3">
        <w:t>25</w:t>
      </w:r>
      <w:r>
        <w:fldChar w:fldCharType="end"/>
      </w:r>
    </w:p>
    <w:p w:rsidR="00E3435B" w:rsidRDefault="00E3435B">
      <w:pPr>
        <w:pStyle w:val="TOC5"/>
        <w:rPr>
          <w:rFonts w:asciiTheme="minorHAnsi" w:eastAsiaTheme="minorEastAsia" w:hAnsiTheme="minorHAnsi" w:cstheme="minorBidi"/>
          <w:b w:val="0"/>
          <w:sz w:val="22"/>
          <w:szCs w:val="22"/>
          <w:lang w:val="en-US"/>
        </w:rPr>
      </w:pPr>
      <w:r>
        <w:t>Objectives</w:t>
      </w:r>
      <w:r>
        <w:tab/>
      </w:r>
      <w:r>
        <w:fldChar w:fldCharType="begin"/>
      </w:r>
      <w:r>
        <w:instrText xml:space="preserve"> PAGEREF _Toc398739003 \h </w:instrText>
      </w:r>
      <w:r>
        <w:fldChar w:fldCharType="separate"/>
      </w:r>
      <w:r w:rsidR="00217EC3">
        <w:t>25</w:t>
      </w:r>
      <w:r>
        <w:fldChar w:fldCharType="end"/>
      </w:r>
    </w:p>
    <w:p w:rsidR="00E3435B" w:rsidRDefault="00E3435B">
      <w:pPr>
        <w:pStyle w:val="TOC5"/>
        <w:rPr>
          <w:rFonts w:asciiTheme="minorHAnsi" w:eastAsiaTheme="minorEastAsia" w:hAnsiTheme="minorHAnsi" w:cstheme="minorBidi"/>
          <w:b w:val="0"/>
          <w:sz w:val="22"/>
          <w:szCs w:val="22"/>
          <w:lang w:val="en-US"/>
        </w:rPr>
      </w:pPr>
      <w:r>
        <w:t>Results Achieved:  Selected Performance Indicators</w:t>
      </w:r>
      <w:r>
        <w:tab/>
      </w:r>
      <w:r>
        <w:fldChar w:fldCharType="begin"/>
      </w:r>
      <w:r>
        <w:instrText xml:space="preserve"> PAGEREF _Toc398739004 \h </w:instrText>
      </w:r>
      <w:r>
        <w:fldChar w:fldCharType="separate"/>
      </w:r>
      <w:r w:rsidR="00217EC3">
        <w:t>25</w:t>
      </w:r>
      <w:r>
        <w:fldChar w:fldCharType="end"/>
      </w:r>
    </w:p>
    <w:p w:rsidR="00E3435B" w:rsidRDefault="00E3435B">
      <w:pPr>
        <w:pStyle w:val="TOC6"/>
        <w:rPr>
          <w:rFonts w:asciiTheme="minorHAnsi" w:eastAsiaTheme="minorEastAsia" w:hAnsiTheme="minorHAnsi" w:cstheme="minorBidi"/>
          <w:caps w:val="0"/>
          <w:sz w:val="22"/>
          <w:szCs w:val="22"/>
        </w:rPr>
      </w:pPr>
      <w:r>
        <w:t>1.  Raising awareness of the role of plant variety protection in accordance with the UPOV Convention</w:t>
      </w:r>
      <w:r>
        <w:tab/>
      </w:r>
      <w:r>
        <w:fldChar w:fldCharType="begin"/>
      </w:r>
      <w:r>
        <w:instrText xml:space="preserve"> PAGEREF _Toc398739005 \h </w:instrText>
      </w:r>
      <w:r>
        <w:fldChar w:fldCharType="separate"/>
      </w:r>
      <w:r w:rsidR="00217EC3">
        <w:t>25</w:t>
      </w:r>
      <w:r>
        <w:fldChar w:fldCharType="end"/>
      </w:r>
    </w:p>
    <w:p w:rsidR="00E3435B" w:rsidRDefault="00E3435B">
      <w:pPr>
        <w:pStyle w:val="TOC8"/>
        <w:rPr>
          <w:rFonts w:asciiTheme="minorHAnsi" w:eastAsiaTheme="minorEastAsia" w:hAnsiTheme="minorHAnsi" w:cstheme="minorBidi"/>
          <w:sz w:val="22"/>
          <w:szCs w:val="22"/>
        </w:rPr>
      </w:pPr>
      <w:r>
        <w:t>(a)  Publications on the role of plant variety protection, including material on UPOV website</w:t>
      </w:r>
      <w:r>
        <w:tab/>
      </w:r>
      <w:r>
        <w:fldChar w:fldCharType="begin"/>
      </w:r>
      <w:r>
        <w:instrText xml:space="preserve"> PAGEREF _Toc398739006 \h </w:instrText>
      </w:r>
      <w:r>
        <w:fldChar w:fldCharType="separate"/>
      </w:r>
      <w:r w:rsidR="00217EC3">
        <w:t>25</w:t>
      </w:r>
      <w:r>
        <w:fldChar w:fldCharType="end"/>
      </w:r>
    </w:p>
    <w:p w:rsidR="00E3435B" w:rsidRDefault="00E3435B">
      <w:pPr>
        <w:pStyle w:val="TOC8"/>
        <w:rPr>
          <w:rFonts w:asciiTheme="minorHAnsi" w:eastAsiaTheme="minorEastAsia" w:hAnsiTheme="minorHAnsi" w:cstheme="minorBidi"/>
          <w:sz w:val="22"/>
          <w:szCs w:val="22"/>
        </w:rPr>
      </w:pPr>
      <w:r>
        <w:t>(b)  States and organizations provided with information at UPOV activities</w:t>
      </w:r>
      <w:r>
        <w:tab/>
      </w:r>
      <w:r>
        <w:fldChar w:fldCharType="begin"/>
      </w:r>
      <w:r>
        <w:instrText xml:space="preserve"> PAGEREF _Toc398739007 \h </w:instrText>
      </w:r>
      <w:r>
        <w:fldChar w:fldCharType="separate"/>
      </w:r>
      <w:r w:rsidR="00217EC3">
        <w:t>25</w:t>
      </w:r>
      <w:r>
        <w:fldChar w:fldCharType="end"/>
      </w:r>
    </w:p>
    <w:p w:rsidR="00E3435B" w:rsidRDefault="00E3435B">
      <w:pPr>
        <w:pStyle w:val="TOC9"/>
        <w:rPr>
          <w:rFonts w:asciiTheme="minorHAnsi" w:eastAsiaTheme="minorEastAsia" w:hAnsiTheme="minorHAnsi" w:cstheme="minorBidi"/>
          <w:sz w:val="22"/>
          <w:szCs w:val="22"/>
        </w:rPr>
      </w:pPr>
      <w:r>
        <w:t>Figure 23.  States provided with information at UPOV activities</w:t>
      </w:r>
      <w:r>
        <w:tab/>
      </w:r>
      <w:r>
        <w:fldChar w:fldCharType="begin"/>
      </w:r>
      <w:r>
        <w:instrText xml:space="preserve"> PAGEREF _Toc398739008 \h </w:instrText>
      </w:r>
      <w:r>
        <w:fldChar w:fldCharType="separate"/>
      </w:r>
      <w:r w:rsidR="00217EC3">
        <w:t>25</w:t>
      </w:r>
      <w:r>
        <w:fldChar w:fldCharType="end"/>
      </w:r>
    </w:p>
    <w:p w:rsidR="00E3435B" w:rsidRDefault="00E3435B">
      <w:pPr>
        <w:pStyle w:val="TOC9"/>
        <w:rPr>
          <w:rFonts w:asciiTheme="minorHAnsi" w:eastAsiaTheme="minorEastAsia" w:hAnsiTheme="minorHAnsi" w:cstheme="minorBidi"/>
          <w:sz w:val="22"/>
          <w:szCs w:val="22"/>
        </w:rPr>
      </w:pPr>
      <w:r>
        <w:t>Figure 24.  Location of UPOV activities</w:t>
      </w:r>
      <w:r>
        <w:tab/>
      </w:r>
      <w:r>
        <w:fldChar w:fldCharType="begin"/>
      </w:r>
      <w:r>
        <w:instrText xml:space="preserve"> PAGEREF _Toc398739009 \h </w:instrText>
      </w:r>
      <w:r>
        <w:fldChar w:fldCharType="separate"/>
      </w:r>
      <w:r w:rsidR="00217EC3">
        <w:t>26</w:t>
      </w:r>
      <w:r>
        <w:fldChar w:fldCharType="end"/>
      </w:r>
    </w:p>
    <w:p w:rsidR="00E3435B" w:rsidRDefault="00E3435B">
      <w:pPr>
        <w:pStyle w:val="TOC8"/>
        <w:rPr>
          <w:rFonts w:asciiTheme="minorHAnsi" w:eastAsiaTheme="minorEastAsia" w:hAnsiTheme="minorHAnsi" w:cstheme="minorBidi"/>
          <w:sz w:val="22"/>
          <w:szCs w:val="22"/>
        </w:rPr>
      </w:pPr>
      <w:r>
        <w:t>(c)  States and organizations that contacted the Office of the Union for assistance in the development of legislation on plant variety protection</w:t>
      </w:r>
      <w:r>
        <w:tab/>
      </w:r>
      <w:r>
        <w:fldChar w:fldCharType="begin"/>
      </w:r>
      <w:r>
        <w:instrText xml:space="preserve"> PAGEREF _Toc398739010 \h </w:instrText>
      </w:r>
      <w:r>
        <w:fldChar w:fldCharType="separate"/>
      </w:r>
      <w:r w:rsidR="00217EC3">
        <w:t>26</w:t>
      </w:r>
      <w:r>
        <w:fldChar w:fldCharType="end"/>
      </w:r>
    </w:p>
    <w:p w:rsidR="00E3435B" w:rsidRDefault="00E3435B">
      <w:pPr>
        <w:pStyle w:val="TOC8"/>
        <w:rPr>
          <w:rFonts w:asciiTheme="minorHAnsi" w:eastAsiaTheme="minorEastAsia" w:hAnsiTheme="minorHAnsi" w:cstheme="minorBidi"/>
          <w:sz w:val="22"/>
          <w:szCs w:val="22"/>
        </w:rPr>
      </w:pPr>
      <w:r>
        <w:t>(d)  States and organizations that initiated with the Council of UPOV the procedure for becoming members of the Union</w:t>
      </w:r>
      <w:r>
        <w:tab/>
      </w:r>
      <w:r>
        <w:fldChar w:fldCharType="begin"/>
      </w:r>
      <w:r>
        <w:instrText xml:space="preserve"> PAGEREF _Toc398739011 \h </w:instrText>
      </w:r>
      <w:r>
        <w:fldChar w:fldCharType="separate"/>
      </w:r>
      <w:r w:rsidR="00217EC3">
        <w:t>26</w:t>
      </w:r>
      <w:r>
        <w:fldChar w:fldCharType="end"/>
      </w:r>
    </w:p>
    <w:p w:rsidR="00E3435B" w:rsidRDefault="00E3435B">
      <w:pPr>
        <w:pStyle w:val="TOC9"/>
        <w:rPr>
          <w:rFonts w:asciiTheme="minorHAnsi" w:eastAsiaTheme="minorEastAsia" w:hAnsiTheme="minorHAnsi" w:cstheme="minorBidi"/>
          <w:sz w:val="22"/>
          <w:szCs w:val="22"/>
        </w:rPr>
      </w:pPr>
      <w:r w:rsidRPr="00610BEE">
        <w:rPr>
          <w:rFonts w:cs="Arial"/>
          <w:snapToGrid w:val="0"/>
          <w:color w:val="000000"/>
        </w:rPr>
        <w:t>F</w:t>
      </w:r>
      <w:r>
        <w:t>igure 25.  States and organizations that contacted the Office of the Union for assistance in the development of legislation on plant variety protection and States and organizations that initiated with the Council of UPOV the procedure for becoming members of the Union</w:t>
      </w:r>
      <w:r>
        <w:tab/>
      </w:r>
      <w:r>
        <w:fldChar w:fldCharType="begin"/>
      </w:r>
      <w:r>
        <w:instrText xml:space="preserve"> PAGEREF _Toc398739012 \h </w:instrText>
      </w:r>
      <w:r>
        <w:fldChar w:fldCharType="separate"/>
      </w:r>
      <w:r w:rsidR="00217EC3">
        <w:t>27</w:t>
      </w:r>
      <w:r>
        <w:fldChar w:fldCharType="end"/>
      </w:r>
    </w:p>
    <w:p w:rsidR="00E3435B" w:rsidRDefault="00E3435B">
      <w:pPr>
        <w:pStyle w:val="TOC8"/>
        <w:rPr>
          <w:rFonts w:asciiTheme="minorHAnsi" w:eastAsiaTheme="minorEastAsia" w:hAnsiTheme="minorHAnsi" w:cstheme="minorBidi"/>
          <w:sz w:val="22"/>
          <w:szCs w:val="22"/>
        </w:rPr>
      </w:pPr>
      <w:r>
        <w:t>(e)  Participation in UPOV awareness-raising activities, or activities involving UPOV staff or UPOV trainers on behalf of UPOV staff</w:t>
      </w:r>
      <w:r>
        <w:tab/>
      </w:r>
      <w:r>
        <w:fldChar w:fldCharType="begin"/>
      </w:r>
      <w:r>
        <w:instrText xml:space="preserve"> PAGEREF _Toc398739013 \h </w:instrText>
      </w:r>
      <w:r>
        <w:fldChar w:fldCharType="separate"/>
      </w:r>
      <w:r w:rsidR="00217EC3">
        <w:t>27</w:t>
      </w:r>
      <w:r>
        <w:fldChar w:fldCharType="end"/>
      </w:r>
    </w:p>
    <w:p w:rsidR="00E3435B" w:rsidRDefault="00E3435B">
      <w:pPr>
        <w:pStyle w:val="TOC9"/>
        <w:rPr>
          <w:rFonts w:asciiTheme="minorHAnsi" w:eastAsiaTheme="minorEastAsia" w:hAnsiTheme="minorHAnsi" w:cstheme="minorBidi"/>
          <w:sz w:val="22"/>
          <w:szCs w:val="22"/>
        </w:rPr>
      </w:pPr>
      <w:r>
        <w:t>Figure 26.  Location of activities/meetings where UPOV made presentations</w:t>
      </w:r>
      <w:r>
        <w:tab/>
      </w:r>
      <w:r>
        <w:fldChar w:fldCharType="begin"/>
      </w:r>
      <w:r>
        <w:instrText xml:space="preserve"> PAGEREF _Toc398739014 \h </w:instrText>
      </w:r>
      <w:r>
        <w:fldChar w:fldCharType="separate"/>
      </w:r>
      <w:r w:rsidR="00217EC3">
        <w:t>27</w:t>
      </w:r>
      <w:r>
        <w:fldChar w:fldCharType="end"/>
      </w:r>
    </w:p>
    <w:p w:rsidR="00E3435B" w:rsidRDefault="00E3435B">
      <w:pPr>
        <w:pStyle w:val="TOC6"/>
        <w:rPr>
          <w:rFonts w:asciiTheme="minorHAnsi" w:eastAsiaTheme="minorEastAsia" w:hAnsiTheme="minorHAnsi" w:cstheme="minorBidi"/>
          <w:caps w:val="0"/>
          <w:sz w:val="22"/>
          <w:szCs w:val="22"/>
        </w:rPr>
      </w:pPr>
      <w:r>
        <w:t>2.  Assistance in drafting legislation on plant variety protection in accordance with the 1991 Act of the UPOV Convention</w:t>
      </w:r>
      <w:r>
        <w:tab/>
      </w:r>
      <w:r>
        <w:fldChar w:fldCharType="begin"/>
      </w:r>
      <w:r>
        <w:instrText xml:space="preserve"> PAGEREF _Toc398739015 \h </w:instrText>
      </w:r>
      <w:r>
        <w:fldChar w:fldCharType="separate"/>
      </w:r>
      <w:r w:rsidR="00217EC3">
        <w:t>28</w:t>
      </w:r>
      <w:r>
        <w:fldChar w:fldCharType="end"/>
      </w:r>
    </w:p>
    <w:p w:rsidR="00E3435B" w:rsidRDefault="00E3435B">
      <w:pPr>
        <w:pStyle w:val="TOC8"/>
        <w:rPr>
          <w:rFonts w:asciiTheme="minorHAnsi" w:eastAsiaTheme="minorEastAsia" w:hAnsiTheme="minorHAnsi" w:cstheme="minorBidi"/>
          <w:sz w:val="22"/>
          <w:szCs w:val="22"/>
        </w:rPr>
      </w:pPr>
      <w:r>
        <w:t>(a)  States and organizations provided with comments on laws</w:t>
      </w:r>
      <w:r>
        <w:tab/>
      </w:r>
      <w:r>
        <w:fldChar w:fldCharType="begin"/>
      </w:r>
      <w:r>
        <w:instrText xml:space="preserve"> PAGEREF _Toc398739016 \h </w:instrText>
      </w:r>
      <w:r>
        <w:fldChar w:fldCharType="separate"/>
      </w:r>
      <w:r w:rsidR="00217EC3">
        <w:t>28</w:t>
      </w:r>
      <w:r>
        <w:fldChar w:fldCharType="end"/>
      </w:r>
    </w:p>
    <w:p w:rsidR="00E3435B" w:rsidRDefault="00E3435B">
      <w:pPr>
        <w:pStyle w:val="TOC8"/>
        <w:rPr>
          <w:rFonts w:asciiTheme="minorHAnsi" w:eastAsiaTheme="minorEastAsia" w:hAnsiTheme="minorHAnsi" w:cstheme="minorBidi"/>
          <w:sz w:val="22"/>
          <w:szCs w:val="22"/>
        </w:rPr>
      </w:pPr>
      <w:r>
        <w:t>(b)  States and organizations which received a positive advice from the Council of UPOV</w:t>
      </w:r>
      <w:r>
        <w:tab/>
      </w:r>
      <w:r>
        <w:fldChar w:fldCharType="begin"/>
      </w:r>
      <w:r>
        <w:instrText xml:space="preserve"> PAGEREF _Toc398739017 \h </w:instrText>
      </w:r>
      <w:r>
        <w:fldChar w:fldCharType="separate"/>
      </w:r>
      <w:r w:rsidR="00217EC3">
        <w:t>28</w:t>
      </w:r>
      <w:r>
        <w:fldChar w:fldCharType="end"/>
      </w:r>
    </w:p>
    <w:p w:rsidR="00E3435B" w:rsidRDefault="00E3435B">
      <w:pPr>
        <w:pStyle w:val="TOC8"/>
        <w:rPr>
          <w:rFonts w:asciiTheme="minorHAnsi" w:eastAsiaTheme="minorEastAsia" w:hAnsiTheme="minorHAnsi" w:cstheme="minorBidi"/>
          <w:sz w:val="22"/>
          <w:szCs w:val="22"/>
        </w:rPr>
      </w:pPr>
      <w:r>
        <w:t>(c)  Meetings with government officials</w:t>
      </w:r>
      <w:r>
        <w:tab/>
      </w:r>
      <w:r>
        <w:fldChar w:fldCharType="begin"/>
      </w:r>
      <w:r>
        <w:instrText xml:space="preserve"> PAGEREF _Toc398739018 \h </w:instrText>
      </w:r>
      <w:r>
        <w:fldChar w:fldCharType="separate"/>
      </w:r>
      <w:r w:rsidR="00217EC3">
        <w:t>28</w:t>
      </w:r>
      <w:r>
        <w:fldChar w:fldCharType="end"/>
      </w:r>
    </w:p>
    <w:p w:rsidR="00E3435B" w:rsidRDefault="00E3435B">
      <w:pPr>
        <w:pStyle w:val="TOC9"/>
        <w:rPr>
          <w:rFonts w:asciiTheme="minorHAnsi" w:eastAsiaTheme="minorEastAsia" w:hAnsiTheme="minorHAnsi" w:cstheme="minorBidi"/>
          <w:sz w:val="22"/>
          <w:szCs w:val="22"/>
        </w:rPr>
      </w:pPr>
      <w:r>
        <w:t>Figure 27.  Assistance provided in drafting legislation on plant variety protection</w:t>
      </w:r>
      <w:r>
        <w:tab/>
      </w:r>
      <w:r>
        <w:fldChar w:fldCharType="begin"/>
      </w:r>
      <w:r>
        <w:instrText xml:space="preserve"> PAGEREF _Toc398739019 \h </w:instrText>
      </w:r>
      <w:r>
        <w:fldChar w:fldCharType="separate"/>
      </w:r>
      <w:r w:rsidR="00217EC3">
        <w:t>28</w:t>
      </w:r>
      <w:r>
        <w:fldChar w:fldCharType="end"/>
      </w:r>
    </w:p>
    <w:p w:rsidR="00E3435B" w:rsidRDefault="00E3435B">
      <w:pPr>
        <w:pStyle w:val="TOC6"/>
        <w:rPr>
          <w:rFonts w:asciiTheme="minorHAnsi" w:eastAsiaTheme="minorEastAsia" w:hAnsiTheme="minorHAnsi" w:cstheme="minorBidi"/>
          <w:caps w:val="0"/>
          <w:sz w:val="22"/>
          <w:szCs w:val="22"/>
        </w:rPr>
      </w:pPr>
      <w:r>
        <w:t>3.  Assistance to States and organizations in the accession to the 1991 Act of the UPOV Convention</w:t>
      </w:r>
      <w:r>
        <w:tab/>
      </w:r>
      <w:r>
        <w:fldChar w:fldCharType="begin"/>
      </w:r>
      <w:r>
        <w:instrText xml:space="preserve"> PAGEREF _Toc398739020 \h </w:instrText>
      </w:r>
      <w:r>
        <w:fldChar w:fldCharType="separate"/>
      </w:r>
      <w:r w:rsidR="00217EC3">
        <w:t>29</w:t>
      </w:r>
      <w:r>
        <w:fldChar w:fldCharType="end"/>
      </w:r>
    </w:p>
    <w:p w:rsidR="00E3435B" w:rsidRDefault="00E3435B">
      <w:pPr>
        <w:pStyle w:val="TOC8"/>
        <w:rPr>
          <w:rFonts w:asciiTheme="minorHAnsi" w:eastAsiaTheme="minorEastAsia" w:hAnsiTheme="minorHAnsi" w:cstheme="minorBidi"/>
          <w:sz w:val="22"/>
          <w:szCs w:val="22"/>
        </w:rPr>
      </w:pPr>
      <w:r>
        <w:t>(a)  States that acceded to or ratified the 1991 Act of the UPOV Convention</w:t>
      </w:r>
      <w:r>
        <w:tab/>
      </w:r>
      <w:r>
        <w:fldChar w:fldCharType="begin"/>
      </w:r>
      <w:r>
        <w:instrText xml:space="preserve"> PAGEREF _Toc398739021 \h </w:instrText>
      </w:r>
      <w:r>
        <w:fldChar w:fldCharType="separate"/>
      </w:r>
      <w:r w:rsidR="00217EC3">
        <w:t>29</w:t>
      </w:r>
      <w:r>
        <w:fldChar w:fldCharType="end"/>
      </w:r>
    </w:p>
    <w:p w:rsidR="00E3435B" w:rsidRDefault="00E3435B">
      <w:pPr>
        <w:pStyle w:val="TOC8"/>
        <w:rPr>
          <w:rFonts w:asciiTheme="minorHAnsi" w:eastAsiaTheme="minorEastAsia" w:hAnsiTheme="minorHAnsi" w:cstheme="minorBidi"/>
          <w:sz w:val="22"/>
          <w:szCs w:val="22"/>
        </w:rPr>
      </w:pPr>
      <w:r>
        <w:t>(b)  States and organizations that became members of the Union</w:t>
      </w:r>
      <w:r>
        <w:tab/>
      </w:r>
      <w:r>
        <w:fldChar w:fldCharType="begin"/>
      </w:r>
      <w:r>
        <w:instrText xml:space="preserve"> PAGEREF _Toc398739022 \h </w:instrText>
      </w:r>
      <w:r>
        <w:fldChar w:fldCharType="separate"/>
      </w:r>
      <w:r w:rsidR="00217EC3">
        <w:t>29</w:t>
      </w:r>
      <w:r>
        <w:fldChar w:fldCharType="end"/>
      </w:r>
    </w:p>
    <w:p w:rsidR="00E3435B" w:rsidRDefault="00E3435B">
      <w:pPr>
        <w:pStyle w:val="TOC9"/>
        <w:rPr>
          <w:rFonts w:asciiTheme="minorHAnsi" w:eastAsiaTheme="minorEastAsia" w:hAnsiTheme="minorHAnsi" w:cstheme="minorBidi"/>
          <w:sz w:val="22"/>
          <w:szCs w:val="22"/>
        </w:rPr>
      </w:pPr>
      <w:r>
        <w:t>Figure 28.  States/Organizations provided with comments on laws</w:t>
      </w:r>
      <w:r>
        <w:tab/>
      </w:r>
      <w:r>
        <w:fldChar w:fldCharType="begin"/>
      </w:r>
      <w:r>
        <w:instrText xml:space="preserve"> PAGEREF _Toc398739023 \h </w:instrText>
      </w:r>
      <w:r>
        <w:fldChar w:fldCharType="separate"/>
      </w:r>
      <w:r w:rsidR="00217EC3">
        <w:t>29</w:t>
      </w:r>
      <w:r>
        <w:fldChar w:fldCharType="end"/>
      </w:r>
    </w:p>
    <w:p w:rsidR="00E3435B" w:rsidRDefault="00E3435B">
      <w:pPr>
        <w:pStyle w:val="TOC9"/>
        <w:rPr>
          <w:rFonts w:asciiTheme="minorHAnsi" w:eastAsiaTheme="minorEastAsia" w:hAnsiTheme="minorHAnsi" w:cstheme="minorBidi"/>
          <w:sz w:val="22"/>
          <w:szCs w:val="22"/>
        </w:rPr>
      </w:pPr>
      <w:r>
        <w:t>Figure 29.  States/Organizations which received positive advice from the Council</w:t>
      </w:r>
      <w:r>
        <w:tab/>
      </w:r>
      <w:r>
        <w:fldChar w:fldCharType="begin"/>
      </w:r>
      <w:r>
        <w:instrText xml:space="preserve"> PAGEREF _Toc398739024 \h </w:instrText>
      </w:r>
      <w:r>
        <w:fldChar w:fldCharType="separate"/>
      </w:r>
      <w:r w:rsidR="00217EC3">
        <w:t>29</w:t>
      </w:r>
      <w:r>
        <w:fldChar w:fldCharType="end"/>
      </w:r>
    </w:p>
    <w:p w:rsidR="00E3435B" w:rsidRDefault="00E3435B">
      <w:pPr>
        <w:pStyle w:val="TOC9"/>
        <w:rPr>
          <w:rFonts w:asciiTheme="minorHAnsi" w:eastAsiaTheme="minorEastAsia" w:hAnsiTheme="minorHAnsi" w:cstheme="minorBidi"/>
          <w:sz w:val="22"/>
          <w:szCs w:val="22"/>
        </w:rPr>
      </w:pPr>
      <w:r>
        <w:t xml:space="preserve">Figure 30.  </w:t>
      </w:r>
      <w:r w:rsidRPr="00610BEE">
        <w:rPr>
          <w:color w:val="000000"/>
        </w:rPr>
        <w:t>New members of the Union</w:t>
      </w:r>
      <w:r>
        <w:tab/>
      </w:r>
      <w:r>
        <w:fldChar w:fldCharType="begin"/>
      </w:r>
      <w:r>
        <w:instrText xml:space="preserve"> PAGEREF _Toc398739025 \h </w:instrText>
      </w:r>
      <w:r>
        <w:fldChar w:fldCharType="separate"/>
      </w:r>
      <w:r w:rsidR="00217EC3">
        <w:t>29</w:t>
      </w:r>
      <w:r>
        <w:fldChar w:fldCharType="end"/>
      </w:r>
    </w:p>
    <w:p w:rsidR="00E3435B" w:rsidRDefault="00E3435B">
      <w:pPr>
        <w:pStyle w:val="TOC9"/>
        <w:rPr>
          <w:rFonts w:asciiTheme="minorHAnsi" w:eastAsiaTheme="minorEastAsia" w:hAnsiTheme="minorHAnsi" w:cstheme="minorBidi"/>
          <w:sz w:val="22"/>
          <w:szCs w:val="22"/>
        </w:rPr>
      </w:pPr>
      <w:r>
        <w:t xml:space="preserve">Figure 31.  </w:t>
      </w:r>
      <w:r w:rsidRPr="00610BEE">
        <w:rPr>
          <w:color w:val="000000"/>
        </w:rPr>
        <w:t>Accession to/ratification of the 1991 Act</w:t>
      </w:r>
      <w:r>
        <w:tab/>
      </w:r>
      <w:r>
        <w:fldChar w:fldCharType="begin"/>
      </w:r>
      <w:r>
        <w:instrText xml:space="preserve"> PAGEREF _Toc398739026 \h </w:instrText>
      </w:r>
      <w:r>
        <w:fldChar w:fldCharType="separate"/>
      </w:r>
      <w:r w:rsidR="00217EC3">
        <w:t>29</w:t>
      </w:r>
      <w:r>
        <w:fldChar w:fldCharType="end"/>
      </w:r>
    </w:p>
    <w:p w:rsidR="00E3435B" w:rsidRDefault="00E3435B">
      <w:pPr>
        <w:pStyle w:val="TOC6"/>
        <w:rPr>
          <w:rFonts w:asciiTheme="minorHAnsi" w:eastAsiaTheme="minorEastAsia" w:hAnsiTheme="minorHAnsi" w:cstheme="minorBidi"/>
          <w:caps w:val="0"/>
          <w:sz w:val="22"/>
          <w:szCs w:val="22"/>
        </w:rPr>
      </w:pPr>
      <w:r>
        <w:t>4.  Assistance in implementing an effective plant variety rights system in accordance with the 1991 Act of the UPOV Convention</w:t>
      </w:r>
      <w:r>
        <w:tab/>
      </w:r>
      <w:r>
        <w:fldChar w:fldCharType="begin"/>
      </w:r>
      <w:r>
        <w:instrText xml:space="preserve"> PAGEREF _Toc398739027 \h </w:instrText>
      </w:r>
      <w:r>
        <w:fldChar w:fldCharType="separate"/>
      </w:r>
      <w:r w:rsidR="00217EC3">
        <w:t>30</w:t>
      </w:r>
      <w:r>
        <w:fldChar w:fldCharType="end"/>
      </w:r>
    </w:p>
    <w:p w:rsidR="00E3435B" w:rsidRDefault="00E3435B">
      <w:pPr>
        <w:pStyle w:val="TOC8"/>
        <w:rPr>
          <w:rFonts w:asciiTheme="minorHAnsi" w:eastAsiaTheme="minorEastAsia" w:hAnsiTheme="minorHAnsi" w:cstheme="minorBidi"/>
          <w:sz w:val="22"/>
          <w:szCs w:val="22"/>
        </w:rPr>
      </w:pPr>
      <w:r>
        <w:t>(a)  Participation in distance learning courses</w:t>
      </w:r>
      <w:r>
        <w:tab/>
      </w:r>
      <w:r>
        <w:fldChar w:fldCharType="begin"/>
      </w:r>
      <w:r>
        <w:instrText xml:space="preserve"> PAGEREF _Toc398739028 \h </w:instrText>
      </w:r>
      <w:r>
        <w:fldChar w:fldCharType="separate"/>
      </w:r>
      <w:r w:rsidR="00217EC3">
        <w:t>30</w:t>
      </w:r>
      <w:r>
        <w:fldChar w:fldCharType="end"/>
      </w:r>
    </w:p>
    <w:p w:rsidR="00E3435B" w:rsidRDefault="00E3435B">
      <w:pPr>
        <w:pStyle w:val="TOC9"/>
        <w:rPr>
          <w:rFonts w:asciiTheme="minorHAnsi" w:eastAsiaTheme="minorEastAsia" w:hAnsiTheme="minorHAnsi" w:cstheme="minorBidi"/>
          <w:sz w:val="22"/>
          <w:szCs w:val="22"/>
        </w:rPr>
      </w:pPr>
      <w:r>
        <w:t>Figure 32.  UPOV DL-205 Course:  2012 and 2013 participation</w:t>
      </w:r>
      <w:r>
        <w:tab/>
      </w:r>
      <w:r>
        <w:fldChar w:fldCharType="begin"/>
      </w:r>
      <w:r>
        <w:instrText xml:space="preserve"> PAGEREF _Toc398739029 \h </w:instrText>
      </w:r>
      <w:r>
        <w:fldChar w:fldCharType="separate"/>
      </w:r>
      <w:r w:rsidR="00217EC3">
        <w:t>30</w:t>
      </w:r>
      <w:r>
        <w:fldChar w:fldCharType="end"/>
      </w:r>
    </w:p>
    <w:p w:rsidR="00E3435B" w:rsidRDefault="00E3435B">
      <w:pPr>
        <w:pStyle w:val="TOC9"/>
        <w:rPr>
          <w:rFonts w:asciiTheme="minorHAnsi" w:eastAsiaTheme="minorEastAsia" w:hAnsiTheme="minorHAnsi" w:cstheme="minorBidi"/>
          <w:sz w:val="22"/>
          <w:szCs w:val="22"/>
        </w:rPr>
      </w:pPr>
      <w:r>
        <w:t>Figure 33.  Participants in the main sessions of the  DL-205 Course  by registration category</w:t>
      </w:r>
      <w:r>
        <w:tab/>
      </w:r>
      <w:r>
        <w:fldChar w:fldCharType="begin"/>
      </w:r>
      <w:r>
        <w:instrText xml:space="preserve"> PAGEREF _Toc398739030 \h </w:instrText>
      </w:r>
      <w:r>
        <w:fldChar w:fldCharType="separate"/>
      </w:r>
      <w:r w:rsidR="00217EC3">
        <w:t>31</w:t>
      </w:r>
      <w:r>
        <w:fldChar w:fldCharType="end"/>
      </w:r>
    </w:p>
    <w:p w:rsidR="00E3435B" w:rsidRDefault="00E3435B">
      <w:pPr>
        <w:pStyle w:val="TOC9"/>
        <w:rPr>
          <w:rFonts w:asciiTheme="minorHAnsi" w:eastAsiaTheme="minorEastAsia" w:hAnsiTheme="minorHAnsi" w:cstheme="minorBidi"/>
          <w:sz w:val="22"/>
          <w:szCs w:val="22"/>
        </w:rPr>
      </w:pPr>
      <w:r>
        <w:t>Figure 34.  Participants in the main sessions of the  DL-205 Course  by language</w:t>
      </w:r>
      <w:r>
        <w:tab/>
      </w:r>
      <w:r>
        <w:fldChar w:fldCharType="begin"/>
      </w:r>
      <w:r>
        <w:instrText xml:space="preserve"> PAGEREF _Toc398739031 \h </w:instrText>
      </w:r>
      <w:r>
        <w:fldChar w:fldCharType="separate"/>
      </w:r>
      <w:r w:rsidR="00217EC3">
        <w:t>31</w:t>
      </w:r>
      <w:r>
        <w:fldChar w:fldCharType="end"/>
      </w:r>
    </w:p>
    <w:p w:rsidR="00E3435B" w:rsidRDefault="00E3435B">
      <w:pPr>
        <w:pStyle w:val="TOC8"/>
        <w:rPr>
          <w:rFonts w:asciiTheme="minorHAnsi" w:eastAsiaTheme="minorEastAsia" w:hAnsiTheme="minorHAnsi" w:cstheme="minorBidi"/>
          <w:sz w:val="22"/>
          <w:szCs w:val="22"/>
        </w:rPr>
      </w:pPr>
      <w:r>
        <w:t>(b)  Participation by observer States and organizations in the CAJ, TC, TWPs and the associated preparatory workshops</w:t>
      </w:r>
      <w:r>
        <w:tab/>
      </w:r>
      <w:r>
        <w:fldChar w:fldCharType="begin"/>
      </w:r>
      <w:r>
        <w:instrText xml:space="preserve"> PAGEREF _Toc398739032 \h </w:instrText>
      </w:r>
      <w:r>
        <w:fldChar w:fldCharType="separate"/>
      </w:r>
      <w:r w:rsidR="00217EC3">
        <w:t>32</w:t>
      </w:r>
      <w:r>
        <w:fldChar w:fldCharType="end"/>
      </w:r>
    </w:p>
    <w:p w:rsidR="00E3435B" w:rsidRDefault="00E3435B">
      <w:pPr>
        <w:pStyle w:val="TOC8"/>
        <w:rPr>
          <w:rFonts w:asciiTheme="minorHAnsi" w:eastAsiaTheme="minorEastAsia" w:hAnsiTheme="minorHAnsi" w:cstheme="minorBidi"/>
          <w:sz w:val="22"/>
          <w:szCs w:val="22"/>
        </w:rPr>
      </w:pPr>
      <w:r>
        <w:t>(c)  Participation in UPOV activities</w:t>
      </w:r>
      <w:r>
        <w:tab/>
      </w:r>
      <w:r>
        <w:fldChar w:fldCharType="begin"/>
      </w:r>
      <w:r>
        <w:instrText xml:space="preserve"> PAGEREF _Toc398739033 \h </w:instrText>
      </w:r>
      <w:r>
        <w:fldChar w:fldCharType="separate"/>
      </w:r>
      <w:r w:rsidR="00217EC3">
        <w:t>32</w:t>
      </w:r>
      <w:r>
        <w:fldChar w:fldCharType="end"/>
      </w:r>
    </w:p>
    <w:p w:rsidR="00E3435B" w:rsidRDefault="00E3435B">
      <w:pPr>
        <w:pStyle w:val="TOC8"/>
        <w:rPr>
          <w:rFonts w:asciiTheme="minorHAnsi" w:eastAsiaTheme="minorEastAsia" w:hAnsiTheme="minorHAnsi" w:cstheme="minorBidi"/>
          <w:sz w:val="22"/>
          <w:szCs w:val="22"/>
        </w:rPr>
      </w:pPr>
      <w:r>
        <w:t>(d)  Participation in activities involving UPOV staff or UPOV trainers on behalf of UPOV staff</w:t>
      </w:r>
      <w:r>
        <w:tab/>
      </w:r>
      <w:r>
        <w:fldChar w:fldCharType="begin"/>
      </w:r>
      <w:r>
        <w:instrText xml:space="preserve"> PAGEREF _Toc398739034 \h </w:instrText>
      </w:r>
      <w:r>
        <w:fldChar w:fldCharType="separate"/>
      </w:r>
      <w:r w:rsidR="00217EC3">
        <w:t>32</w:t>
      </w:r>
      <w:r>
        <w:fldChar w:fldCharType="end"/>
      </w:r>
    </w:p>
    <w:p w:rsidR="00E3435B" w:rsidRDefault="00E3435B">
      <w:pPr>
        <w:pStyle w:val="TOC8"/>
        <w:rPr>
          <w:rFonts w:asciiTheme="minorHAnsi" w:eastAsiaTheme="minorEastAsia" w:hAnsiTheme="minorHAnsi" w:cstheme="minorBidi"/>
          <w:sz w:val="22"/>
          <w:szCs w:val="22"/>
        </w:rPr>
      </w:pPr>
      <w:r>
        <w:t>(e)  Training provided by UPOV trainers in non-UPOV activities</w:t>
      </w:r>
      <w:r>
        <w:tab/>
      </w:r>
      <w:r>
        <w:fldChar w:fldCharType="begin"/>
      </w:r>
      <w:r>
        <w:instrText xml:space="preserve"> PAGEREF _Toc398739035 \h </w:instrText>
      </w:r>
      <w:r>
        <w:fldChar w:fldCharType="separate"/>
      </w:r>
      <w:r w:rsidR="00217EC3">
        <w:t>32</w:t>
      </w:r>
      <w:r>
        <w:fldChar w:fldCharType="end"/>
      </w:r>
    </w:p>
    <w:p w:rsidR="00E3435B" w:rsidRDefault="00E3435B">
      <w:pPr>
        <w:pStyle w:val="TOC8"/>
        <w:rPr>
          <w:rFonts w:asciiTheme="minorHAnsi" w:eastAsiaTheme="minorEastAsia" w:hAnsiTheme="minorHAnsi" w:cstheme="minorBidi"/>
          <w:sz w:val="22"/>
          <w:szCs w:val="22"/>
        </w:rPr>
      </w:pPr>
      <w:r>
        <w:t>(f)  Implementation of projects with partner organizations and donors</w:t>
      </w:r>
      <w:r>
        <w:tab/>
      </w:r>
      <w:r>
        <w:fldChar w:fldCharType="begin"/>
      </w:r>
      <w:r>
        <w:instrText xml:space="preserve"> PAGEREF _Toc398739036 \h </w:instrText>
      </w:r>
      <w:r>
        <w:fldChar w:fldCharType="separate"/>
      </w:r>
      <w:r w:rsidR="00217EC3">
        <w:t>32</w:t>
      </w:r>
      <w:r>
        <w:fldChar w:fldCharType="end"/>
      </w:r>
    </w:p>
    <w:p w:rsidR="00E3435B" w:rsidRDefault="00E3435B">
      <w:pPr>
        <w:pStyle w:val="TOC8"/>
        <w:rPr>
          <w:rFonts w:asciiTheme="minorHAnsi" w:eastAsiaTheme="minorEastAsia" w:hAnsiTheme="minorHAnsi" w:cstheme="minorBidi"/>
          <w:sz w:val="22"/>
          <w:szCs w:val="22"/>
        </w:rPr>
      </w:pPr>
      <w:r>
        <w:t>(g)  Use of assistance web-page to obtain project support</w:t>
      </w:r>
      <w:r>
        <w:tab/>
      </w:r>
      <w:r>
        <w:fldChar w:fldCharType="begin"/>
      </w:r>
      <w:r>
        <w:instrText xml:space="preserve"> PAGEREF _Toc398739037 \h </w:instrText>
      </w:r>
      <w:r>
        <w:fldChar w:fldCharType="separate"/>
      </w:r>
      <w:r w:rsidR="00217EC3">
        <w:t>32</w:t>
      </w:r>
      <w:r>
        <w:fldChar w:fldCharType="end"/>
      </w:r>
    </w:p>
    <w:p w:rsidR="00E3435B" w:rsidRDefault="00E3435B">
      <w:pPr>
        <w:pStyle w:val="TOC4"/>
        <w:tabs>
          <w:tab w:val="left" w:pos="851"/>
        </w:tabs>
        <w:rPr>
          <w:rFonts w:asciiTheme="minorHAnsi" w:eastAsiaTheme="minorEastAsia" w:hAnsiTheme="minorHAnsi" w:cstheme="minorBidi"/>
          <w:b w:val="0"/>
          <w:smallCaps w:val="0"/>
          <w:sz w:val="22"/>
          <w:szCs w:val="22"/>
          <w:lang w:val="en-US"/>
        </w:rPr>
      </w:pPr>
      <w:r>
        <w:t>2.4</w:t>
      </w:r>
      <w:r>
        <w:rPr>
          <w:rFonts w:asciiTheme="minorHAnsi" w:eastAsiaTheme="minorEastAsia" w:hAnsiTheme="minorHAnsi" w:cstheme="minorBidi"/>
          <w:b w:val="0"/>
          <w:smallCaps w:val="0"/>
          <w:sz w:val="22"/>
          <w:szCs w:val="22"/>
          <w:lang w:val="en-US"/>
        </w:rPr>
        <w:tab/>
      </w:r>
      <w:r>
        <w:t>Sub-Program UV.4:  External Relations</w:t>
      </w:r>
      <w:r>
        <w:tab/>
      </w:r>
      <w:r>
        <w:fldChar w:fldCharType="begin"/>
      </w:r>
      <w:r>
        <w:instrText xml:space="preserve"> PAGEREF _Toc398739038 \h </w:instrText>
      </w:r>
      <w:r>
        <w:fldChar w:fldCharType="separate"/>
      </w:r>
      <w:r w:rsidR="00217EC3">
        <w:t>33</w:t>
      </w:r>
      <w:r>
        <w:fldChar w:fldCharType="end"/>
      </w:r>
    </w:p>
    <w:p w:rsidR="00E3435B" w:rsidRDefault="00E3435B">
      <w:pPr>
        <w:pStyle w:val="TOC5"/>
        <w:rPr>
          <w:rFonts w:asciiTheme="minorHAnsi" w:eastAsiaTheme="minorEastAsia" w:hAnsiTheme="minorHAnsi" w:cstheme="minorBidi"/>
          <w:b w:val="0"/>
          <w:sz w:val="22"/>
          <w:szCs w:val="22"/>
          <w:lang w:val="en-US"/>
        </w:rPr>
      </w:pPr>
      <w:r>
        <w:t>Objectives</w:t>
      </w:r>
      <w:r>
        <w:tab/>
      </w:r>
      <w:r>
        <w:fldChar w:fldCharType="begin"/>
      </w:r>
      <w:r>
        <w:instrText xml:space="preserve"> PAGEREF _Toc398739039 \h </w:instrText>
      </w:r>
      <w:r>
        <w:fldChar w:fldCharType="separate"/>
      </w:r>
      <w:r w:rsidR="00217EC3">
        <w:t>33</w:t>
      </w:r>
      <w:r>
        <w:fldChar w:fldCharType="end"/>
      </w:r>
    </w:p>
    <w:p w:rsidR="00E3435B" w:rsidRDefault="00E3435B">
      <w:pPr>
        <w:pStyle w:val="TOC5"/>
        <w:rPr>
          <w:rFonts w:asciiTheme="minorHAnsi" w:eastAsiaTheme="minorEastAsia" w:hAnsiTheme="minorHAnsi" w:cstheme="minorBidi"/>
          <w:b w:val="0"/>
          <w:sz w:val="22"/>
          <w:szCs w:val="22"/>
          <w:lang w:val="en-US"/>
        </w:rPr>
      </w:pPr>
      <w:r>
        <w:t>Results Achieved:  Selected Performance Indicators</w:t>
      </w:r>
      <w:r>
        <w:tab/>
      </w:r>
      <w:r>
        <w:fldChar w:fldCharType="begin"/>
      </w:r>
      <w:r>
        <w:instrText xml:space="preserve"> PAGEREF _Toc398739040 \h </w:instrText>
      </w:r>
      <w:r>
        <w:fldChar w:fldCharType="separate"/>
      </w:r>
      <w:r w:rsidR="00217EC3">
        <w:t>33</w:t>
      </w:r>
      <w:r>
        <w:fldChar w:fldCharType="end"/>
      </w:r>
    </w:p>
    <w:p w:rsidR="00E3435B" w:rsidRDefault="00E3435B">
      <w:pPr>
        <w:pStyle w:val="TOC6"/>
        <w:rPr>
          <w:rFonts w:asciiTheme="minorHAnsi" w:eastAsiaTheme="minorEastAsia" w:hAnsiTheme="minorHAnsi" w:cstheme="minorBidi"/>
          <w:caps w:val="0"/>
          <w:sz w:val="22"/>
          <w:szCs w:val="22"/>
        </w:rPr>
      </w:pPr>
      <w:r>
        <w:t>1.  Increased public understanding of UPOV’s role and activities</w:t>
      </w:r>
      <w:r>
        <w:tab/>
      </w:r>
      <w:r>
        <w:fldChar w:fldCharType="begin"/>
      </w:r>
      <w:r>
        <w:instrText xml:space="preserve"> PAGEREF _Toc398739041 \h </w:instrText>
      </w:r>
      <w:r>
        <w:fldChar w:fldCharType="separate"/>
      </w:r>
      <w:r w:rsidR="00217EC3">
        <w:t>33</w:t>
      </w:r>
      <w:r>
        <w:fldChar w:fldCharType="end"/>
      </w:r>
    </w:p>
    <w:p w:rsidR="00E3435B" w:rsidRDefault="00E3435B">
      <w:pPr>
        <w:pStyle w:val="TOC8"/>
        <w:rPr>
          <w:rFonts w:asciiTheme="minorHAnsi" w:eastAsiaTheme="minorEastAsia" w:hAnsiTheme="minorHAnsi" w:cstheme="minorBidi"/>
          <w:sz w:val="22"/>
          <w:szCs w:val="22"/>
        </w:rPr>
      </w:pPr>
      <w:r>
        <w:t>(a)  Availability of public-orientated information and materials on UPOV Website</w:t>
      </w:r>
      <w:r>
        <w:tab/>
      </w:r>
      <w:r>
        <w:fldChar w:fldCharType="begin"/>
      </w:r>
      <w:r>
        <w:instrText xml:space="preserve"> PAGEREF _Toc398739042 \h </w:instrText>
      </w:r>
      <w:r>
        <w:fldChar w:fldCharType="separate"/>
      </w:r>
      <w:r w:rsidR="00217EC3">
        <w:t>33</w:t>
      </w:r>
      <w:r>
        <w:fldChar w:fldCharType="end"/>
      </w:r>
    </w:p>
    <w:p w:rsidR="00E3435B" w:rsidRDefault="00E3435B">
      <w:pPr>
        <w:pStyle w:val="TOC8"/>
        <w:rPr>
          <w:rFonts w:asciiTheme="minorHAnsi" w:eastAsiaTheme="minorEastAsia" w:hAnsiTheme="minorHAnsi" w:cstheme="minorBidi"/>
          <w:sz w:val="22"/>
          <w:szCs w:val="22"/>
        </w:rPr>
      </w:pPr>
      <w:r>
        <w:t>(b)  Visits to website</w:t>
      </w:r>
      <w:r>
        <w:tab/>
      </w:r>
      <w:r>
        <w:fldChar w:fldCharType="begin"/>
      </w:r>
      <w:r>
        <w:instrText xml:space="preserve"> PAGEREF _Toc398739043 \h </w:instrText>
      </w:r>
      <w:r>
        <w:fldChar w:fldCharType="separate"/>
      </w:r>
      <w:r w:rsidR="00217EC3">
        <w:t>33</w:t>
      </w:r>
      <w:r>
        <w:fldChar w:fldCharType="end"/>
      </w:r>
    </w:p>
    <w:p w:rsidR="00E3435B" w:rsidRDefault="00E3435B">
      <w:pPr>
        <w:pStyle w:val="TOC6"/>
        <w:rPr>
          <w:rFonts w:asciiTheme="minorHAnsi" w:eastAsiaTheme="minorEastAsia" w:hAnsiTheme="minorHAnsi" w:cstheme="minorBidi"/>
          <w:caps w:val="0"/>
          <w:sz w:val="22"/>
          <w:szCs w:val="22"/>
        </w:rPr>
      </w:pPr>
      <w:r>
        <w:t>2.  Provision of information to other organizations</w:t>
      </w:r>
      <w:r>
        <w:tab/>
      </w:r>
      <w:r>
        <w:fldChar w:fldCharType="begin"/>
      </w:r>
      <w:r>
        <w:instrText xml:space="preserve"> PAGEREF _Toc398739044 \h </w:instrText>
      </w:r>
      <w:r>
        <w:fldChar w:fldCharType="separate"/>
      </w:r>
      <w:r w:rsidR="00217EC3">
        <w:t>35</w:t>
      </w:r>
      <w:r>
        <w:fldChar w:fldCharType="end"/>
      </w:r>
    </w:p>
    <w:p w:rsidR="00E3435B" w:rsidRDefault="00E3435B">
      <w:pPr>
        <w:pStyle w:val="TOC8"/>
        <w:rPr>
          <w:rFonts w:asciiTheme="minorHAnsi" w:eastAsiaTheme="minorEastAsia" w:hAnsiTheme="minorHAnsi" w:cstheme="minorBidi"/>
          <w:sz w:val="22"/>
          <w:szCs w:val="22"/>
        </w:rPr>
      </w:pPr>
      <w:r>
        <w:t>Participation at meetings and/or activities with relevant organizations</w:t>
      </w:r>
      <w:r>
        <w:tab/>
      </w:r>
      <w:r>
        <w:fldChar w:fldCharType="begin"/>
      </w:r>
      <w:r>
        <w:instrText xml:space="preserve"> PAGEREF _Toc398739045 \h </w:instrText>
      </w:r>
      <w:r>
        <w:fldChar w:fldCharType="separate"/>
      </w:r>
      <w:r w:rsidR="00217EC3">
        <w:t>35</w:t>
      </w:r>
      <w:r>
        <w:fldChar w:fldCharType="end"/>
      </w:r>
    </w:p>
    <w:p w:rsidR="00E3435B" w:rsidRDefault="00E3435B">
      <w:pPr>
        <w:pStyle w:val="TOC3"/>
        <w:tabs>
          <w:tab w:val="left" w:pos="425"/>
        </w:tabs>
        <w:rPr>
          <w:rFonts w:asciiTheme="minorHAnsi" w:eastAsiaTheme="minorEastAsia" w:hAnsiTheme="minorHAnsi" w:cstheme="minorBidi"/>
          <w:b w:val="0"/>
          <w:noProof/>
          <w:sz w:val="22"/>
          <w:szCs w:val="22"/>
          <w:lang w:val="en-US"/>
        </w:rPr>
      </w:pPr>
      <w:r>
        <w:rPr>
          <w:noProof/>
        </w:rPr>
        <w:t>3.</w:t>
      </w:r>
      <w:r>
        <w:rPr>
          <w:rFonts w:asciiTheme="minorHAnsi" w:eastAsiaTheme="minorEastAsia" w:hAnsiTheme="minorHAnsi" w:cstheme="minorBidi"/>
          <w:b w:val="0"/>
          <w:noProof/>
          <w:sz w:val="22"/>
          <w:szCs w:val="22"/>
          <w:lang w:val="en-US"/>
        </w:rPr>
        <w:tab/>
      </w:r>
      <w:r w:rsidRPr="00610BEE">
        <w:rPr>
          <w:noProof/>
        </w:rPr>
        <w:t>FINANCIAL PERFORMANCE</w:t>
      </w:r>
      <w:r>
        <w:rPr>
          <w:noProof/>
        </w:rPr>
        <w:tab/>
      </w:r>
      <w:r>
        <w:rPr>
          <w:noProof/>
        </w:rPr>
        <w:fldChar w:fldCharType="begin"/>
      </w:r>
      <w:r>
        <w:rPr>
          <w:noProof/>
        </w:rPr>
        <w:instrText xml:space="preserve"> PAGEREF _Toc398739046 \h </w:instrText>
      </w:r>
      <w:r>
        <w:rPr>
          <w:noProof/>
        </w:rPr>
      </w:r>
      <w:r>
        <w:rPr>
          <w:noProof/>
        </w:rPr>
        <w:fldChar w:fldCharType="separate"/>
      </w:r>
      <w:r w:rsidR="00217EC3">
        <w:rPr>
          <w:noProof/>
        </w:rPr>
        <w:t>36</w:t>
      </w:r>
      <w:r>
        <w:rPr>
          <w:noProof/>
        </w:rPr>
        <w:fldChar w:fldCharType="end"/>
      </w:r>
    </w:p>
    <w:p w:rsidR="00E3435B" w:rsidRDefault="00E3435B">
      <w:pPr>
        <w:pStyle w:val="TOC4"/>
        <w:tabs>
          <w:tab w:val="left" w:pos="851"/>
        </w:tabs>
        <w:rPr>
          <w:rFonts w:asciiTheme="minorHAnsi" w:eastAsiaTheme="minorEastAsia" w:hAnsiTheme="minorHAnsi" w:cstheme="minorBidi"/>
          <w:b w:val="0"/>
          <w:smallCaps w:val="0"/>
          <w:sz w:val="22"/>
          <w:szCs w:val="22"/>
          <w:lang w:val="en-US"/>
        </w:rPr>
      </w:pPr>
      <w:r>
        <w:t>3.1</w:t>
      </w:r>
      <w:r>
        <w:rPr>
          <w:rFonts w:asciiTheme="minorHAnsi" w:eastAsiaTheme="minorEastAsia" w:hAnsiTheme="minorHAnsi" w:cstheme="minorBidi"/>
          <w:b w:val="0"/>
          <w:smallCaps w:val="0"/>
          <w:sz w:val="22"/>
          <w:szCs w:val="22"/>
          <w:lang w:val="en-US"/>
        </w:rPr>
        <w:tab/>
      </w:r>
      <w:r>
        <w:t>Income, expenditure and reserves</w:t>
      </w:r>
      <w:r>
        <w:tab/>
      </w:r>
      <w:r>
        <w:fldChar w:fldCharType="begin"/>
      </w:r>
      <w:r>
        <w:instrText xml:space="preserve"> PAGEREF _Toc398739047 \h </w:instrText>
      </w:r>
      <w:r>
        <w:fldChar w:fldCharType="separate"/>
      </w:r>
      <w:r w:rsidR="00217EC3">
        <w:t>36</w:t>
      </w:r>
      <w:r>
        <w:fldChar w:fldCharType="end"/>
      </w:r>
    </w:p>
    <w:p w:rsidR="00E3435B" w:rsidRDefault="00E3435B">
      <w:pPr>
        <w:pStyle w:val="TOC4"/>
        <w:tabs>
          <w:tab w:val="left" w:pos="851"/>
        </w:tabs>
        <w:rPr>
          <w:rFonts w:asciiTheme="minorHAnsi" w:eastAsiaTheme="minorEastAsia" w:hAnsiTheme="minorHAnsi" w:cstheme="minorBidi"/>
          <w:b w:val="0"/>
          <w:smallCaps w:val="0"/>
          <w:sz w:val="22"/>
          <w:szCs w:val="22"/>
          <w:lang w:val="en-US"/>
        </w:rPr>
      </w:pPr>
      <w:r>
        <w:t>3.2</w:t>
      </w:r>
      <w:r>
        <w:rPr>
          <w:rFonts w:asciiTheme="minorHAnsi" w:eastAsiaTheme="minorEastAsia" w:hAnsiTheme="minorHAnsi" w:cstheme="minorBidi"/>
          <w:b w:val="0"/>
          <w:smallCaps w:val="0"/>
          <w:sz w:val="22"/>
          <w:szCs w:val="22"/>
          <w:lang w:val="en-US"/>
        </w:rPr>
        <w:tab/>
      </w:r>
      <w:r>
        <w:t>Structure of budget</w:t>
      </w:r>
      <w:r>
        <w:tab/>
      </w:r>
      <w:r>
        <w:fldChar w:fldCharType="begin"/>
      </w:r>
      <w:r>
        <w:instrText xml:space="preserve"> PAGEREF _Toc398739048 \h </w:instrText>
      </w:r>
      <w:r>
        <w:fldChar w:fldCharType="separate"/>
      </w:r>
      <w:r w:rsidR="00217EC3">
        <w:t>36</w:t>
      </w:r>
      <w:r>
        <w:fldChar w:fldCharType="end"/>
      </w:r>
    </w:p>
    <w:p w:rsidR="00E3435B" w:rsidRDefault="00E3435B">
      <w:pPr>
        <w:pStyle w:val="TOC4"/>
        <w:tabs>
          <w:tab w:val="left" w:pos="851"/>
        </w:tabs>
        <w:rPr>
          <w:rFonts w:asciiTheme="minorHAnsi" w:eastAsiaTheme="minorEastAsia" w:hAnsiTheme="minorHAnsi" w:cstheme="minorBidi"/>
          <w:b w:val="0"/>
          <w:smallCaps w:val="0"/>
          <w:sz w:val="22"/>
          <w:szCs w:val="22"/>
          <w:lang w:val="en-US"/>
        </w:rPr>
      </w:pPr>
      <w:r>
        <w:t>3.3</w:t>
      </w:r>
      <w:r>
        <w:rPr>
          <w:rFonts w:asciiTheme="minorHAnsi" w:eastAsiaTheme="minorEastAsia" w:hAnsiTheme="minorHAnsi" w:cstheme="minorBidi"/>
          <w:b w:val="0"/>
          <w:smallCaps w:val="0"/>
          <w:sz w:val="22"/>
          <w:szCs w:val="22"/>
          <w:lang w:val="en-US"/>
        </w:rPr>
        <w:tab/>
      </w:r>
      <w:r>
        <w:t>Budget variation by object of expenditure</w:t>
      </w:r>
      <w:r>
        <w:tab/>
      </w:r>
      <w:r>
        <w:fldChar w:fldCharType="begin"/>
      </w:r>
      <w:r>
        <w:instrText xml:space="preserve"> PAGEREF _Toc398739049 \h </w:instrText>
      </w:r>
      <w:r>
        <w:fldChar w:fldCharType="separate"/>
      </w:r>
      <w:r w:rsidR="00217EC3">
        <w:t>37</w:t>
      </w:r>
      <w:r>
        <w:fldChar w:fldCharType="end"/>
      </w:r>
    </w:p>
    <w:p w:rsidR="00E3435B" w:rsidRDefault="00E3435B">
      <w:pPr>
        <w:pStyle w:val="TOC9"/>
        <w:rPr>
          <w:rFonts w:asciiTheme="minorHAnsi" w:eastAsiaTheme="minorEastAsia" w:hAnsiTheme="minorHAnsi" w:cstheme="minorBidi"/>
          <w:sz w:val="22"/>
          <w:szCs w:val="22"/>
        </w:rPr>
      </w:pPr>
      <w:r>
        <w:t>Figure 35.  Income and expenditure (between 2002 and 2013)</w:t>
      </w:r>
      <w:r>
        <w:tab/>
      </w:r>
      <w:r>
        <w:fldChar w:fldCharType="begin"/>
      </w:r>
      <w:r>
        <w:instrText xml:space="preserve"> PAGEREF _Toc398739050 \h </w:instrText>
      </w:r>
      <w:r>
        <w:fldChar w:fldCharType="separate"/>
      </w:r>
      <w:r w:rsidR="00217EC3">
        <w:t>39</w:t>
      </w:r>
      <w:r>
        <w:fldChar w:fldCharType="end"/>
      </w:r>
    </w:p>
    <w:p w:rsidR="00E3435B" w:rsidRDefault="00E3435B">
      <w:pPr>
        <w:pStyle w:val="TOC4"/>
        <w:tabs>
          <w:tab w:val="left" w:pos="851"/>
        </w:tabs>
        <w:rPr>
          <w:rFonts w:asciiTheme="minorHAnsi" w:eastAsiaTheme="minorEastAsia" w:hAnsiTheme="minorHAnsi" w:cstheme="minorBidi"/>
          <w:b w:val="0"/>
          <w:smallCaps w:val="0"/>
          <w:sz w:val="22"/>
          <w:szCs w:val="22"/>
          <w:lang w:val="en-US"/>
        </w:rPr>
      </w:pPr>
      <w:r>
        <w:t>3.4</w:t>
      </w:r>
      <w:r>
        <w:rPr>
          <w:rFonts w:asciiTheme="minorHAnsi" w:eastAsiaTheme="minorEastAsia" w:hAnsiTheme="minorHAnsi" w:cstheme="minorBidi"/>
          <w:b w:val="0"/>
          <w:smallCaps w:val="0"/>
          <w:sz w:val="22"/>
          <w:szCs w:val="22"/>
          <w:lang w:val="en-US"/>
        </w:rPr>
        <w:tab/>
      </w:r>
      <w:r>
        <w:t>Budget 2010-2011:  Posts by category</w:t>
      </w:r>
      <w:r>
        <w:tab/>
      </w:r>
      <w:r>
        <w:fldChar w:fldCharType="begin"/>
      </w:r>
      <w:r>
        <w:instrText xml:space="preserve"> PAGEREF _Toc398739051 \h </w:instrText>
      </w:r>
      <w:r>
        <w:fldChar w:fldCharType="separate"/>
      </w:r>
      <w:r w:rsidR="00217EC3">
        <w:t>39</w:t>
      </w:r>
      <w:r>
        <w:fldChar w:fldCharType="end"/>
      </w:r>
    </w:p>
    <w:p w:rsidR="00E3435B" w:rsidRDefault="00E3435B">
      <w:pPr>
        <w:pStyle w:val="TOC4"/>
        <w:tabs>
          <w:tab w:val="left" w:pos="851"/>
        </w:tabs>
        <w:rPr>
          <w:rFonts w:asciiTheme="minorHAnsi" w:eastAsiaTheme="minorEastAsia" w:hAnsiTheme="minorHAnsi" w:cstheme="minorBidi"/>
          <w:b w:val="0"/>
          <w:smallCaps w:val="0"/>
          <w:sz w:val="22"/>
          <w:szCs w:val="22"/>
          <w:lang w:val="en-US"/>
        </w:rPr>
      </w:pPr>
      <w:r>
        <w:t>3.5</w:t>
      </w:r>
      <w:r>
        <w:rPr>
          <w:rFonts w:asciiTheme="minorHAnsi" w:eastAsiaTheme="minorEastAsia" w:hAnsiTheme="minorHAnsi" w:cstheme="minorBidi"/>
          <w:b w:val="0"/>
          <w:smallCaps w:val="0"/>
          <w:sz w:val="22"/>
          <w:szCs w:val="22"/>
          <w:lang w:val="en-US"/>
        </w:rPr>
        <w:tab/>
      </w:r>
      <w:r>
        <w:t>Income:  Variation by source</w:t>
      </w:r>
      <w:r>
        <w:tab/>
      </w:r>
      <w:r>
        <w:fldChar w:fldCharType="begin"/>
      </w:r>
      <w:r>
        <w:instrText xml:space="preserve"> PAGEREF _Toc398739052 \h </w:instrText>
      </w:r>
      <w:r>
        <w:fldChar w:fldCharType="separate"/>
      </w:r>
      <w:r w:rsidR="00217EC3">
        <w:t>40</w:t>
      </w:r>
      <w:r>
        <w:fldChar w:fldCharType="end"/>
      </w:r>
    </w:p>
    <w:p w:rsidR="00E3435B" w:rsidRDefault="00E3435B">
      <w:pPr>
        <w:pStyle w:val="TOC4"/>
        <w:tabs>
          <w:tab w:val="left" w:pos="851"/>
        </w:tabs>
        <w:rPr>
          <w:rFonts w:asciiTheme="minorHAnsi" w:eastAsiaTheme="minorEastAsia" w:hAnsiTheme="minorHAnsi" w:cstheme="minorBidi"/>
          <w:b w:val="0"/>
          <w:smallCaps w:val="0"/>
          <w:sz w:val="22"/>
          <w:szCs w:val="22"/>
          <w:lang w:val="en-US"/>
        </w:rPr>
      </w:pPr>
      <w:r>
        <w:t>3.6</w:t>
      </w:r>
      <w:r>
        <w:rPr>
          <w:rFonts w:asciiTheme="minorHAnsi" w:eastAsiaTheme="minorEastAsia" w:hAnsiTheme="minorHAnsi" w:cstheme="minorBidi"/>
          <w:b w:val="0"/>
          <w:smallCaps w:val="0"/>
          <w:sz w:val="22"/>
          <w:szCs w:val="22"/>
          <w:lang w:val="en-US"/>
        </w:rPr>
        <w:tab/>
      </w:r>
      <w:r>
        <w:t>Income, expenditure and reserves</w:t>
      </w:r>
      <w:r>
        <w:tab/>
      </w:r>
      <w:r>
        <w:fldChar w:fldCharType="begin"/>
      </w:r>
      <w:r>
        <w:instrText xml:space="preserve"> PAGEREF _Toc398739053 \h </w:instrText>
      </w:r>
      <w:r>
        <w:fldChar w:fldCharType="separate"/>
      </w:r>
      <w:r w:rsidR="00217EC3">
        <w:t>41</w:t>
      </w:r>
      <w:r>
        <w:fldChar w:fldCharType="end"/>
      </w:r>
    </w:p>
    <w:p w:rsidR="00E3435B" w:rsidRDefault="00E3435B">
      <w:pPr>
        <w:pStyle w:val="TOC9"/>
        <w:rPr>
          <w:rFonts w:asciiTheme="minorHAnsi" w:eastAsiaTheme="minorEastAsia" w:hAnsiTheme="minorHAnsi" w:cstheme="minorBidi"/>
          <w:sz w:val="22"/>
          <w:szCs w:val="22"/>
        </w:rPr>
      </w:pPr>
      <w:r>
        <w:t>Figure 36.  Income, expenditure and reserves for 2003-2013</w:t>
      </w:r>
      <w:r w:rsidRPr="00610BEE">
        <w:t xml:space="preserve"> </w:t>
      </w:r>
      <w:r w:rsidRPr="00610BEE">
        <w:rPr>
          <w:rFonts w:cs="Arial"/>
          <w:iCs/>
        </w:rPr>
        <w:t>(in thousands of Swiss francs)</w:t>
      </w:r>
      <w:r>
        <w:tab/>
      </w:r>
      <w:r>
        <w:fldChar w:fldCharType="begin"/>
      </w:r>
      <w:r>
        <w:instrText xml:space="preserve"> PAGEREF _Toc398739054 \h </w:instrText>
      </w:r>
      <w:r>
        <w:fldChar w:fldCharType="separate"/>
      </w:r>
      <w:r w:rsidR="00217EC3">
        <w:t>42</w:t>
      </w:r>
      <w:r>
        <w:fldChar w:fldCharType="end"/>
      </w:r>
    </w:p>
    <w:p w:rsidR="002D6F42" w:rsidRPr="0060702E" w:rsidRDefault="002D6F42" w:rsidP="00A611A7">
      <w:r w:rsidRPr="0060702E">
        <w:fldChar w:fldCharType="end"/>
      </w:r>
    </w:p>
    <w:p w:rsidR="00A611A7" w:rsidRPr="0060702E" w:rsidRDefault="00A611A7" w:rsidP="00A611A7">
      <w:pPr>
        <w:rPr>
          <w:sz w:val="18"/>
        </w:rPr>
      </w:pPr>
      <w:r w:rsidRPr="0060702E">
        <w:rPr>
          <w:sz w:val="18"/>
        </w:rPr>
        <w:t>Appendix</w:t>
      </w:r>
      <w:r w:rsidRPr="0060702E">
        <w:rPr>
          <w:sz w:val="18"/>
        </w:rPr>
        <w:tab/>
        <w:t>Acronyms and abbreviations</w:t>
      </w:r>
    </w:p>
    <w:p w:rsidR="0000674F" w:rsidRPr="0060702E" w:rsidRDefault="002D6F42" w:rsidP="0000674F">
      <w:pPr>
        <w:pStyle w:val="Heading3"/>
      </w:pPr>
      <w:r w:rsidRPr="0060702E">
        <w:br w:type="page"/>
      </w:r>
    </w:p>
    <w:p w:rsidR="002D6F42" w:rsidRPr="0060702E" w:rsidRDefault="0000674F" w:rsidP="0000674F">
      <w:pPr>
        <w:pStyle w:val="Heading3"/>
      </w:pPr>
      <w:bookmarkStart w:id="7" w:name="_Toc398738920"/>
      <w:r w:rsidRPr="0060702E">
        <w:t>1.</w:t>
      </w:r>
      <w:r w:rsidRPr="0060702E">
        <w:tab/>
      </w:r>
      <w:r w:rsidR="002D6F42" w:rsidRPr="0060702E">
        <w:t>INTRODUCTION</w:t>
      </w:r>
      <w:bookmarkEnd w:id="7"/>
    </w:p>
    <w:p w:rsidR="002D6F42" w:rsidRPr="0060702E" w:rsidRDefault="002D6F42" w:rsidP="002D6F42">
      <w:pPr>
        <w:rPr>
          <w:caps/>
        </w:rPr>
      </w:pPr>
    </w:p>
    <w:p w:rsidR="00983ADC" w:rsidRPr="0060702E" w:rsidRDefault="002D6F42" w:rsidP="00983ADC">
      <w:r w:rsidRPr="0060702E">
        <w:t>1.</w:t>
      </w:r>
      <w:r w:rsidRPr="0060702E">
        <w:tab/>
      </w:r>
      <w:r w:rsidR="00983ADC" w:rsidRPr="0060702E">
        <w:t>This document presents the Performance Report for the 2012-2013 Biennium on the basis of the Program and Budget for the 2012-2013 Biennium adopted by the Council at its forty</w:t>
      </w:r>
      <w:r w:rsidR="00983ADC" w:rsidRPr="0060702E">
        <w:noBreakHyphen/>
        <w:t>fifth ordinary session, held in Geneva on October 20, 2011 (see document C/45/4 Rev.2 “Program and Budget for the 2012-2013 Biennium”).</w:t>
      </w:r>
    </w:p>
    <w:p w:rsidR="00983ADC" w:rsidRPr="0060702E" w:rsidRDefault="00983ADC" w:rsidP="002D6F42"/>
    <w:p w:rsidR="004A7151" w:rsidRPr="0060702E" w:rsidRDefault="004A7151" w:rsidP="004A7151">
      <w:pPr>
        <w:rPr>
          <w:snapToGrid w:val="0"/>
        </w:rPr>
      </w:pPr>
      <w:r w:rsidRPr="0060702E">
        <w:t>2.</w:t>
      </w:r>
      <w:r w:rsidRPr="0060702E">
        <w:tab/>
        <w:t xml:space="preserve">The Performance Report for the 2012-2013 Biennium provides an overview of UPOV’s performance based on </w:t>
      </w:r>
      <w:r w:rsidRPr="0060702E">
        <w:rPr>
          <w:snapToGrid w:val="0"/>
        </w:rPr>
        <w:t>information from the following documents, which contain further detailed information:</w:t>
      </w:r>
    </w:p>
    <w:p w:rsidR="004A7151" w:rsidRPr="0060702E" w:rsidRDefault="004A7151" w:rsidP="004A7151">
      <w:pPr>
        <w:rPr>
          <w:snapToGrid w:val="0"/>
        </w:rPr>
      </w:pPr>
    </w:p>
    <w:p w:rsidR="004A7151" w:rsidRPr="0060702E" w:rsidRDefault="004A7151" w:rsidP="004A7151">
      <w:pPr>
        <w:spacing w:after="120"/>
        <w:ind w:left="567"/>
        <w:rPr>
          <w:snapToGrid w:val="0"/>
        </w:rPr>
      </w:pPr>
      <w:r w:rsidRPr="0060702E">
        <w:rPr>
          <w:snapToGrid w:val="0"/>
        </w:rPr>
        <w:t>(a)</w:t>
      </w:r>
      <w:r w:rsidRPr="0060702E">
        <w:rPr>
          <w:snapToGrid w:val="0"/>
        </w:rPr>
        <w:tab/>
      </w:r>
      <w:proofErr w:type="gramStart"/>
      <w:r w:rsidRPr="0060702E">
        <w:rPr>
          <w:snapToGrid w:val="0"/>
        </w:rPr>
        <w:t>document</w:t>
      </w:r>
      <w:proofErr w:type="gramEnd"/>
      <w:r w:rsidRPr="0060702E">
        <w:rPr>
          <w:snapToGrid w:val="0"/>
        </w:rPr>
        <w:t xml:space="preserve"> C/45/4 Rev.2 “Program and Budget of the Union for the 2012-2013 Biennium;</w:t>
      </w:r>
    </w:p>
    <w:p w:rsidR="004A7151" w:rsidRPr="0060702E" w:rsidRDefault="004A7151" w:rsidP="004A7151">
      <w:pPr>
        <w:spacing w:after="120"/>
        <w:ind w:left="567"/>
        <w:rPr>
          <w:snapToGrid w:val="0"/>
        </w:rPr>
      </w:pPr>
      <w:r w:rsidRPr="0060702E">
        <w:rPr>
          <w:snapToGrid w:val="0"/>
        </w:rPr>
        <w:t>(b)</w:t>
      </w:r>
      <w:r w:rsidRPr="0060702E">
        <w:rPr>
          <w:snapToGrid w:val="0"/>
        </w:rPr>
        <w:tab/>
      </w:r>
      <w:proofErr w:type="gramStart"/>
      <w:r w:rsidRPr="0060702E">
        <w:rPr>
          <w:snapToGrid w:val="0"/>
        </w:rPr>
        <w:t>document</w:t>
      </w:r>
      <w:proofErr w:type="gramEnd"/>
      <w:r w:rsidRPr="0060702E">
        <w:rPr>
          <w:snapToGrid w:val="0"/>
        </w:rPr>
        <w:t xml:space="preserve"> C/47/2 “Annual Report of the Secretary-General for 2012”;</w:t>
      </w:r>
    </w:p>
    <w:p w:rsidR="004A7151" w:rsidRPr="0060702E" w:rsidRDefault="004A7151" w:rsidP="004A7151">
      <w:pPr>
        <w:spacing w:after="120"/>
        <w:ind w:left="567"/>
        <w:rPr>
          <w:snapToGrid w:val="0"/>
        </w:rPr>
      </w:pPr>
      <w:r w:rsidRPr="0060702E">
        <w:rPr>
          <w:snapToGrid w:val="0"/>
        </w:rPr>
        <w:t>(c)</w:t>
      </w:r>
      <w:r w:rsidRPr="0060702E">
        <w:rPr>
          <w:snapToGrid w:val="0"/>
        </w:rPr>
        <w:tab/>
      </w:r>
      <w:proofErr w:type="gramStart"/>
      <w:r w:rsidRPr="0060702E">
        <w:rPr>
          <w:snapToGrid w:val="0"/>
        </w:rPr>
        <w:t>document</w:t>
      </w:r>
      <w:proofErr w:type="gramEnd"/>
      <w:r w:rsidRPr="0060702E">
        <w:rPr>
          <w:snapToGrid w:val="0"/>
        </w:rPr>
        <w:t xml:space="preserve"> C/48/2 “Annual Report of the Secretary-General for 2013”;  and</w:t>
      </w:r>
    </w:p>
    <w:p w:rsidR="004A7151" w:rsidRPr="0060702E" w:rsidRDefault="004A7151" w:rsidP="004A7151">
      <w:pPr>
        <w:spacing w:after="120"/>
        <w:ind w:left="567"/>
        <w:rPr>
          <w:snapToGrid w:val="0"/>
        </w:rPr>
      </w:pPr>
      <w:r w:rsidRPr="0060702E">
        <w:rPr>
          <w:snapToGrid w:val="0"/>
        </w:rPr>
        <w:t>(d)</w:t>
      </w:r>
      <w:r w:rsidRPr="0060702E">
        <w:rPr>
          <w:snapToGrid w:val="0"/>
        </w:rPr>
        <w:tab/>
      </w:r>
      <w:proofErr w:type="gramStart"/>
      <w:r w:rsidRPr="0060702E">
        <w:rPr>
          <w:snapToGrid w:val="0"/>
        </w:rPr>
        <w:t>document</w:t>
      </w:r>
      <w:proofErr w:type="gramEnd"/>
      <w:r w:rsidRPr="0060702E">
        <w:rPr>
          <w:snapToGrid w:val="0"/>
        </w:rPr>
        <w:t xml:space="preserve"> C/48/4 “Financial Management Report for the 2012-2013 Biennium”</w:t>
      </w:r>
      <w:r w:rsidR="0060702E">
        <w:rPr>
          <w:snapToGrid w:val="0"/>
        </w:rPr>
        <w:t>.</w:t>
      </w:r>
    </w:p>
    <w:p w:rsidR="004A7151" w:rsidRPr="0060702E" w:rsidRDefault="004A7151" w:rsidP="002D6F42"/>
    <w:p w:rsidR="002D6F42" w:rsidRPr="0060702E" w:rsidRDefault="004A7151" w:rsidP="002D6F42">
      <w:r w:rsidRPr="0060702E">
        <w:t>3</w:t>
      </w:r>
      <w:r w:rsidR="002D6F42" w:rsidRPr="0060702E">
        <w:t>.</w:t>
      </w:r>
      <w:r w:rsidR="002D6F42" w:rsidRPr="0060702E">
        <w:tab/>
      </w:r>
      <w:r w:rsidRPr="0060702E">
        <w:t xml:space="preserve">Section 2 “Program Performance”, provides a </w:t>
      </w:r>
      <w:r w:rsidR="002D6F42" w:rsidRPr="0060702E">
        <w:t>brief summary of the progress made towards the achievements of objectives at the level of sub-programs, followed by performance tables summarizing information on objectives, expected results and performance indicators.</w:t>
      </w:r>
      <w:r w:rsidRPr="0060702E">
        <w:t xml:space="preserve">  Section 3 “Financial Performance”, provides an overview of the financial performance and the number of posts for the Office of the Union, in relation to the Program and Budget for the 2012­2013 Biennium</w:t>
      </w:r>
      <w:r w:rsidR="001D2983" w:rsidRPr="0060702E">
        <w:t>.</w:t>
      </w:r>
    </w:p>
    <w:p w:rsidR="00515214" w:rsidRPr="0060702E" w:rsidRDefault="00515214" w:rsidP="002D6F42"/>
    <w:p w:rsidR="00515214" w:rsidRPr="0060702E" w:rsidRDefault="00515214" w:rsidP="002D6F42">
      <w:r w:rsidRPr="0060702E">
        <w:t>4.</w:t>
      </w:r>
      <w:r w:rsidRPr="0060702E">
        <w:tab/>
        <w:t>The following map provides a graphic overview of the status in relation to UPOV at the end of the 2012-2013 Biennium.</w:t>
      </w:r>
    </w:p>
    <w:p w:rsidR="00515214" w:rsidRPr="0060702E" w:rsidRDefault="00515214" w:rsidP="002D6F42"/>
    <w:p w:rsidR="00515214" w:rsidRPr="0060702E" w:rsidRDefault="00515214" w:rsidP="002D6F42">
      <w:r w:rsidRPr="0060702E">
        <w:rPr>
          <w:rFonts w:cs="Arial"/>
          <w:noProof/>
        </w:rPr>
        <w:drawing>
          <wp:inline distT="0" distB="0" distL="0" distR="0" wp14:anchorId="7C572B61" wp14:editId="372832DB">
            <wp:extent cx="6120765" cy="3100358"/>
            <wp:effectExtent l="0" t="0" r="0" b="5080"/>
            <wp:docPr id="133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3100358"/>
                    </a:xfrm>
                    <a:prstGeom prst="rect">
                      <a:avLst/>
                    </a:prstGeom>
                    <a:noFill/>
                    <a:ln>
                      <a:noFill/>
                    </a:ln>
                    <a:extLst/>
                  </pic:spPr>
                </pic:pic>
              </a:graphicData>
            </a:graphic>
          </wp:inline>
        </w:drawing>
      </w:r>
    </w:p>
    <w:p w:rsidR="00515214" w:rsidRPr="0060702E" w:rsidRDefault="00515214" w:rsidP="00515214">
      <w:pPr>
        <w:pStyle w:val="BodyText"/>
        <w:spacing w:after="180"/>
        <w:rPr>
          <w:rFonts w:cs="Arial"/>
          <w:sz w:val="12"/>
          <w:szCs w:val="12"/>
        </w:rPr>
      </w:pPr>
      <w:r w:rsidRPr="0060702E">
        <w:rPr>
          <w:rFonts w:cs="Arial"/>
          <w:sz w:val="12"/>
          <w:szCs w:val="12"/>
        </w:rPr>
        <w:t>The boundaries shown on this map do not imply the expression of any opinion whatsoever on the part of UPOV concerning the legal status of any country or territory</w:t>
      </w:r>
    </w:p>
    <w:p w:rsidR="00B707CF" w:rsidRPr="0060702E" w:rsidRDefault="00CA4DA2" w:rsidP="0060702E">
      <w:pPr>
        <w:pStyle w:val="ListParagraph"/>
        <w:numPr>
          <w:ilvl w:val="0"/>
          <w:numId w:val="19"/>
        </w:numPr>
        <w:tabs>
          <w:tab w:val="clear" w:pos="720"/>
        </w:tabs>
        <w:ind w:left="709" w:right="567" w:hanging="425"/>
        <w:jc w:val="left"/>
        <w:rPr>
          <w:sz w:val="18"/>
        </w:rPr>
      </w:pPr>
      <w:r w:rsidRPr="0060702E">
        <w:rPr>
          <w:sz w:val="18"/>
        </w:rPr>
        <w:t>71 members of UPOV</w:t>
      </w:r>
    </w:p>
    <w:p w:rsidR="00701658" w:rsidRPr="0060702E" w:rsidRDefault="00701658" w:rsidP="0060702E">
      <w:pPr>
        <w:ind w:left="709" w:right="567" w:hanging="425"/>
        <w:jc w:val="left"/>
        <w:rPr>
          <w:sz w:val="4"/>
          <w:szCs w:val="6"/>
        </w:rPr>
      </w:pPr>
    </w:p>
    <w:p w:rsidR="00701658" w:rsidRPr="0060702E" w:rsidRDefault="00701658" w:rsidP="0060702E">
      <w:pPr>
        <w:pStyle w:val="ListParagraph"/>
        <w:ind w:left="709" w:right="567" w:hanging="425"/>
        <w:jc w:val="left"/>
        <w:rPr>
          <w:sz w:val="4"/>
          <w:szCs w:val="6"/>
        </w:rPr>
      </w:pPr>
    </w:p>
    <w:p w:rsidR="00B93915" w:rsidRPr="0060702E" w:rsidRDefault="00937958" w:rsidP="0060702E">
      <w:pPr>
        <w:pStyle w:val="ListParagraph"/>
        <w:numPr>
          <w:ilvl w:val="0"/>
          <w:numId w:val="22"/>
        </w:numPr>
        <w:tabs>
          <w:tab w:val="clear" w:pos="720"/>
        </w:tabs>
        <w:ind w:left="709" w:right="567" w:hanging="425"/>
        <w:jc w:val="left"/>
        <w:rPr>
          <w:sz w:val="18"/>
        </w:rPr>
      </w:pPr>
      <w:r w:rsidRPr="0060702E">
        <w:rPr>
          <w:sz w:val="18"/>
        </w:rPr>
        <w:t xml:space="preserve">16 States </w:t>
      </w:r>
      <w:r w:rsidR="00B839B8" w:rsidRPr="0060702E">
        <w:rPr>
          <w:sz w:val="18"/>
        </w:rPr>
        <w:t>and 1</w:t>
      </w:r>
      <w:r w:rsidRPr="0060702E">
        <w:rPr>
          <w:sz w:val="18"/>
        </w:rPr>
        <w:t xml:space="preserve"> </w:t>
      </w:r>
      <w:r w:rsidR="00B93915" w:rsidRPr="0060702E">
        <w:rPr>
          <w:sz w:val="18"/>
        </w:rPr>
        <w:t xml:space="preserve">intergovernmental </w:t>
      </w:r>
      <w:r w:rsidRPr="0060702E">
        <w:rPr>
          <w:sz w:val="18"/>
        </w:rPr>
        <w:t xml:space="preserve">organization </w:t>
      </w:r>
      <w:r w:rsidR="00B93915" w:rsidRPr="0060702E">
        <w:rPr>
          <w:sz w:val="18"/>
        </w:rPr>
        <w:t xml:space="preserve">which had initiated the </w:t>
      </w:r>
      <w:r w:rsidR="0060702E">
        <w:rPr>
          <w:sz w:val="18"/>
        </w:rPr>
        <w:t>procedure for acceding the UPOV </w:t>
      </w:r>
      <w:r w:rsidR="00B93915" w:rsidRPr="0060702E">
        <w:rPr>
          <w:sz w:val="18"/>
        </w:rPr>
        <w:t>Convention</w:t>
      </w:r>
    </w:p>
    <w:p w:rsidR="000366DC" w:rsidRPr="0060702E" w:rsidRDefault="000366DC" w:rsidP="0060702E">
      <w:pPr>
        <w:ind w:left="709" w:right="567" w:hanging="425"/>
        <w:jc w:val="left"/>
        <w:rPr>
          <w:sz w:val="4"/>
          <w:szCs w:val="6"/>
        </w:rPr>
      </w:pPr>
    </w:p>
    <w:p w:rsidR="00757159" w:rsidRPr="0060702E" w:rsidRDefault="00757159" w:rsidP="0060702E">
      <w:pPr>
        <w:ind w:left="709" w:right="567" w:hanging="425"/>
        <w:jc w:val="left"/>
        <w:rPr>
          <w:sz w:val="4"/>
          <w:szCs w:val="6"/>
        </w:rPr>
      </w:pPr>
    </w:p>
    <w:p w:rsidR="000366DC" w:rsidRPr="0060702E" w:rsidRDefault="000366DC" w:rsidP="0060702E">
      <w:pPr>
        <w:pStyle w:val="ListParagraph"/>
        <w:numPr>
          <w:ilvl w:val="0"/>
          <w:numId w:val="21"/>
        </w:numPr>
        <w:tabs>
          <w:tab w:val="clear" w:pos="720"/>
        </w:tabs>
        <w:ind w:left="709" w:right="567" w:hanging="425"/>
        <w:jc w:val="left"/>
        <w:rPr>
          <w:sz w:val="18"/>
        </w:rPr>
      </w:pPr>
      <w:r w:rsidRPr="0060702E">
        <w:rPr>
          <w:sz w:val="18"/>
        </w:rPr>
        <w:t xml:space="preserve">24 States </w:t>
      </w:r>
      <w:r w:rsidR="00B839B8" w:rsidRPr="0060702E">
        <w:rPr>
          <w:sz w:val="18"/>
        </w:rPr>
        <w:t>and 2</w:t>
      </w:r>
      <w:r w:rsidRPr="0060702E">
        <w:rPr>
          <w:sz w:val="18"/>
        </w:rPr>
        <w:t xml:space="preserve"> </w:t>
      </w:r>
      <w:r w:rsidR="00B839B8" w:rsidRPr="0060702E">
        <w:rPr>
          <w:sz w:val="18"/>
        </w:rPr>
        <w:t xml:space="preserve">intergovernmental </w:t>
      </w:r>
      <w:r w:rsidRPr="0060702E">
        <w:rPr>
          <w:sz w:val="18"/>
        </w:rPr>
        <w:t xml:space="preserve">organization which had been in </w:t>
      </w:r>
      <w:r w:rsidR="00B839B8" w:rsidRPr="0060702E">
        <w:rPr>
          <w:sz w:val="18"/>
        </w:rPr>
        <w:t>c</w:t>
      </w:r>
      <w:r w:rsidR="002751FD" w:rsidRPr="0060702E">
        <w:rPr>
          <w:sz w:val="18"/>
        </w:rPr>
        <w:t>ontact with the Office of the </w:t>
      </w:r>
      <w:r w:rsidRPr="0060702E">
        <w:rPr>
          <w:sz w:val="18"/>
        </w:rPr>
        <w:t>Union for assistance in the development of laws based on the UPOV Convention</w:t>
      </w:r>
    </w:p>
    <w:p w:rsidR="00515214" w:rsidRPr="0060702E" w:rsidRDefault="00515214" w:rsidP="000366DC">
      <w:pPr>
        <w:jc w:val="left"/>
      </w:pPr>
      <w:r w:rsidRPr="0060702E">
        <w:br w:type="page"/>
      </w:r>
    </w:p>
    <w:p w:rsidR="009B710A" w:rsidRPr="0060702E" w:rsidRDefault="009B710A" w:rsidP="00354992">
      <w:pPr>
        <w:jc w:val="left"/>
      </w:pPr>
      <w:r w:rsidRPr="0060702E">
        <w:t>5.</w:t>
      </w:r>
      <w:r w:rsidRPr="0060702E">
        <w:tab/>
        <w:t xml:space="preserve">The following </w:t>
      </w:r>
      <w:r w:rsidR="00C26B14" w:rsidRPr="0060702E">
        <w:t>table provides</w:t>
      </w:r>
      <w:r w:rsidRPr="0060702E">
        <w:t xml:space="preserve"> detailed information on </w:t>
      </w:r>
      <w:r w:rsidR="00B839B8" w:rsidRPr="0060702E">
        <w:t xml:space="preserve">the </w:t>
      </w:r>
      <w:r w:rsidRPr="0060702E">
        <w:t>status in relation to UPOV</w:t>
      </w:r>
      <w:r w:rsidR="00B839B8" w:rsidRPr="0060702E">
        <w:t>.</w:t>
      </w:r>
    </w:p>
    <w:p w:rsidR="009B710A" w:rsidRPr="0060702E" w:rsidRDefault="009B710A" w:rsidP="00515214">
      <w:pPr>
        <w:pStyle w:val="BodyText"/>
        <w:jc w:val="center"/>
        <w:rPr>
          <w:rFonts w:cs="Arial"/>
          <w:b/>
          <w:sz w:val="18"/>
        </w:rPr>
      </w:pPr>
    </w:p>
    <w:p w:rsidR="00515214" w:rsidRPr="0060702E" w:rsidRDefault="00515214" w:rsidP="00515214">
      <w:pPr>
        <w:pStyle w:val="BodyText"/>
        <w:jc w:val="center"/>
        <w:rPr>
          <w:rFonts w:cs="Arial"/>
          <w:b/>
          <w:sz w:val="18"/>
        </w:rPr>
      </w:pPr>
      <w:r w:rsidRPr="0060702E">
        <w:rPr>
          <w:rFonts w:cs="Arial"/>
          <w:b/>
          <w:sz w:val="18"/>
        </w:rPr>
        <w:t>UPOV members</w:t>
      </w:r>
    </w:p>
    <w:p w:rsidR="00515214" w:rsidRPr="0060702E" w:rsidRDefault="00515214" w:rsidP="00515214">
      <w:pPr>
        <w:pStyle w:val="BodyText"/>
        <w:rPr>
          <w:rFonts w:cs="Arial"/>
        </w:rPr>
      </w:pPr>
    </w:p>
    <w:tbl>
      <w:tblPr>
        <w:tblW w:w="10629" w:type="dxa"/>
        <w:jc w:val="center"/>
        <w:tblLayout w:type="fixed"/>
        <w:tblCellMar>
          <w:left w:w="28" w:type="dxa"/>
          <w:right w:w="28" w:type="dxa"/>
        </w:tblCellMar>
        <w:tblLook w:val="0000" w:firstRow="0" w:lastRow="0" w:firstColumn="0" w:lastColumn="0" w:noHBand="0" w:noVBand="0"/>
      </w:tblPr>
      <w:tblGrid>
        <w:gridCol w:w="1990"/>
        <w:gridCol w:w="1792"/>
        <w:gridCol w:w="1306"/>
        <w:gridCol w:w="1701"/>
        <w:gridCol w:w="1743"/>
        <w:gridCol w:w="2097"/>
      </w:tblGrid>
      <w:tr w:rsidR="00515214" w:rsidRPr="0060702E" w:rsidTr="00787FE8">
        <w:trPr>
          <w:cantSplit/>
          <w:jc w:val="center"/>
        </w:trPr>
        <w:tc>
          <w:tcPr>
            <w:tcW w:w="1990" w:type="dxa"/>
            <w:vAlign w:val="bottom"/>
          </w:tcPr>
          <w:p w:rsidR="00515214" w:rsidRPr="0060702E" w:rsidRDefault="00515214" w:rsidP="00EE3140">
            <w:pPr>
              <w:spacing w:before="40"/>
              <w:rPr>
                <w:rFonts w:cs="Arial"/>
                <w:sz w:val="16"/>
                <w:szCs w:val="18"/>
              </w:rPr>
            </w:pPr>
            <w:r w:rsidRPr="0060702E">
              <w:rPr>
                <w:rFonts w:cs="Arial"/>
                <w:sz w:val="16"/>
                <w:szCs w:val="18"/>
              </w:rPr>
              <w:t>Albania</w:t>
            </w:r>
            <w:r w:rsidRPr="0060702E">
              <w:rPr>
                <w:rFonts w:cs="Arial"/>
                <w:sz w:val="16"/>
                <w:szCs w:val="18"/>
                <w:vertAlign w:val="superscript"/>
              </w:rPr>
              <w:t>3</w:t>
            </w:r>
          </w:p>
        </w:tc>
        <w:tc>
          <w:tcPr>
            <w:tcW w:w="1792" w:type="dxa"/>
            <w:vAlign w:val="bottom"/>
          </w:tcPr>
          <w:p w:rsidR="00515214" w:rsidRPr="0060702E" w:rsidRDefault="00515214" w:rsidP="00EE3140">
            <w:pPr>
              <w:spacing w:before="40"/>
              <w:rPr>
                <w:rFonts w:cs="Arial"/>
                <w:sz w:val="16"/>
                <w:szCs w:val="18"/>
              </w:rPr>
            </w:pPr>
            <w:r w:rsidRPr="0060702E">
              <w:rPr>
                <w:rFonts w:cs="Arial"/>
                <w:sz w:val="16"/>
                <w:szCs w:val="18"/>
              </w:rPr>
              <w:t>China</w:t>
            </w:r>
            <w:r w:rsidRPr="0060702E">
              <w:rPr>
                <w:rFonts w:cs="Arial"/>
                <w:sz w:val="16"/>
                <w:szCs w:val="18"/>
                <w:vertAlign w:val="superscript"/>
              </w:rPr>
              <w:t>2</w:t>
            </w:r>
          </w:p>
        </w:tc>
        <w:tc>
          <w:tcPr>
            <w:tcW w:w="1306" w:type="dxa"/>
            <w:vAlign w:val="bottom"/>
          </w:tcPr>
          <w:p w:rsidR="00515214" w:rsidRPr="0060702E" w:rsidRDefault="00515214" w:rsidP="00EE3140">
            <w:pPr>
              <w:spacing w:before="40"/>
              <w:rPr>
                <w:rFonts w:cs="Arial"/>
                <w:sz w:val="16"/>
                <w:szCs w:val="18"/>
              </w:rPr>
            </w:pPr>
            <w:r w:rsidRPr="0060702E">
              <w:rPr>
                <w:rFonts w:cs="Arial"/>
                <w:sz w:val="16"/>
                <w:szCs w:val="18"/>
              </w:rPr>
              <w:t>Germany</w:t>
            </w:r>
            <w:r w:rsidRPr="0060702E">
              <w:rPr>
                <w:rStyle w:val="FootnoteReference"/>
                <w:rFonts w:cs="Arial"/>
                <w:szCs w:val="18"/>
              </w:rPr>
              <w:t>3</w:t>
            </w:r>
          </w:p>
        </w:tc>
        <w:tc>
          <w:tcPr>
            <w:tcW w:w="1701" w:type="dxa"/>
            <w:vAlign w:val="bottom"/>
          </w:tcPr>
          <w:p w:rsidR="00515214" w:rsidRPr="0060702E" w:rsidRDefault="00515214" w:rsidP="00EE3140">
            <w:pPr>
              <w:spacing w:before="40"/>
              <w:rPr>
                <w:rFonts w:cs="Arial"/>
                <w:sz w:val="16"/>
                <w:szCs w:val="18"/>
              </w:rPr>
            </w:pPr>
            <w:r w:rsidRPr="0060702E">
              <w:rPr>
                <w:rFonts w:cs="Arial"/>
                <w:sz w:val="16"/>
                <w:szCs w:val="18"/>
              </w:rPr>
              <w:t>Morocco</w:t>
            </w:r>
            <w:r w:rsidRPr="0060702E">
              <w:rPr>
                <w:rStyle w:val="FootnoteReference"/>
                <w:rFonts w:cs="Arial"/>
                <w:szCs w:val="18"/>
              </w:rPr>
              <w:t>3</w:t>
            </w:r>
          </w:p>
        </w:tc>
        <w:tc>
          <w:tcPr>
            <w:tcW w:w="1743" w:type="dxa"/>
            <w:vAlign w:val="bottom"/>
          </w:tcPr>
          <w:p w:rsidR="00515214" w:rsidRPr="0060702E" w:rsidRDefault="00515214" w:rsidP="00EE3140">
            <w:pPr>
              <w:pStyle w:val="BodyTextKeep"/>
              <w:keepNext w:val="0"/>
              <w:spacing w:before="40" w:after="0"/>
              <w:rPr>
                <w:rFonts w:ascii="Arial" w:hAnsi="Arial" w:cs="Arial"/>
                <w:sz w:val="16"/>
                <w:szCs w:val="18"/>
                <w:vertAlign w:val="superscript"/>
              </w:rPr>
            </w:pPr>
            <w:r w:rsidRPr="0060702E">
              <w:rPr>
                <w:rFonts w:ascii="Arial" w:hAnsi="Arial" w:cs="Arial"/>
                <w:sz w:val="16"/>
                <w:szCs w:val="18"/>
              </w:rPr>
              <w:t>Republic of Moldova</w:t>
            </w:r>
            <w:r w:rsidRPr="0060702E">
              <w:rPr>
                <w:rFonts w:ascii="Arial" w:hAnsi="Arial" w:cs="Arial"/>
                <w:sz w:val="16"/>
                <w:szCs w:val="18"/>
                <w:vertAlign w:val="superscript"/>
              </w:rPr>
              <w:t>3</w:t>
            </w:r>
          </w:p>
        </w:tc>
        <w:tc>
          <w:tcPr>
            <w:tcW w:w="2097" w:type="dxa"/>
            <w:vAlign w:val="bottom"/>
          </w:tcPr>
          <w:p w:rsidR="00515214" w:rsidRPr="0060702E" w:rsidRDefault="00515214" w:rsidP="00EE3140">
            <w:pPr>
              <w:spacing w:before="40"/>
              <w:rPr>
                <w:rFonts w:cs="Arial"/>
                <w:sz w:val="16"/>
                <w:szCs w:val="18"/>
              </w:rPr>
            </w:pPr>
            <w:r w:rsidRPr="0060702E">
              <w:rPr>
                <w:rFonts w:cs="Arial"/>
                <w:sz w:val="16"/>
                <w:szCs w:val="18"/>
              </w:rPr>
              <w:t xml:space="preserve">The former Yugoslav </w:t>
            </w:r>
          </w:p>
        </w:tc>
      </w:tr>
      <w:tr w:rsidR="00515214" w:rsidRPr="0060702E" w:rsidTr="00787FE8">
        <w:trPr>
          <w:cantSplit/>
          <w:jc w:val="center"/>
        </w:trPr>
        <w:tc>
          <w:tcPr>
            <w:tcW w:w="1990" w:type="dxa"/>
            <w:vAlign w:val="bottom"/>
          </w:tcPr>
          <w:p w:rsidR="00515214" w:rsidRPr="0060702E" w:rsidRDefault="00515214" w:rsidP="00EE3140">
            <w:pPr>
              <w:spacing w:before="40"/>
              <w:rPr>
                <w:rFonts w:cs="Arial"/>
                <w:sz w:val="16"/>
                <w:szCs w:val="18"/>
              </w:rPr>
            </w:pPr>
            <w:r w:rsidRPr="0060702E">
              <w:rPr>
                <w:rFonts w:cs="Arial"/>
                <w:sz w:val="16"/>
                <w:szCs w:val="18"/>
              </w:rPr>
              <w:t>Argentina</w:t>
            </w:r>
            <w:r w:rsidRPr="0060702E">
              <w:rPr>
                <w:rStyle w:val="FootnoteReference"/>
                <w:rFonts w:cs="Arial"/>
                <w:szCs w:val="18"/>
              </w:rPr>
              <w:t>2</w:t>
            </w:r>
          </w:p>
        </w:tc>
        <w:tc>
          <w:tcPr>
            <w:tcW w:w="1792" w:type="dxa"/>
            <w:vAlign w:val="bottom"/>
          </w:tcPr>
          <w:p w:rsidR="00515214" w:rsidRPr="0060702E" w:rsidRDefault="00515214" w:rsidP="00EE3140">
            <w:pPr>
              <w:spacing w:before="40"/>
              <w:rPr>
                <w:rFonts w:cs="Arial"/>
                <w:sz w:val="16"/>
                <w:szCs w:val="18"/>
              </w:rPr>
            </w:pPr>
            <w:r w:rsidRPr="0060702E">
              <w:rPr>
                <w:rFonts w:cs="Arial"/>
                <w:sz w:val="16"/>
                <w:szCs w:val="18"/>
              </w:rPr>
              <w:t>Colombia</w:t>
            </w:r>
            <w:r w:rsidRPr="0060702E">
              <w:rPr>
                <w:rFonts w:cs="Arial"/>
                <w:sz w:val="16"/>
                <w:szCs w:val="18"/>
                <w:vertAlign w:val="superscript"/>
              </w:rPr>
              <w:t>2</w:t>
            </w:r>
          </w:p>
        </w:tc>
        <w:tc>
          <w:tcPr>
            <w:tcW w:w="1306" w:type="dxa"/>
            <w:vAlign w:val="bottom"/>
          </w:tcPr>
          <w:p w:rsidR="00515214" w:rsidRPr="0060702E" w:rsidRDefault="00515214" w:rsidP="00EE3140">
            <w:pPr>
              <w:spacing w:before="40"/>
              <w:rPr>
                <w:rFonts w:cs="Arial"/>
                <w:sz w:val="16"/>
                <w:szCs w:val="18"/>
              </w:rPr>
            </w:pPr>
            <w:r w:rsidRPr="0060702E">
              <w:rPr>
                <w:rFonts w:cs="Arial"/>
                <w:sz w:val="16"/>
                <w:szCs w:val="18"/>
              </w:rPr>
              <w:t>Hungary</w:t>
            </w:r>
            <w:r w:rsidRPr="0060702E">
              <w:rPr>
                <w:rStyle w:val="FootnoteReference"/>
                <w:rFonts w:cs="Arial"/>
                <w:szCs w:val="18"/>
              </w:rPr>
              <w:t>3</w:t>
            </w:r>
          </w:p>
        </w:tc>
        <w:tc>
          <w:tcPr>
            <w:tcW w:w="1701" w:type="dxa"/>
            <w:vAlign w:val="bottom"/>
          </w:tcPr>
          <w:p w:rsidR="00515214" w:rsidRPr="0060702E" w:rsidRDefault="00515214" w:rsidP="00EE3140">
            <w:pPr>
              <w:spacing w:before="40"/>
              <w:rPr>
                <w:rFonts w:cs="Arial"/>
                <w:sz w:val="16"/>
                <w:szCs w:val="18"/>
              </w:rPr>
            </w:pPr>
            <w:r w:rsidRPr="0060702E">
              <w:rPr>
                <w:rFonts w:cs="Arial"/>
                <w:sz w:val="16"/>
                <w:szCs w:val="18"/>
              </w:rPr>
              <w:t>Netherlands</w:t>
            </w:r>
            <w:r w:rsidRPr="0060702E">
              <w:rPr>
                <w:rFonts w:cs="Arial"/>
                <w:sz w:val="16"/>
                <w:szCs w:val="18"/>
                <w:vertAlign w:val="superscript"/>
              </w:rPr>
              <w:t>3</w:t>
            </w:r>
          </w:p>
        </w:tc>
        <w:tc>
          <w:tcPr>
            <w:tcW w:w="1743" w:type="dxa"/>
            <w:vAlign w:val="bottom"/>
          </w:tcPr>
          <w:p w:rsidR="00515214" w:rsidRPr="0060702E" w:rsidRDefault="00515214" w:rsidP="00EE3140">
            <w:pPr>
              <w:pStyle w:val="BodyTextKeep"/>
              <w:keepNext w:val="0"/>
              <w:spacing w:before="40" w:after="0"/>
              <w:rPr>
                <w:rFonts w:ascii="Arial" w:hAnsi="Arial" w:cs="Arial"/>
                <w:sz w:val="16"/>
                <w:szCs w:val="18"/>
                <w:vertAlign w:val="superscript"/>
              </w:rPr>
            </w:pPr>
            <w:r w:rsidRPr="0060702E">
              <w:rPr>
                <w:rFonts w:ascii="Arial" w:hAnsi="Arial" w:cs="Arial"/>
                <w:sz w:val="16"/>
                <w:szCs w:val="18"/>
              </w:rPr>
              <w:t>Romania</w:t>
            </w:r>
            <w:r w:rsidRPr="0060702E">
              <w:rPr>
                <w:rFonts w:ascii="Arial" w:hAnsi="Arial" w:cs="Arial"/>
                <w:sz w:val="16"/>
                <w:szCs w:val="18"/>
                <w:vertAlign w:val="superscript"/>
              </w:rPr>
              <w:t>3</w:t>
            </w:r>
          </w:p>
        </w:tc>
        <w:tc>
          <w:tcPr>
            <w:tcW w:w="2097" w:type="dxa"/>
          </w:tcPr>
          <w:p w:rsidR="00515214" w:rsidRPr="0060702E" w:rsidRDefault="00515214" w:rsidP="00EE3140">
            <w:pPr>
              <w:spacing w:before="40"/>
              <w:rPr>
                <w:rFonts w:cs="Arial"/>
                <w:sz w:val="16"/>
                <w:szCs w:val="18"/>
              </w:rPr>
            </w:pPr>
            <w:r w:rsidRPr="0060702E">
              <w:rPr>
                <w:rFonts w:cs="Arial"/>
                <w:sz w:val="16"/>
                <w:szCs w:val="18"/>
              </w:rPr>
              <w:t xml:space="preserve">  Republic of Macedonia</w:t>
            </w:r>
            <w:r w:rsidRPr="0060702E">
              <w:rPr>
                <w:rFonts w:cs="Arial"/>
                <w:sz w:val="16"/>
                <w:szCs w:val="18"/>
                <w:vertAlign w:val="superscript"/>
              </w:rPr>
              <w:t>3</w:t>
            </w:r>
          </w:p>
        </w:tc>
      </w:tr>
      <w:tr w:rsidR="00515214" w:rsidRPr="0060702E" w:rsidTr="00787FE8">
        <w:trPr>
          <w:cantSplit/>
          <w:jc w:val="center"/>
        </w:trPr>
        <w:tc>
          <w:tcPr>
            <w:tcW w:w="1990" w:type="dxa"/>
            <w:vAlign w:val="bottom"/>
          </w:tcPr>
          <w:p w:rsidR="00515214" w:rsidRPr="0060702E" w:rsidRDefault="00515214" w:rsidP="00EE3140">
            <w:pPr>
              <w:spacing w:before="40"/>
              <w:rPr>
                <w:rFonts w:cs="Arial"/>
                <w:sz w:val="16"/>
                <w:szCs w:val="18"/>
              </w:rPr>
            </w:pPr>
            <w:r w:rsidRPr="0060702E">
              <w:rPr>
                <w:rFonts w:cs="Arial"/>
                <w:sz w:val="16"/>
                <w:szCs w:val="18"/>
              </w:rPr>
              <w:t>Australia</w:t>
            </w:r>
            <w:r w:rsidRPr="0060702E">
              <w:rPr>
                <w:rFonts w:cs="Arial"/>
                <w:sz w:val="16"/>
                <w:szCs w:val="18"/>
                <w:vertAlign w:val="superscript"/>
              </w:rPr>
              <w:t>3</w:t>
            </w:r>
          </w:p>
        </w:tc>
        <w:tc>
          <w:tcPr>
            <w:tcW w:w="1792" w:type="dxa"/>
            <w:vAlign w:val="bottom"/>
          </w:tcPr>
          <w:p w:rsidR="00515214" w:rsidRPr="0060702E" w:rsidRDefault="00515214" w:rsidP="00EE3140">
            <w:pPr>
              <w:spacing w:before="40"/>
              <w:rPr>
                <w:rFonts w:cs="Arial"/>
                <w:sz w:val="16"/>
                <w:szCs w:val="18"/>
              </w:rPr>
            </w:pPr>
            <w:r w:rsidRPr="0060702E">
              <w:rPr>
                <w:rFonts w:cs="Arial"/>
                <w:sz w:val="16"/>
                <w:szCs w:val="18"/>
              </w:rPr>
              <w:t>Costa Rica</w:t>
            </w:r>
            <w:r w:rsidRPr="0060702E">
              <w:rPr>
                <w:rFonts w:cs="Arial"/>
                <w:sz w:val="16"/>
                <w:szCs w:val="18"/>
                <w:vertAlign w:val="superscript"/>
              </w:rPr>
              <w:t>3</w:t>
            </w:r>
          </w:p>
        </w:tc>
        <w:tc>
          <w:tcPr>
            <w:tcW w:w="1306" w:type="dxa"/>
            <w:vAlign w:val="bottom"/>
          </w:tcPr>
          <w:p w:rsidR="00515214" w:rsidRPr="0060702E" w:rsidRDefault="00515214" w:rsidP="00EE3140">
            <w:pPr>
              <w:spacing w:before="40"/>
              <w:rPr>
                <w:rFonts w:cs="Arial"/>
                <w:sz w:val="16"/>
                <w:szCs w:val="18"/>
              </w:rPr>
            </w:pPr>
            <w:r w:rsidRPr="0060702E">
              <w:rPr>
                <w:rFonts w:cs="Arial"/>
                <w:sz w:val="16"/>
                <w:szCs w:val="18"/>
              </w:rPr>
              <w:t>Iceland</w:t>
            </w:r>
            <w:r w:rsidRPr="0060702E">
              <w:rPr>
                <w:rStyle w:val="FootnoteReference"/>
                <w:rFonts w:cs="Arial"/>
                <w:szCs w:val="18"/>
              </w:rPr>
              <w:t>3</w:t>
            </w:r>
            <w:r w:rsidRPr="0060702E">
              <w:rPr>
                <w:rFonts w:cs="Arial"/>
                <w:sz w:val="16"/>
                <w:szCs w:val="18"/>
              </w:rPr>
              <w:t xml:space="preserve"> </w:t>
            </w:r>
          </w:p>
        </w:tc>
        <w:tc>
          <w:tcPr>
            <w:tcW w:w="1701" w:type="dxa"/>
            <w:vAlign w:val="bottom"/>
          </w:tcPr>
          <w:p w:rsidR="00515214" w:rsidRPr="0060702E" w:rsidRDefault="00515214" w:rsidP="00EE3140">
            <w:pPr>
              <w:spacing w:before="40"/>
              <w:rPr>
                <w:rFonts w:cs="Arial"/>
                <w:sz w:val="16"/>
                <w:szCs w:val="18"/>
              </w:rPr>
            </w:pPr>
            <w:r w:rsidRPr="0060702E">
              <w:rPr>
                <w:rFonts w:cs="Arial"/>
                <w:sz w:val="16"/>
                <w:szCs w:val="18"/>
              </w:rPr>
              <w:t>New Zealand</w:t>
            </w:r>
            <w:r w:rsidRPr="0060702E">
              <w:rPr>
                <w:rStyle w:val="FootnoteReference"/>
                <w:rFonts w:cs="Arial"/>
                <w:szCs w:val="18"/>
              </w:rPr>
              <w:t>2</w:t>
            </w:r>
          </w:p>
        </w:tc>
        <w:tc>
          <w:tcPr>
            <w:tcW w:w="1743" w:type="dxa"/>
            <w:vAlign w:val="bottom"/>
          </w:tcPr>
          <w:p w:rsidR="00515214" w:rsidRPr="0060702E" w:rsidRDefault="00515214" w:rsidP="00EE3140">
            <w:pPr>
              <w:pStyle w:val="BodyTextKeep"/>
              <w:keepNext w:val="0"/>
              <w:spacing w:before="40" w:after="0"/>
              <w:rPr>
                <w:rFonts w:ascii="Arial" w:hAnsi="Arial" w:cs="Arial"/>
                <w:sz w:val="16"/>
                <w:szCs w:val="18"/>
              </w:rPr>
            </w:pPr>
            <w:r w:rsidRPr="0060702E">
              <w:rPr>
                <w:rFonts w:ascii="Arial" w:hAnsi="Arial" w:cs="Arial"/>
                <w:sz w:val="16"/>
                <w:szCs w:val="18"/>
              </w:rPr>
              <w:t>Russian Federation</w:t>
            </w:r>
            <w:r w:rsidRPr="0060702E">
              <w:rPr>
                <w:rFonts w:ascii="Arial" w:hAnsi="Arial" w:cs="Arial"/>
                <w:sz w:val="16"/>
                <w:szCs w:val="18"/>
                <w:vertAlign w:val="superscript"/>
              </w:rPr>
              <w:t>3</w:t>
            </w:r>
          </w:p>
        </w:tc>
        <w:tc>
          <w:tcPr>
            <w:tcW w:w="2097" w:type="dxa"/>
            <w:vAlign w:val="bottom"/>
          </w:tcPr>
          <w:p w:rsidR="00515214" w:rsidRPr="0060702E" w:rsidRDefault="00515214" w:rsidP="00EE3140">
            <w:pPr>
              <w:spacing w:before="40"/>
              <w:rPr>
                <w:rFonts w:cs="Arial"/>
                <w:sz w:val="16"/>
                <w:szCs w:val="18"/>
              </w:rPr>
            </w:pPr>
            <w:r w:rsidRPr="0060702E">
              <w:rPr>
                <w:rFonts w:cs="Arial"/>
                <w:sz w:val="16"/>
                <w:szCs w:val="18"/>
              </w:rPr>
              <w:t>Trinidad and Tobago</w:t>
            </w:r>
            <w:r w:rsidRPr="0060702E">
              <w:rPr>
                <w:rFonts w:cs="Arial"/>
                <w:sz w:val="16"/>
                <w:szCs w:val="18"/>
                <w:vertAlign w:val="superscript"/>
              </w:rPr>
              <w:t>2</w:t>
            </w:r>
          </w:p>
        </w:tc>
      </w:tr>
      <w:tr w:rsidR="00515214" w:rsidRPr="0060702E" w:rsidTr="00787FE8">
        <w:trPr>
          <w:cantSplit/>
          <w:jc w:val="center"/>
        </w:trPr>
        <w:tc>
          <w:tcPr>
            <w:tcW w:w="1990" w:type="dxa"/>
            <w:vAlign w:val="bottom"/>
          </w:tcPr>
          <w:p w:rsidR="00515214" w:rsidRPr="0060702E" w:rsidRDefault="00515214" w:rsidP="00EE3140">
            <w:pPr>
              <w:spacing w:before="40"/>
              <w:rPr>
                <w:rFonts w:cs="Arial"/>
                <w:sz w:val="16"/>
                <w:szCs w:val="18"/>
              </w:rPr>
            </w:pPr>
            <w:r w:rsidRPr="0060702E">
              <w:rPr>
                <w:rFonts w:cs="Arial"/>
                <w:sz w:val="16"/>
                <w:szCs w:val="18"/>
              </w:rPr>
              <w:t>Austria</w:t>
            </w:r>
            <w:r w:rsidRPr="0060702E">
              <w:rPr>
                <w:rStyle w:val="FootnoteReference"/>
                <w:rFonts w:cs="Arial"/>
                <w:szCs w:val="18"/>
              </w:rPr>
              <w:t>3</w:t>
            </w:r>
          </w:p>
        </w:tc>
        <w:tc>
          <w:tcPr>
            <w:tcW w:w="1792" w:type="dxa"/>
            <w:vAlign w:val="bottom"/>
          </w:tcPr>
          <w:p w:rsidR="00515214" w:rsidRPr="0060702E" w:rsidRDefault="00515214" w:rsidP="00EE3140">
            <w:pPr>
              <w:spacing w:before="40"/>
              <w:rPr>
                <w:rFonts w:cs="Arial"/>
                <w:sz w:val="16"/>
                <w:szCs w:val="18"/>
                <w:vertAlign w:val="superscript"/>
              </w:rPr>
            </w:pPr>
            <w:r w:rsidRPr="0060702E">
              <w:rPr>
                <w:rFonts w:cs="Arial"/>
                <w:sz w:val="16"/>
                <w:szCs w:val="18"/>
              </w:rPr>
              <w:t>Croatia</w:t>
            </w:r>
            <w:r w:rsidRPr="0060702E">
              <w:rPr>
                <w:rFonts w:cs="Arial"/>
                <w:sz w:val="16"/>
                <w:szCs w:val="18"/>
                <w:vertAlign w:val="superscript"/>
              </w:rPr>
              <w:t>3</w:t>
            </w:r>
          </w:p>
        </w:tc>
        <w:tc>
          <w:tcPr>
            <w:tcW w:w="1306" w:type="dxa"/>
            <w:vAlign w:val="bottom"/>
          </w:tcPr>
          <w:p w:rsidR="00515214" w:rsidRPr="0060702E" w:rsidRDefault="00515214" w:rsidP="00EE3140">
            <w:pPr>
              <w:spacing w:before="40"/>
              <w:rPr>
                <w:rFonts w:cs="Arial"/>
                <w:sz w:val="16"/>
                <w:szCs w:val="18"/>
              </w:rPr>
            </w:pPr>
            <w:r w:rsidRPr="0060702E">
              <w:rPr>
                <w:rFonts w:cs="Arial"/>
                <w:sz w:val="16"/>
                <w:szCs w:val="18"/>
              </w:rPr>
              <w:t>Ireland</w:t>
            </w:r>
            <w:r w:rsidRPr="0060702E">
              <w:rPr>
                <w:rStyle w:val="FootnoteReference"/>
                <w:rFonts w:cs="Arial"/>
                <w:szCs w:val="18"/>
              </w:rPr>
              <w:t>3</w:t>
            </w:r>
          </w:p>
        </w:tc>
        <w:tc>
          <w:tcPr>
            <w:tcW w:w="1701" w:type="dxa"/>
            <w:vAlign w:val="bottom"/>
          </w:tcPr>
          <w:p w:rsidR="00515214" w:rsidRPr="0060702E" w:rsidRDefault="00515214" w:rsidP="00EE3140">
            <w:pPr>
              <w:spacing w:before="40"/>
              <w:rPr>
                <w:rFonts w:cs="Arial"/>
                <w:sz w:val="16"/>
                <w:szCs w:val="18"/>
              </w:rPr>
            </w:pPr>
            <w:r w:rsidRPr="0060702E">
              <w:rPr>
                <w:rFonts w:cs="Arial"/>
                <w:sz w:val="16"/>
                <w:szCs w:val="18"/>
              </w:rPr>
              <w:t>Nicaragua</w:t>
            </w:r>
            <w:r w:rsidRPr="0060702E">
              <w:rPr>
                <w:rFonts w:cs="Arial"/>
                <w:sz w:val="16"/>
                <w:szCs w:val="18"/>
                <w:vertAlign w:val="superscript"/>
              </w:rPr>
              <w:t>2</w:t>
            </w:r>
          </w:p>
        </w:tc>
        <w:tc>
          <w:tcPr>
            <w:tcW w:w="1743" w:type="dxa"/>
            <w:vAlign w:val="bottom"/>
          </w:tcPr>
          <w:p w:rsidR="00515214" w:rsidRPr="0060702E" w:rsidRDefault="00515214" w:rsidP="00EE3140">
            <w:pPr>
              <w:pStyle w:val="BodyTextKeep"/>
              <w:keepNext w:val="0"/>
              <w:spacing w:before="40" w:after="0"/>
              <w:rPr>
                <w:rFonts w:ascii="Arial" w:hAnsi="Arial" w:cs="Arial"/>
                <w:sz w:val="16"/>
                <w:szCs w:val="18"/>
              </w:rPr>
            </w:pPr>
            <w:r w:rsidRPr="0060702E">
              <w:rPr>
                <w:rFonts w:ascii="Arial" w:hAnsi="Arial" w:cs="Arial"/>
                <w:sz w:val="16"/>
                <w:szCs w:val="18"/>
              </w:rPr>
              <w:t>Serbia</w:t>
            </w:r>
            <w:r w:rsidRPr="0060702E">
              <w:rPr>
                <w:rFonts w:ascii="Arial" w:hAnsi="Arial" w:cs="Arial"/>
                <w:sz w:val="16"/>
                <w:szCs w:val="18"/>
                <w:vertAlign w:val="superscript"/>
              </w:rPr>
              <w:t>3</w:t>
            </w:r>
          </w:p>
        </w:tc>
        <w:tc>
          <w:tcPr>
            <w:tcW w:w="2097" w:type="dxa"/>
            <w:vAlign w:val="bottom"/>
          </w:tcPr>
          <w:p w:rsidR="00515214" w:rsidRPr="0060702E" w:rsidRDefault="00515214" w:rsidP="00EE3140">
            <w:pPr>
              <w:spacing w:before="40"/>
              <w:rPr>
                <w:rFonts w:cs="Arial"/>
                <w:sz w:val="16"/>
                <w:szCs w:val="18"/>
              </w:rPr>
            </w:pPr>
            <w:r w:rsidRPr="0060702E">
              <w:rPr>
                <w:rFonts w:cs="Arial"/>
                <w:sz w:val="16"/>
                <w:szCs w:val="18"/>
              </w:rPr>
              <w:t>Tunisia</w:t>
            </w:r>
            <w:r w:rsidRPr="0060702E">
              <w:rPr>
                <w:rFonts w:cs="Arial"/>
                <w:sz w:val="16"/>
                <w:szCs w:val="18"/>
                <w:vertAlign w:val="superscript"/>
              </w:rPr>
              <w:t>3</w:t>
            </w:r>
          </w:p>
        </w:tc>
      </w:tr>
      <w:tr w:rsidR="00515214" w:rsidRPr="0060702E" w:rsidTr="00787FE8">
        <w:trPr>
          <w:cantSplit/>
          <w:jc w:val="center"/>
        </w:trPr>
        <w:tc>
          <w:tcPr>
            <w:tcW w:w="1990" w:type="dxa"/>
            <w:vAlign w:val="bottom"/>
          </w:tcPr>
          <w:p w:rsidR="00515214" w:rsidRPr="0060702E" w:rsidRDefault="00515214" w:rsidP="00EE3140">
            <w:pPr>
              <w:spacing w:before="40"/>
              <w:rPr>
                <w:rFonts w:cs="Arial"/>
                <w:sz w:val="16"/>
                <w:szCs w:val="18"/>
              </w:rPr>
            </w:pPr>
            <w:r w:rsidRPr="0060702E">
              <w:rPr>
                <w:rFonts w:cs="Arial"/>
                <w:sz w:val="16"/>
                <w:szCs w:val="18"/>
              </w:rPr>
              <w:t>Azerbaijan</w:t>
            </w:r>
            <w:r w:rsidRPr="0060702E">
              <w:rPr>
                <w:rFonts w:cs="Arial"/>
                <w:sz w:val="16"/>
                <w:szCs w:val="18"/>
                <w:vertAlign w:val="superscript"/>
              </w:rPr>
              <w:t>3</w:t>
            </w:r>
          </w:p>
        </w:tc>
        <w:tc>
          <w:tcPr>
            <w:tcW w:w="1792" w:type="dxa"/>
            <w:vAlign w:val="bottom"/>
          </w:tcPr>
          <w:p w:rsidR="00515214" w:rsidRPr="0060702E" w:rsidRDefault="00515214" w:rsidP="00EE3140">
            <w:pPr>
              <w:spacing w:before="40"/>
              <w:rPr>
                <w:rFonts w:cs="Arial"/>
                <w:sz w:val="16"/>
                <w:szCs w:val="18"/>
              </w:rPr>
            </w:pPr>
            <w:r w:rsidRPr="0060702E">
              <w:rPr>
                <w:rFonts w:cs="Arial"/>
                <w:sz w:val="16"/>
                <w:szCs w:val="18"/>
              </w:rPr>
              <w:t>Czech Republic</w:t>
            </w:r>
            <w:r w:rsidRPr="0060702E">
              <w:rPr>
                <w:rFonts w:cs="Arial"/>
                <w:sz w:val="16"/>
                <w:szCs w:val="18"/>
                <w:vertAlign w:val="superscript"/>
              </w:rPr>
              <w:t>3</w:t>
            </w:r>
          </w:p>
        </w:tc>
        <w:tc>
          <w:tcPr>
            <w:tcW w:w="1306" w:type="dxa"/>
            <w:vAlign w:val="bottom"/>
          </w:tcPr>
          <w:p w:rsidR="00515214" w:rsidRPr="0060702E" w:rsidRDefault="00515214" w:rsidP="00EE3140">
            <w:pPr>
              <w:spacing w:before="40"/>
              <w:rPr>
                <w:rFonts w:cs="Arial"/>
                <w:sz w:val="16"/>
                <w:szCs w:val="18"/>
                <w:vertAlign w:val="superscript"/>
              </w:rPr>
            </w:pPr>
            <w:r w:rsidRPr="0060702E">
              <w:rPr>
                <w:rFonts w:cs="Arial"/>
                <w:sz w:val="16"/>
                <w:szCs w:val="18"/>
              </w:rPr>
              <w:t>Israel</w:t>
            </w:r>
            <w:r w:rsidRPr="0060702E">
              <w:rPr>
                <w:rFonts w:cs="Arial"/>
                <w:sz w:val="16"/>
                <w:szCs w:val="18"/>
                <w:vertAlign w:val="superscript"/>
              </w:rPr>
              <w:t>3</w:t>
            </w:r>
          </w:p>
        </w:tc>
        <w:tc>
          <w:tcPr>
            <w:tcW w:w="1701" w:type="dxa"/>
            <w:vAlign w:val="bottom"/>
          </w:tcPr>
          <w:p w:rsidR="00515214" w:rsidRPr="0060702E" w:rsidRDefault="00515214" w:rsidP="00EE3140">
            <w:pPr>
              <w:spacing w:before="40"/>
              <w:rPr>
                <w:rFonts w:cs="Arial"/>
                <w:sz w:val="16"/>
                <w:szCs w:val="18"/>
              </w:rPr>
            </w:pPr>
            <w:r w:rsidRPr="0060702E">
              <w:rPr>
                <w:rFonts w:cs="Arial"/>
                <w:sz w:val="16"/>
                <w:szCs w:val="18"/>
              </w:rPr>
              <w:t>Norway</w:t>
            </w:r>
            <w:r w:rsidRPr="0060702E">
              <w:rPr>
                <w:rStyle w:val="FootnoteReference"/>
                <w:rFonts w:cs="Arial"/>
                <w:szCs w:val="18"/>
              </w:rPr>
              <w:t>2</w:t>
            </w:r>
          </w:p>
        </w:tc>
        <w:tc>
          <w:tcPr>
            <w:tcW w:w="1743" w:type="dxa"/>
            <w:vAlign w:val="bottom"/>
          </w:tcPr>
          <w:p w:rsidR="00515214" w:rsidRPr="0060702E" w:rsidRDefault="00515214" w:rsidP="00EE3140">
            <w:pPr>
              <w:pStyle w:val="BodyTextKeep"/>
              <w:keepNext w:val="0"/>
              <w:spacing w:before="40" w:after="0"/>
              <w:rPr>
                <w:rFonts w:ascii="Arial" w:hAnsi="Arial" w:cs="Arial"/>
                <w:sz w:val="16"/>
                <w:szCs w:val="18"/>
              </w:rPr>
            </w:pPr>
            <w:r w:rsidRPr="0060702E">
              <w:rPr>
                <w:rFonts w:ascii="Arial" w:hAnsi="Arial" w:cs="Arial"/>
                <w:sz w:val="16"/>
                <w:szCs w:val="18"/>
              </w:rPr>
              <w:t>Singapore</w:t>
            </w:r>
            <w:r w:rsidRPr="0060702E">
              <w:rPr>
                <w:rFonts w:ascii="Arial" w:hAnsi="Arial" w:cs="Arial"/>
                <w:sz w:val="16"/>
                <w:szCs w:val="18"/>
                <w:vertAlign w:val="superscript"/>
              </w:rPr>
              <w:t>3</w:t>
            </w:r>
          </w:p>
        </w:tc>
        <w:tc>
          <w:tcPr>
            <w:tcW w:w="2097" w:type="dxa"/>
            <w:vAlign w:val="bottom"/>
          </w:tcPr>
          <w:p w:rsidR="00515214" w:rsidRPr="0060702E" w:rsidRDefault="00515214" w:rsidP="00EE3140">
            <w:pPr>
              <w:spacing w:before="40"/>
              <w:rPr>
                <w:rFonts w:cs="Arial"/>
                <w:sz w:val="16"/>
                <w:szCs w:val="18"/>
              </w:rPr>
            </w:pPr>
            <w:r w:rsidRPr="0060702E">
              <w:rPr>
                <w:rFonts w:cs="Arial"/>
                <w:sz w:val="16"/>
                <w:szCs w:val="18"/>
              </w:rPr>
              <w:t>Turkey</w:t>
            </w:r>
            <w:r w:rsidRPr="0060702E">
              <w:rPr>
                <w:rFonts w:cs="Arial"/>
                <w:sz w:val="16"/>
                <w:szCs w:val="18"/>
                <w:vertAlign w:val="superscript"/>
              </w:rPr>
              <w:t>3</w:t>
            </w:r>
          </w:p>
        </w:tc>
      </w:tr>
      <w:tr w:rsidR="00515214" w:rsidRPr="0060702E" w:rsidTr="00787FE8">
        <w:trPr>
          <w:cantSplit/>
          <w:jc w:val="center"/>
        </w:trPr>
        <w:tc>
          <w:tcPr>
            <w:tcW w:w="1990" w:type="dxa"/>
            <w:vAlign w:val="bottom"/>
          </w:tcPr>
          <w:p w:rsidR="00515214" w:rsidRPr="0060702E" w:rsidRDefault="00515214" w:rsidP="00EE3140">
            <w:pPr>
              <w:spacing w:before="40"/>
              <w:rPr>
                <w:rFonts w:cs="Arial"/>
                <w:sz w:val="16"/>
                <w:szCs w:val="18"/>
              </w:rPr>
            </w:pPr>
            <w:r w:rsidRPr="0060702E">
              <w:rPr>
                <w:rFonts w:cs="Arial"/>
                <w:sz w:val="16"/>
                <w:szCs w:val="18"/>
              </w:rPr>
              <w:t>Belarus</w:t>
            </w:r>
            <w:r w:rsidRPr="0060702E">
              <w:rPr>
                <w:rFonts w:cs="Arial"/>
                <w:sz w:val="16"/>
                <w:szCs w:val="18"/>
                <w:vertAlign w:val="superscript"/>
              </w:rPr>
              <w:t>3</w:t>
            </w:r>
          </w:p>
        </w:tc>
        <w:tc>
          <w:tcPr>
            <w:tcW w:w="1792" w:type="dxa"/>
            <w:vAlign w:val="bottom"/>
          </w:tcPr>
          <w:p w:rsidR="00515214" w:rsidRPr="0060702E" w:rsidRDefault="00515214" w:rsidP="00EE3140">
            <w:pPr>
              <w:spacing w:before="40"/>
              <w:rPr>
                <w:rFonts w:cs="Arial"/>
                <w:sz w:val="16"/>
                <w:szCs w:val="18"/>
              </w:rPr>
            </w:pPr>
            <w:r w:rsidRPr="0060702E">
              <w:rPr>
                <w:rFonts w:cs="Arial"/>
                <w:sz w:val="16"/>
                <w:szCs w:val="18"/>
              </w:rPr>
              <w:t>Denmark</w:t>
            </w:r>
            <w:r w:rsidRPr="0060702E">
              <w:rPr>
                <w:rStyle w:val="FootnoteReference"/>
                <w:rFonts w:cs="Arial"/>
                <w:szCs w:val="18"/>
              </w:rPr>
              <w:t>3</w:t>
            </w:r>
          </w:p>
        </w:tc>
        <w:tc>
          <w:tcPr>
            <w:tcW w:w="1306" w:type="dxa"/>
            <w:vAlign w:val="bottom"/>
          </w:tcPr>
          <w:p w:rsidR="00515214" w:rsidRPr="0060702E" w:rsidRDefault="00515214" w:rsidP="00EE3140">
            <w:pPr>
              <w:spacing w:before="40"/>
              <w:rPr>
                <w:rFonts w:cs="Arial"/>
                <w:sz w:val="16"/>
                <w:szCs w:val="18"/>
              </w:rPr>
            </w:pPr>
            <w:r w:rsidRPr="0060702E">
              <w:rPr>
                <w:rFonts w:cs="Arial"/>
                <w:sz w:val="16"/>
                <w:szCs w:val="18"/>
              </w:rPr>
              <w:t>Italy</w:t>
            </w:r>
            <w:r w:rsidRPr="0060702E">
              <w:rPr>
                <w:rStyle w:val="FootnoteReference"/>
                <w:rFonts w:cs="Arial"/>
                <w:szCs w:val="18"/>
              </w:rPr>
              <w:t>2</w:t>
            </w:r>
          </w:p>
        </w:tc>
        <w:tc>
          <w:tcPr>
            <w:tcW w:w="1701" w:type="dxa"/>
            <w:vAlign w:val="bottom"/>
          </w:tcPr>
          <w:p w:rsidR="00515214" w:rsidRPr="0060702E" w:rsidRDefault="00515214" w:rsidP="00EE3140">
            <w:pPr>
              <w:spacing w:before="40"/>
              <w:rPr>
                <w:rFonts w:cs="Arial"/>
                <w:sz w:val="16"/>
                <w:szCs w:val="18"/>
              </w:rPr>
            </w:pPr>
            <w:r w:rsidRPr="0060702E">
              <w:rPr>
                <w:rFonts w:cs="Arial"/>
                <w:sz w:val="16"/>
                <w:szCs w:val="18"/>
              </w:rPr>
              <w:t>Oman</w:t>
            </w:r>
            <w:r w:rsidRPr="0060702E">
              <w:rPr>
                <w:rFonts w:cs="Arial"/>
                <w:sz w:val="16"/>
                <w:szCs w:val="18"/>
                <w:vertAlign w:val="superscript"/>
              </w:rPr>
              <w:t>3</w:t>
            </w:r>
          </w:p>
        </w:tc>
        <w:tc>
          <w:tcPr>
            <w:tcW w:w="1743" w:type="dxa"/>
            <w:vAlign w:val="bottom"/>
          </w:tcPr>
          <w:p w:rsidR="00515214" w:rsidRPr="0060702E" w:rsidRDefault="00515214" w:rsidP="00EE3140">
            <w:pPr>
              <w:spacing w:before="40"/>
              <w:rPr>
                <w:rFonts w:cs="Arial"/>
                <w:sz w:val="16"/>
                <w:szCs w:val="18"/>
                <w:vertAlign w:val="superscript"/>
              </w:rPr>
            </w:pPr>
            <w:r w:rsidRPr="0060702E">
              <w:rPr>
                <w:rFonts w:cs="Arial"/>
                <w:sz w:val="16"/>
                <w:szCs w:val="18"/>
              </w:rPr>
              <w:t>Slovakia</w:t>
            </w:r>
            <w:r w:rsidRPr="0060702E">
              <w:rPr>
                <w:rFonts w:cs="Arial"/>
                <w:sz w:val="16"/>
                <w:szCs w:val="18"/>
                <w:vertAlign w:val="superscript"/>
              </w:rPr>
              <w:t>3</w:t>
            </w:r>
          </w:p>
        </w:tc>
        <w:tc>
          <w:tcPr>
            <w:tcW w:w="2097" w:type="dxa"/>
            <w:vAlign w:val="bottom"/>
          </w:tcPr>
          <w:p w:rsidR="00515214" w:rsidRPr="0060702E" w:rsidRDefault="00515214" w:rsidP="00EE3140">
            <w:pPr>
              <w:spacing w:before="40"/>
              <w:rPr>
                <w:rFonts w:cs="Arial"/>
                <w:sz w:val="16"/>
                <w:szCs w:val="18"/>
              </w:rPr>
            </w:pPr>
            <w:r w:rsidRPr="0060702E">
              <w:rPr>
                <w:rFonts w:cs="Arial"/>
                <w:sz w:val="16"/>
                <w:szCs w:val="18"/>
              </w:rPr>
              <w:t>Ukraine</w:t>
            </w:r>
            <w:r w:rsidRPr="0060702E">
              <w:rPr>
                <w:rFonts w:cs="Arial"/>
                <w:sz w:val="16"/>
                <w:szCs w:val="18"/>
                <w:vertAlign w:val="superscript"/>
              </w:rPr>
              <w:t>3</w:t>
            </w:r>
          </w:p>
        </w:tc>
      </w:tr>
      <w:tr w:rsidR="00515214" w:rsidRPr="0060702E" w:rsidTr="00787FE8">
        <w:trPr>
          <w:cantSplit/>
          <w:jc w:val="center"/>
        </w:trPr>
        <w:tc>
          <w:tcPr>
            <w:tcW w:w="1990" w:type="dxa"/>
            <w:vAlign w:val="bottom"/>
          </w:tcPr>
          <w:p w:rsidR="00515214" w:rsidRPr="0060702E" w:rsidRDefault="00515214" w:rsidP="00EE3140">
            <w:pPr>
              <w:spacing w:before="40"/>
              <w:rPr>
                <w:rFonts w:cs="Arial"/>
                <w:sz w:val="16"/>
                <w:szCs w:val="18"/>
                <w:vertAlign w:val="superscript"/>
              </w:rPr>
            </w:pPr>
            <w:r w:rsidRPr="0060702E">
              <w:rPr>
                <w:rFonts w:cs="Arial"/>
                <w:sz w:val="16"/>
                <w:szCs w:val="18"/>
              </w:rPr>
              <w:t>Belgium</w:t>
            </w:r>
            <w:r w:rsidRPr="0060702E">
              <w:rPr>
                <w:rStyle w:val="FootnoteReference"/>
                <w:rFonts w:cs="Arial"/>
                <w:szCs w:val="18"/>
              </w:rPr>
              <w:t>1</w:t>
            </w:r>
          </w:p>
        </w:tc>
        <w:tc>
          <w:tcPr>
            <w:tcW w:w="1792" w:type="dxa"/>
            <w:vAlign w:val="bottom"/>
          </w:tcPr>
          <w:p w:rsidR="00515214" w:rsidRPr="0060702E" w:rsidRDefault="00515214" w:rsidP="00EE3140">
            <w:pPr>
              <w:spacing w:before="40"/>
              <w:rPr>
                <w:rFonts w:cs="Arial"/>
                <w:sz w:val="16"/>
                <w:szCs w:val="18"/>
              </w:rPr>
            </w:pPr>
            <w:r w:rsidRPr="0060702E">
              <w:rPr>
                <w:rFonts w:cs="Arial"/>
                <w:sz w:val="16"/>
                <w:szCs w:val="18"/>
              </w:rPr>
              <w:t>Dominican Republic</w:t>
            </w:r>
            <w:r w:rsidRPr="0060702E">
              <w:rPr>
                <w:rFonts w:cs="Arial"/>
                <w:sz w:val="16"/>
                <w:szCs w:val="18"/>
                <w:vertAlign w:val="superscript"/>
              </w:rPr>
              <w:t>3</w:t>
            </w:r>
          </w:p>
        </w:tc>
        <w:tc>
          <w:tcPr>
            <w:tcW w:w="1306" w:type="dxa"/>
            <w:vAlign w:val="bottom"/>
          </w:tcPr>
          <w:p w:rsidR="00515214" w:rsidRPr="0060702E" w:rsidRDefault="00515214" w:rsidP="00EE3140">
            <w:pPr>
              <w:spacing w:before="40"/>
              <w:rPr>
                <w:rFonts w:cs="Arial"/>
                <w:sz w:val="16"/>
                <w:szCs w:val="18"/>
              </w:rPr>
            </w:pPr>
            <w:r w:rsidRPr="0060702E">
              <w:rPr>
                <w:rFonts w:cs="Arial"/>
                <w:sz w:val="16"/>
                <w:szCs w:val="18"/>
              </w:rPr>
              <w:t>Japan</w:t>
            </w:r>
            <w:r w:rsidRPr="0060702E">
              <w:rPr>
                <w:rFonts w:cs="Arial"/>
                <w:sz w:val="16"/>
                <w:szCs w:val="18"/>
                <w:vertAlign w:val="superscript"/>
              </w:rPr>
              <w:t>3</w:t>
            </w:r>
          </w:p>
        </w:tc>
        <w:tc>
          <w:tcPr>
            <w:tcW w:w="1701" w:type="dxa"/>
            <w:vAlign w:val="bottom"/>
          </w:tcPr>
          <w:p w:rsidR="00515214" w:rsidRPr="0060702E" w:rsidRDefault="00515214" w:rsidP="00EE3140">
            <w:pPr>
              <w:spacing w:before="40"/>
              <w:rPr>
                <w:rFonts w:cs="Arial"/>
                <w:sz w:val="16"/>
                <w:szCs w:val="18"/>
                <w:vertAlign w:val="superscript"/>
              </w:rPr>
            </w:pPr>
            <w:r w:rsidRPr="0060702E">
              <w:rPr>
                <w:rFonts w:cs="Arial"/>
                <w:sz w:val="16"/>
                <w:szCs w:val="18"/>
              </w:rPr>
              <w:t>Panama</w:t>
            </w:r>
            <w:r w:rsidRPr="0060702E">
              <w:rPr>
                <w:rFonts w:cs="Arial"/>
                <w:sz w:val="16"/>
                <w:szCs w:val="18"/>
                <w:vertAlign w:val="superscript"/>
              </w:rPr>
              <w:t>3</w:t>
            </w:r>
          </w:p>
        </w:tc>
        <w:tc>
          <w:tcPr>
            <w:tcW w:w="1743" w:type="dxa"/>
            <w:vAlign w:val="bottom"/>
          </w:tcPr>
          <w:p w:rsidR="00515214" w:rsidRPr="0060702E" w:rsidRDefault="00515214" w:rsidP="00EE3140">
            <w:pPr>
              <w:spacing w:before="40"/>
              <w:rPr>
                <w:rFonts w:cs="Arial"/>
                <w:sz w:val="16"/>
                <w:szCs w:val="18"/>
              </w:rPr>
            </w:pPr>
            <w:r w:rsidRPr="0060702E">
              <w:rPr>
                <w:rFonts w:cs="Arial"/>
                <w:sz w:val="16"/>
                <w:szCs w:val="18"/>
              </w:rPr>
              <w:t>Slovenia</w:t>
            </w:r>
            <w:r w:rsidRPr="0060702E">
              <w:rPr>
                <w:rFonts w:cs="Arial"/>
                <w:sz w:val="16"/>
                <w:szCs w:val="18"/>
                <w:vertAlign w:val="superscript"/>
              </w:rPr>
              <w:t>3</w:t>
            </w:r>
          </w:p>
        </w:tc>
        <w:tc>
          <w:tcPr>
            <w:tcW w:w="2097" w:type="dxa"/>
            <w:vAlign w:val="bottom"/>
          </w:tcPr>
          <w:p w:rsidR="00515214" w:rsidRPr="0060702E" w:rsidRDefault="00515214" w:rsidP="00EE3140">
            <w:pPr>
              <w:spacing w:before="40"/>
              <w:rPr>
                <w:rFonts w:cs="Arial"/>
                <w:sz w:val="16"/>
                <w:szCs w:val="18"/>
              </w:rPr>
            </w:pPr>
            <w:r w:rsidRPr="0060702E">
              <w:rPr>
                <w:rFonts w:cs="Arial"/>
                <w:sz w:val="16"/>
                <w:szCs w:val="18"/>
              </w:rPr>
              <w:t>United Kingdom</w:t>
            </w:r>
            <w:r w:rsidRPr="0060702E">
              <w:rPr>
                <w:rFonts w:cs="Arial"/>
                <w:sz w:val="16"/>
                <w:szCs w:val="18"/>
                <w:vertAlign w:val="superscript"/>
              </w:rPr>
              <w:t>3</w:t>
            </w:r>
          </w:p>
        </w:tc>
      </w:tr>
      <w:tr w:rsidR="00515214" w:rsidRPr="0060702E" w:rsidTr="00787FE8">
        <w:trPr>
          <w:cantSplit/>
          <w:jc w:val="center"/>
        </w:trPr>
        <w:tc>
          <w:tcPr>
            <w:tcW w:w="1990" w:type="dxa"/>
            <w:vAlign w:val="bottom"/>
          </w:tcPr>
          <w:p w:rsidR="00515214" w:rsidRPr="0060702E" w:rsidRDefault="00515214" w:rsidP="00EE3140">
            <w:pPr>
              <w:spacing w:before="40"/>
              <w:rPr>
                <w:rFonts w:cs="Arial"/>
                <w:sz w:val="16"/>
                <w:szCs w:val="18"/>
              </w:rPr>
            </w:pPr>
            <w:r w:rsidRPr="0060702E">
              <w:rPr>
                <w:rFonts w:cs="Arial"/>
                <w:sz w:val="16"/>
                <w:szCs w:val="18"/>
              </w:rPr>
              <w:t>Bolivia</w:t>
            </w:r>
          </w:p>
        </w:tc>
        <w:tc>
          <w:tcPr>
            <w:tcW w:w="1792" w:type="dxa"/>
            <w:vAlign w:val="bottom"/>
          </w:tcPr>
          <w:p w:rsidR="00515214" w:rsidRPr="0060702E" w:rsidRDefault="00515214" w:rsidP="00EE3140">
            <w:pPr>
              <w:spacing w:before="40"/>
              <w:rPr>
                <w:rFonts w:cs="Arial"/>
                <w:sz w:val="16"/>
                <w:szCs w:val="18"/>
              </w:rPr>
            </w:pPr>
            <w:r w:rsidRPr="0060702E">
              <w:rPr>
                <w:rFonts w:cs="Arial"/>
                <w:sz w:val="16"/>
                <w:szCs w:val="18"/>
              </w:rPr>
              <w:t>Ecuador</w:t>
            </w:r>
            <w:r w:rsidRPr="0060702E">
              <w:rPr>
                <w:rFonts w:cs="Arial"/>
                <w:sz w:val="16"/>
                <w:szCs w:val="18"/>
                <w:vertAlign w:val="superscript"/>
              </w:rPr>
              <w:t>2</w:t>
            </w:r>
          </w:p>
        </w:tc>
        <w:tc>
          <w:tcPr>
            <w:tcW w:w="1306" w:type="dxa"/>
            <w:vAlign w:val="bottom"/>
          </w:tcPr>
          <w:p w:rsidR="00515214" w:rsidRPr="0060702E" w:rsidRDefault="00515214" w:rsidP="00EE3140">
            <w:pPr>
              <w:spacing w:before="40"/>
              <w:rPr>
                <w:rFonts w:cs="Arial"/>
                <w:sz w:val="16"/>
                <w:szCs w:val="18"/>
              </w:rPr>
            </w:pPr>
            <w:r w:rsidRPr="0060702E">
              <w:rPr>
                <w:rFonts w:cs="Arial"/>
                <w:sz w:val="16"/>
                <w:szCs w:val="18"/>
              </w:rPr>
              <w:t>Jordan</w:t>
            </w:r>
            <w:r w:rsidRPr="0060702E">
              <w:rPr>
                <w:rFonts w:cs="Arial"/>
                <w:sz w:val="16"/>
                <w:szCs w:val="18"/>
                <w:vertAlign w:val="superscript"/>
              </w:rPr>
              <w:t>3</w:t>
            </w:r>
          </w:p>
        </w:tc>
        <w:tc>
          <w:tcPr>
            <w:tcW w:w="1701" w:type="dxa"/>
            <w:vAlign w:val="bottom"/>
          </w:tcPr>
          <w:p w:rsidR="00515214" w:rsidRPr="0060702E" w:rsidRDefault="00515214" w:rsidP="00EE3140">
            <w:pPr>
              <w:spacing w:before="40"/>
              <w:rPr>
                <w:rFonts w:cs="Arial"/>
                <w:sz w:val="16"/>
                <w:szCs w:val="18"/>
              </w:rPr>
            </w:pPr>
            <w:r w:rsidRPr="0060702E">
              <w:rPr>
                <w:rFonts w:cs="Arial"/>
                <w:sz w:val="16"/>
                <w:szCs w:val="18"/>
              </w:rPr>
              <w:t>Paraguay</w:t>
            </w:r>
            <w:r w:rsidRPr="0060702E">
              <w:rPr>
                <w:rFonts w:cs="Arial"/>
                <w:sz w:val="16"/>
                <w:szCs w:val="18"/>
                <w:vertAlign w:val="superscript"/>
              </w:rPr>
              <w:t>2</w:t>
            </w:r>
          </w:p>
        </w:tc>
        <w:tc>
          <w:tcPr>
            <w:tcW w:w="1743" w:type="dxa"/>
            <w:vAlign w:val="bottom"/>
          </w:tcPr>
          <w:p w:rsidR="00515214" w:rsidRPr="0060702E" w:rsidRDefault="00515214" w:rsidP="00EE3140">
            <w:pPr>
              <w:spacing w:before="40"/>
              <w:rPr>
                <w:rFonts w:cs="Arial"/>
                <w:sz w:val="16"/>
                <w:szCs w:val="18"/>
              </w:rPr>
            </w:pPr>
            <w:r w:rsidRPr="0060702E">
              <w:rPr>
                <w:rFonts w:cs="Arial"/>
                <w:sz w:val="16"/>
                <w:szCs w:val="18"/>
              </w:rPr>
              <w:t>South Africa</w:t>
            </w:r>
            <w:r w:rsidRPr="0060702E">
              <w:rPr>
                <w:rStyle w:val="FootnoteReference"/>
                <w:rFonts w:cs="Arial"/>
                <w:szCs w:val="18"/>
              </w:rPr>
              <w:t>2</w:t>
            </w:r>
          </w:p>
        </w:tc>
        <w:tc>
          <w:tcPr>
            <w:tcW w:w="2097" w:type="dxa"/>
            <w:vAlign w:val="bottom"/>
          </w:tcPr>
          <w:p w:rsidR="00515214" w:rsidRPr="0060702E" w:rsidRDefault="00515214" w:rsidP="00EE3140">
            <w:pPr>
              <w:spacing w:before="40"/>
              <w:rPr>
                <w:rFonts w:cs="Arial"/>
                <w:sz w:val="16"/>
                <w:szCs w:val="18"/>
              </w:rPr>
            </w:pPr>
            <w:r w:rsidRPr="0060702E">
              <w:rPr>
                <w:rFonts w:cs="Arial"/>
                <w:sz w:val="16"/>
                <w:szCs w:val="18"/>
              </w:rPr>
              <w:t>United States of America</w:t>
            </w:r>
            <w:r w:rsidRPr="0060702E">
              <w:rPr>
                <w:rFonts w:cs="Arial"/>
                <w:sz w:val="16"/>
                <w:szCs w:val="18"/>
                <w:vertAlign w:val="superscript"/>
              </w:rPr>
              <w:t>3</w:t>
            </w:r>
          </w:p>
        </w:tc>
      </w:tr>
      <w:tr w:rsidR="00515214" w:rsidRPr="0060702E" w:rsidTr="00787FE8">
        <w:trPr>
          <w:cantSplit/>
          <w:jc w:val="center"/>
        </w:trPr>
        <w:tc>
          <w:tcPr>
            <w:tcW w:w="1990" w:type="dxa"/>
          </w:tcPr>
          <w:p w:rsidR="00515214" w:rsidRPr="0060702E" w:rsidRDefault="00515214" w:rsidP="00787FE8">
            <w:pPr>
              <w:spacing w:before="40"/>
              <w:jc w:val="left"/>
              <w:rPr>
                <w:rFonts w:cs="Arial"/>
                <w:sz w:val="16"/>
                <w:szCs w:val="18"/>
              </w:rPr>
            </w:pPr>
            <w:r w:rsidRPr="0060702E">
              <w:rPr>
                <w:rFonts w:cs="Arial"/>
                <w:sz w:val="16"/>
                <w:szCs w:val="18"/>
              </w:rPr>
              <w:t>(</w:t>
            </w:r>
            <w:proofErr w:type="spellStart"/>
            <w:r w:rsidRPr="0060702E">
              <w:rPr>
                <w:rFonts w:cs="Arial"/>
                <w:sz w:val="16"/>
                <w:szCs w:val="18"/>
              </w:rPr>
              <w:t>Plurinational</w:t>
            </w:r>
            <w:proofErr w:type="spellEnd"/>
            <w:r w:rsidRPr="0060702E">
              <w:rPr>
                <w:rFonts w:cs="Arial"/>
                <w:sz w:val="16"/>
                <w:szCs w:val="18"/>
              </w:rPr>
              <w:t xml:space="preserve"> State of)</w:t>
            </w:r>
            <w:r w:rsidRPr="0060702E">
              <w:rPr>
                <w:rFonts w:cs="Arial"/>
                <w:sz w:val="16"/>
                <w:szCs w:val="18"/>
                <w:vertAlign w:val="superscript"/>
              </w:rPr>
              <w:t>2</w:t>
            </w:r>
          </w:p>
        </w:tc>
        <w:tc>
          <w:tcPr>
            <w:tcW w:w="1792" w:type="dxa"/>
            <w:vAlign w:val="bottom"/>
          </w:tcPr>
          <w:p w:rsidR="00515214" w:rsidRPr="0060702E" w:rsidRDefault="00515214" w:rsidP="00EE3140">
            <w:pPr>
              <w:spacing w:before="40"/>
              <w:rPr>
                <w:rFonts w:cs="Arial"/>
                <w:sz w:val="16"/>
                <w:szCs w:val="18"/>
              </w:rPr>
            </w:pPr>
            <w:r w:rsidRPr="0060702E">
              <w:rPr>
                <w:rFonts w:cs="Arial"/>
                <w:sz w:val="16"/>
                <w:szCs w:val="18"/>
              </w:rPr>
              <w:t>Estonia</w:t>
            </w:r>
            <w:r w:rsidRPr="0060702E">
              <w:rPr>
                <w:rFonts w:cs="Arial"/>
                <w:sz w:val="16"/>
                <w:szCs w:val="18"/>
                <w:vertAlign w:val="superscript"/>
              </w:rPr>
              <w:t>3</w:t>
            </w:r>
          </w:p>
        </w:tc>
        <w:tc>
          <w:tcPr>
            <w:tcW w:w="1306" w:type="dxa"/>
            <w:vAlign w:val="bottom"/>
          </w:tcPr>
          <w:p w:rsidR="00515214" w:rsidRPr="0060702E" w:rsidRDefault="00515214" w:rsidP="00EE3140">
            <w:pPr>
              <w:spacing w:before="40"/>
              <w:rPr>
                <w:rFonts w:cs="Arial"/>
                <w:sz w:val="16"/>
                <w:szCs w:val="18"/>
              </w:rPr>
            </w:pPr>
            <w:r w:rsidRPr="0060702E">
              <w:rPr>
                <w:rFonts w:cs="Arial"/>
                <w:sz w:val="16"/>
                <w:szCs w:val="18"/>
              </w:rPr>
              <w:t>Kenya</w:t>
            </w:r>
            <w:r w:rsidRPr="0060702E">
              <w:rPr>
                <w:rFonts w:cs="Arial"/>
                <w:sz w:val="16"/>
                <w:szCs w:val="18"/>
                <w:vertAlign w:val="superscript"/>
              </w:rPr>
              <w:t>2</w:t>
            </w:r>
          </w:p>
        </w:tc>
        <w:tc>
          <w:tcPr>
            <w:tcW w:w="1701" w:type="dxa"/>
            <w:vAlign w:val="bottom"/>
          </w:tcPr>
          <w:p w:rsidR="00515214" w:rsidRPr="0060702E" w:rsidRDefault="00515214" w:rsidP="00EE3140">
            <w:pPr>
              <w:spacing w:before="40"/>
              <w:rPr>
                <w:rFonts w:cs="Arial"/>
                <w:sz w:val="16"/>
                <w:szCs w:val="18"/>
              </w:rPr>
            </w:pPr>
            <w:r w:rsidRPr="0060702E">
              <w:rPr>
                <w:rFonts w:cs="Arial"/>
                <w:sz w:val="16"/>
                <w:szCs w:val="18"/>
              </w:rPr>
              <w:t>Peru</w:t>
            </w:r>
            <w:r w:rsidRPr="0060702E">
              <w:rPr>
                <w:rFonts w:cs="Arial"/>
                <w:sz w:val="16"/>
                <w:szCs w:val="18"/>
                <w:vertAlign w:val="superscript"/>
              </w:rPr>
              <w:t>3</w:t>
            </w:r>
          </w:p>
        </w:tc>
        <w:tc>
          <w:tcPr>
            <w:tcW w:w="1743" w:type="dxa"/>
            <w:vAlign w:val="bottom"/>
          </w:tcPr>
          <w:p w:rsidR="00515214" w:rsidRPr="0060702E" w:rsidRDefault="00515214" w:rsidP="00EE3140">
            <w:pPr>
              <w:spacing w:before="40"/>
              <w:rPr>
                <w:rFonts w:cs="Arial"/>
                <w:sz w:val="16"/>
                <w:szCs w:val="18"/>
              </w:rPr>
            </w:pPr>
            <w:r w:rsidRPr="0060702E">
              <w:rPr>
                <w:rFonts w:cs="Arial"/>
                <w:sz w:val="16"/>
                <w:szCs w:val="18"/>
              </w:rPr>
              <w:t>Spain</w:t>
            </w:r>
            <w:r w:rsidRPr="0060702E">
              <w:rPr>
                <w:rStyle w:val="FootnoteReference"/>
                <w:rFonts w:cs="Arial"/>
                <w:szCs w:val="18"/>
              </w:rPr>
              <w:t>3</w:t>
            </w:r>
          </w:p>
        </w:tc>
        <w:tc>
          <w:tcPr>
            <w:tcW w:w="2097" w:type="dxa"/>
            <w:vAlign w:val="bottom"/>
          </w:tcPr>
          <w:p w:rsidR="00515214" w:rsidRPr="0060702E" w:rsidRDefault="00515214" w:rsidP="00EE3140">
            <w:pPr>
              <w:spacing w:before="40"/>
              <w:rPr>
                <w:rFonts w:cs="Arial"/>
                <w:sz w:val="16"/>
                <w:szCs w:val="18"/>
              </w:rPr>
            </w:pPr>
            <w:r w:rsidRPr="0060702E">
              <w:rPr>
                <w:rFonts w:cs="Arial"/>
                <w:sz w:val="16"/>
                <w:szCs w:val="18"/>
              </w:rPr>
              <w:t>Uruguay</w:t>
            </w:r>
            <w:r w:rsidRPr="0060702E">
              <w:rPr>
                <w:rFonts w:cs="Arial"/>
                <w:sz w:val="16"/>
                <w:szCs w:val="18"/>
                <w:vertAlign w:val="superscript"/>
              </w:rPr>
              <w:t>2</w:t>
            </w:r>
          </w:p>
        </w:tc>
      </w:tr>
      <w:tr w:rsidR="00515214" w:rsidRPr="0060702E" w:rsidTr="00787FE8">
        <w:trPr>
          <w:cantSplit/>
          <w:jc w:val="center"/>
        </w:trPr>
        <w:tc>
          <w:tcPr>
            <w:tcW w:w="1990" w:type="dxa"/>
            <w:vAlign w:val="bottom"/>
          </w:tcPr>
          <w:p w:rsidR="00515214" w:rsidRPr="0060702E" w:rsidRDefault="00515214" w:rsidP="00EE3140">
            <w:pPr>
              <w:spacing w:before="40"/>
              <w:rPr>
                <w:rFonts w:cs="Arial"/>
                <w:sz w:val="16"/>
                <w:szCs w:val="18"/>
              </w:rPr>
            </w:pPr>
            <w:r w:rsidRPr="0060702E">
              <w:rPr>
                <w:rFonts w:cs="Arial"/>
                <w:sz w:val="16"/>
                <w:szCs w:val="18"/>
              </w:rPr>
              <w:t>Brazil</w:t>
            </w:r>
            <w:r w:rsidRPr="0060702E">
              <w:rPr>
                <w:rFonts w:cs="Arial"/>
                <w:sz w:val="16"/>
                <w:szCs w:val="18"/>
                <w:vertAlign w:val="superscript"/>
              </w:rPr>
              <w:t>2</w:t>
            </w:r>
          </w:p>
        </w:tc>
        <w:tc>
          <w:tcPr>
            <w:tcW w:w="1792" w:type="dxa"/>
            <w:vAlign w:val="bottom"/>
          </w:tcPr>
          <w:p w:rsidR="00515214" w:rsidRPr="0060702E" w:rsidRDefault="00515214" w:rsidP="00EE3140">
            <w:pPr>
              <w:spacing w:before="40"/>
              <w:rPr>
                <w:rFonts w:cs="Arial"/>
                <w:sz w:val="16"/>
                <w:szCs w:val="18"/>
                <w:vertAlign w:val="superscript"/>
              </w:rPr>
            </w:pPr>
            <w:r w:rsidRPr="0060702E">
              <w:rPr>
                <w:rFonts w:cs="Arial"/>
                <w:sz w:val="16"/>
                <w:szCs w:val="18"/>
              </w:rPr>
              <w:t>European Union</w:t>
            </w:r>
            <w:r w:rsidRPr="0060702E">
              <w:rPr>
                <w:rFonts w:cs="Arial"/>
                <w:sz w:val="16"/>
                <w:szCs w:val="18"/>
                <w:vertAlign w:val="superscript"/>
              </w:rPr>
              <w:t>3,4</w:t>
            </w:r>
          </w:p>
        </w:tc>
        <w:tc>
          <w:tcPr>
            <w:tcW w:w="1306" w:type="dxa"/>
            <w:vAlign w:val="bottom"/>
          </w:tcPr>
          <w:p w:rsidR="00515214" w:rsidRPr="0060702E" w:rsidRDefault="00515214" w:rsidP="00EE3140">
            <w:pPr>
              <w:spacing w:before="40"/>
              <w:rPr>
                <w:rFonts w:cs="Arial"/>
                <w:sz w:val="16"/>
                <w:szCs w:val="18"/>
              </w:rPr>
            </w:pPr>
            <w:r w:rsidRPr="0060702E">
              <w:rPr>
                <w:rFonts w:cs="Arial"/>
                <w:sz w:val="16"/>
                <w:szCs w:val="18"/>
              </w:rPr>
              <w:t>Kyrgyzstan</w:t>
            </w:r>
            <w:r w:rsidRPr="0060702E">
              <w:rPr>
                <w:rFonts w:cs="Arial"/>
                <w:sz w:val="16"/>
                <w:szCs w:val="18"/>
                <w:vertAlign w:val="superscript"/>
              </w:rPr>
              <w:t>3</w:t>
            </w:r>
          </w:p>
        </w:tc>
        <w:tc>
          <w:tcPr>
            <w:tcW w:w="1701" w:type="dxa"/>
            <w:vAlign w:val="bottom"/>
          </w:tcPr>
          <w:p w:rsidR="00515214" w:rsidRPr="0060702E" w:rsidRDefault="00515214" w:rsidP="00EE3140">
            <w:pPr>
              <w:pStyle w:val="BodyTextKeep"/>
              <w:keepNext w:val="0"/>
              <w:spacing w:before="40" w:after="0"/>
              <w:rPr>
                <w:rFonts w:ascii="Arial" w:hAnsi="Arial" w:cs="Arial"/>
                <w:sz w:val="16"/>
                <w:szCs w:val="18"/>
                <w:vertAlign w:val="superscript"/>
              </w:rPr>
            </w:pPr>
            <w:r w:rsidRPr="0060702E">
              <w:rPr>
                <w:rFonts w:ascii="Arial" w:hAnsi="Arial" w:cs="Arial"/>
                <w:sz w:val="16"/>
                <w:szCs w:val="18"/>
              </w:rPr>
              <w:t>Poland</w:t>
            </w:r>
            <w:r w:rsidRPr="0060702E">
              <w:rPr>
                <w:rStyle w:val="FootnoteReference"/>
                <w:rFonts w:cs="Arial"/>
                <w:szCs w:val="18"/>
              </w:rPr>
              <w:t>3</w:t>
            </w:r>
          </w:p>
        </w:tc>
        <w:tc>
          <w:tcPr>
            <w:tcW w:w="1743" w:type="dxa"/>
            <w:vAlign w:val="bottom"/>
          </w:tcPr>
          <w:p w:rsidR="00515214" w:rsidRPr="0060702E" w:rsidRDefault="00515214" w:rsidP="00EE3140">
            <w:pPr>
              <w:pStyle w:val="BodyTextKeep"/>
              <w:keepNext w:val="0"/>
              <w:spacing w:before="40" w:after="0"/>
              <w:rPr>
                <w:rFonts w:ascii="Arial" w:hAnsi="Arial" w:cs="Arial"/>
                <w:sz w:val="16"/>
                <w:szCs w:val="18"/>
              </w:rPr>
            </w:pPr>
            <w:r w:rsidRPr="0060702E">
              <w:rPr>
                <w:rFonts w:ascii="Arial" w:hAnsi="Arial" w:cs="Arial"/>
                <w:sz w:val="16"/>
                <w:szCs w:val="18"/>
              </w:rPr>
              <w:t>Sweden</w:t>
            </w:r>
            <w:r w:rsidRPr="0060702E">
              <w:rPr>
                <w:rFonts w:ascii="Arial" w:hAnsi="Arial" w:cs="Arial"/>
                <w:sz w:val="16"/>
                <w:szCs w:val="18"/>
                <w:vertAlign w:val="superscript"/>
              </w:rPr>
              <w:t>3</w:t>
            </w:r>
          </w:p>
        </w:tc>
        <w:tc>
          <w:tcPr>
            <w:tcW w:w="2097" w:type="dxa"/>
            <w:vAlign w:val="bottom"/>
          </w:tcPr>
          <w:p w:rsidR="00515214" w:rsidRPr="0060702E" w:rsidRDefault="00515214" w:rsidP="00EE3140">
            <w:pPr>
              <w:spacing w:before="40"/>
              <w:rPr>
                <w:rFonts w:cs="Arial"/>
                <w:sz w:val="16"/>
                <w:szCs w:val="18"/>
              </w:rPr>
            </w:pPr>
            <w:r w:rsidRPr="0060702E">
              <w:rPr>
                <w:rFonts w:cs="Arial"/>
                <w:sz w:val="16"/>
                <w:szCs w:val="18"/>
              </w:rPr>
              <w:t>Uzbekistan</w:t>
            </w:r>
            <w:r w:rsidRPr="0060702E">
              <w:rPr>
                <w:rFonts w:cs="Arial"/>
                <w:sz w:val="16"/>
                <w:szCs w:val="18"/>
                <w:vertAlign w:val="superscript"/>
              </w:rPr>
              <w:t>3</w:t>
            </w:r>
          </w:p>
        </w:tc>
      </w:tr>
      <w:tr w:rsidR="00515214" w:rsidRPr="0060702E" w:rsidTr="00787FE8">
        <w:trPr>
          <w:cantSplit/>
          <w:jc w:val="center"/>
        </w:trPr>
        <w:tc>
          <w:tcPr>
            <w:tcW w:w="1990" w:type="dxa"/>
            <w:vAlign w:val="bottom"/>
          </w:tcPr>
          <w:p w:rsidR="00515214" w:rsidRPr="0060702E" w:rsidRDefault="00515214" w:rsidP="00EE3140">
            <w:pPr>
              <w:spacing w:before="40"/>
              <w:rPr>
                <w:rFonts w:cs="Arial"/>
                <w:sz w:val="16"/>
                <w:szCs w:val="18"/>
              </w:rPr>
            </w:pPr>
            <w:r w:rsidRPr="0060702E">
              <w:rPr>
                <w:rFonts w:cs="Arial"/>
                <w:sz w:val="16"/>
                <w:szCs w:val="18"/>
              </w:rPr>
              <w:t>Bulgaria</w:t>
            </w:r>
            <w:r w:rsidRPr="0060702E">
              <w:rPr>
                <w:rFonts w:cs="Arial"/>
                <w:sz w:val="16"/>
                <w:szCs w:val="18"/>
                <w:vertAlign w:val="superscript"/>
              </w:rPr>
              <w:t>3</w:t>
            </w:r>
          </w:p>
        </w:tc>
        <w:tc>
          <w:tcPr>
            <w:tcW w:w="1792" w:type="dxa"/>
            <w:vAlign w:val="bottom"/>
          </w:tcPr>
          <w:p w:rsidR="00515214" w:rsidRPr="0060702E" w:rsidRDefault="00515214" w:rsidP="00EE3140">
            <w:pPr>
              <w:spacing w:before="40"/>
              <w:rPr>
                <w:rFonts w:cs="Arial"/>
                <w:sz w:val="16"/>
                <w:szCs w:val="18"/>
              </w:rPr>
            </w:pPr>
            <w:r w:rsidRPr="0060702E">
              <w:rPr>
                <w:rFonts w:cs="Arial"/>
                <w:sz w:val="16"/>
                <w:szCs w:val="18"/>
              </w:rPr>
              <w:t>Finland</w:t>
            </w:r>
            <w:r w:rsidRPr="0060702E">
              <w:rPr>
                <w:rStyle w:val="FootnoteReference"/>
                <w:rFonts w:cs="Arial"/>
                <w:szCs w:val="18"/>
              </w:rPr>
              <w:t>3</w:t>
            </w:r>
          </w:p>
        </w:tc>
        <w:tc>
          <w:tcPr>
            <w:tcW w:w="1306" w:type="dxa"/>
            <w:vAlign w:val="bottom"/>
          </w:tcPr>
          <w:p w:rsidR="00515214" w:rsidRPr="0060702E" w:rsidRDefault="00515214" w:rsidP="00EE3140">
            <w:pPr>
              <w:spacing w:before="40"/>
              <w:rPr>
                <w:rFonts w:cs="Arial"/>
                <w:sz w:val="16"/>
                <w:szCs w:val="18"/>
              </w:rPr>
            </w:pPr>
            <w:r w:rsidRPr="0060702E">
              <w:rPr>
                <w:rFonts w:cs="Arial"/>
                <w:sz w:val="16"/>
                <w:szCs w:val="18"/>
              </w:rPr>
              <w:t>Latvia</w:t>
            </w:r>
            <w:r w:rsidRPr="0060702E">
              <w:rPr>
                <w:rFonts w:cs="Arial"/>
                <w:sz w:val="16"/>
                <w:szCs w:val="18"/>
                <w:vertAlign w:val="superscript"/>
              </w:rPr>
              <w:t>3</w:t>
            </w:r>
          </w:p>
        </w:tc>
        <w:tc>
          <w:tcPr>
            <w:tcW w:w="1701" w:type="dxa"/>
            <w:vAlign w:val="bottom"/>
          </w:tcPr>
          <w:p w:rsidR="00515214" w:rsidRPr="0060702E" w:rsidRDefault="00515214" w:rsidP="00EE3140">
            <w:pPr>
              <w:pStyle w:val="BodyTextKeep"/>
              <w:keepNext w:val="0"/>
              <w:spacing w:before="40" w:after="0"/>
              <w:rPr>
                <w:rFonts w:ascii="Arial" w:hAnsi="Arial" w:cs="Arial"/>
                <w:sz w:val="16"/>
                <w:szCs w:val="18"/>
                <w:vertAlign w:val="superscript"/>
              </w:rPr>
            </w:pPr>
            <w:r w:rsidRPr="0060702E">
              <w:rPr>
                <w:rFonts w:ascii="Arial" w:hAnsi="Arial" w:cs="Arial"/>
                <w:sz w:val="16"/>
                <w:szCs w:val="18"/>
              </w:rPr>
              <w:t>Portugal</w:t>
            </w:r>
            <w:r w:rsidRPr="0060702E">
              <w:rPr>
                <w:rFonts w:ascii="Arial" w:hAnsi="Arial" w:cs="Arial"/>
                <w:sz w:val="16"/>
                <w:szCs w:val="18"/>
                <w:vertAlign w:val="superscript"/>
              </w:rPr>
              <w:t>2</w:t>
            </w:r>
          </w:p>
        </w:tc>
        <w:tc>
          <w:tcPr>
            <w:tcW w:w="1743" w:type="dxa"/>
            <w:vAlign w:val="bottom"/>
          </w:tcPr>
          <w:p w:rsidR="00515214" w:rsidRPr="0060702E" w:rsidRDefault="00515214" w:rsidP="00EE3140">
            <w:pPr>
              <w:spacing w:before="40"/>
              <w:rPr>
                <w:rFonts w:cs="Arial"/>
                <w:sz w:val="16"/>
                <w:szCs w:val="18"/>
              </w:rPr>
            </w:pPr>
            <w:r w:rsidRPr="0060702E">
              <w:rPr>
                <w:rFonts w:cs="Arial"/>
                <w:sz w:val="16"/>
                <w:szCs w:val="18"/>
              </w:rPr>
              <w:t>Switzerland</w:t>
            </w:r>
            <w:r w:rsidRPr="0060702E">
              <w:rPr>
                <w:rFonts w:cs="Arial"/>
                <w:sz w:val="16"/>
                <w:szCs w:val="18"/>
                <w:vertAlign w:val="superscript"/>
              </w:rPr>
              <w:t>3</w:t>
            </w:r>
          </w:p>
        </w:tc>
        <w:tc>
          <w:tcPr>
            <w:tcW w:w="2097" w:type="dxa"/>
            <w:vAlign w:val="bottom"/>
          </w:tcPr>
          <w:p w:rsidR="00515214" w:rsidRPr="0060702E" w:rsidRDefault="00515214" w:rsidP="00EE3140">
            <w:pPr>
              <w:spacing w:before="40"/>
              <w:rPr>
                <w:rFonts w:cs="Arial"/>
                <w:sz w:val="16"/>
                <w:szCs w:val="18"/>
              </w:rPr>
            </w:pPr>
            <w:r w:rsidRPr="0060702E">
              <w:rPr>
                <w:rFonts w:cs="Arial"/>
                <w:sz w:val="16"/>
                <w:szCs w:val="18"/>
              </w:rPr>
              <w:t>Viet Nam</w:t>
            </w:r>
            <w:r w:rsidRPr="0060702E">
              <w:rPr>
                <w:rFonts w:cs="Arial"/>
                <w:sz w:val="16"/>
                <w:szCs w:val="18"/>
                <w:vertAlign w:val="superscript"/>
              </w:rPr>
              <w:t>3</w:t>
            </w:r>
          </w:p>
        </w:tc>
      </w:tr>
      <w:tr w:rsidR="00515214" w:rsidRPr="0060702E" w:rsidTr="00787FE8">
        <w:trPr>
          <w:cantSplit/>
          <w:jc w:val="center"/>
        </w:trPr>
        <w:tc>
          <w:tcPr>
            <w:tcW w:w="1990" w:type="dxa"/>
            <w:vAlign w:val="bottom"/>
          </w:tcPr>
          <w:p w:rsidR="00515214" w:rsidRPr="0060702E" w:rsidRDefault="00515214" w:rsidP="00EE3140">
            <w:pPr>
              <w:spacing w:before="40"/>
              <w:rPr>
                <w:rFonts w:cs="Arial"/>
                <w:sz w:val="16"/>
                <w:szCs w:val="18"/>
              </w:rPr>
            </w:pPr>
            <w:r w:rsidRPr="0060702E">
              <w:rPr>
                <w:rFonts w:cs="Arial"/>
                <w:sz w:val="16"/>
                <w:szCs w:val="18"/>
              </w:rPr>
              <w:t>Canada</w:t>
            </w:r>
            <w:r w:rsidRPr="0060702E">
              <w:rPr>
                <w:rStyle w:val="FootnoteReference"/>
                <w:rFonts w:cs="Arial"/>
                <w:szCs w:val="18"/>
              </w:rPr>
              <w:t>2</w:t>
            </w:r>
          </w:p>
        </w:tc>
        <w:tc>
          <w:tcPr>
            <w:tcW w:w="1792" w:type="dxa"/>
            <w:vAlign w:val="bottom"/>
          </w:tcPr>
          <w:p w:rsidR="00515214" w:rsidRPr="0060702E" w:rsidRDefault="00515214" w:rsidP="00EE3140">
            <w:pPr>
              <w:spacing w:before="40"/>
              <w:rPr>
                <w:rFonts w:cs="Arial"/>
                <w:sz w:val="16"/>
                <w:szCs w:val="18"/>
              </w:rPr>
            </w:pPr>
            <w:r w:rsidRPr="0060702E">
              <w:rPr>
                <w:rFonts w:cs="Arial"/>
                <w:sz w:val="16"/>
                <w:szCs w:val="18"/>
              </w:rPr>
              <w:t>France</w:t>
            </w:r>
            <w:r w:rsidRPr="0060702E">
              <w:rPr>
                <w:rStyle w:val="FootnoteReference"/>
                <w:rFonts w:cs="Arial"/>
                <w:szCs w:val="18"/>
              </w:rPr>
              <w:t>3</w:t>
            </w:r>
          </w:p>
        </w:tc>
        <w:tc>
          <w:tcPr>
            <w:tcW w:w="1306" w:type="dxa"/>
            <w:vAlign w:val="bottom"/>
          </w:tcPr>
          <w:p w:rsidR="00515214" w:rsidRPr="0060702E" w:rsidRDefault="00515214" w:rsidP="00EE3140">
            <w:pPr>
              <w:spacing w:before="40"/>
              <w:rPr>
                <w:rFonts w:cs="Arial"/>
                <w:sz w:val="16"/>
                <w:szCs w:val="18"/>
              </w:rPr>
            </w:pPr>
            <w:r w:rsidRPr="0060702E">
              <w:rPr>
                <w:rFonts w:cs="Arial"/>
                <w:sz w:val="16"/>
                <w:szCs w:val="18"/>
              </w:rPr>
              <w:t>Lithuania</w:t>
            </w:r>
            <w:r w:rsidRPr="0060702E">
              <w:rPr>
                <w:rFonts w:cs="Arial"/>
                <w:sz w:val="16"/>
                <w:szCs w:val="18"/>
                <w:vertAlign w:val="superscript"/>
              </w:rPr>
              <w:t>3</w:t>
            </w:r>
          </w:p>
        </w:tc>
        <w:tc>
          <w:tcPr>
            <w:tcW w:w="1701" w:type="dxa"/>
            <w:vAlign w:val="bottom"/>
          </w:tcPr>
          <w:p w:rsidR="00515214" w:rsidRPr="0060702E" w:rsidRDefault="00515214" w:rsidP="00EE3140">
            <w:pPr>
              <w:pStyle w:val="BodyTextKeep"/>
              <w:keepNext w:val="0"/>
              <w:spacing w:before="40" w:after="0"/>
              <w:rPr>
                <w:rFonts w:ascii="Arial" w:hAnsi="Arial" w:cs="Arial"/>
                <w:sz w:val="16"/>
                <w:szCs w:val="18"/>
                <w:vertAlign w:val="superscript"/>
              </w:rPr>
            </w:pPr>
            <w:r w:rsidRPr="0060702E">
              <w:rPr>
                <w:rFonts w:ascii="Arial" w:hAnsi="Arial" w:cs="Arial"/>
                <w:sz w:val="16"/>
                <w:szCs w:val="18"/>
              </w:rPr>
              <w:t>Republic of Korea</w:t>
            </w:r>
            <w:r w:rsidRPr="0060702E">
              <w:rPr>
                <w:rFonts w:ascii="Arial" w:hAnsi="Arial" w:cs="Arial"/>
                <w:sz w:val="16"/>
                <w:szCs w:val="18"/>
                <w:vertAlign w:val="superscript"/>
              </w:rPr>
              <w:t>3</w:t>
            </w:r>
          </w:p>
        </w:tc>
        <w:tc>
          <w:tcPr>
            <w:tcW w:w="1743" w:type="dxa"/>
            <w:vAlign w:val="bottom"/>
          </w:tcPr>
          <w:p w:rsidR="00515214" w:rsidRPr="0060702E" w:rsidRDefault="00515214" w:rsidP="00EE3140">
            <w:pPr>
              <w:pStyle w:val="BodyTextKeep"/>
              <w:keepNext w:val="0"/>
              <w:spacing w:before="40" w:after="0"/>
              <w:rPr>
                <w:rFonts w:ascii="Arial" w:hAnsi="Arial" w:cs="Arial"/>
                <w:sz w:val="16"/>
                <w:szCs w:val="18"/>
              </w:rPr>
            </w:pPr>
          </w:p>
        </w:tc>
        <w:tc>
          <w:tcPr>
            <w:tcW w:w="2097" w:type="dxa"/>
            <w:vAlign w:val="bottom"/>
          </w:tcPr>
          <w:p w:rsidR="00515214" w:rsidRPr="0060702E" w:rsidRDefault="00515214" w:rsidP="00EE3140">
            <w:pPr>
              <w:spacing w:before="40"/>
              <w:rPr>
                <w:rFonts w:cs="Arial"/>
                <w:sz w:val="16"/>
                <w:szCs w:val="18"/>
              </w:rPr>
            </w:pPr>
          </w:p>
        </w:tc>
      </w:tr>
      <w:tr w:rsidR="00515214" w:rsidRPr="0060702E" w:rsidTr="00787FE8">
        <w:trPr>
          <w:cantSplit/>
          <w:jc w:val="center"/>
        </w:trPr>
        <w:tc>
          <w:tcPr>
            <w:tcW w:w="1990" w:type="dxa"/>
          </w:tcPr>
          <w:p w:rsidR="00515214" w:rsidRPr="0060702E" w:rsidRDefault="00515214" w:rsidP="00EE3140">
            <w:pPr>
              <w:spacing w:before="40"/>
              <w:rPr>
                <w:rFonts w:cs="Arial"/>
                <w:sz w:val="16"/>
                <w:szCs w:val="18"/>
              </w:rPr>
            </w:pPr>
            <w:r w:rsidRPr="0060702E">
              <w:rPr>
                <w:rFonts w:cs="Arial"/>
                <w:sz w:val="16"/>
                <w:szCs w:val="18"/>
              </w:rPr>
              <w:t>Chile</w:t>
            </w:r>
            <w:r w:rsidRPr="0060702E">
              <w:rPr>
                <w:rFonts w:cs="Arial"/>
                <w:sz w:val="16"/>
                <w:szCs w:val="18"/>
                <w:vertAlign w:val="superscript"/>
              </w:rPr>
              <w:t>2</w:t>
            </w:r>
          </w:p>
        </w:tc>
        <w:tc>
          <w:tcPr>
            <w:tcW w:w="1792" w:type="dxa"/>
            <w:vAlign w:val="bottom"/>
          </w:tcPr>
          <w:p w:rsidR="00515214" w:rsidRPr="0060702E" w:rsidRDefault="00515214" w:rsidP="00EE3140">
            <w:pPr>
              <w:spacing w:before="40"/>
              <w:rPr>
                <w:rFonts w:cs="Arial"/>
                <w:sz w:val="16"/>
                <w:szCs w:val="18"/>
              </w:rPr>
            </w:pPr>
            <w:r w:rsidRPr="0060702E">
              <w:rPr>
                <w:rFonts w:cs="Arial"/>
                <w:sz w:val="16"/>
                <w:szCs w:val="18"/>
              </w:rPr>
              <w:t>Georgia</w:t>
            </w:r>
            <w:r w:rsidRPr="0060702E">
              <w:rPr>
                <w:rFonts w:cs="Arial"/>
                <w:sz w:val="16"/>
                <w:szCs w:val="18"/>
                <w:vertAlign w:val="superscript"/>
              </w:rPr>
              <w:t>3</w:t>
            </w:r>
          </w:p>
        </w:tc>
        <w:tc>
          <w:tcPr>
            <w:tcW w:w="1306" w:type="dxa"/>
            <w:vAlign w:val="bottom"/>
          </w:tcPr>
          <w:p w:rsidR="00515214" w:rsidRPr="0060702E" w:rsidRDefault="00515214" w:rsidP="00EE3140">
            <w:pPr>
              <w:spacing w:before="40"/>
              <w:rPr>
                <w:rFonts w:cs="Arial"/>
                <w:sz w:val="16"/>
                <w:szCs w:val="18"/>
              </w:rPr>
            </w:pPr>
            <w:r w:rsidRPr="0060702E">
              <w:rPr>
                <w:rFonts w:cs="Arial"/>
                <w:sz w:val="16"/>
                <w:szCs w:val="18"/>
              </w:rPr>
              <w:t>Mexico</w:t>
            </w:r>
            <w:r w:rsidRPr="0060702E">
              <w:rPr>
                <w:rFonts w:cs="Arial"/>
                <w:sz w:val="16"/>
                <w:szCs w:val="18"/>
                <w:vertAlign w:val="superscript"/>
              </w:rPr>
              <w:t>2</w:t>
            </w:r>
          </w:p>
        </w:tc>
        <w:tc>
          <w:tcPr>
            <w:tcW w:w="1701" w:type="dxa"/>
            <w:vAlign w:val="bottom"/>
          </w:tcPr>
          <w:p w:rsidR="00515214" w:rsidRPr="0060702E" w:rsidRDefault="00515214" w:rsidP="00EE3140">
            <w:pPr>
              <w:pStyle w:val="BodyTextKeep"/>
              <w:keepNext w:val="0"/>
              <w:spacing w:before="40" w:after="0"/>
              <w:rPr>
                <w:rFonts w:ascii="Arial" w:hAnsi="Arial" w:cs="Arial"/>
                <w:sz w:val="16"/>
                <w:szCs w:val="18"/>
                <w:vertAlign w:val="superscript"/>
              </w:rPr>
            </w:pPr>
          </w:p>
        </w:tc>
        <w:tc>
          <w:tcPr>
            <w:tcW w:w="1743" w:type="dxa"/>
          </w:tcPr>
          <w:p w:rsidR="00515214" w:rsidRPr="0060702E" w:rsidRDefault="00515214" w:rsidP="00EE3140">
            <w:pPr>
              <w:spacing w:before="40"/>
              <w:rPr>
                <w:rFonts w:cs="Arial"/>
                <w:sz w:val="16"/>
                <w:szCs w:val="18"/>
              </w:rPr>
            </w:pPr>
          </w:p>
        </w:tc>
        <w:tc>
          <w:tcPr>
            <w:tcW w:w="2097" w:type="dxa"/>
          </w:tcPr>
          <w:p w:rsidR="00515214" w:rsidRPr="0060702E" w:rsidRDefault="00515214" w:rsidP="00EE3140">
            <w:pPr>
              <w:spacing w:before="40"/>
              <w:jc w:val="right"/>
              <w:rPr>
                <w:rFonts w:cs="Arial"/>
                <w:sz w:val="16"/>
                <w:szCs w:val="18"/>
              </w:rPr>
            </w:pPr>
            <w:r w:rsidRPr="0060702E">
              <w:rPr>
                <w:rFonts w:cs="Arial"/>
                <w:sz w:val="16"/>
                <w:szCs w:val="18"/>
              </w:rPr>
              <w:t>(Total 71)</w:t>
            </w:r>
          </w:p>
        </w:tc>
      </w:tr>
    </w:tbl>
    <w:p w:rsidR="00515214" w:rsidRPr="0060702E" w:rsidRDefault="00515214" w:rsidP="00515214">
      <w:pPr>
        <w:tabs>
          <w:tab w:val="left" w:pos="1560"/>
        </w:tabs>
        <w:spacing w:after="60"/>
        <w:ind w:left="284"/>
        <w:rPr>
          <w:rFonts w:cs="Arial"/>
          <w:u w:val="single"/>
        </w:rPr>
      </w:pPr>
      <w:r w:rsidRPr="0060702E">
        <w:rPr>
          <w:rFonts w:cs="Arial"/>
          <w:u w:val="single"/>
        </w:rPr>
        <w:tab/>
      </w:r>
    </w:p>
    <w:p w:rsidR="00515214" w:rsidRPr="0060702E" w:rsidRDefault="00515214" w:rsidP="0060702E">
      <w:pPr>
        <w:spacing w:after="60"/>
        <w:ind w:left="567" w:hanging="283"/>
        <w:rPr>
          <w:rFonts w:cs="Arial"/>
          <w:sz w:val="18"/>
        </w:rPr>
      </w:pPr>
      <w:r w:rsidRPr="0060702E">
        <w:rPr>
          <w:rFonts w:cs="Arial"/>
          <w:vertAlign w:val="superscript"/>
        </w:rPr>
        <w:t>1</w:t>
      </w:r>
      <w:r w:rsidRPr="0060702E">
        <w:rPr>
          <w:rFonts w:cs="Arial"/>
        </w:rPr>
        <w:tab/>
      </w:r>
      <w:r w:rsidRPr="0060702E">
        <w:rPr>
          <w:rFonts w:cs="Arial"/>
          <w:sz w:val="18"/>
        </w:rPr>
        <w:t xml:space="preserve">1961 Convention as amended by the Additional Act of 1972 is the latest Act by which 1 State </w:t>
      </w:r>
      <w:r w:rsidR="00787FE8" w:rsidRPr="0060702E">
        <w:rPr>
          <w:rFonts w:cs="Arial"/>
          <w:sz w:val="18"/>
        </w:rPr>
        <w:t>wa</w:t>
      </w:r>
      <w:r w:rsidRPr="0060702E">
        <w:rPr>
          <w:rFonts w:cs="Arial"/>
          <w:sz w:val="18"/>
        </w:rPr>
        <w:t>s bound.</w:t>
      </w:r>
    </w:p>
    <w:p w:rsidR="00515214" w:rsidRPr="0060702E" w:rsidRDefault="00515214" w:rsidP="0060702E">
      <w:pPr>
        <w:spacing w:after="60"/>
        <w:ind w:left="567" w:hanging="283"/>
        <w:rPr>
          <w:rFonts w:cs="Arial"/>
          <w:sz w:val="18"/>
        </w:rPr>
      </w:pPr>
      <w:r w:rsidRPr="0060702E">
        <w:rPr>
          <w:rFonts w:cs="Arial"/>
          <w:sz w:val="18"/>
          <w:vertAlign w:val="superscript"/>
        </w:rPr>
        <w:t>2</w:t>
      </w:r>
      <w:r w:rsidRPr="0060702E">
        <w:rPr>
          <w:rFonts w:cs="Arial"/>
          <w:sz w:val="18"/>
        </w:rPr>
        <w:tab/>
        <w:t xml:space="preserve">1978 Act is the latest Act by which 19 States </w:t>
      </w:r>
      <w:r w:rsidR="00787FE8" w:rsidRPr="0060702E">
        <w:rPr>
          <w:rFonts w:cs="Arial"/>
          <w:sz w:val="18"/>
        </w:rPr>
        <w:t>we</w:t>
      </w:r>
      <w:r w:rsidRPr="0060702E">
        <w:rPr>
          <w:rFonts w:cs="Arial"/>
          <w:sz w:val="18"/>
        </w:rPr>
        <w:t>re bound.</w:t>
      </w:r>
    </w:p>
    <w:p w:rsidR="00515214" w:rsidRPr="0060702E" w:rsidRDefault="00515214" w:rsidP="0060702E">
      <w:pPr>
        <w:spacing w:after="60"/>
        <w:ind w:left="567" w:hanging="283"/>
        <w:rPr>
          <w:rFonts w:cs="Arial"/>
          <w:sz w:val="18"/>
        </w:rPr>
      </w:pPr>
      <w:r w:rsidRPr="0060702E">
        <w:rPr>
          <w:rFonts w:cs="Arial"/>
          <w:sz w:val="18"/>
          <w:vertAlign w:val="superscript"/>
        </w:rPr>
        <w:t>3</w:t>
      </w:r>
      <w:r w:rsidRPr="0060702E">
        <w:rPr>
          <w:rFonts w:cs="Arial"/>
          <w:sz w:val="18"/>
        </w:rPr>
        <w:tab/>
        <w:t xml:space="preserve">1991 Act is the latest Act by which 50 States and 1 organization </w:t>
      </w:r>
      <w:r w:rsidR="00787FE8" w:rsidRPr="0060702E">
        <w:rPr>
          <w:rFonts w:cs="Arial"/>
          <w:sz w:val="18"/>
        </w:rPr>
        <w:t>we</w:t>
      </w:r>
      <w:r w:rsidRPr="0060702E">
        <w:rPr>
          <w:rFonts w:cs="Arial"/>
          <w:sz w:val="18"/>
        </w:rPr>
        <w:t>re bound.</w:t>
      </w:r>
    </w:p>
    <w:p w:rsidR="00515214" w:rsidRPr="0060702E" w:rsidRDefault="00515214" w:rsidP="0060702E">
      <w:pPr>
        <w:spacing w:after="60"/>
        <w:ind w:left="567" w:hanging="283"/>
        <w:rPr>
          <w:rFonts w:cs="Arial"/>
          <w:sz w:val="18"/>
        </w:rPr>
      </w:pPr>
      <w:r w:rsidRPr="0060702E">
        <w:rPr>
          <w:rFonts w:cs="Arial"/>
          <w:sz w:val="18"/>
          <w:vertAlign w:val="superscript"/>
        </w:rPr>
        <w:t>4</w:t>
      </w:r>
      <w:r w:rsidRPr="0060702E">
        <w:rPr>
          <w:rFonts w:cs="Arial"/>
          <w:sz w:val="18"/>
        </w:rPr>
        <w:tab/>
        <w:t>Operates a (supranational) Community plant variety rights system which covers the territory of its 28 member States.</w:t>
      </w:r>
    </w:p>
    <w:p w:rsidR="00515214" w:rsidRPr="0060702E" w:rsidRDefault="00515214" w:rsidP="00515214">
      <w:pPr>
        <w:pStyle w:val="BodyText3"/>
        <w:tabs>
          <w:tab w:val="left" w:pos="284"/>
        </w:tabs>
        <w:spacing w:after="0"/>
        <w:jc w:val="both"/>
        <w:rPr>
          <w:rFonts w:ascii="Arial" w:hAnsi="Arial" w:cs="Arial"/>
          <w:sz w:val="20"/>
          <w:szCs w:val="20"/>
        </w:rPr>
      </w:pPr>
    </w:p>
    <w:p w:rsidR="00515214" w:rsidRPr="0060702E" w:rsidRDefault="00515214" w:rsidP="00515214">
      <w:pPr>
        <w:pStyle w:val="BodyText3"/>
        <w:tabs>
          <w:tab w:val="left" w:pos="284"/>
        </w:tabs>
        <w:spacing w:after="0"/>
        <w:jc w:val="both"/>
        <w:rPr>
          <w:rFonts w:ascii="Arial" w:hAnsi="Arial" w:cs="Arial"/>
          <w:sz w:val="20"/>
          <w:szCs w:val="20"/>
        </w:rPr>
      </w:pPr>
    </w:p>
    <w:p w:rsidR="00515214" w:rsidRPr="0060702E" w:rsidRDefault="00515214" w:rsidP="00515214">
      <w:pPr>
        <w:tabs>
          <w:tab w:val="left" w:pos="0"/>
        </w:tabs>
        <w:jc w:val="center"/>
        <w:rPr>
          <w:rFonts w:cs="Arial"/>
          <w:b/>
          <w:spacing w:val="-2"/>
          <w:sz w:val="18"/>
        </w:rPr>
      </w:pPr>
      <w:r w:rsidRPr="0060702E">
        <w:rPr>
          <w:rFonts w:cs="Arial"/>
          <w:b/>
          <w:spacing w:val="-2"/>
          <w:sz w:val="18"/>
        </w:rPr>
        <w:t>States and intergovernmental organizations which ha</w:t>
      </w:r>
      <w:r w:rsidR="00787FE8" w:rsidRPr="0060702E">
        <w:rPr>
          <w:rFonts w:cs="Arial"/>
          <w:b/>
          <w:spacing w:val="-2"/>
          <w:sz w:val="18"/>
        </w:rPr>
        <w:t>d</w:t>
      </w:r>
      <w:r w:rsidRPr="0060702E">
        <w:rPr>
          <w:rFonts w:cs="Arial"/>
          <w:b/>
          <w:spacing w:val="-2"/>
          <w:sz w:val="18"/>
        </w:rPr>
        <w:t xml:space="preserve"> initiated the procedure</w:t>
      </w:r>
      <w:r w:rsidRPr="0060702E">
        <w:rPr>
          <w:rFonts w:cs="Arial"/>
          <w:b/>
          <w:spacing w:val="-2"/>
          <w:sz w:val="18"/>
        </w:rPr>
        <w:br/>
        <w:t>for acceding to the UPOV Convention</w:t>
      </w:r>
    </w:p>
    <w:p w:rsidR="00515214" w:rsidRPr="0060702E" w:rsidRDefault="00515214" w:rsidP="00515214">
      <w:pPr>
        <w:tabs>
          <w:tab w:val="left" w:pos="284"/>
        </w:tabs>
        <w:ind w:left="284"/>
        <w:rPr>
          <w:rFonts w:cs="Arial"/>
          <w:sz w:val="18"/>
        </w:rPr>
      </w:pPr>
    </w:p>
    <w:p w:rsidR="00515214" w:rsidRPr="0060702E" w:rsidRDefault="00515214" w:rsidP="00515214">
      <w:pPr>
        <w:pStyle w:val="BodyText3"/>
        <w:tabs>
          <w:tab w:val="left" w:pos="284"/>
        </w:tabs>
        <w:spacing w:after="0"/>
        <w:jc w:val="both"/>
        <w:rPr>
          <w:rFonts w:ascii="Arial" w:hAnsi="Arial" w:cs="Arial"/>
          <w:sz w:val="18"/>
          <w:szCs w:val="20"/>
        </w:rPr>
      </w:pPr>
      <w:r w:rsidRPr="0060702E">
        <w:rPr>
          <w:rFonts w:ascii="Arial" w:hAnsi="Arial" w:cs="Arial"/>
          <w:sz w:val="18"/>
          <w:szCs w:val="20"/>
        </w:rPr>
        <w:t xml:space="preserve">Armenia, Bosnia and Herzegovina, Egypt, Ghana, Guatemala, Honduras, India, Kazakhstan, Malaysia, Mauritius, Montenegro, Philippines, Tajikistan, United Republic of Tanzania, Venezuela (Bolivarian Republic of), Zimbabwe, as well as the African Intellectual Property Organization (OAPI). </w:t>
      </w:r>
    </w:p>
    <w:p w:rsidR="00515214" w:rsidRPr="0060702E" w:rsidRDefault="00515214" w:rsidP="00515214">
      <w:pPr>
        <w:pStyle w:val="BodyText3"/>
        <w:tabs>
          <w:tab w:val="left" w:pos="284"/>
        </w:tabs>
        <w:spacing w:after="0"/>
        <w:jc w:val="both"/>
        <w:rPr>
          <w:rFonts w:ascii="Arial" w:hAnsi="Arial" w:cs="Arial"/>
          <w:sz w:val="18"/>
          <w:szCs w:val="20"/>
        </w:rPr>
      </w:pPr>
    </w:p>
    <w:p w:rsidR="00515214" w:rsidRPr="0060702E" w:rsidRDefault="00515214" w:rsidP="00515214">
      <w:pPr>
        <w:pStyle w:val="BodyText3"/>
        <w:tabs>
          <w:tab w:val="left" w:pos="284"/>
        </w:tabs>
        <w:spacing w:after="0"/>
        <w:jc w:val="both"/>
        <w:rPr>
          <w:rFonts w:ascii="Arial" w:hAnsi="Arial" w:cs="Arial"/>
          <w:sz w:val="18"/>
          <w:szCs w:val="20"/>
        </w:rPr>
      </w:pPr>
    </w:p>
    <w:p w:rsidR="00515214" w:rsidRPr="0060702E" w:rsidRDefault="00515214" w:rsidP="00515214">
      <w:pPr>
        <w:jc w:val="center"/>
        <w:rPr>
          <w:rFonts w:cs="Arial"/>
          <w:b/>
          <w:sz w:val="18"/>
        </w:rPr>
      </w:pPr>
      <w:r w:rsidRPr="0060702E">
        <w:rPr>
          <w:rFonts w:cs="Arial"/>
          <w:b/>
          <w:sz w:val="18"/>
        </w:rPr>
        <w:t>States and intergovernmental organizations which ha</w:t>
      </w:r>
      <w:r w:rsidR="00787FE8" w:rsidRPr="0060702E">
        <w:rPr>
          <w:rFonts w:cs="Arial"/>
          <w:b/>
          <w:sz w:val="18"/>
        </w:rPr>
        <w:t>d</w:t>
      </w:r>
      <w:r w:rsidRPr="0060702E">
        <w:rPr>
          <w:rFonts w:cs="Arial"/>
          <w:b/>
          <w:sz w:val="18"/>
        </w:rPr>
        <w:t xml:space="preserve"> been in contact with the Office of the Union </w:t>
      </w:r>
      <w:r w:rsidRPr="0060702E">
        <w:rPr>
          <w:rFonts w:cs="Arial"/>
          <w:b/>
          <w:sz w:val="18"/>
        </w:rPr>
        <w:br/>
        <w:t>for assistance in the development of laws based on the UPOV Convention</w:t>
      </w:r>
    </w:p>
    <w:p w:rsidR="00515214" w:rsidRPr="0060702E" w:rsidRDefault="00515214" w:rsidP="00515214">
      <w:pPr>
        <w:jc w:val="center"/>
        <w:rPr>
          <w:rFonts w:cs="Arial"/>
          <w:b/>
          <w:sz w:val="18"/>
        </w:rPr>
      </w:pPr>
    </w:p>
    <w:p w:rsidR="00515214" w:rsidRPr="0060702E" w:rsidRDefault="00515214" w:rsidP="00515214">
      <w:pPr>
        <w:rPr>
          <w:rFonts w:cs="Arial"/>
          <w:sz w:val="18"/>
        </w:rPr>
      </w:pPr>
      <w:r w:rsidRPr="0060702E">
        <w:rPr>
          <w:rFonts w:cs="Arial"/>
          <w:sz w:val="18"/>
        </w:rPr>
        <w:t xml:space="preserve">Algeria, Bahrain, Barbados, Brunei Darussalam, Cambodia, Cuba, Cyprus, El Salvador, Indonesia, Iran (Islamic Republic of), Iraq, Lao People’s Democratic Republic, Libya, Mozambique, Myanmar, Namibia, Pakistan, Saudi Arabia, Sudan, Thailand, Tonga, Turkmenistan, United Arab Emirates, Zambia, as well as the African Regional Intellectual Property Organization (ARIPO) and the Southern African Development Community (SADC). </w:t>
      </w:r>
    </w:p>
    <w:p w:rsidR="00983ADC" w:rsidRPr="0060702E" w:rsidRDefault="00983ADC" w:rsidP="002D6F42">
      <w:pPr>
        <w:rPr>
          <w:rFonts w:cs="Arial"/>
          <w:sz w:val="18"/>
        </w:rPr>
      </w:pPr>
    </w:p>
    <w:p w:rsidR="0000674F" w:rsidRPr="0060702E" w:rsidRDefault="002D6F42" w:rsidP="00515214">
      <w:pPr>
        <w:pStyle w:val="Heading3"/>
        <w:ind w:left="0" w:firstLine="0"/>
      </w:pPr>
      <w:r w:rsidRPr="0060702E">
        <w:br w:type="page"/>
      </w:r>
      <w:bookmarkStart w:id="8" w:name="_Toc398738921"/>
      <w:bookmarkStart w:id="9" w:name="_Toc336331192"/>
      <w:bookmarkStart w:id="10" w:name="_Toc336339182"/>
      <w:r w:rsidR="0000674F" w:rsidRPr="0060702E">
        <w:t>2.</w:t>
      </w:r>
      <w:r w:rsidR="0000674F" w:rsidRPr="0060702E">
        <w:tab/>
        <w:t>PROGRAM PERFORMANCE</w:t>
      </w:r>
      <w:bookmarkEnd w:id="8"/>
    </w:p>
    <w:p w:rsidR="0000674F" w:rsidRPr="0060702E" w:rsidRDefault="0000674F" w:rsidP="0000674F"/>
    <w:p w:rsidR="002D6F42" w:rsidRPr="0060702E" w:rsidRDefault="0000674F" w:rsidP="00CE77F1">
      <w:pPr>
        <w:pStyle w:val="Heading4"/>
      </w:pPr>
      <w:bookmarkStart w:id="11" w:name="_Toc398738922"/>
      <w:r w:rsidRPr="0060702E">
        <w:t>2.1</w:t>
      </w:r>
      <w:r w:rsidRPr="0060702E">
        <w:tab/>
      </w:r>
      <w:r w:rsidR="002D6F42" w:rsidRPr="0060702E">
        <w:t>Sub-program UV.1:  Overall Policy on Plant Variety Protection</w:t>
      </w:r>
      <w:bookmarkEnd w:id="11"/>
    </w:p>
    <w:p w:rsidR="002D6F42" w:rsidRPr="0060702E" w:rsidRDefault="002D6F42" w:rsidP="002D6F42">
      <w:pPr>
        <w:rPr>
          <w:sz w:val="18"/>
          <w:szCs w:val="18"/>
        </w:rPr>
      </w:pPr>
    </w:p>
    <w:p w:rsidR="002D6F42" w:rsidRPr="0060702E" w:rsidRDefault="002D6F42" w:rsidP="002D6F42">
      <w:pPr>
        <w:rPr>
          <w:sz w:val="18"/>
          <w:szCs w:val="18"/>
        </w:rPr>
      </w:pPr>
      <w:r w:rsidRPr="0060702E">
        <w:rPr>
          <w:sz w:val="18"/>
          <w:szCs w:val="18"/>
        </w:rPr>
        <w:t>The sessions of the Council and the Consultative Committee provided the basis for policy making, management and coordination of the activities within UPOV’s overall program.</w:t>
      </w:r>
    </w:p>
    <w:p w:rsidR="002D6F42" w:rsidRPr="00C67712" w:rsidRDefault="002D6F42" w:rsidP="002D6F42">
      <w:pPr>
        <w:rPr>
          <w:sz w:val="16"/>
          <w:szCs w:val="18"/>
        </w:rPr>
      </w:pPr>
    </w:p>
    <w:p w:rsidR="00C67712" w:rsidRPr="00C67712" w:rsidRDefault="00C67712" w:rsidP="002D6F42">
      <w:pPr>
        <w:rPr>
          <w:sz w:val="16"/>
          <w:szCs w:val="18"/>
        </w:rPr>
      </w:pPr>
    </w:p>
    <w:tbl>
      <w:tblPr>
        <w:tblW w:w="9889" w:type="dxa"/>
        <w:tblLayout w:type="fixed"/>
        <w:tblLook w:val="0000" w:firstRow="0" w:lastRow="0" w:firstColumn="0" w:lastColumn="0" w:noHBand="0" w:noVBand="0"/>
      </w:tblPr>
      <w:tblGrid>
        <w:gridCol w:w="1951"/>
        <w:gridCol w:w="7938"/>
      </w:tblGrid>
      <w:tr w:rsidR="002D6F42" w:rsidRPr="0060702E" w:rsidTr="001935AE">
        <w:tc>
          <w:tcPr>
            <w:tcW w:w="1951" w:type="dxa"/>
          </w:tcPr>
          <w:p w:rsidR="002D6F42" w:rsidRPr="0060702E" w:rsidRDefault="002D6F42" w:rsidP="00787FE8">
            <w:pPr>
              <w:pStyle w:val="Heading5"/>
            </w:pPr>
            <w:bookmarkStart w:id="12" w:name="_Toc398738923"/>
            <w:r w:rsidRPr="0060702E">
              <w:t>Objectives</w:t>
            </w:r>
            <w:bookmarkEnd w:id="12"/>
          </w:p>
        </w:tc>
        <w:tc>
          <w:tcPr>
            <w:tcW w:w="7938" w:type="dxa"/>
            <w:vAlign w:val="center"/>
          </w:tcPr>
          <w:p w:rsidR="002D6F42" w:rsidRPr="0060702E" w:rsidRDefault="002D6F42" w:rsidP="00611DF3">
            <w:pPr>
              <w:keepNext/>
              <w:keepLines/>
              <w:widowControl w:val="0"/>
              <w:numPr>
                <w:ilvl w:val="0"/>
                <w:numId w:val="1"/>
              </w:numPr>
              <w:jc w:val="left"/>
              <w:rPr>
                <w:b/>
                <w:i/>
                <w:sz w:val="18"/>
                <w:szCs w:val="18"/>
              </w:rPr>
            </w:pPr>
            <w:r w:rsidRPr="0060702E">
              <w:rPr>
                <w:sz w:val="18"/>
                <w:szCs w:val="18"/>
              </w:rPr>
              <w:t>Policy direction and executive management.</w:t>
            </w:r>
          </w:p>
          <w:p w:rsidR="002D6F42" w:rsidRPr="0060702E" w:rsidRDefault="002D6F42" w:rsidP="00611DF3">
            <w:pPr>
              <w:keepNext/>
              <w:keepLines/>
              <w:widowControl w:val="0"/>
              <w:numPr>
                <w:ilvl w:val="0"/>
                <w:numId w:val="1"/>
              </w:numPr>
              <w:jc w:val="left"/>
              <w:rPr>
                <w:b/>
                <w:sz w:val="18"/>
                <w:szCs w:val="18"/>
              </w:rPr>
            </w:pPr>
            <w:r w:rsidRPr="0060702E">
              <w:rPr>
                <w:sz w:val="18"/>
                <w:szCs w:val="18"/>
              </w:rPr>
              <w:t>Planning, implementation and evaluation of program and budget.</w:t>
            </w:r>
          </w:p>
        </w:tc>
      </w:tr>
    </w:tbl>
    <w:p w:rsidR="000D5EF7" w:rsidRPr="00C67712" w:rsidRDefault="000D5EF7" w:rsidP="002D6F42">
      <w:pPr>
        <w:rPr>
          <w:sz w:val="16"/>
          <w:szCs w:val="18"/>
        </w:rPr>
      </w:pPr>
    </w:p>
    <w:p w:rsidR="00C67712" w:rsidRPr="00C67712" w:rsidRDefault="00C67712" w:rsidP="002D6F42">
      <w:pPr>
        <w:rPr>
          <w:sz w:val="16"/>
          <w:szCs w:val="18"/>
        </w:rPr>
      </w:pPr>
    </w:p>
    <w:p w:rsidR="000D5EF7" w:rsidRPr="0060702E" w:rsidRDefault="000D5EF7" w:rsidP="0060702E">
      <w:pPr>
        <w:pStyle w:val="Heading5"/>
      </w:pPr>
      <w:bookmarkStart w:id="13" w:name="_Toc398738924"/>
      <w:r w:rsidRPr="0060702E">
        <w:t>Results Achieved:  Selected Performance Indicators</w:t>
      </w:r>
      <w:bookmarkEnd w:id="13"/>
    </w:p>
    <w:p w:rsidR="000D5EF7" w:rsidRPr="0060702E" w:rsidRDefault="000D5EF7" w:rsidP="002D6F42">
      <w:pPr>
        <w:rPr>
          <w:sz w:val="18"/>
          <w:szCs w:val="18"/>
        </w:rPr>
      </w:pPr>
    </w:p>
    <w:p w:rsidR="000D5EF7" w:rsidRPr="0060702E" w:rsidRDefault="000D5EF7" w:rsidP="000D5EF7">
      <w:pPr>
        <w:pStyle w:val="Heading6"/>
      </w:pPr>
      <w:bookmarkStart w:id="14" w:name="_Toc398738925"/>
      <w:r w:rsidRPr="0060702E">
        <w:t>1.  ORGANIZATION OF COUNCIL AND CONSULTATIVE COMMITTEE SESSIONS</w:t>
      </w:r>
      <w:bookmarkEnd w:id="14"/>
    </w:p>
    <w:p w:rsidR="000D5EF7" w:rsidRPr="0060702E" w:rsidRDefault="000D5EF7" w:rsidP="002D6F42">
      <w:pPr>
        <w:rPr>
          <w:sz w:val="18"/>
          <w:szCs w:val="18"/>
        </w:rPr>
      </w:pPr>
    </w:p>
    <w:p w:rsidR="000D5EF7" w:rsidRPr="0060702E" w:rsidRDefault="000D5EF7" w:rsidP="000D5EF7">
      <w:pPr>
        <w:pStyle w:val="Heading8"/>
      </w:pPr>
      <w:bookmarkStart w:id="15" w:name="_Toc398738926"/>
      <w:r w:rsidRPr="0060702E">
        <w:t>(a)  Participation in the sessions of the Council and the Consultative Committee</w:t>
      </w:r>
      <w:bookmarkEnd w:id="15"/>
    </w:p>
    <w:p w:rsidR="000D5EF7" w:rsidRPr="0060702E" w:rsidRDefault="000D5EF7" w:rsidP="000D5EF7">
      <w:pPr>
        <w:rPr>
          <w:sz w:val="18"/>
        </w:rPr>
      </w:pPr>
      <w:r w:rsidRPr="0060702E">
        <w:rPr>
          <w:sz w:val="18"/>
        </w:rPr>
        <w:t>(</w:t>
      </w:r>
      <w:proofErr w:type="gramStart"/>
      <w:r w:rsidRPr="0060702E">
        <w:rPr>
          <w:sz w:val="18"/>
        </w:rPr>
        <w:t>see</w:t>
      </w:r>
      <w:proofErr w:type="gramEnd"/>
      <w:r w:rsidRPr="0060702E">
        <w:rPr>
          <w:sz w:val="18"/>
        </w:rPr>
        <w:t xml:space="preserve"> Figures 1 to 3)</w:t>
      </w:r>
    </w:p>
    <w:p w:rsidR="00376B9E" w:rsidRPr="0060702E" w:rsidRDefault="00376B9E" w:rsidP="000D5EF7"/>
    <w:tbl>
      <w:tblPr>
        <w:tblW w:w="9889" w:type="dxa"/>
        <w:tblLayout w:type="fixed"/>
        <w:tblLook w:val="0000" w:firstRow="0" w:lastRow="0" w:firstColumn="0" w:lastColumn="0" w:noHBand="0" w:noVBand="0"/>
      </w:tblPr>
      <w:tblGrid>
        <w:gridCol w:w="4944"/>
        <w:gridCol w:w="4945"/>
      </w:tblGrid>
      <w:tr w:rsidR="000D5EF7" w:rsidRPr="0060702E" w:rsidTr="008F5543">
        <w:tc>
          <w:tcPr>
            <w:tcW w:w="4944" w:type="dxa"/>
          </w:tcPr>
          <w:p w:rsidR="000D5EF7" w:rsidRPr="0060702E" w:rsidRDefault="000D5EF7" w:rsidP="000918A6">
            <w:pPr>
              <w:pStyle w:val="Heading9"/>
              <w:spacing w:after="120"/>
            </w:pPr>
            <w:bookmarkStart w:id="16" w:name="_Toc395864968"/>
            <w:bookmarkStart w:id="17" w:name="_Toc398738927"/>
            <w:proofErr w:type="gramStart"/>
            <w:r w:rsidRPr="0060702E">
              <w:t>Figure 1</w:t>
            </w:r>
            <w:r w:rsidR="00993774" w:rsidRPr="0060702E">
              <w:t>.</w:t>
            </w:r>
            <w:proofErr w:type="gramEnd"/>
            <w:r w:rsidRPr="0060702E">
              <w:t xml:space="preserve">  Participation</w:t>
            </w:r>
            <w:r w:rsidRPr="0060702E">
              <w:rPr>
                <w:rStyle w:val="FootnoteReference"/>
              </w:rPr>
              <w:footnoteReference w:customMarkFollows="1" w:id="2"/>
              <w:t>*</w:t>
            </w:r>
            <w:r w:rsidRPr="0060702E">
              <w:t xml:space="preserve"> in Ordinary Sessions of the Council (October sessions)</w:t>
            </w:r>
            <w:bookmarkEnd w:id="16"/>
            <w:bookmarkEnd w:id="17"/>
          </w:p>
          <w:p w:rsidR="000D5EF7" w:rsidRPr="0060702E" w:rsidRDefault="000D5EF7" w:rsidP="008F5543">
            <w:pPr>
              <w:keepNext/>
              <w:keepLines/>
              <w:widowControl w:val="0"/>
              <w:jc w:val="left"/>
              <w:rPr>
                <w:sz w:val="18"/>
                <w:szCs w:val="18"/>
              </w:rPr>
            </w:pPr>
            <w:r w:rsidRPr="0060702E">
              <w:rPr>
                <w:noProof/>
              </w:rPr>
              <w:drawing>
                <wp:inline distT="0" distB="0" distL="0" distR="0" wp14:anchorId="1C33D6C0" wp14:editId="0BC23967">
                  <wp:extent cx="2914650" cy="2286000"/>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D5EF7" w:rsidRPr="0060702E" w:rsidRDefault="000D5EF7" w:rsidP="008F5543">
            <w:pPr>
              <w:keepNext/>
              <w:keepLines/>
              <w:widowControl w:val="0"/>
              <w:jc w:val="left"/>
              <w:rPr>
                <w:sz w:val="18"/>
                <w:szCs w:val="18"/>
              </w:rPr>
            </w:pPr>
          </w:p>
        </w:tc>
        <w:tc>
          <w:tcPr>
            <w:tcW w:w="4945" w:type="dxa"/>
          </w:tcPr>
          <w:p w:rsidR="000D5EF7" w:rsidRPr="0060702E" w:rsidRDefault="000D5EF7" w:rsidP="000918A6">
            <w:pPr>
              <w:pStyle w:val="Heading9"/>
              <w:spacing w:after="120"/>
              <w:rPr>
                <w:szCs w:val="18"/>
              </w:rPr>
            </w:pPr>
            <w:bookmarkStart w:id="18" w:name="_Toc395864969"/>
            <w:bookmarkStart w:id="19" w:name="_Toc398738928"/>
            <w:r w:rsidRPr="0060702E">
              <w:rPr>
                <w:noProof/>
              </w:rPr>
              <w:t>Figure 2</w:t>
            </w:r>
            <w:r w:rsidR="00993774" w:rsidRPr="0060702E">
              <w:rPr>
                <w:noProof/>
              </w:rPr>
              <w:t>.</w:t>
            </w:r>
            <w:r w:rsidRPr="0060702E">
              <w:rPr>
                <w:noProof/>
              </w:rPr>
              <w:t xml:space="preserve">  Participation</w:t>
            </w:r>
            <w:r w:rsidRPr="0060702E">
              <w:rPr>
                <w:noProof/>
                <w:vertAlign w:val="superscript"/>
              </w:rPr>
              <w:t>*</w:t>
            </w:r>
            <w:r w:rsidRPr="0060702E">
              <w:rPr>
                <w:noProof/>
              </w:rPr>
              <w:t xml:space="preserve"> in Extraordinary Sessions of the Council (April sessions)</w:t>
            </w:r>
            <w:bookmarkEnd w:id="18"/>
            <w:bookmarkEnd w:id="19"/>
          </w:p>
          <w:p w:rsidR="000D5EF7" w:rsidRPr="0060702E" w:rsidRDefault="000D5EF7" w:rsidP="008F5543">
            <w:pPr>
              <w:keepNext/>
              <w:keepLines/>
              <w:widowControl w:val="0"/>
              <w:jc w:val="left"/>
              <w:rPr>
                <w:sz w:val="18"/>
                <w:szCs w:val="18"/>
              </w:rPr>
            </w:pPr>
            <w:r w:rsidRPr="0060702E">
              <w:rPr>
                <w:noProof/>
              </w:rPr>
              <w:drawing>
                <wp:inline distT="0" distB="0" distL="0" distR="0" wp14:anchorId="3520D9FE" wp14:editId="4857BA3E">
                  <wp:extent cx="2876550" cy="2286000"/>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0D5EF7" w:rsidRPr="0060702E" w:rsidTr="008F5543">
        <w:tc>
          <w:tcPr>
            <w:tcW w:w="9889" w:type="dxa"/>
            <w:gridSpan w:val="2"/>
          </w:tcPr>
          <w:tbl>
            <w:tblPr>
              <w:tblW w:w="5773" w:type="dxa"/>
              <w:jc w:val="center"/>
              <w:tblLayout w:type="fixed"/>
              <w:tblLook w:val="0000" w:firstRow="0" w:lastRow="0" w:firstColumn="0" w:lastColumn="0" w:noHBand="0" w:noVBand="0"/>
            </w:tblPr>
            <w:tblGrid>
              <w:gridCol w:w="5773"/>
            </w:tblGrid>
            <w:tr w:rsidR="000D5EF7" w:rsidRPr="0060702E" w:rsidTr="008F5543">
              <w:trPr>
                <w:cantSplit/>
                <w:jc w:val="center"/>
              </w:trPr>
              <w:tc>
                <w:tcPr>
                  <w:tcW w:w="5773" w:type="dxa"/>
                  <w:tcMar>
                    <w:top w:w="57" w:type="dxa"/>
                    <w:left w:w="57" w:type="dxa"/>
                    <w:bottom w:w="57" w:type="dxa"/>
                    <w:right w:w="57" w:type="dxa"/>
                  </w:tcMar>
                </w:tcPr>
                <w:p w:rsidR="000D5EF7" w:rsidRPr="0060702E" w:rsidRDefault="000D5EF7" w:rsidP="008F5543">
                  <w:pPr>
                    <w:pStyle w:val="Heading9"/>
                    <w:spacing w:after="0"/>
                    <w:rPr>
                      <w:noProof/>
                    </w:rPr>
                  </w:pPr>
                  <w:bookmarkStart w:id="20" w:name="_Toc395864970"/>
                  <w:bookmarkStart w:id="21" w:name="_Toc398738929"/>
                  <w:r w:rsidRPr="0060702E">
                    <w:rPr>
                      <w:noProof/>
                    </w:rPr>
                    <w:t>Figure 3.  Participation</w:t>
                  </w:r>
                  <w:r w:rsidRPr="0060702E">
                    <w:rPr>
                      <w:noProof/>
                      <w:vertAlign w:val="superscript"/>
                    </w:rPr>
                    <w:t>*</w:t>
                  </w:r>
                  <w:r w:rsidRPr="0060702E">
                    <w:rPr>
                      <w:noProof/>
                    </w:rPr>
                    <w:t xml:space="preserve"> in Consultative Committee Sessions</w:t>
                  </w:r>
                  <w:bookmarkEnd w:id="20"/>
                  <w:bookmarkEnd w:id="21"/>
                </w:p>
              </w:tc>
            </w:tr>
            <w:tr w:rsidR="000D5EF7" w:rsidRPr="0060702E" w:rsidTr="004F5243">
              <w:trPr>
                <w:cantSplit/>
                <w:jc w:val="center"/>
              </w:trPr>
              <w:tc>
                <w:tcPr>
                  <w:tcW w:w="5773" w:type="dxa"/>
                </w:tcPr>
                <w:p w:rsidR="000D5EF7" w:rsidRPr="0060702E" w:rsidRDefault="004F5243" w:rsidP="008F5543">
                  <w:pPr>
                    <w:jc w:val="center"/>
                    <w:rPr>
                      <w:noProof/>
                    </w:rPr>
                  </w:pPr>
                  <w:r w:rsidRPr="0060702E">
                    <w:rPr>
                      <w:noProof/>
                    </w:rPr>
                    <w:drawing>
                      <wp:inline distT="0" distB="0" distL="0" distR="0" wp14:anchorId="6890B59C" wp14:editId="129420C1">
                        <wp:extent cx="3352800" cy="28575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rsidR="000D5EF7" w:rsidRPr="0060702E" w:rsidRDefault="000D5EF7" w:rsidP="008F5543"/>
        </w:tc>
      </w:tr>
    </w:tbl>
    <w:p w:rsidR="000D5EF7" w:rsidRPr="0060702E" w:rsidRDefault="000D5EF7" w:rsidP="002D6F42">
      <w:pPr>
        <w:rPr>
          <w:sz w:val="18"/>
          <w:szCs w:val="18"/>
        </w:rPr>
      </w:pPr>
    </w:p>
    <w:p w:rsidR="00D3715A" w:rsidRPr="0060702E" w:rsidRDefault="00D3715A" w:rsidP="00D3715A">
      <w:pPr>
        <w:pStyle w:val="Heading6"/>
      </w:pPr>
      <w:bookmarkStart w:id="22" w:name="_Toc398738930"/>
      <w:r w:rsidRPr="0060702E">
        <w:t>2.  Coordination, monitoring and performance assessment of Program and Budget for the 2012-2013 Biennium</w:t>
      </w:r>
      <w:bookmarkEnd w:id="22"/>
    </w:p>
    <w:p w:rsidR="000D5EF7" w:rsidRPr="0060702E" w:rsidRDefault="000D5EF7" w:rsidP="002D6F42">
      <w:pPr>
        <w:rPr>
          <w:sz w:val="18"/>
          <w:szCs w:val="18"/>
        </w:rPr>
      </w:pPr>
    </w:p>
    <w:p w:rsidR="00D3715A" w:rsidRPr="0060702E" w:rsidRDefault="00D3715A" w:rsidP="00D3715A">
      <w:pPr>
        <w:pStyle w:val="Heading8"/>
      </w:pPr>
      <w:bookmarkStart w:id="23" w:name="_Toc395864972"/>
      <w:bookmarkStart w:id="24" w:name="_Toc398738931"/>
      <w:r w:rsidRPr="0060702E">
        <w:t>(a)  Delivery of program within budget for the 2012-2013 Biennium</w:t>
      </w:r>
      <w:bookmarkEnd w:id="23"/>
      <w:bookmarkEnd w:id="24"/>
    </w:p>
    <w:p w:rsidR="00D3715A" w:rsidRPr="0060702E" w:rsidRDefault="00D3715A" w:rsidP="00D3715A">
      <w:pPr>
        <w:widowControl w:val="0"/>
        <w:rPr>
          <w:sz w:val="18"/>
          <w:szCs w:val="18"/>
        </w:rPr>
      </w:pPr>
      <w:r w:rsidRPr="0060702E">
        <w:rPr>
          <w:sz w:val="18"/>
          <w:szCs w:val="18"/>
        </w:rPr>
        <w:t>See Section 3 “Financial Performance”</w:t>
      </w:r>
    </w:p>
    <w:p w:rsidR="000D5EF7" w:rsidRPr="0060702E" w:rsidRDefault="000D5EF7" w:rsidP="002D6F42">
      <w:pPr>
        <w:rPr>
          <w:sz w:val="18"/>
          <w:szCs w:val="18"/>
        </w:rPr>
      </w:pPr>
    </w:p>
    <w:p w:rsidR="000D5EF7" w:rsidRPr="0060702E" w:rsidRDefault="000D5EF7" w:rsidP="002D6F42">
      <w:pPr>
        <w:rPr>
          <w:sz w:val="18"/>
          <w:szCs w:val="18"/>
        </w:rPr>
      </w:pPr>
    </w:p>
    <w:p w:rsidR="00D3715A" w:rsidRPr="0060702E" w:rsidRDefault="00D3715A" w:rsidP="00D3715A">
      <w:pPr>
        <w:pStyle w:val="Heading6"/>
      </w:pPr>
      <w:bookmarkStart w:id="25" w:name="_Toc395864973"/>
      <w:bookmarkStart w:id="26" w:name="_Toc398738932"/>
      <w:r w:rsidRPr="0060702E">
        <w:t>3.  Preparation and adoption of the Program and Budget for the 2014</w:t>
      </w:r>
      <w:r w:rsidRPr="0060702E">
        <w:noBreakHyphen/>
        <w:t>2015 Biennium</w:t>
      </w:r>
      <w:bookmarkEnd w:id="25"/>
      <w:bookmarkEnd w:id="26"/>
    </w:p>
    <w:p w:rsidR="000D5EF7" w:rsidRPr="0060702E" w:rsidRDefault="000D5EF7" w:rsidP="002D6F42">
      <w:pPr>
        <w:rPr>
          <w:sz w:val="18"/>
          <w:szCs w:val="18"/>
        </w:rPr>
      </w:pPr>
    </w:p>
    <w:p w:rsidR="00D3715A" w:rsidRPr="0060702E" w:rsidRDefault="00D3715A" w:rsidP="00D3715A">
      <w:pPr>
        <w:pStyle w:val="Heading8"/>
      </w:pPr>
      <w:bookmarkStart w:id="27" w:name="_Toc395864974"/>
      <w:bookmarkStart w:id="28" w:name="_Toc398738933"/>
      <w:r w:rsidRPr="0060702E">
        <w:t>(a)  Preparation and adoption of the Program and Budget for the 2014-2015 Biennium in accordance with the “Financial Regulations and Rules of UPOV”</w:t>
      </w:r>
      <w:bookmarkEnd w:id="27"/>
      <w:bookmarkEnd w:id="28"/>
    </w:p>
    <w:p w:rsidR="00D3715A" w:rsidRPr="0060702E" w:rsidRDefault="00D3715A" w:rsidP="00D3715A">
      <w:pPr>
        <w:widowControl w:val="0"/>
      </w:pPr>
      <w:r w:rsidRPr="0060702E">
        <w:rPr>
          <w:sz w:val="18"/>
        </w:rPr>
        <w:t xml:space="preserve">The Program and Budget for the 2014-2015 Biennium was adopted by the Council at its forty seventh ordinary </w:t>
      </w:r>
      <w:proofErr w:type="gramStart"/>
      <w:r w:rsidRPr="0060702E">
        <w:rPr>
          <w:sz w:val="18"/>
        </w:rPr>
        <w:t>session</w:t>
      </w:r>
      <w:proofErr w:type="gramEnd"/>
      <w:r w:rsidRPr="0060702E">
        <w:rPr>
          <w:sz w:val="18"/>
        </w:rPr>
        <w:t>, on October 24, 2013 (see document C/47/4 Rev.)</w:t>
      </w:r>
      <w:r w:rsidR="00D805DF" w:rsidRPr="0060702E">
        <w:t>.</w:t>
      </w:r>
    </w:p>
    <w:p w:rsidR="00D3715A" w:rsidRDefault="00D3715A" w:rsidP="002D6F42">
      <w:pPr>
        <w:rPr>
          <w:sz w:val="18"/>
          <w:szCs w:val="18"/>
        </w:rPr>
      </w:pPr>
    </w:p>
    <w:p w:rsidR="00EC03AE" w:rsidRPr="0060702E" w:rsidRDefault="00EC03AE" w:rsidP="002D6F42">
      <w:pPr>
        <w:rPr>
          <w:sz w:val="18"/>
          <w:szCs w:val="18"/>
        </w:rPr>
      </w:pPr>
    </w:p>
    <w:p w:rsidR="00D3715A" w:rsidRPr="0060702E" w:rsidRDefault="00D3715A" w:rsidP="00D3715A">
      <w:pPr>
        <w:pStyle w:val="Heading6"/>
      </w:pPr>
      <w:bookmarkStart w:id="29" w:name="_Toc395864975"/>
      <w:bookmarkStart w:id="30" w:name="_Toc398738934"/>
      <w:r w:rsidRPr="0060702E">
        <w:t>4.  Council policy</w:t>
      </w:r>
      <w:bookmarkEnd w:id="29"/>
      <w:bookmarkEnd w:id="30"/>
    </w:p>
    <w:p w:rsidR="00D3715A" w:rsidRPr="0060702E" w:rsidRDefault="00D3715A" w:rsidP="002D6F42">
      <w:pPr>
        <w:rPr>
          <w:sz w:val="18"/>
          <w:szCs w:val="18"/>
        </w:rPr>
      </w:pPr>
    </w:p>
    <w:p w:rsidR="00D3715A" w:rsidRPr="0060702E" w:rsidRDefault="00D3715A" w:rsidP="00D3715A">
      <w:pPr>
        <w:pStyle w:val="Heading8"/>
      </w:pPr>
      <w:bookmarkStart w:id="31" w:name="_Toc395864976"/>
      <w:bookmarkStart w:id="32" w:name="_Toc398738935"/>
      <w:r w:rsidRPr="0060702E">
        <w:t>(a)  Recommendations by the Consultative Committee, and decisions by the Council</w:t>
      </w:r>
      <w:bookmarkEnd w:id="31"/>
      <w:bookmarkEnd w:id="32"/>
    </w:p>
    <w:p w:rsidR="00D3715A" w:rsidRPr="0060702E" w:rsidRDefault="00D3715A" w:rsidP="00D3715A">
      <w:pPr>
        <w:spacing w:after="120"/>
        <w:rPr>
          <w:rFonts w:cs="Arial"/>
          <w:sz w:val="18"/>
          <w:szCs w:val="18"/>
        </w:rPr>
      </w:pPr>
      <w:r w:rsidRPr="0060702E">
        <w:rPr>
          <w:rFonts w:cs="Arial"/>
          <w:sz w:val="18"/>
          <w:szCs w:val="18"/>
        </w:rPr>
        <w:t>The Council took decisions, based on recommendations by the Consultative Committee, concerning the following:</w:t>
      </w:r>
    </w:p>
    <w:p w:rsidR="00D3715A" w:rsidRPr="0060702E" w:rsidRDefault="00D3715A" w:rsidP="00D3715A">
      <w:pPr>
        <w:numPr>
          <w:ilvl w:val="0"/>
          <w:numId w:val="5"/>
        </w:numPr>
        <w:spacing w:after="60"/>
        <w:rPr>
          <w:rFonts w:cs="Arial"/>
          <w:sz w:val="18"/>
          <w:szCs w:val="18"/>
        </w:rPr>
      </w:pPr>
      <w:r w:rsidRPr="0060702E">
        <w:rPr>
          <w:rFonts w:cs="Arial"/>
          <w:sz w:val="18"/>
          <w:szCs w:val="18"/>
        </w:rPr>
        <w:t>examination of the conformity of two draft laws and one law with the provisions of the 1991 Act of the International Convention for the Protection of New Varieties of Plants;</w:t>
      </w:r>
    </w:p>
    <w:p w:rsidR="00D3715A" w:rsidRPr="0060702E" w:rsidRDefault="00D3715A" w:rsidP="00D3715A">
      <w:pPr>
        <w:numPr>
          <w:ilvl w:val="0"/>
          <w:numId w:val="5"/>
        </w:numPr>
        <w:spacing w:after="60"/>
        <w:rPr>
          <w:rFonts w:cs="Arial"/>
          <w:sz w:val="18"/>
          <w:szCs w:val="18"/>
        </w:rPr>
      </w:pPr>
      <w:r w:rsidRPr="0060702E">
        <w:rPr>
          <w:rFonts w:cs="Arial"/>
          <w:sz w:val="18"/>
          <w:szCs w:val="18"/>
        </w:rPr>
        <w:t xml:space="preserve">adoption of information materials (the adoption of information materials by the Council is reported under </w:t>
      </w:r>
      <w:r w:rsidR="00D805DF" w:rsidRPr="0060702E">
        <w:rPr>
          <w:rFonts w:cs="Arial"/>
          <w:sz w:val="18"/>
          <w:szCs w:val="18"/>
        </w:rPr>
        <w:br/>
      </w:r>
      <w:r w:rsidRPr="0060702E">
        <w:rPr>
          <w:rFonts w:cs="Arial"/>
          <w:sz w:val="18"/>
          <w:szCs w:val="18"/>
        </w:rPr>
        <w:t>Sub-Program UV.2);</w:t>
      </w:r>
    </w:p>
    <w:p w:rsidR="00D3715A" w:rsidRPr="0060702E" w:rsidRDefault="00D3715A" w:rsidP="00D3715A">
      <w:pPr>
        <w:numPr>
          <w:ilvl w:val="0"/>
          <w:numId w:val="5"/>
        </w:numPr>
        <w:spacing w:after="60"/>
        <w:rPr>
          <w:rFonts w:cs="Arial"/>
          <w:sz w:val="18"/>
          <w:szCs w:val="18"/>
        </w:rPr>
      </w:pPr>
      <w:r w:rsidRPr="0060702E">
        <w:rPr>
          <w:rFonts w:cs="Arial"/>
          <w:sz w:val="18"/>
          <w:szCs w:val="18"/>
        </w:rPr>
        <w:t>calendars of meetings;</w:t>
      </w:r>
    </w:p>
    <w:p w:rsidR="00D3715A" w:rsidRPr="0060702E" w:rsidRDefault="00D3715A" w:rsidP="00D3715A">
      <w:pPr>
        <w:numPr>
          <w:ilvl w:val="0"/>
          <w:numId w:val="5"/>
        </w:numPr>
        <w:spacing w:after="60"/>
        <w:rPr>
          <w:rFonts w:cs="Arial"/>
          <w:sz w:val="18"/>
          <w:szCs w:val="18"/>
        </w:rPr>
      </w:pPr>
      <w:r w:rsidRPr="0060702E">
        <w:rPr>
          <w:rFonts w:cs="Arial"/>
          <w:sz w:val="18"/>
          <w:szCs w:val="18"/>
        </w:rPr>
        <w:t>press releases;</w:t>
      </w:r>
    </w:p>
    <w:p w:rsidR="00D3715A" w:rsidRPr="0060702E" w:rsidRDefault="00D3715A" w:rsidP="00D3715A">
      <w:pPr>
        <w:numPr>
          <w:ilvl w:val="0"/>
          <w:numId w:val="5"/>
        </w:numPr>
        <w:spacing w:after="60"/>
        <w:rPr>
          <w:rFonts w:cs="Arial"/>
          <w:sz w:val="18"/>
          <w:szCs w:val="18"/>
        </w:rPr>
      </w:pPr>
      <w:r w:rsidRPr="0060702E">
        <w:rPr>
          <w:rFonts w:cs="Arial"/>
          <w:sz w:val="18"/>
          <w:szCs w:val="18"/>
        </w:rPr>
        <w:t>extension of the appointment of the Vice Secretary-General;</w:t>
      </w:r>
    </w:p>
    <w:p w:rsidR="00D3715A" w:rsidRPr="0060702E" w:rsidRDefault="00D3715A" w:rsidP="00D3715A">
      <w:pPr>
        <w:numPr>
          <w:ilvl w:val="0"/>
          <w:numId w:val="5"/>
        </w:numPr>
        <w:spacing w:after="60"/>
        <w:rPr>
          <w:rFonts w:cs="Arial"/>
          <w:sz w:val="18"/>
          <w:szCs w:val="18"/>
        </w:rPr>
      </w:pPr>
      <w:r w:rsidRPr="0060702E">
        <w:rPr>
          <w:rFonts w:cs="Arial"/>
          <w:sz w:val="18"/>
          <w:szCs w:val="18"/>
        </w:rPr>
        <w:t>revision of the rules governing the granting of observer status to States, intergovernmental organizations and international non-governmental organizations in UPOV bodies;</w:t>
      </w:r>
    </w:p>
    <w:p w:rsidR="00D3715A" w:rsidRPr="0060702E" w:rsidRDefault="00D3715A" w:rsidP="00D3715A">
      <w:pPr>
        <w:numPr>
          <w:ilvl w:val="0"/>
          <w:numId w:val="5"/>
        </w:numPr>
        <w:spacing w:after="60"/>
        <w:rPr>
          <w:rFonts w:cs="Arial"/>
          <w:sz w:val="18"/>
          <w:szCs w:val="18"/>
        </w:rPr>
      </w:pPr>
      <w:r w:rsidRPr="0060702E">
        <w:rPr>
          <w:rFonts w:cs="Arial"/>
          <w:sz w:val="18"/>
          <w:szCs w:val="18"/>
        </w:rPr>
        <w:t>revision of the rules governing access to UPOV documents;</w:t>
      </w:r>
    </w:p>
    <w:p w:rsidR="00D3715A" w:rsidRPr="0060702E" w:rsidRDefault="00D3715A" w:rsidP="00D3715A">
      <w:pPr>
        <w:numPr>
          <w:ilvl w:val="0"/>
          <w:numId w:val="5"/>
        </w:numPr>
        <w:spacing w:after="60"/>
        <w:rPr>
          <w:rFonts w:cs="Arial"/>
          <w:sz w:val="18"/>
          <w:szCs w:val="18"/>
        </w:rPr>
      </w:pPr>
      <w:r w:rsidRPr="0060702E">
        <w:rPr>
          <w:rFonts w:cs="Arial"/>
          <w:sz w:val="18"/>
          <w:szCs w:val="18"/>
        </w:rPr>
        <w:t>financial situation of the International Union for the Protection of New Varieties of Plants as at December 31, 2011;</w:t>
      </w:r>
    </w:p>
    <w:p w:rsidR="00D3715A" w:rsidRPr="0060702E" w:rsidRDefault="00D3715A" w:rsidP="00D3715A">
      <w:pPr>
        <w:numPr>
          <w:ilvl w:val="0"/>
          <w:numId w:val="5"/>
        </w:numPr>
        <w:spacing w:after="60"/>
        <w:rPr>
          <w:rFonts w:cs="Arial"/>
          <w:sz w:val="18"/>
          <w:szCs w:val="18"/>
        </w:rPr>
      </w:pPr>
      <w:r w:rsidRPr="0060702E">
        <w:rPr>
          <w:rFonts w:cs="Arial"/>
          <w:sz w:val="18"/>
          <w:szCs w:val="18"/>
        </w:rPr>
        <w:t>arrears in contributions as of September 30, 2012;</w:t>
      </w:r>
    </w:p>
    <w:p w:rsidR="00D3715A" w:rsidRPr="0060702E" w:rsidRDefault="00D3715A" w:rsidP="00D3715A">
      <w:pPr>
        <w:numPr>
          <w:ilvl w:val="0"/>
          <w:numId w:val="5"/>
        </w:numPr>
        <w:spacing w:after="60"/>
        <w:rPr>
          <w:rFonts w:cs="Arial"/>
          <w:sz w:val="18"/>
          <w:szCs w:val="18"/>
        </w:rPr>
      </w:pPr>
      <w:r w:rsidRPr="0060702E">
        <w:rPr>
          <w:rFonts w:cs="Arial"/>
          <w:sz w:val="18"/>
          <w:szCs w:val="18"/>
        </w:rPr>
        <w:t>accounts for the 2010-2011 financial period;</w:t>
      </w:r>
    </w:p>
    <w:p w:rsidR="00D3715A" w:rsidRPr="0060702E" w:rsidRDefault="00D3715A" w:rsidP="00D3715A">
      <w:pPr>
        <w:numPr>
          <w:ilvl w:val="0"/>
          <w:numId w:val="5"/>
        </w:numPr>
        <w:spacing w:after="60"/>
        <w:rPr>
          <w:rFonts w:cs="Arial"/>
          <w:sz w:val="18"/>
          <w:szCs w:val="18"/>
        </w:rPr>
      </w:pPr>
      <w:r w:rsidRPr="0060702E">
        <w:rPr>
          <w:rFonts w:cs="Arial"/>
          <w:sz w:val="18"/>
          <w:szCs w:val="18"/>
        </w:rPr>
        <w:t>Draft Program and Budget of the Union for the 2014-2015 Biennium;</w:t>
      </w:r>
    </w:p>
    <w:p w:rsidR="00D3715A" w:rsidRPr="0060702E" w:rsidRDefault="00D3715A" w:rsidP="00D3715A">
      <w:pPr>
        <w:numPr>
          <w:ilvl w:val="0"/>
          <w:numId w:val="5"/>
        </w:numPr>
        <w:spacing w:after="60"/>
        <w:rPr>
          <w:rFonts w:cs="Arial"/>
          <w:sz w:val="18"/>
          <w:szCs w:val="18"/>
        </w:rPr>
      </w:pPr>
      <w:r w:rsidRPr="0060702E">
        <w:rPr>
          <w:rFonts w:cs="Arial"/>
          <w:sz w:val="18"/>
          <w:szCs w:val="18"/>
        </w:rPr>
        <w:t>financial statements for 2012;</w:t>
      </w:r>
    </w:p>
    <w:p w:rsidR="00D3715A" w:rsidRPr="0060702E" w:rsidRDefault="00D3715A" w:rsidP="00D3715A">
      <w:pPr>
        <w:numPr>
          <w:ilvl w:val="0"/>
          <w:numId w:val="5"/>
        </w:numPr>
        <w:spacing w:after="60"/>
        <w:rPr>
          <w:rFonts w:cs="Arial"/>
          <w:sz w:val="18"/>
          <w:szCs w:val="18"/>
        </w:rPr>
      </w:pPr>
      <w:r w:rsidRPr="0060702E">
        <w:rPr>
          <w:rFonts w:cs="Arial"/>
          <w:sz w:val="18"/>
          <w:szCs w:val="18"/>
        </w:rPr>
        <w:t>arrears in contributions as of September 30, 2013;</w:t>
      </w:r>
    </w:p>
    <w:p w:rsidR="00D3715A" w:rsidRPr="0060702E" w:rsidRDefault="00D3715A" w:rsidP="00D3715A">
      <w:pPr>
        <w:numPr>
          <w:ilvl w:val="0"/>
          <w:numId w:val="5"/>
        </w:numPr>
        <w:spacing w:after="60"/>
        <w:rPr>
          <w:rFonts w:cs="Arial"/>
          <w:sz w:val="18"/>
          <w:szCs w:val="18"/>
        </w:rPr>
      </w:pPr>
      <w:r w:rsidRPr="0060702E">
        <w:rPr>
          <w:rFonts w:cs="Arial"/>
          <w:sz w:val="18"/>
          <w:szCs w:val="18"/>
        </w:rPr>
        <w:t>creation of a special UPOV account that would be used to finance extra budgetary projects agreed by the Council, in a situation where the amount of the reserve fund exceeds 15 percent of the total income for the 2012­2013 Biennium;</w:t>
      </w:r>
    </w:p>
    <w:p w:rsidR="00D3715A" w:rsidRPr="0060702E" w:rsidRDefault="00D3715A" w:rsidP="00D3715A">
      <w:pPr>
        <w:numPr>
          <w:ilvl w:val="0"/>
          <w:numId w:val="5"/>
        </w:numPr>
        <w:spacing w:after="240"/>
        <w:ind w:left="714" w:hanging="357"/>
        <w:rPr>
          <w:rFonts w:cs="Arial"/>
          <w:sz w:val="18"/>
          <w:szCs w:val="18"/>
        </w:rPr>
      </w:pPr>
      <w:proofErr w:type="gramStart"/>
      <w:r w:rsidRPr="0060702E">
        <w:rPr>
          <w:rFonts w:cs="Arial"/>
          <w:sz w:val="18"/>
          <w:szCs w:val="18"/>
        </w:rPr>
        <w:t>copying</w:t>
      </w:r>
      <w:proofErr w:type="gramEnd"/>
      <w:r w:rsidRPr="0060702E">
        <w:rPr>
          <w:rFonts w:cs="Arial"/>
          <w:sz w:val="18"/>
          <w:szCs w:val="18"/>
        </w:rPr>
        <w:t xml:space="preserve"> the Technical Committee (TC) designated persons in the request for information concerning cooperation in examination, e.g. see C/xx/5.</w:t>
      </w:r>
    </w:p>
    <w:p w:rsidR="00D3715A" w:rsidRPr="0060702E" w:rsidRDefault="00D3715A" w:rsidP="00D3715A">
      <w:pPr>
        <w:pStyle w:val="Heading8"/>
      </w:pPr>
      <w:bookmarkStart w:id="33" w:name="_Toc395864977"/>
      <w:bookmarkStart w:id="34" w:name="_Toc398738936"/>
      <w:r w:rsidRPr="0060702E">
        <w:t>(b)  Other decisions by the Council</w:t>
      </w:r>
      <w:bookmarkEnd w:id="33"/>
      <w:bookmarkEnd w:id="34"/>
    </w:p>
    <w:p w:rsidR="00D3715A" w:rsidRPr="0060702E" w:rsidRDefault="00D3715A" w:rsidP="00D3715A">
      <w:pPr>
        <w:spacing w:after="120"/>
        <w:rPr>
          <w:rFonts w:cs="Arial"/>
          <w:sz w:val="18"/>
          <w:szCs w:val="18"/>
        </w:rPr>
      </w:pPr>
      <w:r w:rsidRPr="0060702E">
        <w:rPr>
          <w:rFonts w:cs="Arial"/>
          <w:sz w:val="18"/>
          <w:szCs w:val="18"/>
        </w:rPr>
        <w:t>The Council also took decisions concerning the following:</w:t>
      </w:r>
    </w:p>
    <w:p w:rsidR="00D3715A" w:rsidRPr="0060702E" w:rsidRDefault="00D3715A" w:rsidP="00D3715A">
      <w:pPr>
        <w:numPr>
          <w:ilvl w:val="0"/>
          <w:numId w:val="5"/>
        </w:numPr>
        <w:spacing w:after="60"/>
        <w:rPr>
          <w:rFonts w:cs="Arial"/>
          <w:sz w:val="18"/>
          <w:szCs w:val="18"/>
        </w:rPr>
      </w:pPr>
      <w:r w:rsidRPr="0060702E">
        <w:rPr>
          <w:rFonts w:cs="Arial"/>
          <w:sz w:val="18"/>
          <w:szCs w:val="18"/>
        </w:rPr>
        <w:t>work programs of the Administrative and Legal Committee (CAJ), the Technical Committee (TC), the Technical Working Parties (TWPs) and the Working Group on Biochemical and Molecular Techniques, and DNA</w:t>
      </w:r>
      <w:r w:rsidRPr="0060702E">
        <w:rPr>
          <w:rFonts w:cs="Arial"/>
          <w:sz w:val="18"/>
          <w:szCs w:val="18"/>
        </w:rPr>
        <w:noBreakHyphen/>
        <w:t>Profiling in Particular (BMT)</w:t>
      </w:r>
    </w:p>
    <w:p w:rsidR="00D3715A" w:rsidRPr="0060702E" w:rsidRDefault="00D3715A" w:rsidP="00D3715A">
      <w:pPr>
        <w:numPr>
          <w:ilvl w:val="0"/>
          <w:numId w:val="5"/>
        </w:numPr>
        <w:spacing w:after="60"/>
        <w:rPr>
          <w:rFonts w:cs="Arial"/>
          <w:sz w:val="18"/>
          <w:szCs w:val="18"/>
        </w:rPr>
      </w:pPr>
      <w:r w:rsidRPr="0060702E">
        <w:rPr>
          <w:rFonts w:cs="Arial"/>
          <w:sz w:val="18"/>
          <w:szCs w:val="18"/>
        </w:rPr>
        <w:t>election of:</w:t>
      </w:r>
    </w:p>
    <w:p w:rsidR="00D3715A" w:rsidRPr="0060702E" w:rsidRDefault="00D3715A" w:rsidP="00D3715A">
      <w:pPr>
        <w:numPr>
          <w:ilvl w:val="1"/>
          <w:numId w:val="5"/>
        </w:numPr>
        <w:spacing w:after="60"/>
        <w:rPr>
          <w:rFonts w:cs="Arial"/>
          <w:sz w:val="18"/>
          <w:szCs w:val="18"/>
        </w:rPr>
      </w:pPr>
      <w:r w:rsidRPr="0060702E">
        <w:rPr>
          <w:rFonts w:cs="Arial"/>
          <w:sz w:val="18"/>
          <w:szCs w:val="18"/>
        </w:rPr>
        <w:t>the President and Vice-President of the Council</w:t>
      </w:r>
    </w:p>
    <w:p w:rsidR="00D3715A" w:rsidRPr="0060702E" w:rsidRDefault="00D3715A" w:rsidP="00D3715A">
      <w:pPr>
        <w:numPr>
          <w:ilvl w:val="1"/>
          <w:numId w:val="5"/>
        </w:numPr>
        <w:spacing w:after="60"/>
        <w:rPr>
          <w:rFonts w:cs="Arial"/>
          <w:sz w:val="18"/>
          <w:szCs w:val="18"/>
        </w:rPr>
      </w:pPr>
      <w:r w:rsidRPr="0060702E">
        <w:rPr>
          <w:rFonts w:cs="Arial"/>
          <w:sz w:val="18"/>
          <w:szCs w:val="18"/>
        </w:rPr>
        <w:t>the Chair and Vice-Chair of the CAJ</w:t>
      </w:r>
    </w:p>
    <w:p w:rsidR="00D3715A" w:rsidRPr="0060702E" w:rsidRDefault="00D3715A" w:rsidP="00D3715A">
      <w:pPr>
        <w:numPr>
          <w:ilvl w:val="1"/>
          <w:numId w:val="5"/>
        </w:numPr>
        <w:spacing w:after="60"/>
        <w:rPr>
          <w:rFonts w:cs="Arial"/>
          <w:sz w:val="18"/>
          <w:szCs w:val="18"/>
        </w:rPr>
      </w:pPr>
      <w:r w:rsidRPr="0060702E">
        <w:rPr>
          <w:rFonts w:cs="Arial"/>
          <w:sz w:val="18"/>
          <w:szCs w:val="18"/>
        </w:rPr>
        <w:t>the Chair and Vice-Chair of the TC</w:t>
      </w:r>
    </w:p>
    <w:p w:rsidR="00D3715A" w:rsidRPr="0060702E" w:rsidRDefault="00D3715A" w:rsidP="00D3715A">
      <w:pPr>
        <w:spacing w:after="60"/>
        <w:ind w:left="1440"/>
        <w:rPr>
          <w:rFonts w:cs="Arial"/>
          <w:sz w:val="18"/>
          <w:szCs w:val="18"/>
        </w:rPr>
      </w:pPr>
    </w:p>
    <w:p w:rsidR="0060702E" w:rsidRDefault="0060702E">
      <w:pPr>
        <w:jc w:val="left"/>
        <w:rPr>
          <w:iCs/>
          <w:sz w:val="18"/>
          <w:szCs w:val="24"/>
          <w:u w:val="single"/>
        </w:rPr>
      </w:pPr>
      <w:bookmarkStart w:id="35" w:name="_Toc395864978"/>
      <w:r>
        <w:br w:type="page"/>
      </w:r>
    </w:p>
    <w:p w:rsidR="00D3715A" w:rsidRPr="0060702E" w:rsidRDefault="00D3715A" w:rsidP="00694F71">
      <w:pPr>
        <w:pStyle w:val="Heading8"/>
        <w:keepNext/>
        <w:keepLines/>
        <w:widowControl w:val="0"/>
      </w:pPr>
      <w:bookmarkStart w:id="36" w:name="_Toc398738937"/>
      <w:r w:rsidRPr="0060702E">
        <w:t>(c)  Other work of the Consultative Committee</w:t>
      </w:r>
      <w:bookmarkEnd w:id="35"/>
      <w:bookmarkEnd w:id="36"/>
    </w:p>
    <w:p w:rsidR="00D3715A" w:rsidRPr="0060702E" w:rsidRDefault="00D3715A" w:rsidP="00694F71">
      <w:pPr>
        <w:keepNext/>
        <w:keepLines/>
        <w:widowControl w:val="0"/>
        <w:spacing w:after="60"/>
        <w:rPr>
          <w:rFonts w:cs="Arial"/>
          <w:sz w:val="18"/>
          <w:szCs w:val="18"/>
        </w:rPr>
      </w:pPr>
      <w:r w:rsidRPr="0060702E">
        <w:rPr>
          <w:rFonts w:cs="Arial"/>
          <w:sz w:val="18"/>
          <w:szCs w:val="18"/>
        </w:rPr>
        <w:t>The Consultative Committee:</w:t>
      </w:r>
    </w:p>
    <w:p w:rsidR="00D3715A" w:rsidRPr="0060702E" w:rsidRDefault="00D3715A" w:rsidP="00D3715A">
      <w:pPr>
        <w:numPr>
          <w:ilvl w:val="0"/>
          <w:numId w:val="5"/>
        </w:numPr>
        <w:spacing w:after="60"/>
        <w:rPr>
          <w:rFonts w:cs="Arial"/>
          <w:sz w:val="18"/>
          <w:szCs w:val="18"/>
        </w:rPr>
      </w:pPr>
      <w:r w:rsidRPr="0060702E">
        <w:rPr>
          <w:rFonts w:cs="Arial"/>
          <w:sz w:val="18"/>
          <w:szCs w:val="18"/>
        </w:rPr>
        <w:t>granted observer status to the African Seed Trade Association (AFSTA) for the Council, the Administrative and Legal Committee (CAJ), the Technical Committee (TC) and the Technical Working Parties (TWPs);</w:t>
      </w:r>
    </w:p>
    <w:p w:rsidR="00D3715A" w:rsidRPr="0060702E" w:rsidRDefault="00D3715A" w:rsidP="00D3715A">
      <w:pPr>
        <w:numPr>
          <w:ilvl w:val="0"/>
          <w:numId w:val="5"/>
        </w:numPr>
        <w:spacing w:after="60"/>
        <w:rPr>
          <w:rFonts w:cs="Arial"/>
          <w:sz w:val="18"/>
          <w:szCs w:val="18"/>
        </w:rPr>
      </w:pPr>
      <w:r w:rsidRPr="0060702E">
        <w:rPr>
          <w:rFonts w:cs="Arial"/>
          <w:sz w:val="18"/>
          <w:szCs w:val="18"/>
        </w:rPr>
        <w:t xml:space="preserve">agreed the following with regard to the “Symposium on the benefits of plant variety protection for farmers and growers”, to be held in Geneva on November 2, 2012, </w:t>
      </w:r>
    </w:p>
    <w:p w:rsidR="00D3715A" w:rsidRPr="0060702E" w:rsidRDefault="00D3715A" w:rsidP="00D3715A">
      <w:pPr>
        <w:numPr>
          <w:ilvl w:val="1"/>
          <w:numId w:val="5"/>
        </w:numPr>
        <w:contextualSpacing/>
        <w:rPr>
          <w:rFonts w:cs="Arial"/>
          <w:sz w:val="18"/>
          <w:szCs w:val="18"/>
        </w:rPr>
      </w:pPr>
      <w:r w:rsidRPr="0060702E">
        <w:rPr>
          <w:rFonts w:cs="Arial"/>
          <w:sz w:val="18"/>
          <w:szCs w:val="18"/>
        </w:rPr>
        <w:t xml:space="preserve">to be open for attendance to the public, subject to room capacity, with priority being given to participants from members of the Union, observer States and observer organizations  </w:t>
      </w:r>
    </w:p>
    <w:p w:rsidR="00D3715A" w:rsidRPr="0060702E" w:rsidRDefault="00D3715A" w:rsidP="00D3715A">
      <w:pPr>
        <w:numPr>
          <w:ilvl w:val="1"/>
          <w:numId w:val="5"/>
        </w:numPr>
        <w:contextualSpacing/>
        <w:rPr>
          <w:rFonts w:cs="Arial"/>
          <w:sz w:val="18"/>
          <w:szCs w:val="18"/>
        </w:rPr>
      </w:pPr>
      <w:r w:rsidRPr="0060702E">
        <w:rPr>
          <w:rFonts w:cs="Arial"/>
          <w:sz w:val="18"/>
          <w:szCs w:val="18"/>
        </w:rPr>
        <w:t>approved the webcasting of the Symposium</w:t>
      </w:r>
    </w:p>
    <w:p w:rsidR="00D3715A" w:rsidRPr="0060702E" w:rsidRDefault="00D3715A" w:rsidP="00D3715A">
      <w:pPr>
        <w:numPr>
          <w:ilvl w:val="1"/>
          <w:numId w:val="5"/>
        </w:numPr>
        <w:spacing w:after="60"/>
        <w:ind w:left="1434" w:hanging="357"/>
        <w:rPr>
          <w:rFonts w:cs="Arial"/>
          <w:sz w:val="18"/>
          <w:szCs w:val="18"/>
        </w:rPr>
      </w:pPr>
      <w:r w:rsidRPr="0060702E">
        <w:rPr>
          <w:rFonts w:cs="Arial"/>
          <w:sz w:val="18"/>
          <w:szCs w:val="18"/>
        </w:rPr>
        <w:t>agreed the explanation of the aim of the Symposium</w:t>
      </w:r>
    </w:p>
    <w:p w:rsidR="00D3715A" w:rsidRPr="0060702E" w:rsidRDefault="00D3715A" w:rsidP="00D3715A">
      <w:pPr>
        <w:numPr>
          <w:ilvl w:val="0"/>
          <w:numId w:val="5"/>
        </w:numPr>
        <w:spacing w:after="60"/>
        <w:rPr>
          <w:rFonts w:cs="Arial"/>
          <w:sz w:val="18"/>
          <w:szCs w:val="18"/>
        </w:rPr>
      </w:pPr>
      <w:r w:rsidRPr="0060702E">
        <w:rPr>
          <w:rFonts w:cs="Arial"/>
          <w:sz w:val="18"/>
          <w:szCs w:val="18"/>
        </w:rPr>
        <w:t>endorsed the plans for the draft program of the Symposium and agreed to the inclusion of one speaker from those recommended by APBREBES to give a presentation in accordance with the aim of the Symposium</w:t>
      </w:r>
      <w:r w:rsidR="009E0DA3" w:rsidRPr="0060702E">
        <w:rPr>
          <w:rFonts w:cs="Arial"/>
          <w:sz w:val="18"/>
          <w:szCs w:val="18"/>
        </w:rPr>
        <w:t>;</w:t>
      </w:r>
    </w:p>
    <w:p w:rsidR="00D3715A" w:rsidRPr="0060702E" w:rsidRDefault="00D3715A" w:rsidP="00D3715A">
      <w:pPr>
        <w:numPr>
          <w:ilvl w:val="0"/>
          <w:numId w:val="5"/>
        </w:numPr>
        <w:spacing w:after="60"/>
        <w:rPr>
          <w:rFonts w:cs="Arial"/>
          <w:sz w:val="18"/>
          <w:szCs w:val="18"/>
        </w:rPr>
      </w:pPr>
      <w:r w:rsidRPr="0060702E">
        <w:rPr>
          <w:rFonts w:cs="Arial"/>
          <w:sz w:val="18"/>
          <w:szCs w:val="18"/>
        </w:rPr>
        <w:t>approved the participation of the Office of the Union in the World Intellectual Property Organization (WIPO) Framework for Designing National Intellectual Property Strategies for Development;</w:t>
      </w:r>
    </w:p>
    <w:p w:rsidR="00D3715A" w:rsidRPr="0060702E" w:rsidRDefault="00D3715A" w:rsidP="00D3715A">
      <w:pPr>
        <w:numPr>
          <w:ilvl w:val="0"/>
          <w:numId w:val="5"/>
        </w:numPr>
        <w:spacing w:after="120"/>
        <w:rPr>
          <w:rFonts w:cs="Arial"/>
          <w:sz w:val="18"/>
          <w:szCs w:val="18"/>
        </w:rPr>
      </w:pPr>
      <w:r w:rsidRPr="0060702E">
        <w:rPr>
          <w:rFonts w:cs="Arial"/>
          <w:sz w:val="18"/>
          <w:szCs w:val="18"/>
        </w:rPr>
        <w:t>approved the participation of the Office of the Union in the development of the WIPO Questionnaire “A tool to assess the current status of the national intellectual property system, strategic objectives and needs in line with national development priorities”;</w:t>
      </w:r>
    </w:p>
    <w:p w:rsidR="00D3715A" w:rsidRPr="0060702E" w:rsidRDefault="00D3715A" w:rsidP="00D3715A">
      <w:pPr>
        <w:numPr>
          <w:ilvl w:val="0"/>
          <w:numId w:val="5"/>
        </w:numPr>
        <w:spacing w:after="60"/>
        <w:rPr>
          <w:rFonts w:cs="Arial"/>
          <w:sz w:val="18"/>
          <w:szCs w:val="18"/>
        </w:rPr>
      </w:pPr>
      <w:r w:rsidRPr="0060702E">
        <w:rPr>
          <w:rFonts w:cs="Arial"/>
          <w:sz w:val="18"/>
          <w:szCs w:val="18"/>
        </w:rPr>
        <w:t>approved the use of web conferencing by UPOV bodies, as considered appropriate by the UPOV body concerned, to facilitate participation by members of the Union and observers in accordance with the existing procedures;</w:t>
      </w:r>
    </w:p>
    <w:p w:rsidR="00D3715A" w:rsidRPr="0060702E" w:rsidRDefault="00D3715A" w:rsidP="00D3715A">
      <w:pPr>
        <w:numPr>
          <w:ilvl w:val="0"/>
          <w:numId w:val="5"/>
        </w:numPr>
        <w:spacing w:after="60"/>
        <w:rPr>
          <w:rFonts w:cs="Arial"/>
          <w:sz w:val="18"/>
          <w:szCs w:val="18"/>
        </w:rPr>
      </w:pPr>
      <w:r w:rsidRPr="0060702E">
        <w:rPr>
          <w:rFonts w:cs="Arial"/>
          <w:sz w:val="18"/>
          <w:szCs w:val="18"/>
        </w:rPr>
        <w:t>approved the use of web conferencing by the Office of the Union to facilitate participation by invited participants to its meetings, as considered appropriate by the Office of the Union;</w:t>
      </w:r>
    </w:p>
    <w:p w:rsidR="00D3715A" w:rsidRPr="0060702E" w:rsidRDefault="00D3715A" w:rsidP="00D3715A">
      <w:pPr>
        <w:numPr>
          <w:ilvl w:val="0"/>
          <w:numId w:val="5"/>
        </w:numPr>
        <w:spacing w:after="120"/>
        <w:rPr>
          <w:rFonts w:cs="Arial"/>
          <w:sz w:val="18"/>
          <w:szCs w:val="18"/>
        </w:rPr>
      </w:pPr>
      <w:r w:rsidRPr="0060702E">
        <w:rPr>
          <w:rFonts w:cs="Arial"/>
          <w:sz w:val="18"/>
          <w:szCs w:val="18"/>
        </w:rPr>
        <w:t>approved the use of webcasting of sessions of UPOV bodies for viewing by members of the Union and observers in accordance with the existing procedures, as considered appropriate by the UPOV body concerned and agreed that, in all other cases of webcasting, the Consultative Committee would be invited to approve any arrangements for a possible webcast;</w:t>
      </w:r>
    </w:p>
    <w:p w:rsidR="00D3715A" w:rsidRPr="0060702E" w:rsidRDefault="00D3715A" w:rsidP="00D3715A">
      <w:pPr>
        <w:numPr>
          <w:ilvl w:val="0"/>
          <w:numId w:val="5"/>
        </w:numPr>
        <w:spacing w:after="60"/>
        <w:rPr>
          <w:rFonts w:cs="Arial"/>
          <w:sz w:val="18"/>
          <w:szCs w:val="18"/>
        </w:rPr>
      </w:pPr>
      <w:r w:rsidRPr="0060702E">
        <w:rPr>
          <w:rFonts w:cs="Arial"/>
          <w:sz w:val="18"/>
          <w:szCs w:val="18"/>
        </w:rPr>
        <w:t>agreed that the webcast of the “Symposium on the benefits of plant variety protection for farmers and growers”, to be held in Geneva on November 2, 2012, be made available on the UPOV website after a suitable broadcast delay;</w:t>
      </w:r>
    </w:p>
    <w:p w:rsidR="00D3715A" w:rsidRPr="0060702E" w:rsidRDefault="00D3715A" w:rsidP="00D3715A">
      <w:pPr>
        <w:numPr>
          <w:ilvl w:val="0"/>
          <w:numId w:val="5"/>
        </w:numPr>
        <w:spacing w:after="60"/>
        <w:rPr>
          <w:rFonts w:cs="Arial"/>
          <w:sz w:val="18"/>
          <w:szCs w:val="18"/>
        </w:rPr>
      </w:pPr>
      <w:r w:rsidRPr="0060702E">
        <w:rPr>
          <w:rFonts w:cs="Arial"/>
          <w:sz w:val="18"/>
          <w:szCs w:val="18"/>
        </w:rPr>
        <w:t>approved the launch of the “Assistance” webpage, on the basis of the prototype, on an area of the UPOV website that would be accessible via the restricted area and via a separate link and password that would be issued to the representative and alternate of each member of the Union to the Council;</w:t>
      </w:r>
    </w:p>
    <w:p w:rsidR="00D3715A" w:rsidRPr="0060702E" w:rsidRDefault="00D3715A" w:rsidP="00D3715A">
      <w:pPr>
        <w:numPr>
          <w:ilvl w:val="0"/>
          <w:numId w:val="5"/>
        </w:numPr>
        <w:spacing w:after="60"/>
        <w:rPr>
          <w:rFonts w:cs="Arial"/>
          <w:sz w:val="18"/>
          <w:szCs w:val="18"/>
        </w:rPr>
      </w:pPr>
      <w:r w:rsidRPr="0060702E">
        <w:rPr>
          <w:rFonts w:cs="Arial"/>
          <w:sz w:val="18"/>
          <w:szCs w:val="18"/>
        </w:rPr>
        <w:t>approved the publication of a document in the UPOV website with the list of UPOV members, list of States and intergovernmental organizations which had initiated the procedure for acceding to the UPOV Convention and the list of States and intergovernmental organizations which had been in contact with the Office of the Union for assistance in the development of laws based on the UPOV Convention;</w:t>
      </w:r>
    </w:p>
    <w:p w:rsidR="00D3715A" w:rsidRPr="0060702E" w:rsidRDefault="00D3715A" w:rsidP="00D3715A">
      <w:pPr>
        <w:numPr>
          <w:ilvl w:val="0"/>
          <w:numId w:val="5"/>
        </w:numPr>
        <w:spacing w:after="60"/>
        <w:rPr>
          <w:rFonts w:cs="Arial"/>
          <w:sz w:val="18"/>
          <w:szCs w:val="18"/>
        </w:rPr>
      </w:pPr>
      <w:r w:rsidRPr="0060702E">
        <w:rPr>
          <w:rFonts w:cs="Arial"/>
          <w:sz w:val="18"/>
          <w:szCs w:val="18"/>
        </w:rPr>
        <w:t>approved the issue of an invitation to Georgia to make a presentation on progress and possible areas of assistance in the implementation of the UPOV system at the eighty</w:t>
      </w:r>
      <w:r w:rsidRPr="0060702E">
        <w:rPr>
          <w:rFonts w:cs="Arial"/>
          <w:sz w:val="18"/>
          <w:szCs w:val="18"/>
        </w:rPr>
        <w:noBreakHyphen/>
        <w:t>sixth session of the Consultative Committee, to be held in October 2013;</w:t>
      </w:r>
    </w:p>
    <w:p w:rsidR="00D3715A" w:rsidRPr="0060702E" w:rsidRDefault="00D3715A" w:rsidP="00D3715A">
      <w:pPr>
        <w:numPr>
          <w:ilvl w:val="0"/>
          <w:numId w:val="5"/>
        </w:numPr>
        <w:spacing w:after="60"/>
        <w:rPr>
          <w:rFonts w:cs="Arial"/>
          <w:sz w:val="18"/>
          <w:szCs w:val="18"/>
        </w:rPr>
      </w:pPr>
      <w:r w:rsidRPr="0060702E">
        <w:rPr>
          <w:rFonts w:cs="Arial"/>
          <w:sz w:val="18"/>
          <w:szCs w:val="18"/>
        </w:rPr>
        <w:t>approved the participation of the Office of the Union in the International Treaty on Plant Genetic Resources for Food and Agriculture (ITPGRFA) Platform for the Co-Development and Transfer of Technologies;</w:t>
      </w:r>
    </w:p>
    <w:p w:rsidR="00D3715A" w:rsidRPr="0060702E" w:rsidRDefault="00D3715A" w:rsidP="00D3715A">
      <w:pPr>
        <w:numPr>
          <w:ilvl w:val="0"/>
          <w:numId w:val="5"/>
        </w:numPr>
        <w:spacing w:after="60"/>
        <w:rPr>
          <w:rFonts w:cs="Arial"/>
          <w:sz w:val="18"/>
          <w:szCs w:val="18"/>
        </w:rPr>
      </w:pPr>
      <w:r w:rsidRPr="0060702E">
        <w:rPr>
          <w:rFonts w:cs="Arial"/>
          <w:sz w:val="18"/>
          <w:szCs w:val="18"/>
        </w:rPr>
        <w:t>noted the report provided by the Office of the Union to the Sixth Session of the Intergovernmental Technical Working Group on Plant Genetic Resources for Food and Agriculture of the Commission on Genetic Resources for Food and Agriculture (CGRFA) and approved the provision of similar reports to future sessions, which would relate to all Acts of the UPOV Convention;</w:t>
      </w:r>
    </w:p>
    <w:p w:rsidR="00D3715A" w:rsidRPr="0060702E" w:rsidRDefault="00D3715A" w:rsidP="00D3715A">
      <w:pPr>
        <w:numPr>
          <w:ilvl w:val="0"/>
          <w:numId w:val="5"/>
        </w:numPr>
        <w:spacing w:after="60"/>
        <w:rPr>
          <w:rFonts w:cs="Arial"/>
          <w:sz w:val="18"/>
          <w:szCs w:val="18"/>
        </w:rPr>
      </w:pPr>
      <w:proofErr w:type="gramStart"/>
      <w:r w:rsidRPr="0060702E">
        <w:rPr>
          <w:rFonts w:cs="Arial"/>
          <w:sz w:val="18"/>
          <w:szCs w:val="18"/>
        </w:rPr>
        <w:t>approved</w:t>
      </w:r>
      <w:proofErr w:type="gramEnd"/>
      <w:r w:rsidRPr="0060702E">
        <w:rPr>
          <w:rFonts w:cs="Arial"/>
          <w:sz w:val="18"/>
          <w:szCs w:val="18"/>
        </w:rPr>
        <w:t xml:space="preserve"> the participation of UPOV in the WIPO initiative on sustainable wheat production in the </w:t>
      </w:r>
      <w:r w:rsidR="009E0DA3" w:rsidRPr="0060702E">
        <w:rPr>
          <w:rFonts w:cs="Arial"/>
          <w:sz w:val="18"/>
          <w:szCs w:val="18"/>
        </w:rPr>
        <w:br/>
      </w:r>
      <w:r w:rsidRPr="0060702E">
        <w:rPr>
          <w:rFonts w:cs="Arial"/>
          <w:sz w:val="18"/>
          <w:szCs w:val="18"/>
        </w:rPr>
        <w:t>United Republic of Tanzania</w:t>
      </w:r>
      <w:r w:rsidR="009E0DA3" w:rsidRPr="0060702E">
        <w:rPr>
          <w:rFonts w:cs="Arial"/>
          <w:sz w:val="18"/>
          <w:szCs w:val="18"/>
        </w:rPr>
        <w:t>.</w:t>
      </w:r>
    </w:p>
    <w:p w:rsidR="00D3715A" w:rsidRPr="0060702E" w:rsidRDefault="00D3715A" w:rsidP="00D3715A">
      <w:pPr>
        <w:widowControl w:val="0"/>
        <w:jc w:val="left"/>
        <w:rPr>
          <w:sz w:val="18"/>
          <w:szCs w:val="18"/>
        </w:rPr>
      </w:pPr>
    </w:p>
    <w:p w:rsidR="00D3715A" w:rsidRPr="0060702E" w:rsidRDefault="00D3715A" w:rsidP="00066B0F">
      <w:pPr>
        <w:pStyle w:val="Heading8"/>
      </w:pPr>
      <w:bookmarkStart w:id="37" w:name="_Toc395864979"/>
      <w:bookmarkStart w:id="38" w:name="_Toc398738938"/>
      <w:r w:rsidRPr="0060702E">
        <w:t>(d)  Adoption of information and position papers by the Council</w:t>
      </w:r>
      <w:bookmarkEnd w:id="37"/>
      <w:bookmarkEnd w:id="38"/>
    </w:p>
    <w:p w:rsidR="00D3715A" w:rsidRPr="0060702E" w:rsidRDefault="00D3715A" w:rsidP="00D3715A">
      <w:pPr>
        <w:keepNext/>
        <w:rPr>
          <w:rFonts w:cs="Arial"/>
          <w:sz w:val="18"/>
          <w:szCs w:val="18"/>
        </w:rPr>
      </w:pPr>
      <w:r w:rsidRPr="0060702E">
        <w:rPr>
          <w:rFonts w:cs="Arial"/>
          <w:sz w:val="18"/>
          <w:szCs w:val="18"/>
        </w:rPr>
        <w:t>The adoption of information materials by the Council is reported under Sub-Program UV.2.</w:t>
      </w:r>
    </w:p>
    <w:p w:rsidR="00D3715A" w:rsidRPr="0060702E" w:rsidRDefault="00D3715A" w:rsidP="002D6F42">
      <w:pPr>
        <w:rPr>
          <w:sz w:val="18"/>
          <w:szCs w:val="18"/>
        </w:rPr>
      </w:pPr>
    </w:p>
    <w:p w:rsidR="00D3715A" w:rsidRPr="0060702E" w:rsidRDefault="00D3715A" w:rsidP="002D6F42">
      <w:pPr>
        <w:rPr>
          <w:sz w:val="18"/>
          <w:szCs w:val="18"/>
        </w:rPr>
      </w:pPr>
    </w:p>
    <w:p w:rsidR="00D3715A" w:rsidRPr="0060702E" w:rsidRDefault="00D3715A" w:rsidP="002D6F42">
      <w:pPr>
        <w:rPr>
          <w:sz w:val="18"/>
          <w:szCs w:val="18"/>
        </w:rPr>
      </w:pPr>
    </w:p>
    <w:p w:rsidR="004F2670" w:rsidRPr="0060702E" w:rsidRDefault="004F2670">
      <w:pPr>
        <w:jc w:val="left"/>
        <w:rPr>
          <w:b/>
          <w:smallCaps/>
        </w:rPr>
      </w:pPr>
      <w:r w:rsidRPr="0060702E">
        <w:br w:type="page"/>
      </w:r>
    </w:p>
    <w:p w:rsidR="002D6F42" w:rsidRPr="0060702E" w:rsidRDefault="0000674F" w:rsidP="00CE77F1">
      <w:pPr>
        <w:pStyle w:val="Heading4"/>
      </w:pPr>
      <w:bookmarkStart w:id="39" w:name="_Toc398738939"/>
      <w:r w:rsidRPr="0060702E">
        <w:t>2.2</w:t>
      </w:r>
      <w:r w:rsidRPr="0060702E">
        <w:tab/>
      </w:r>
      <w:r w:rsidR="002D6F42" w:rsidRPr="0060702E">
        <w:t>Sub-program UV.2:  Services to the Union for enhancing the Effectiveness of the UPOV System</w:t>
      </w:r>
      <w:bookmarkEnd w:id="9"/>
      <w:bookmarkEnd w:id="10"/>
      <w:bookmarkEnd w:id="39"/>
    </w:p>
    <w:p w:rsidR="002D6F42" w:rsidRPr="0060702E" w:rsidRDefault="002D6F42" w:rsidP="002D6F42">
      <w:pPr>
        <w:rPr>
          <w:sz w:val="18"/>
          <w:szCs w:val="18"/>
        </w:rPr>
      </w:pPr>
    </w:p>
    <w:p w:rsidR="00F00638" w:rsidRPr="0060702E" w:rsidRDefault="00F00638" w:rsidP="00F00638">
      <w:pPr>
        <w:tabs>
          <w:tab w:val="left" w:pos="2410"/>
          <w:tab w:val="left" w:pos="4536"/>
          <w:tab w:val="left" w:pos="9072"/>
        </w:tabs>
        <w:rPr>
          <w:sz w:val="18"/>
          <w:szCs w:val="18"/>
        </w:rPr>
      </w:pPr>
      <w:r w:rsidRPr="0060702E">
        <w:rPr>
          <w:sz w:val="18"/>
          <w:szCs w:val="18"/>
        </w:rPr>
        <w:t xml:space="preserve">UPOV has continued to adopt new and revised information and guidance documents that enhance the understanding and the implementation of the provisions of the Convention in an internationally harmonized and effective way, thereby reinforcing the quality of protection and helping to reduce the cost of obtaining protection.  Such measures continue to gain importance for new members of the Union with the increasing number of members of the Union that offer protection for all plant genera and species.  In 2013, the adopted Test Guidelines covered </w:t>
      </w:r>
      <w:r w:rsidR="001D09F5" w:rsidRPr="0060702E">
        <w:rPr>
          <w:sz w:val="18"/>
          <w:szCs w:val="18"/>
        </w:rPr>
        <w:t>91</w:t>
      </w:r>
      <w:r w:rsidRPr="0060702E">
        <w:rPr>
          <w:sz w:val="18"/>
          <w:szCs w:val="18"/>
        </w:rPr>
        <w:t xml:space="preserve">% of all PBR-related entries in the Plant Variety Database.  In order to explore possible measures to improve the effectiveness of the TC, TWPs and Preparatory Workshops, the TC has endorsed a series of surveys.  To enhance cooperation between members of the Union, the information provided in the GENIE database, </w:t>
      </w:r>
      <w:r w:rsidRPr="0060702E">
        <w:rPr>
          <w:color w:val="000000"/>
          <w:sz w:val="18"/>
          <w:szCs w:val="18"/>
        </w:rPr>
        <w:t>Plant Variety Database</w:t>
      </w:r>
      <w:r w:rsidRPr="0060702E">
        <w:rPr>
          <w:sz w:val="18"/>
          <w:szCs w:val="18"/>
        </w:rPr>
        <w:t xml:space="preserve"> (PLUTO database) and database of laws of members of the Union (UPOV Lex) has been enhanced, with further measures taken in relation to the program for improvements to the </w:t>
      </w:r>
      <w:r w:rsidRPr="0060702E">
        <w:rPr>
          <w:color w:val="000000"/>
          <w:sz w:val="18"/>
          <w:szCs w:val="18"/>
        </w:rPr>
        <w:t xml:space="preserve">PLUTO Database.  The project for the development of a UPOV electronic application form has made significant progress, including the creation of a “mock-up” for demonstration purposes. </w:t>
      </w:r>
    </w:p>
    <w:p w:rsidR="002D6F42" w:rsidRPr="00C67712" w:rsidRDefault="002D6F42" w:rsidP="002D6F42">
      <w:pPr>
        <w:tabs>
          <w:tab w:val="left" w:pos="2410"/>
          <w:tab w:val="left" w:pos="4536"/>
          <w:tab w:val="left" w:pos="9072"/>
        </w:tabs>
        <w:rPr>
          <w:sz w:val="16"/>
          <w:szCs w:val="18"/>
        </w:rPr>
      </w:pPr>
    </w:p>
    <w:p w:rsidR="00C67712" w:rsidRPr="00C67712" w:rsidRDefault="00C67712" w:rsidP="002D6F42">
      <w:pPr>
        <w:tabs>
          <w:tab w:val="left" w:pos="2410"/>
          <w:tab w:val="left" w:pos="4536"/>
          <w:tab w:val="left" w:pos="9072"/>
        </w:tabs>
        <w:rPr>
          <w:sz w:val="16"/>
          <w:szCs w:val="18"/>
        </w:rPr>
      </w:pPr>
    </w:p>
    <w:tbl>
      <w:tblPr>
        <w:tblW w:w="9889" w:type="dxa"/>
        <w:tblLayout w:type="fixed"/>
        <w:tblLook w:val="0000" w:firstRow="0" w:lastRow="0" w:firstColumn="0" w:lastColumn="0" w:noHBand="0" w:noVBand="0"/>
      </w:tblPr>
      <w:tblGrid>
        <w:gridCol w:w="1951"/>
        <w:gridCol w:w="7938"/>
      </w:tblGrid>
      <w:tr w:rsidR="00066B0F" w:rsidRPr="0060702E" w:rsidTr="008F5543">
        <w:tc>
          <w:tcPr>
            <w:tcW w:w="1951" w:type="dxa"/>
          </w:tcPr>
          <w:p w:rsidR="00066B0F" w:rsidRPr="0060702E" w:rsidRDefault="00066B0F" w:rsidP="00787FE8">
            <w:pPr>
              <w:pStyle w:val="Heading5"/>
            </w:pPr>
            <w:bookmarkStart w:id="40" w:name="_Toc398738940"/>
            <w:r w:rsidRPr="0060702E">
              <w:t>Objectives</w:t>
            </w:r>
            <w:bookmarkEnd w:id="40"/>
          </w:p>
        </w:tc>
        <w:tc>
          <w:tcPr>
            <w:tcW w:w="7938" w:type="dxa"/>
            <w:vAlign w:val="center"/>
          </w:tcPr>
          <w:p w:rsidR="00066B0F" w:rsidRPr="0060702E" w:rsidRDefault="00066B0F" w:rsidP="008F5543">
            <w:pPr>
              <w:keepNext/>
              <w:keepLines/>
              <w:widowControl w:val="0"/>
              <w:numPr>
                <w:ilvl w:val="0"/>
                <w:numId w:val="1"/>
              </w:numPr>
              <w:jc w:val="left"/>
              <w:rPr>
                <w:b/>
                <w:i/>
                <w:sz w:val="18"/>
                <w:szCs w:val="18"/>
              </w:rPr>
            </w:pPr>
            <w:r w:rsidRPr="0060702E">
              <w:rPr>
                <w:sz w:val="18"/>
                <w:szCs w:val="18"/>
              </w:rPr>
              <w:t>To maintain and improve the effectiveness of the UPOV system.</w:t>
            </w:r>
          </w:p>
          <w:p w:rsidR="00066B0F" w:rsidRPr="0060702E" w:rsidRDefault="00066B0F" w:rsidP="008F5543">
            <w:pPr>
              <w:keepNext/>
              <w:keepLines/>
              <w:widowControl w:val="0"/>
              <w:numPr>
                <w:ilvl w:val="0"/>
                <w:numId w:val="1"/>
              </w:numPr>
              <w:jc w:val="left"/>
              <w:rPr>
                <w:b/>
                <w:sz w:val="18"/>
                <w:szCs w:val="18"/>
              </w:rPr>
            </w:pPr>
            <w:r w:rsidRPr="0060702E">
              <w:rPr>
                <w:sz w:val="18"/>
                <w:szCs w:val="18"/>
              </w:rPr>
              <w:t>To provide and develop the legal, administrative and technical basis for international cooperation in plant variety protection according to the UPOV Convention.</w:t>
            </w:r>
          </w:p>
          <w:p w:rsidR="00066B0F" w:rsidRPr="0060702E" w:rsidRDefault="00066B0F" w:rsidP="008F5543">
            <w:pPr>
              <w:keepNext/>
              <w:keepLines/>
              <w:widowControl w:val="0"/>
              <w:jc w:val="left"/>
              <w:rPr>
                <w:b/>
                <w:sz w:val="18"/>
                <w:szCs w:val="18"/>
              </w:rPr>
            </w:pPr>
          </w:p>
        </w:tc>
      </w:tr>
    </w:tbl>
    <w:p w:rsidR="00066B0F" w:rsidRPr="00C67712" w:rsidRDefault="00066B0F" w:rsidP="002D6F42">
      <w:pPr>
        <w:tabs>
          <w:tab w:val="left" w:pos="2410"/>
          <w:tab w:val="left" w:pos="4536"/>
          <w:tab w:val="left" w:pos="9072"/>
        </w:tabs>
        <w:rPr>
          <w:sz w:val="16"/>
          <w:szCs w:val="18"/>
        </w:rPr>
      </w:pPr>
    </w:p>
    <w:p w:rsidR="00C67712" w:rsidRPr="00C67712" w:rsidRDefault="00C67712" w:rsidP="002D6F42">
      <w:pPr>
        <w:tabs>
          <w:tab w:val="left" w:pos="2410"/>
          <w:tab w:val="left" w:pos="4536"/>
          <w:tab w:val="left" w:pos="9072"/>
        </w:tabs>
        <w:rPr>
          <w:sz w:val="16"/>
          <w:szCs w:val="18"/>
        </w:rPr>
      </w:pPr>
    </w:p>
    <w:p w:rsidR="00066B0F" w:rsidRPr="0060702E" w:rsidRDefault="00066B0F" w:rsidP="00066B0F">
      <w:pPr>
        <w:pStyle w:val="Heading5"/>
      </w:pPr>
      <w:bookmarkStart w:id="41" w:name="_Toc398738941"/>
      <w:r w:rsidRPr="0060702E">
        <w:t>Results Achieved:  Selected Performance Indicators</w:t>
      </w:r>
      <w:bookmarkEnd w:id="41"/>
    </w:p>
    <w:p w:rsidR="00066B0F" w:rsidRPr="0060702E" w:rsidRDefault="00066B0F" w:rsidP="002D6F42">
      <w:pPr>
        <w:tabs>
          <w:tab w:val="left" w:pos="2410"/>
          <w:tab w:val="left" w:pos="4536"/>
          <w:tab w:val="left" w:pos="9072"/>
        </w:tabs>
        <w:rPr>
          <w:sz w:val="18"/>
          <w:szCs w:val="18"/>
        </w:rPr>
      </w:pPr>
    </w:p>
    <w:p w:rsidR="00066B0F" w:rsidRPr="0060702E" w:rsidRDefault="00066B0F" w:rsidP="00066B0F">
      <w:pPr>
        <w:pStyle w:val="Heading6"/>
      </w:pPr>
      <w:bookmarkStart w:id="42" w:name="_Toc398738942"/>
      <w:r w:rsidRPr="0060702E">
        <w:t>1.  Guidance on the UPOV Convention and its implementation and information on its application</w:t>
      </w:r>
      <w:bookmarkEnd w:id="42"/>
    </w:p>
    <w:p w:rsidR="00066B0F" w:rsidRPr="0060702E" w:rsidRDefault="00066B0F" w:rsidP="00066B0F"/>
    <w:p w:rsidR="00066B0F" w:rsidRPr="0060702E" w:rsidRDefault="00066B0F" w:rsidP="00066B0F">
      <w:pPr>
        <w:pStyle w:val="Heading8"/>
      </w:pPr>
      <w:bookmarkStart w:id="43" w:name="_Toc398738943"/>
      <w:r w:rsidRPr="0060702E">
        <w:t>(a)  Adoption of new or revised information materials concerning the UPOV Convention</w:t>
      </w:r>
      <w:bookmarkEnd w:id="43"/>
    </w:p>
    <w:p w:rsidR="00066B0F" w:rsidRPr="0060702E" w:rsidRDefault="00066B0F" w:rsidP="00C67712">
      <w:pPr>
        <w:keepNext/>
        <w:keepLines/>
        <w:spacing w:after="120"/>
        <w:ind w:right="176"/>
        <w:jc w:val="left"/>
        <w:rPr>
          <w:color w:val="000000"/>
          <w:sz w:val="18"/>
          <w:szCs w:val="18"/>
        </w:rPr>
      </w:pPr>
      <w:r w:rsidRPr="0060702E">
        <w:rPr>
          <w:color w:val="000000"/>
          <w:sz w:val="18"/>
          <w:szCs w:val="18"/>
        </w:rPr>
        <w:t>The Council adopted:</w:t>
      </w:r>
    </w:p>
    <w:p w:rsidR="00066B0F" w:rsidRPr="0060702E" w:rsidRDefault="00066B0F" w:rsidP="00066B0F">
      <w:pPr>
        <w:tabs>
          <w:tab w:val="num" w:pos="2160"/>
        </w:tabs>
        <w:spacing w:after="60"/>
        <w:ind w:left="1950" w:hanging="1593"/>
        <w:jc w:val="left"/>
        <w:rPr>
          <w:sz w:val="18"/>
          <w:szCs w:val="18"/>
        </w:rPr>
      </w:pPr>
      <w:r w:rsidRPr="0060702E">
        <w:rPr>
          <w:sz w:val="18"/>
          <w:szCs w:val="18"/>
        </w:rPr>
        <w:t>- 1 new information document</w:t>
      </w:r>
    </w:p>
    <w:p w:rsidR="00066B0F" w:rsidRPr="0060702E" w:rsidRDefault="00066B0F" w:rsidP="00066B0F">
      <w:pPr>
        <w:tabs>
          <w:tab w:val="num" w:pos="2444"/>
        </w:tabs>
        <w:spacing w:after="60"/>
        <w:ind w:left="743"/>
        <w:jc w:val="left"/>
        <w:rPr>
          <w:sz w:val="18"/>
          <w:szCs w:val="18"/>
        </w:rPr>
      </w:pPr>
      <w:r w:rsidRPr="0060702E">
        <w:rPr>
          <w:sz w:val="18"/>
          <w:szCs w:val="18"/>
        </w:rPr>
        <w:t>UPOV/INF/21/1</w:t>
      </w:r>
      <w:r w:rsidRPr="0060702E">
        <w:rPr>
          <w:sz w:val="18"/>
          <w:szCs w:val="18"/>
        </w:rPr>
        <w:tab/>
        <w:t>Alternative Dispute Settlement Mechanisms</w:t>
      </w:r>
    </w:p>
    <w:p w:rsidR="00066B0F" w:rsidRPr="0060702E" w:rsidRDefault="00066B0F" w:rsidP="00066B0F">
      <w:pPr>
        <w:tabs>
          <w:tab w:val="num" w:pos="2160"/>
        </w:tabs>
        <w:spacing w:before="120" w:after="60"/>
        <w:ind w:left="1950" w:hanging="1593"/>
        <w:jc w:val="left"/>
        <w:rPr>
          <w:sz w:val="18"/>
          <w:szCs w:val="18"/>
        </w:rPr>
      </w:pPr>
      <w:r w:rsidRPr="0060702E">
        <w:rPr>
          <w:sz w:val="18"/>
          <w:szCs w:val="18"/>
        </w:rPr>
        <w:t>- 11 revisions to previously adopted information documents</w:t>
      </w:r>
    </w:p>
    <w:p w:rsidR="00066B0F" w:rsidRPr="0060702E" w:rsidRDefault="00066B0F" w:rsidP="00066B0F">
      <w:pPr>
        <w:tabs>
          <w:tab w:val="num" w:pos="2444"/>
        </w:tabs>
        <w:spacing w:after="60"/>
        <w:ind w:left="2444" w:hanging="1701"/>
        <w:jc w:val="left"/>
        <w:rPr>
          <w:sz w:val="18"/>
          <w:szCs w:val="18"/>
        </w:rPr>
      </w:pPr>
      <w:r w:rsidRPr="0060702E">
        <w:rPr>
          <w:sz w:val="18"/>
          <w:szCs w:val="18"/>
        </w:rPr>
        <w:t>UPOV/INF/4/2:</w:t>
      </w:r>
      <w:r w:rsidRPr="0060702E">
        <w:rPr>
          <w:sz w:val="18"/>
          <w:szCs w:val="18"/>
        </w:rPr>
        <w:tab/>
        <w:t xml:space="preserve">Financial Regulations and Rules of UPOV (Revision) </w:t>
      </w:r>
    </w:p>
    <w:p w:rsidR="00066B0F" w:rsidRPr="0060702E" w:rsidRDefault="00066B0F" w:rsidP="00066B0F">
      <w:pPr>
        <w:tabs>
          <w:tab w:val="num" w:pos="2444"/>
        </w:tabs>
        <w:spacing w:after="60"/>
        <w:ind w:left="2444" w:hanging="1701"/>
        <w:jc w:val="left"/>
        <w:rPr>
          <w:sz w:val="18"/>
          <w:szCs w:val="18"/>
        </w:rPr>
      </w:pPr>
      <w:r w:rsidRPr="0060702E">
        <w:rPr>
          <w:sz w:val="18"/>
          <w:szCs w:val="18"/>
        </w:rPr>
        <w:t>UPOV/INF/4/3:</w:t>
      </w:r>
      <w:r w:rsidRPr="0060702E">
        <w:rPr>
          <w:sz w:val="18"/>
          <w:szCs w:val="18"/>
        </w:rPr>
        <w:tab/>
        <w:t xml:space="preserve">Financial Regulations and Rules of UPOV (Revision) </w:t>
      </w:r>
    </w:p>
    <w:p w:rsidR="00066B0F" w:rsidRPr="0060702E" w:rsidRDefault="00066B0F" w:rsidP="00066B0F">
      <w:pPr>
        <w:tabs>
          <w:tab w:val="num" w:pos="2444"/>
        </w:tabs>
        <w:spacing w:after="60"/>
        <w:ind w:left="2444" w:hanging="1701"/>
        <w:jc w:val="left"/>
        <w:rPr>
          <w:sz w:val="18"/>
          <w:szCs w:val="18"/>
        </w:rPr>
      </w:pPr>
      <w:r w:rsidRPr="0060702E">
        <w:rPr>
          <w:sz w:val="18"/>
          <w:szCs w:val="18"/>
        </w:rPr>
        <w:t>UPOV/INF/6/3</w:t>
      </w:r>
      <w:r w:rsidRPr="0060702E">
        <w:rPr>
          <w:sz w:val="18"/>
          <w:szCs w:val="18"/>
        </w:rPr>
        <w:tab/>
        <w:t>Guidance for the preparation of laws based on the 1991 Act of the UPOV Convention (Revision)</w:t>
      </w:r>
    </w:p>
    <w:p w:rsidR="00066B0F" w:rsidRPr="0060702E" w:rsidRDefault="00066B0F" w:rsidP="00066B0F">
      <w:pPr>
        <w:tabs>
          <w:tab w:val="num" w:pos="2444"/>
        </w:tabs>
        <w:spacing w:after="60"/>
        <w:ind w:left="2444" w:hanging="1701"/>
        <w:jc w:val="left"/>
        <w:rPr>
          <w:sz w:val="18"/>
          <w:szCs w:val="18"/>
        </w:rPr>
      </w:pPr>
      <w:r w:rsidRPr="0060702E">
        <w:rPr>
          <w:sz w:val="18"/>
          <w:szCs w:val="18"/>
        </w:rPr>
        <w:t>UPOV/INF/15/2</w:t>
      </w:r>
      <w:r w:rsidRPr="0060702E">
        <w:rPr>
          <w:sz w:val="18"/>
          <w:szCs w:val="18"/>
        </w:rPr>
        <w:tab/>
        <w:t>Guidance for Members of UPOV on Ongoing Obligations and Related Notifications and on the Provision of Information to Facilitate Cooperation (Revision)</w:t>
      </w:r>
    </w:p>
    <w:p w:rsidR="00066B0F" w:rsidRPr="0060702E" w:rsidRDefault="00066B0F" w:rsidP="00066B0F">
      <w:pPr>
        <w:tabs>
          <w:tab w:val="num" w:pos="2444"/>
        </w:tabs>
        <w:spacing w:after="60"/>
        <w:ind w:left="2444" w:hanging="1701"/>
        <w:jc w:val="left"/>
        <w:rPr>
          <w:sz w:val="18"/>
          <w:szCs w:val="18"/>
        </w:rPr>
      </w:pPr>
      <w:r w:rsidRPr="0060702E">
        <w:rPr>
          <w:sz w:val="18"/>
          <w:szCs w:val="18"/>
        </w:rPr>
        <w:t>UPOV/INF/16/3</w:t>
      </w:r>
      <w:r w:rsidRPr="0060702E">
        <w:rPr>
          <w:sz w:val="18"/>
          <w:szCs w:val="18"/>
        </w:rPr>
        <w:tab/>
        <w:t>Exchangeable Software (Revision)</w:t>
      </w:r>
    </w:p>
    <w:p w:rsidR="00066B0F" w:rsidRPr="0060702E" w:rsidRDefault="00066B0F" w:rsidP="00066B0F">
      <w:pPr>
        <w:tabs>
          <w:tab w:val="num" w:pos="2444"/>
        </w:tabs>
        <w:spacing w:after="60"/>
        <w:ind w:left="2444" w:hanging="1701"/>
        <w:jc w:val="left"/>
        <w:rPr>
          <w:sz w:val="18"/>
          <w:szCs w:val="18"/>
        </w:rPr>
      </w:pPr>
      <w:r w:rsidRPr="0060702E">
        <w:rPr>
          <w:sz w:val="18"/>
          <w:szCs w:val="18"/>
        </w:rPr>
        <w:t>UPOV/INF/19/1</w:t>
      </w:r>
      <w:r w:rsidRPr="0060702E">
        <w:rPr>
          <w:sz w:val="18"/>
          <w:szCs w:val="18"/>
        </w:rPr>
        <w:tab/>
        <w:t>Rules governing the granting of observer status to States, intergovernmental organizations and international non-governmental organizations in UPOV bodies (Revision)</w:t>
      </w:r>
    </w:p>
    <w:p w:rsidR="00066B0F" w:rsidRPr="0060702E" w:rsidRDefault="00066B0F" w:rsidP="00066B0F">
      <w:pPr>
        <w:tabs>
          <w:tab w:val="num" w:pos="2444"/>
        </w:tabs>
        <w:spacing w:after="60"/>
        <w:ind w:left="2444" w:hanging="1701"/>
        <w:jc w:val="left"/>
        <w:rPr>
          <w:sz w:val="18"/>
          <w:szCs w:val="18"/>
        </w:rPr>
      </w:pPr>
      <w:r w:rsidRPr="0060702E">
        <w:rPr>
          <w:sz w:val="18"/>
          <w:szCs w:val="18"/>
        </w:rPr>
        <w:t>UPOV/INF/20/1</w:t>
      </w:r>
      <w:r w:rsidRPr="0060702E">
        <w:rPr>
          <w:sz w:val="18"/>
          <w:szCs w:val="18"/>
        </w:rPr>
        <w:tab/>
        <w:t>Rules governing access to UPOV documents (Revision)</w:t>
      </w:r>
    </w:p>
    <w:p w:rsidR="00066B0F" w:rsidRPr="0060702E" w:rsidRDefault="00066B0F" w:rsidP="00066B0F">
      <w:pPr>
        <w:tabs>
          <w:tab w:val="num" w:pos="2444"/>
        </w:tabs>
        <w:spacing w:after="60"/>
        <w:ind w:left="2444" w:hanging="1701"/>
        <w:jc w:val="left"/>
        <w:rPr>
          <w:sz w:val="18"/>
          <w:szCs w:val="18"/>
        </w:rPr>
      </w:pPr>
      <w:r w:rsidRPr="0060702E">
        <w:rPr>
          <w:sz w:val="18"/>
          <w:szCs w:val="18"/>
        </w:rPr>
        <w:t>UPOV/INF-EXN/2:</w:t>
      </w:r>
      <w:r w:rsidRPr="0060702E">
        <w:rPr>
          <w:sz w:val="18"/>
          <w:szCs w:val="18"/>
        </w:rPr>
        <w:tab/>
        <w:t xml:space="preserve">List of INF-EXN Documents and Latest Issue Dates (Revision) </w:t>
      </w:r>
    </w:p>
    <w:p w:rsidR="00066B0F" w:rsidRPr="0060702E" w:rsidRDefault="00066B0F" w:rsidP="00066B0F">
      <w:pPr>
        <w:tabs>
          <w:tab w:val="num" w:pos="2444"/>
        </w:tabs>
        <w:spacing w:after="60"/>
        <w:ind w:left="2444" w:hanging="1701"/>
        <w:jc w:val="left"/>
        <w:rPr>
          <w:sz w:val="18"/>
          <w:szCs w:val="18"/>
        </w:rPr>
      </w:pPr>
      <w:r w:rsidRPr="0060702E">
        <w:rPr>
          <w:sz w:val="18"/>
          <w:szCs w:val="18"/>
        </w:rPr>
        <w:t>UPOV/INF-EXN/3</w:t>
      </w:r>
      <w:r w:rsidRPr="0060702E">
        <w:rPr>
          <w:sz w:val="18"/>
          <w:szCs w:val="18"/>
        </w:rPr>
        <w:tab/>
        <w:t>List of INF-EXN Documents and Latest Issue Dates (Revision)</w:t>
      </w:r>
    </w:p>
    <w:p w:rsidR="00066B0F" w:rsidRPr="0060702E" w:rsidRDefault="00066B0F" w:rsidP="00066B0F">
      <w:pPr>
        <w:tabs>
          <w:tab w:val="num" w:pos="2444"/>
        </w:tabs>
        <w:spacing w:after="60"/>
        <w:ind w:left="2444" w:hanging="1701"/>
        <w:jc w:val="left"/>
        <w:rPr>
          <w:sz w:val="18"/>
          <w:szCs w:val="18"/>
        </w:rPr>
      </w:pPr>
      <w:r w:rsidRPr="0060702E">
        <w:rPr>
          <w:sz w:val="18"/>
          <w:szCs w:val="18"/>
        </w:rPr>
        <w:t>UPOV/INF-EXN/4</w:t>
      </w:r>
      <w:r w:rsidRPr="0060702E">
        <w:rPr>
          <w:sz w:val="18"/>
          <w:szCs w:val="18"/>
        </w:rPr>
        <w:tab/>
        <w:t>List of INF-EXN Documents and Latest Issue Dates (Revision)</w:t>
      </w:r>
    </w:p>
    <w:p w:rsidR="00066B0F" w:rsidRPr="0060702E" w:rsidRDefault="00066B0F" w:rsidP="00066B0F">
      <w:pPr>
        <w:tabs>
          <w:tab w:val="num" w:pos="2444"/>
        </w:tabs>
        <w:spacing w:after="60"/>
        <w:ind w:left="2444" w:hanging="1701"/>
        <w:jc w:val="left"/>
        <w:rPr>
          <w:sz w:val="18"/>
          <w:szCs w:val="18"/>
        </w:rPr>
      </w:pPr>
      <w:r w:rsidRPr="0060702E">
        <w:rPr>
          <w:sz w:val="18"/>
          <w:szCs w:val="18"/>
        </w:rPr>
        <w:t>UPOV/INF-EXN/5</w:t>
      </w:r>
      <w:r w:rsidRPr="0060702E">
        <w:rPr>
          <w:sz w:val="18"/>
          <w:szCs w:val="18"/>
        </w:rPr>
        <w:tab/>
        <w:t>List of INF-EXN Documents and Latest Issue Dates (Revision)</w:t>
      </w:r>
    </w:p>
    <w:p w:rsidR="00066B0F" w:rsidRPr="0060702E" w:rsidRDefault="00066B0F" w:rsidP="00066B0F">
      <w:pPr>
        <w:tabs>
          <w:tab w:val="num" w:pos="2160"/>
        </w:tabs>
        <w:spacing w:before="120" w:after="60"/>
        <w:ind w:left="1950" w:hanging="1593"/>
        <w:jc w:val="left"/>
        <w:rPr>
          <w:sz w:val="18"/>
          <w:szCs w:val="18"/>
        </w:rPr>
      </w:pPr>
      <w:r w:rsidRPr="0060702E">
        <w:rPr>
          <w:sz w:val="18"/>
          <w:szCs w:val="18"/>
        </w:rPr>
        <w:t>- 2 new explanatory notes</w:t>
      </w:r>
    </w:p>
    <w:p w:rsidR="00066B0F" w:rsidRPr="0060702E" w:rsidRDefault="00066B0F" w:rsidP="00066B0F">
      <w:pPr>
        <w:tabs>
          <w:tab w:val="num" w:pos="2160"/>
        </w:tabs>
        <w:spacing w:before="120" w:after="60"/>
        <w:ind w:left="1950" w:hanging="1593"/>
        <w:jc w:val="left"/>
        <w:rPr>
          <w:sz w:val="18"/>
          <w:szCs w:val="18"/>
        </w:rPr>
      </w:pPr>
    </w:p>
    <w:p w:rsidR="00066B0F" w:rsidRPr="0060702E" w:rsidRDefault="00066B0F" w:rsidP="00066B0F">
      <w:pPr>
        <w:tabs>
          <w:tab w:val="num" w:pos="2444"/>
        </w:tabs>
        <w:spacing w:after="60"/>
        <w:ind w:left="2444" w:hanging="1701"/>
        <w:jc w:val="left"/>
        <w:rPr>
          <w:sz w:val="18"/>
          <w:szCs w:val="18"/>
        </w:rPr>
      </w:pPr>
      <w:r w:rsidRPr="0060702E">
        <w:rPr>
          <w:sz w:val="18"/>
          <w:szCs w:val="18"/>
        </w:rPr>
        <w:t>UPOV/EXN/BRD/1</w:t>
      </w:r>
      <w:r w:rsidRPr="0060702E">
        <w:rPr>
          <w:sz w:val="18"/>
          <w:szCs w:val="18"/>
        </w:rPr>
        <w:tab/>
        <w:t>Explanatory Notes on the Definition of Breeder under the 1991 Act of the UPOV Convention</w:t>
      </w:r>
    </w:p>
    <w:p w:rsidR="00066B0F" w:rsidRPr="0060702E" w:rsidRDefault="00066B0F" w:rsidP="00066B0F">
      <w:pPr>
        <w:tabs>
          <w:tab w:val="num" w:pos="2444"/>
        </w:tabs>
        <w:spacing w:after="60"/>
        <w:ind w:left="2444" w:hanging="1701"/>
        <w:jc w:val="left"/>
        <w:rPr>
          <w:sz w:val="18"/>
          <w:szCs w:val="18"/>
        </w:rPr>
      </w:pPr>
      <w:r w:rsidRPr="0060702E">
        <w:rPr>
          <w:sz w:val="18"/>
          <w:szCs w:val="18"/>
        </w:rPr>
        <w:t>UPOV/EXN/HRV/1</w:t>
      </w:r>
      <w:r w:rsidRPr="0060702E">
        <w:rPr>
          <w:sz w:val="18"/>
          <w:szCs w:val="18"/>
        </w:rPr>
        <w:tab/>
        <w:t>Explanatory Notes on Acts in Respect of Harvested Material under the 1991 Act of the UPOV Convention</w:t>
      </w:r>
    </w:p>
    <w:p w:rsidR="00066B0F" w:rsidRPr="0060702E" w:rsidRDefault="00066B0F" w:rsidP="00066B0F">
      <w:pPr>
        <w:tabs>
          <w:tab w:val="num" w:pos="2160"/>
        </w:tabs>
        <w:spacing w:before="120" w:after="60"/>
        <w:ind w:left="1950" w:hanging="1593"/>
        <w:jc w:val="left"/>
        <w:rPr>
          <w:sz w:val="18"/>
          <w:szCs w:val="18"/>
        </w:rPr>
      </w:pPr>
      <w:r w:rsidRPr="0060702E">
        <w:rPr>
          <w:sz w:val="18"/>
          <w:szCs w:val="18"/>
        </w:rPr>
        <w:t>- 1 revision to previously adopted explanatory notes</w:t>
      </w:r>
    </w:p>
    <w:p w:rsidR="00066B0F" w:rsidRPr="0060702E" w:rsidRDefault="00066B0F" w:rsidP="00066B0F">
      <w:pPr>
        <w:tabs>
          <w:tab w:val="num" w:pos="2444"/>
        </w:tabs>
        <w:spacing w:after="60"/>
        <w:ind w:left="2444" w:hanging="1701"/>
        <w:jc w:val="left"/>
        <w:rPr>
          <w:sz w:val="18"/>
          <w:szCs w:val="18"/>
        </w:rPr>
      </w:pPr>
      <w:r w:rsidRPr="0060702E">
        <w:rPr>
          <w:sz w:val="18"/>
          <w:szCs w:val="18"/>
        </w:rPr>
        <w:t>UPOV/INF/12/4</w:t>
      </w:r>
      <w:r w:rsidRPr="0060702E">
        <w:rPr>
          <w:sz w:val="18"/>
          <w:szCs w:val="18"/>
        </w:rPr>
        <w:tab/>
        <w:t>Explanatory Notes on Variety Denominations under the UPOV Convention (Revision)</w:t>
      </w:r>
    </w:p>
    <w:p w:rsidR="00066B0F" w:rsidRPr="0060702E" w:rsidRDefault="00066B0F" w:rsidP="00066B0F"/>
    <w:p w:rsidR="00C67712" w:rsidRDefault="00C67712">
      <w:pPr>
        <w:jc w:val="left"/>
        <w:rPr>
          <w:color w:val="000000"/>
          <w:sz w:val="18"/>
          <w:szCs w:val="18"/>
        </w:rPr>
      </w:pPr>
      <w:r>
        <w:rPr>
          <w:color w:val="000000"/>
          <w:sz w:val="18"/>
          <w:szCs w:val="18"/>
        </w:rPr>
        <w:br w:type="page"/>
      </w:r>
    </w:p>
    <w:p w:rsidR="00066B0F" w:rsidRPr="0060702E" w:rsidRDefault="00066B0F" w:rsidP="00066B0F">
      <w:pPr>
        <w:spacing w:after="240"/>
        <w:jc w:val="left"/>
        <w:rPr>
          <w:color w:val="000000"/>
          <w:sz w:val="18"/>
          <w:szCs w:val="18"/>
        </w:rPr>
      </w:pPr>
      <w:r w:rsidRPr="0060702E">
        <w:rPr>
          <w:color w:val="000000"/>
          <w:sz w:val="18"/>
          <w:szCs w:val="18"/>
        </w:rPr>
        <w:t xml:space="preserve">The CAJ, in conjunction with the Administrative and Legal Committee Advisory Group (CAJ-AG) and TC, as appropriate, considered drafts of the following: </w:t>
      </w:r>
    </w:p>
    <w:p w:rsidR="00066B0F" w:rsidRPr="0060702E" w:rsidRDefault="00066B0F" w:rsidP="00066B0F">
      <w:pPr>
        <w:tabs>
          <w:tab w:val="num" w:pos="2160"/>
        </w:tabs>
        <w:spacing w:before="120" w:after="60"/>
        <w:ind w:left="1950" w:hanging="1593"/>
        <w:jc w:val="left"/>
        <w:rPr>
          <w:sz w:val="18"/>
          <w:szCs w:val="18"/>
        </w:rPr>
      </w:pPr>
      <w:r w:rsidRPr="0060702E">
        <w:rPr>
          <w:sz w:val="18"/>
          <w:szCs w:val="18"/>
        </w:rPr>
        <w:t>- 2 new information documents</w:t>
      </w:r>
    </w:p>
    <w:p w:rsidR="00066B0F" w:rsidRPr="0060702E" w:rsidRDefault="00066B0F" w:rsidP="00066B0F">
      <w:pPr>
        <w:tabs>
          <w:tab w:val="num" w:pos="2444"/>
        </w:tabs>
        <w:spacing w:after="60"/>
        <w:ind w:left="2444" w:hanging="1701"/>
        <w:jc w:val="left"/>
        <w:rPr>
          <w:sz w:val="18"/>
          <w:szCs w:val="18"/>
        </w:rPr>
      </w:pPr>
      <w:r w:rsidRPr="0060702E">
        <w:rPr>
          <w:sz w:val="18"/>
          <w:szCs w:val="18"/>
        </w:rPr>
        <w:t>UPOV/INF/15</w:t>
      </w:r>
      <w:r w:rsidRPr="0060702E">
        <w:rPr>
          <w:sz w:val="18"/>
          <w:szCs w:val="18"/>
        </w:rPr>
        <w:tab/>
        <w:t>Guidance for members of UPOV on ongoing obligations and related notifications and on the provision of information to facilitate cooperation</w:t>
      </w:r>
    </w:p>
    <w:p w:rsidR="00066B0F" w:rsidRPr="0060702E" w:rsidRDefault="00066B0F" w:rsidP="00066B0F">
      <w:pPr>
        <w:tabs>
          <w:tab w:val="num" w:pos="2444"/>
        </w:tabs>
        <w:spacing w:after="60"/>
        <w:ind w:left="2444" w:hanging="1701"/>
        <w:jc w:val="left"/>
        <w:rPr>
          <w:sz w:val="18"/>
          <w:szCs w:val="18"/>
        </w:rPr>
      </w:pPr>
      <w:r w:rsidRPr="0060702E">
        <w:rPr>
          <w:sz w:val="18"/>
          <w:szCs w:val="18"/>
        </w:rPr>
        <w:t>UPOV/INF/ADS</w:t>
      </w:r>
      <w:r w:rsidRPr="0060702E">
        <w:rPr>
          <w:sz w:val="18"/>
          <w:szCs w:val="18"/>
        </w:rPr>
        <w:tab/>
        <w:t>Alternative Dispute Settlement Mechanisms</w:t>
      </w:r>
    </w:p>
    <w:p w:rsidR="00066B0F" w:rsidRPr="0060702E" w:rsidRDefault="00066B0F" w:rsidP="00066B0F">
      <w:pPr>
        <w:tabs>
          <w:tab w:val="num" w:pos="2160"/>
        </w:tabs>
        <w:spacing w:before="120" w:after="60"/>
        <w:ind w:left="1950" w:hanging="1593"/>
        <w:jc w:val="left"/>
        <w:rPr>
          <w:sz w:val="18"/>
          <w:szCs w:val="18"/>
        </w:rPr>
      </w:pPr>
      <w:r w:rsidRPr="0060702E">
        <w:rPr>
          <w:sz w:val="18"/>
          <w:szCs w:val="18"/>
        </w:rPr>
        <w:t>- 1 revision to previously adopted information documents</w:t>
      </w:r>
    </w:p>
    <w:p w:rsidR="00066B0F" w:rsidRPr="0060702E" w:rsidRDefault="00066B0F" w:rsidP="00066B0F">
      <w:pPr>
        <w:tabs>
          <w:tab w:val="num" w:pos="2444"/>
        </w:tabs>
        <w:spacing w:after="60"/>
        <w:ind w:left="743"/>
        <w:jc w:val="left"/>
        <w:rPr>
          <w:sz w:val="18"/>
          <w:szCs w:val="18"/>
        </w:rPr>
      </w:pPr>
      <w:r w:rsidRPr="0060702E">
        <w:rPr>
          <w:sz w:val="18"/>
          <w:szCs w:val="18"/>
        </w:rPr>
        <w:t>UPOV/INF/16</w:t>
      </w:r>
      <w:r w:rsidRPr="0060702E">
        <w:rPr>
          <w:sz w:val="18"/>
          <w:szCs w:val="18"/>
        </w:rPr>
        <w:tab/>
        <w:t>Exchangeable Software (Revision)</w:t>
      </w:r>
    </w:p>
    <w:p w:rsidR="00066B0F" w:rsidRPr="0060702E" w:rsidRDefault="00066B0F" w:rsidP="00066B0F">
      <w:pPr>
        <w:tabs>
          <w:tab w:val="num" w:pos="2160"/>
        </w:tabs>
        <w:spacing w:before="120" w:after="60"/>
        <w:ind w:left="1950" w:hanging="1593"/>
        <w:jc w:val="left"/>
        <w:rPr>
          <w:sz w:val="18"/>
          <w:szCs w:val="18"/>
        </w:rPr>
      </w:pPr>
      <w:r w:rsidRPr="0060702E">
        <w:rPr>
          <w:sz w:val="18"/>
          <w:szCs w:val="18"/>
        </w:rPr>
        <w:t>- 3 new explanatory notes</w:t>
      </w:r>
    </w:p>
    <w:p w:rsidR="00066B0F" w:rsidRPr="0060702E" w:rsidRDefault="00066B0F" w:rsidP="00066B0F">
      <w:pPr>
        <w:tabs>
          <w:tab w:val="num" w:pos="2444"/>
        </w:tabs>
        <w:spacing w:after="60"/>
        <w:ind w:left="2444" w:hanging="1701"/>
        <w:jc w:val="left"/>
        <w:rPr>
          <w:sz w:val="18"/>
          <w:szCs w:val="18"/>
        </w:rPr>
      </w:pPr>
      <w:r w:rsidRPr="0060702E">
        <w:rPr>
          <w:sz w:val="18"/>
          <w:szCs w:val="18"/>
        </w:rPr>
        <w:t>UPOV/EXN/BRD</w:t>
      </w:r>
      <w:r w:rsidRPr="0060702E">
        <w:rPr>
          <w:sz w:val="18"/>
          <w:szCs w:val="18"/>
        </w:rPr>
        <w:tab/>
        <w:t>Explanatory Notes on the Definition of Breeder under the 1991 Act of the UPOV Convention</w:t>
      </w:r>
    </w:p>
    <w:p w:rsidR="00066B0F" w:rsidRPr="0060702E" w:rsidRDefault="00066B0F" w:rsidP="00066B0F">
      <w:pPr>
        <w:tabs>
          <w:tab w:val="num" w:pos="2444"/>
        </w:tabs>
        <w:spacing w:after="60"/>
        <w:ind w:left="2444" w:hanging="1701"/>
        <w:jc w:val="left"/>
        <w:rPr>
          <w:sz w:val="18"/>
          <w:szCs w:val="18"/>
        </w:rPr>
      </w:pPr>
      <w:r w:rsidRPr="0060702E">
        <w:rPr>
          <w:sz w:val="18"/>
          <w:szCs w:val="18"/>
        </w:rPr>
        <w:t>UPOV/EXN/HRV</w:t>
      </w:r>
      <w:r w:rsidRPr="0060702E">
        <w:rPr>
          <w:sz w:val="18"/>
          <w:szCs w:val="18"/>
        </w:rPr>
        <w:tab/>
        <w:t>Explanatory Notes on Acts in Respect of Harvested Material under the 1991 Act of the UPOV Convention</w:t>
      </w:r>
    </w:p>
    <w:p w:rsidR="00066B0F" w:rsidRPr="0060702E" w:rsidRDefault="00066B0F" w:rsidP="00066B0F">
      <w:pPr>
        <w:tabs>
          <w:tab w:val="num" w:pos="2160"/>
        </w:tabs>
        <w:spacing w:before="120" w:after="60"/>
        <w:ind w:left="1950" w:hanging="1593"/>
        <w:jc w:val="left"/>
        <w:rPr>
          <w:sz w:val="18"/>
          <w:szCs w:val="18"/>
        </w:rPr>
      </w:pPr>
      <w:r w:rsidRPr="0060702E">
        <w:rPr>
          <w:sz w:val="18"/>
          <w:szCs w:val="18"/>
        </w:rPr>
        <w:t>- 1 revision to previously adopted explanatory notes</w:t>
      </w:r>
    </w:p>
    <w:p w:rsidR="00066B0F" w:rsidRPr="0060702E" w:rsidRDefault="00066B0F" w:rsidP="00066B0F">
      <w:pPr>
        <w:tabs>
          <w:tab w:val="num" w:pos="2444"/>
        </w:tabs>
        <w:spacing w:after="60"/>
        <w:ind w:left="2444" w:hanging="1701"/>
        <w:jc w:val="left"/>
        <w:rPr>
          <w:sz w:val="18"/>
          <w:szCs w:val="18"/>
        </w:rPr>
      </w:pPr>
      <w:r w:rsidRPr="0060702E">
        <w:rPr>
          <w:sz w:val="18"/>
          <w:szCs w:val="18"/>
        </w:rPr>
        <w:t>UPOV/EXN/EDV</w:t>
      </w:r>
      <w:r w:rsidRPr="0060702E">
        <w:rPr>
          <w:sz w:val="18"/>
          <w:szCs w:val="18"/>
        </w:rPr>
        <w:tab/>
        <w:t>Explanatory Notes on Essentially Derived Varieties under the 1991 Act of the UPOV Convention (Revision)</w:t>
      </w:r>
    </w:p>
    <w:p w:rsidR="00066B0F" w:rsidRPr="0060702E" w:rsidRDefault="00066B0F" w:rsidP="00C67712">
      <w:pPr>
        <w:spacing w:before="120" w:after="60"/>
        <w:ind w:left="470" w:hanging="113"/>
        <w:jc w:val="left"/>
        <w:rPr>
          <w:sz w:val="18"/>
          <w:szCs w:val="18"/>
        </w:rPr>
      </w:pPr>
      <w:r w:rsidRPr="0060702E">
        <w:rPr>
          <w:sz w:val="18"/>
          <w:szCs w:val="18"/>
        </w:rPr>
        <w:t xml:space="preserve">- </w:t>
      </w:r>
      <w:proofErr w:type="gramStart"/>
      <w:r w:rsidRPr="0060702E">
        <w:rPr>
          <w:sz w:val="18"/>
          <w:szCs w:val="18"/>
        </w:rPr>
        <w:t>for</w:t>
      </w:r>
      <w:proofErr w:type="gramEnd"/>
      <w:r w:rsidRPr="0060702E">
        <w:rPr>
          <w:sz w:val="18"/>
          <w:szCs w:val="18"/>
        </w:rPr>
        <w:t xml:space="preserve"> TGP documents, see Section 2.2 “Sub-Program UV.2”, expected result “2. Guidance on the examination of varieties”</w:t>
      </w:r>
      <w:r w:rsidR="00BE5C04" w:rsidRPr="0060702E">
        <w:rPr>
          <w:sz w:val="18"/>
          <w:szCs w:val="18"/>
        </w:rPr>
        <w:t xml:space="preserve"> and</w:t>
      </w:r>
      <w:r w:rsidRPr="0060702E">
        <w:rPr>
          <w:sz w:val="18"/>
          <w:szCs w:val="18"/>
        </w:rPr>
        <w:t xml:space="preserve"> “(a) Adoption of new or revised TGP documents and information materials”</w:t>
      </w:r>
    </w:p>
    <w:p w:rsidR="00066B0F" w:rsidRDefault="00066B0F" w:rsidP="00066B0F">
      <w:pPr>
        <w:rPr>
          <w:sz w:val="18"/>
          <w:szCs w:val="18"/>
        </w:rPr>
      </w:pPr>
    </w:p>
    <w:p w:rsidR="00EC03AE" w:rsidRPr="0060702E" w:rsidRDefault="00EC03AE" w:rsidP="00066B0F">
      <w:pPr>
        <w:rPr>
          <w:sz w:val="18"/>
          <w:szCs w:val="18"/>
        </w:rPr>
      </w:pPr>
    </w:p>
    <w:p w:rsidR="00066B0F" w:rsidRPr="0060702E" w:rsidRDefault="00066B0F" w:rsidP="00066B0F">
      <w:pPr>
        <w:pStyle w:val="Heading8"/>
      </w:pPr>
      <w:bookmarkStart w:id="44" w:name="_Toc398738944"/>
      <w:r w:rsidRPr="0060702E">
        <w:t>(b)  Publication of the UPOV Gazette and Newsletter</w:t>
      </w:r>
      <w:bookmarkEnd w:id="44"/>
    </w:p>
    <w:p w:rsidR="00066B0F" w:rsidRPr="0060702E" w:rsidRDefault="00BE5C04" w:rsidP="00066B0F">
      <w:pPr>
        <w:rPr>
          <w:color w:val="000000"/>
          <w:sz w:val="18"/>
          <w:szCs w:val="18"/>
        </w:rPr>
      </w:pPr>
      <w:r w:rsidRPr="0060702E">
        <w:rPr>
          <w:color w:val="000000"/>
          <w:sz w:val="18"/>
          <w:szCs w:val="18"/>
        </w:rPr>
        <w:t>Two</w:t>
      </w:r>
      <w:r w:rsidR="00066B0F" w:rsidRPr="0060702E">
        <w:rPr>
          <w:color w:val="000000"/>
          <w:sz w:val="18"/>
          <w:szCs w:val="18"/>
        </w:rPr>
        <w:t xml:space="preserve"> issues of UPOV Publication No. 438 “Plant Variety Protection Gazette and Newsletter” (English only) were published in the 2012-2013 Biennium</w:t>
      </w:r>
      <w:r w:rsidRPr="0060702E">
        <w:rPr>
          <w:color w:val="000000"/>
          <w:sz w:val="18"/>
          <w:szCs w:val="18"/>
        </w:rPr>
        <w:t>.</w:t>
      </w:r>
    </w:p>
    <w:p w:rsidR="00066B0F" w:rsidRDefault="00066B0F" w:rsidP="00066B0F">
      <w:pPr>
        <w:rPr>
          <w:color w:val="000000"/>
          <w:sz w:val="18"/>
          <w:szCs w:val="18"/>
        </w:rPr>
      </w:pPr>
    </w:p>
    <w:p w:rsidR="00EC03AE" w:rsidRPr="0060702E" w:rsidRDefault="00EC03AE" w:rsidP="00066B0F">
      <w:pPr>
        <w:rPr>
          <w:color w:val="000000"/>
          <w:sz w:val="18"/>
          <w:szCs w:val="18"/>
        </w:rPr>
      </w:pPr>
    </w:p>
    <w:p w:rsidR="00066B0F" w:rsidRPr="0060702E" w:rsidRDefault="00066B0F" w:rsidP="00066B0F">
      <w:pPr>
        <w:pStyle w:val="Heading8"/>
        <w:rPr>
          <w:szCs w:val="18"/>
        </w:rPr>
      </w:pPr>
      <w:bookmarkStart w:id="45" w:name="_Toc398738945"/>
      <w:r w:rsidRPr="0060702E">
        <w:rPr>
          <w:szCs w:val="18"/>
        </w:rPr>
        <w:t>(c)  Inclusion of laws of members of the Union in UPOV Lex database</w:t>
      </w:r>
      <w:bookmarkEnd w:id="45"/>
    </w:p>
    <w:p w:rsidR="00066B0F" w:rsidRPr="0060702E" w:rsidRDefault="00066B0F" w:rsidP="00066B0F">
      <w:pPr>
        <w:keepNext/>
        <w:keepLines/>
        <w:numPr>
          <w:ilvl w:val="0"/>
          <w:numId w:val="2"/>
        </w:numPr>
        <w:spacing w:after="120"/>
        <w:ind w:right="176"/>
        <w:jc w:val="left"/>
        <w:rPr>
          <w:sz w:val="18"/>
          <w:szCs w:val="18"/>
        </w:rPr>
      </w:pPr>
      <w:r w:rsidRPr="0060702E">
        <w:rPr>
          <w:sz w:val="18"/>
          <w:szCs w:val="18"/>
        </w:rPr>
        <w:t xml:space="preserve">11 laws concerning 9 members of the Union were included in the UPOV Lex database </w:t>
      </w:r>
      <w:r w:rsidRPr="0060702E">
        <w:rPr>
          <w:sz w:val="18"/>
          <w:szCs w:val="18"/>
        </w:rPr>
        <w:br/>
        <w:t>(Australia, Croatia, France, Ireland, Panama, Poland, Serbia, United States of America and Viet Nam)</w:t>
      </w:r>
    </w:p>
    <w:p w:rsidR="00066B0F" w:rsidRPr="0060702E" w:rsidRDefault="00066B0F" w:rsidP="00066B0F"/>
    <w:p w:rsidR="00066B0F" w:rsidRPr="0060702E" w:rsidRDefault="00066B0F" w:rsidP="00C67712">
      <w:pPr>
        <w:pStyle w:val="Heading8"/>
        <w:jc w:val="center"/>
      </w:pPr>
      <w:bookmarkStart w:id="46" w:name="_Toc398738946"/>
      <w:r w:rsidRPr="0060702E">
        <w:t>UPOV Lex database</w:t>
      </w:r>
      <w:r w:rsidR="00D04EA8">
        <w:t>:  visits</w:t>
      </w:r>
      <w:r w:rsidRPr="0060702E">
        <w:t xml:space="preserve"> </w:t>
      </w:r>
      <w:r w:rsidR="00D04EA8">
        <w:t xml:space="preserve">to </w:t>
      </w:r>
      <w:r w:rsidRPr="0060702E">
        <w:t>the UPOV Website</w:t>
      </w:r>
      <w:r w:rsidRPr="0060702E">
        <w:rPr>
          <w:rStyle w:val="EndnoteReference"/>
          <w:b/>
          <w:szCs w:val="18"/>
        </w:rPr>
        <w:endnoteReference w:id="2"/>
      </w:r>
      <w:r w:rsidRPr="0060702E">
        <w:rPr>
          <w:b/>
        </w:rPr>
        <w:t xml:space="preserve"> </w:t>
      </w:r>
      <w:r w:rsidRPr="0060702E">
        <w:t>in 2013</w:t>
      </w:r>
      <w:bookmarkEnd w:id="46"/>
    </w:p>
    <w:tbl>
      <w:tblPr>
        <w:tblW w:w="4254" w:type="dxa"/>
        <w:jc w:val="center"/>
        <w:tblInd w:w="42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260"/>
        <w:gridCol w:w="1710"/>
      </w:tblGrid>
      <w:tr w:rsidR="00066B0F" w:rsidRPr="0060702E" w:rsidTr="00C67712">
        <w:trPr>
          <w:trHeight w:val="143"/>
          <w:jc w:val="center"/>
        </w:trPr>
        <w:tc>
          <w:tcPr>
            <w:tcW w:w="1284" w:type="dxa"/>
          </w:tcPr>
          <w:p w:rsidR="00066B0F" w:rsidRPr="0060702E" w:rsidRDefault="00066B0F" w:rsidP="008F5543">
            <w:pPr>
              <w:autoSpaceDE w:val="0"/>
              <w:autoSpaceDN w:val="0"/>
              <w:adjustRightInd w:val="0"/>
              <w:jc w:val="left"/>
              <w:rPr>
                <w:rFonts w:cs="Arial"/>
                <w:color w:val="000000"/>
                <w:sz w:val="18"/>
                <w:szCs w:val="22"/>
              </w:rPr>
            </w:pPr>
            <w:r w:rsidRPr="0060702E">
              <w:rPr>
                <w:rFonts w:cs="Arial"/>
                <w:bCs/>
                <w:color w:val="000000"/>
                <w:sz w:val="18"/>
                <w:szCs w:val="22"/>
              </w:rPr>
              <w:t xml:space="preserve">Language </w:t>
            </w:r>
          </w:p>
        </w:tc>
        <w:tc>
          <w:tcPr>
            <w:tcW w:w="1260" w:type="dxa"/>
          </w:tcPr>
          <w:p w:rsidR="00066B0F" w:rsidRPr="0060702E" w:rsidRDefault="00066B0F" w:rsidP="008F5543">
            <w:pPr>
              <w:autoSpaceDE w:val="0"/>
              <w:autoSpaceDN w:val="0"/>
              <w:adjustRightInd w:val="0"/>
              <w:jc w:val="left"/>
              <w:rPr>
                <w:rFonts w:cs="Arial"/>
                <w:color w:val="000000"/>
                <w:sz w:val="18"/>
                <w:szCs w:val="22"/>
              </w:rPr>
            </w:pPr>
            <w:proofErr w:type="spellStart"/>
            <w:r w:rsidRPr="0060702E">
              <w:rPr>
                <w:rFonts w:cs="Arial"/>
                <w:bCs/>
                <w:color w:val="000000"/>
                <w:sz w:val="18"/>
                <w:szCs w:val="22"/>
              </w:rPr>
              <w:t>Pageviews</w:t>
            </w:r>
            <w:proofErr w:type="spellEnd"/>
            <w:r w:rsidRPr="0060702E">
              <w:rPr>
                <w:rFonts w:cs="Arial"/>
                <w:bCs/>
                <w:color w:val="000000"/>
                <w:sz w:val="18"/>
                <w:szCs w:val="22"/>
              </w:rPr>
              <w:t xml:space="preserve"> </w:t>
            </w:r>
          </w:p>
        </w:tc>
        <w:tc>
          <w:tcPr>
            <w:tcW w:w="1710" w:type="dxa"/>
          </w:tcPr>
          <w:p w:rsidR="00066B0F" w:rsidRPr="0060702E" w:rsidRDefault="00066B0F" w:rsidP="008F5543">
            <w:pPr>
              <w:autoSpaceDE w:val="0"/>
              <w:autoSpaceDN w:val="0"/>
              <w:adjustRightInd w:val="0"/>
              <w:jc w:val="left"/>
              <w:rPr>
                <w:rFonts w:cs="Arial"/>
                <w:bCs/>
                <w:color w:val="000000"/>
                <w:sz w:val="18"/>
                <w:szCs w:val="22"/>
              </w:rPr>
            </w:pPr>
            <w:r w:rsidRPr="0060702E">
              <w:rPr>
                <w:rFonts w:cs="Arial"/>
                <w:bCs/>
                <w:color w:val="000000"/>
                <w:sz w:val="18"/>
                <w:szCs w:val="22"/>
              </w:rPr>
              <w:t xml:space="preserve">Unique </w:t>
            </w:r>
            <w:proofErr w:type="spellStart"/>
            <w:r w:rsidRPr="0060702E">
              <w:rPr>
                <w:rFonts w:cs="Arial"/>
                <w:bCs/>
                <w:color w:val="000000"/>
                <w:sz w:val="18"/>
                <w:szCs w:val="22"/>
              </w:rPr>
              <w:t>pageviews</w:t>
            </w:r>
            <w:proofErr w:type="spellEnd"/>
            <w:r w:rsidRPr="0060702E">
              <w:rPr>
                <w:rFonts w:cs="Arial"/>
                <w:bCs/>
                <w:color w:val="000000"/>
                <w:sz w:val="18"/>
                <w:szCs w:val="22"/>
              </w:rPr>
              <w:t xml:space="preserve"> </w:t>
            </w:r>
          </w:p>
          <w:p w:rsidR="00066B0F" w:rsidRPr="0060702E" w:rsidRDefault="00066B0F" w:rsidP="008F5543">
            <w:pPr>
              <w:autoSpaceDE w:val="0"/>
              <w:autoSpaceDN w:val="0"/>
              <w:adjustRightInd w:val="0"/>
              <w:jc w:val="left"/>
              <w:rPr>
                <w:rFonts w:cs="Arial"/>
                <w:color w:val="000000"/>
                <w:sz w:val="18"/>
                <w:szCs w:val="22"/>
              </w:rPr>
            </w:pPr>
          </w:p>
        </w:tc>
      </w:tr>
      <w:tr w:rsidR="00066B0F" w:rsidRPr="0060702E" w:rsidTr="00C67712">
        <w:trPr>
          <w:trHeight w:val="148"/>
          <w:jc w:val="center"/>
        </w:trPr>
        <w:tc>
          <w:tcPr>
            <w:tcW w:w="1284" w:type="dxa"/>
          </w:tcPr>
          <w:p w:rsidR="00066B0F" w:rsidRPr="0060702E" w:rsidRDefault="00066B0F" w:rsidP="008F5543">
            <w:pPr>
              <w:autoSpaceDE w:val="0"/>
              <w:autoSpaceDN w:val="0"/>
              <w:adjustRightInd w:val="0"/>
              <w:jc w:val="left"/>
              <w:rPr>
                <w:rFonts w:cs="Arial"/>
                <w:color w:val="000000"/>
                <w:sz w:val="18"/>
                <w:szCs w:val="22"/>
              </w:rPr>
            </w:pPr>
            <w:r w:rsidRPr="0060702E">
              <w:rPr>
                <w:rFonts w:cs="Arial"/>
                <w:color w:val="000000"/>
                <w:sz w:val="18"/>
                <w:szCs w:val="22"/>
              </w:rPr>
              <w:t xml:space="preserve">English </w:t>
            </w:r>
          </w:p>
        </w:tc>
        <w:tc>
          <w:tcPr>
            <w:tcW w:w="1260" w:type="dxa"/>
          </w:tcPr>
          <w:p w:rsidR="00066B0F" w:rsidRPr="0060702E" w:rsidRDefault="00066B0F" w:rsidP="008F5543">
            <w:pPr>
              <w:tabs>
                <w:tab w:val="decimal" w:pos="842"/>
              </w:tabs>
              <w:autoSpaceDE w:val="0"/>
              <w:autoSpaceDN w:val="0"/>
              <w:adjustRightInd w:val="0"/>
              <w:jc w:val="left"/>
              <w:rPr>
                <w:rFonts w:cs="Arial"/>
                <w:color w:val="000000"/>
                <w:sz w:val="18"/>
                <w:szCs w:val="22"/>
              </w:rPr>
            </w:pPr>
            <w:r w:rsidRPr="0060702E">
              <w:rPr>
                <w:rFonts w:cs="Arial"/>
                <w:color w:val="000000"/>
                <w:sz w:val="18"/>
                <w:szCs w:val="22"/>
              </w:rPr>
              <w:t xml:space="preserve">58,442 </w:t>
            </w:r>
          </w:p>
        </w:tc>
        <w:tc>
          <w:tcPr>
            <w:tcW w:w="1710" w:type="dxa"/>
          </w:tcPr>
          <w:p w:rsidR="00066B0F" w:rsidRPr="0060702E" w:rsidRDefault="00066B0F" w:rsidP="008F5543">
            <w:pPr>
              <w:tabs>
                <w:tab w:val="decimal" w:pos="1062"/>
              </w:tabs>
              <w:autoSpaceDE w:val="0"/>
              <w:autoSpaceDN w:val="0"/>
              <w:adjustRightInd w:val="0"/>
              <w:jc w:val="left"/>
              <w:rPr>
                <w:rFonts w:cs="Arial"/>
                <w:color w:val="000000"/>
                <w:sz w:val="18"/>
                <w:szCs w:val="22"/>
              </w:rPr>
            </w:pPr>
            <w:r w:rsidRPr="0060702E">
              <w:rPr>
                <w:rFonts w:cs="Arial"/>
                <w:color w:val="000000"/>
                <w:sz w:val="18"/>
                <w:szCs w:val="22"/>
              </w:rPr>
              <w:t xml:space="preserve">40,221 </w:t>
            </w:r>
          </w:p>
        </w:tc>
      </w:tr>
      <w:tr w:rsidR="00066B0F" w:rsidRPr="0060702E" w:rsidTr="00C67712">
        <w:trPr>
          <w:trHeight w:val="142"/>
          <w:jc w:val="center"/>
        </w:trPr>
        <w:tc>
          <w:tcPr>
            <w:tcW w:w="1284" w:type="dxa"/>
          </w:tcPr>
          <w:p w:rsidR="00066B0F" w:rsidRPr="0060702E" w:rsidRDefault="00066B0F" w:rsidP="008F5543">
            <w:pPr>
              <w:autoSpaceDE w:val="0"/>
              <w:autoSpaceDN w:val="0"/>
              <w:adjustRightInd w:val="0"/>
              <w:jc w:val="left"/>
              <w:rPr>
                <w:rFonts w:cs="Arial"/>
                <w:color w:val="000000"/>
                <w:sz w:val="18"/>
                <w:szCs w:val="22"/>
              </w:rPr>
            </w:pPr>
            <w:r w:rsidRPr="0060702E">
              <w:rPr>
                <w:rFonts w:cs="Arial"/>
                <w:color w:val="000000"/>
                <w:sz w:val="18"/>
                <w:szCs w:val="22"/>
              </w:rPr>
              <w:t xml:space="preserve">Spanish </w:t>
            </w:r>
          </w:p>
        </w:tc>
        <w:tc>
          <w:tcPr>
            <w:tcW w:w="1260" w:type="dxa"/>
          </w:tcPr>
          <w:p w:rsidR="00066B0F" w:rsidRPr="0060702E" w:rsidRDefault="00066B0F" w:rsidP="008F5543">
            <w:pPr>
              <w:tabs>
                <w:tab w:val="decimal" w:pos="842"/>
              </w:tabs>
              <w:autoSpaceDE w:val="0"/>
              <w:autoSpaceDN w:val="0"/>
              <w:adjustRightInd w:val="0"/>
              <w:jc w:val="left"/>
              <w:rPr>
                <w:rFonts w:cs="Arial"/>
                <w:color w:val="000000"/>
                <w:sz w:val="18"/>
                <w:szCs w:val="22"/>
              </w:rPr>
            </w:pPr>
            <w:r w:rsidRPr="0060702E">
              <w:rPr>
                <w:rFonts w:cs="Arial"/>
                <w:color w:val="000000"/>
                <w:sz w:val="18"/>
                <w:szCs w:val="22"/>
              </w:rPr>
              <w:t xml:space="preserve">20,246 </w:t>
            </w:r>
          </w:p>
        </w:tc>
        <w:tc>
          <w:tcPr>
            <w:tcW w:w="1710" w:type="dxa"/>
          </w:tcPr>
          <w:p w:rsidR="00066B0F" w:rsidRPr="0060702E" w:rsidRDefault="00066B0F" w:rsidP="008F5543">
            <w:pPr>
              <w:tabs>
                <w:tab w:val="decimal" w:pos="1062"/>
              </w:tabs>
              <w:autoSpaceDE w:val="0"/>
              <w:autoSpaceDN w:val="0"/>
              <w:adjustRightInd w:val="0"/>
              <w:jc w:val="left"/>
              <w:rPr>
                <w:rFonts w:cs="Arial"/>
                <w:color w:val="000000"/>
                <w:sz w:val="18"/>
                <w:szCs w:val="22"/>
              </w:rPr>
            </w:pPr>
            <w:r w:rsidRPr="0060702E">
              <w:rPr>
                <w:rFonts w:cs="Arial"/>
                <w:color w:val="000000"/>
                <w:sz w:val="18"/>
                <w:szCs w:val="22"/>
              </w:rPr>
              <w:t xml:space="preserve">14,057 </w:t>
            </w:r>
          </w:p>
        </w:tc>
      </w:tr>
      <w:tr w:rsidR="00066B0F" w:rsidRPr="0060702E" w:rsidTr="00C67712">
        <w:trPr>
          <w:trHeight w:val="148"/>
          <w:jc w:val="center"/>
        </w:trPr>
        <w:tc>
          <w:tcPr>
            <w:tcW w:w="1284" w:type="dxa"/>
          </w:tcPr>
          <w:p w:rsidR="00066B0F" w:rsidRPr="0060702E" w:rsidRDefault="00066B0F" w:rsidP="008F5543">
            <w:pPr>
              <w:autoSpaceDE w:val="0"/>
              <w:autoSpaceDN w:val="0"/>
              <w:adjustRightInd w:val="0"/>
              <w:jc w:val="left"/>
              <w:rPr>
                <w:rFonts w:cs="Arial"/>
                <w:color w:val="000000"/>
                <w:sz w:val="18"/>
                <w:szCs w:val="22"/>
              </w:rPr>
            </w:pPr>
            <w:r w:rsidRPr="0060702E">
              <w:rPr>
                <w:rFonts w:cs="Arial"/>
                <w:color w:val="000000"/>
                <w:sz w:val="18"/>
                <w:szCs w:val="22"/>
              </w:rPr>
              <w:t xml:space="preserve">French </w:t>
            </w:r>
          </w:p>
        </w:tc>
        <w:tc>
          <w:tcPr>
            <w:tcW w:w="1260" w:type="dxa"/>
          </w:tcPr>
          <w:p w:rsidR="00066B0F" w:rsidRPr="0060702E" w:rsidRDefault="00066B0F" w:rsidP="008F5543">
            <w:pPr>
              <w:tabs>
                <w:tab w:val="decimal" w:pos="842"/>
              </w:tabs>
              <w:autoSpaceDE w:val="0"/>
              <w:autoSpaceDN w:val="0"/>
              <w:adjustRightInd w:val="0"/>
              <w:jc w:val="left"/>
              <w:rPr>
                <w:rFonts w:cs="Arial"/>
                <w:color w:val="000000"/>
                <w:sz w:val="18"/>
                <w:szCs w:val="22"/>
              </w:rPr>
            </w:pPr>
            <w:r w:rsidRPr="0060702E">
              <w:rPr>
                <w:rFonts w:cs="Arial"/>
                <w:color w:val="000000"/>
                <w:sz w:val="18"/>
                <w:szCs w:val="22"/>
              </w:rPr>
              <w:t xml:space="preserve">7,216 </w:t>
            </w:r>
          </w:p>
        </w:tc>
        <w:tc>
          <w:tcPr>
            <w:tcW w:w="1710" w:type="dxa"/>
          </w:tcPr>
          <w:p w:rsidR="00066B0F" w:rsidRPr="0060702E" w:rsidRDefault="00066B0F" w:rsidP="008F5543">
            <w:pPr>
              <w:tabs>
                <w:tab w:val="decimal" w:pos="1062"/>
              </w:tabs>
              <w:autoSpaceDE w:val="0"/>
              <w:autoSpaceDN w:val="0"/>
              <w:adjustRightInd w:val="0"/>
              <w:jc w:val="left"/>
              <w:rPr>
                <w:rFonts w:cs="Arial"/>
                <w:color w:val="000000"/>
                <w:sz w:val="18"/>
                <w:szCs w:val="22"/>
              </w:rPr>
            </w:pPr>
            <w:r w:rsidRPr="0060702E">
              <w:rPr>
                <w:rFonts w:cs="Arial"/>
                <w:color w:val="000000"/>
                <w:sz w:val="18"/>
                <w:szCs w:val="22"/>
              </w:rPr>
              <w:t xml:space="preserve">5,152 </w:t>
            </w:r>
          </w:p>
        </w:tc>
      </w:tr>
      <w:tr w:rsidR="00066B0F" w:rsidRPr="0060702E" w:rsidTr="00C67712">
        <w:trPr>
          <w:trHeight w:val="142"/>
          <w:jc w:val="center"/>
        </w:trPr>
        <w:tc>
          <w:tcPr>
            <w:tcW w:w="1284" w:type="dxa"/>
          </w:tcPr>
          <w:p w:rsidR="00066B0F" w:rsidRPr="0060702E" w:rsidRDefault="00066B0F" w:rsidP="008F5543">
            <w:pPr>
              <w:autoSpaceDE w:val="0"/>
              <w:autoSpaceDN w:val="0"/>
              <w:adjustRightInd w:val="0"/>
              <w:jc w:val="left"/>
              <w:rPr>
                <w:rFonts w:cs="Arial"/>
                <w:color w:val="000000"/>
                <w:sz w:val="18"/>
                <w:szCs w:val="22"/>
              </w:rPr>
            </w:pPr>
            <w:r w:rsidRPr="0060702E">
              <w:rPr>
                <w:rFonts w:cs="Arial"/>
                <w:color w:val="000000"/>
                <w:sz w:val="18"/>
                <w:szCs w:val="22"/>
              </w:rPr>
              <w:t xml:space="preserve">German </w:t>
            </w:r>
          </w:p>
        </w:tc>
        <w:tc>
          <w:tcPr>
            <w:tcW w:w="1260" w:type="dxa"/>
          </w:tcPr>
          <w:p w:rsidR="00066B0F" w:rsidRPr="0060702E" w:rsidRDefault="00066B0F" w:rsidP="008F5543">
            <w:pPr>
              <w:tabs>
                <w:tab w:val="decimal" w:pos="842"/>
              </w:tabs>
              <w:autoSpaceDE w:val="0"/>
              <w:autoSpaceDN w:val="0"/>
              <w:adjustRightInd w:val="0"/>
              <w:jc w:val="left"/>
              <w:rPr>
                <w:rFonts w:cs="Arial"/>
                <w:color w:val="000000"/>
                <w:sz w:val="18"/>
                <w:szCs w:val="22"/>
              </w:rPr>
            </w:pPr>
            <w:r w:rsidRPr="0060702E">
              <w:rPr>
                <w:rFonts w:cs="Arial"/>
                <w:color w:val="000000"/>
                <w:sz w:val="18"/>
                <w:szCs w:val="22"/>
              </w:rPr>
              <w:t xml:space="preserve">2,629 </w:t>
            </w:r>
          </w:p>
        </w:tc>
        <w:tc>
          <w:tcPr>
            <w:tcW w:w="1710" w:type="dxa"/>
          </w:tcPr>
          <w:p w:rsidR="00066B0F" w:rsidRPr="0060702E" w:rsidRDefault="00066B0F" w:rsidP="008F5543">
            <w:pPr>
              <w:tabs>
                <w:tab w:val="decimal" w:pos="1062"/>
              </w:tabs>
              <w:autoSpaceDE w:val="0"/>
              <w:autoSpaceDN w:val="0"/>
              <w:adjustRightInd w:val="0"/>
              <w:jc w:val="left"/>
              <w:rPr>
                <w:rFonts w:cs="Arial"/>
                <w:color w:val="000000"/>
                <w:sz w:val="18"/>
                <w:szCs w:val="22"/>
              </w:rPr>
            </w:pPr>
            <w:r w:rsidRPr="0060702E">
              <w:rPr>
                <w:rFonts w:cs="Arial"/>
                <w:color w:val="000000"/>
                <w:sz w:val="18"/>
                <w:szCs w:val="22"/>
              </w:rPr>
              <w:t xml:space="preserve">1,800 </w:t>
            </w:r>
          </w:p>
        </w:tc>
      </w:tr>
    </w:tbl>
    <w:p w:rsidR="00066B0F" w:rsidRPr="0060702E" w:rsidRDefault="00066B0F" w:rsidP="00066B0F"/>
    <w:p w:rsidR="00066B0F" w:rsidRPr="0060702E" w:rsidRDefault="00066B0F" w:rsidP="00C67712">
      <w:pPr>
        <w:keepNext/>
        <w:tabs>
          <w:tab w:val="left" w:pos="389"/>
        </w:tabs>
        <w:jc w:val="center"/>
        <w:rPr>
          <w:rFonts w:eastAsiaTheme="minorEastAsia"/>
          <w:bCs/>
          <w:sz w:val="18"/>
          <w:szCs w:val="22"/>
        </w:rPr>
      </w:pPr>
      <w:r w:rsidRPr="0060702E">
        <w:rPr>
          <w:rFonts w:eastAsiaTheme="minorEastAsia"/>
          <w:bCs/>
          <w:sz w:val="18"/>
          <w:szCs w:val="22"/>
        </w:rPr>
        <w:t>Evolution of visits</w:t>
      </w:r>
    </w:p>
    <w:p w:rsidR="00066B0F" w:rsidRPr="0060702E" w:rsidRDefault="00066B0F" w:rsidP="00C67712">
      <w:pPr>
        <w:keepNext/>
        <w:jc w:val="center"/>
        <w:rPr>
          <w:rFonts w:eastAsiaTheme="minorEastAsia"/>
          <w:sz w:val="14"/>
          <w:szCs w:val="18"/>
        </w:rPr>
      </w:pPr>
    </w:p>
    <w:tbl>
      <w:tblPr>
        <w:tblW w:w="0" w:type="auto"/>
        <w:jc w:val="center"/>
        <w:tblInd w:w="4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260"/>
        <w:gridCol w:w="1710"/>
      </w:tblGrid>
      <w:tr w:rsidR="00066B0F" w:rsidRPr="0060702E" w:rsidTr="00C67712">
        <w:trPr>
          <w:trHeight w:val="143"/>
          <w:jc w:val="center"/>
        </w:trPr>
        <w:tc>
          <w:tcPr>
            <w:tcW w:w="1284" w:type="dxa"/>
          </w:tcPr>
          <w:p w:rsidR="00066B0F" w:rsidRPr="0060702E" w:rsidRDefault="00066B0F" w:rsidP="008F5543">
            <w:pPr>
              <w:keepNext/>
              <w:autoSpaceDE w:val="0"/>
              <w:autoSpaceDN w:val="0"/>
              <w:adjustRightInd w:val="0"/>
              <w:jc w:val="left"/>
              <w:rPr>
                <w:rFonts w:eastAsiaTheme="minorEastAsia" w:cs="Arial"/>
                <w:color w:val="000000"/>
                <w:sz w:val="18"/>
                <w:szCs w:val="22"/>
              </w:rPr>
            </w:pPr>
            <w:r w:rsidRPr="0060702E">
              <w:rPr>
                <w:rFonts w:eastAsiaTheme="minorEastAsia" w:cs="Arial"/>
                <w:bCs/>
                <w:color w:val="000000"/>
                <w:sz w:val="18"/>
                <w:szCs w:val="22"/>
              </w:rPr>
              <w:t xml:space="preserve">Year </w:t>
            </w:r>
          </w:p>
        </w:tc>
        <w:tc>
          <w:tcPr>
            <w:tcW w:w="1260" w:type="dxa"/>
          </w:tcPr>
          <w:p w:rsidR="00066B0F" w:rsidRPr="0060702E" w:rsidRDefault="00066B0F" w:rsidP="008F5543">
            <w:pPr>
              <w:keepNext/>
              <w:autoSpaceDE w:val="0"/>
              <w:autoSpaceDN w:val="0"/>
              <w:adjustRightInd w:val="0"/>
              <w:jc w:val="left"/>
              <w:rPr>
                <w:rFonts w:eastAsiaTheme="minorEastAsia" w:cs="Arial"/>
                <w:color w:val="000000"/>
                <w:sz w:val="18"/>
                <w:szCs w:val="22"/>
              </w:rPr>
            </w:pPr>
            <w:proofErr w:type="spellStart"/>
            <w:r w:rsidRPr="0060702E">
              <w:rPr>
                <w:rFonts w:eastAsiaTheme="minorEastAsia" w:cs="Arial"/>
                <w:bCs/>
                <w:color w:val="000000"/>
                <w:sz w:val="18"/>
                <w:szCs w:val="22"/>
              </w:rPr>
              <w:t>Pageviews</w:t>
            </w:r>
            <w:proofErr w:type="spellEnd"/>
          </w:p>
        </w:tc>
        <w:tc>
          <w:tcPr>
            <w:tcW w:w="1710" w:type="dxa"/>
          </w:tcPr>
          <w:p w:rsidR="00066B0F" w:rsidRPr="0060702E" w:rsidRDefault="00066B0F" w:rsidP="008F5543">
            <w:pPr>
              <w:keepNext/>
              <w:autoSpaceDE w:val="0"/>
              <w:autoSpaceDN w:val="0"/>
              <w:adjustRightInd w:val="0"/>
              <w:jc w:val="left"/>
              <w:rPr>
                <w:rFonts w:eastAsiaTheme="minorEastAsia" w:cs="Arial"/>
                <w:bCs/>
                <w:color w:val="000000"/>
                <w:sz w:val="18"/>
                <w:szCs w:val="22"/>
              </w:rPr>
            </w:pPr>
            <w:r w:rsidRPr="0060702E">
              <w:rPr>
                <w:rFonts w:eastAsiaTheme="minorEastAsia" w:cs="Arial"/>
                <w:bCs/>
                <w:color w:val="000000"/>
                <w:sz w:val="18"/>
                <w:szCs w:val="22"/>
              </w:rPr>
              <w:t xml:space="preserve">Unique </w:t>
            </w:r>
            <w:proofErr w:type="spellStart"/>
            <w:r w:rsidRPr="0060702E">
              <w:rPr>
                <w:rFonts w:eastAsiaTheme="minorEastAsia" w:cs="Arial"/>
                <w:bCs/>
                <w:color w:val="000000"/>
                <w:sz w:val="18"/>
                <w:szCs w:val="22"/>
              </w:rPr>
              <w:t>pageviews</w:t>
            </w:r>
            <w:proofErr w:type="spellEnd"/>
            <w:r w:rsidRPr="0060702E">
              <w:rPr>
                <w:rFonts w:eastAsiaTheme="minorEastAsia" w:cs="Arial"/>
                <w:bCs/>
                <w:color w:val="000000"/>
                <w:sz w:val="18"/>
                <w:szCs w:val="22"/>
              </w:rPr>
              <w:t xml:space="preserve"> </w:t>
            </w:r>
          </w:p>
          <w:p w:rsidR="00066B0F" w:rsidRPr="0060702E" w:rsidRDefault="00066B0F" w:rsidP="008F5543">
            <w:pPr>
              <w:keepNext/>
              <w:autoSpaceDE w:val="0"/>
              <w:autoSpaceDN w:val="0"/>
              <w:adjustRightInd w:val="0"/>
              <w:jc w:val="left"/>
              <w:rPr>
                <w:rFonts w:eastAsiaTheme="minorEastAsia" w:cs="Arial"/>
                <w:color w:val="000000"/>
                <w:sz w:val="18"/>
                <w:szCs w:val="22"/>
              </w:rPr>
            </w:pPr>
          </w:p>
        </w:tc>
      </w:tr>
      <w:tr w:rsidR="00066B0F" w:rsidRPr="0060702E" w:rsidTr="00C67712">
        <w:trPr>
          <w:trHeight w:val="148"/>
          <w:jc w:val="center"/>
        </w:trPr>
        <w:tc>
          <w:tcPr>
            <w:tcW w:w="1284" w:type="dxa"/>
          </w:tcPr>
          <w:p w:rsidR="00066B0F" w:rsidRPr="0060702E" w:rsidRDefault="00066B0F" w:rsidP="008F5543">
            <w:pPr>
              <w:pStyle w:val="Default"/>
              <w:rPr>
                <w:sz w:val="18"/>
                <w:szCs w:val="18"/>
              </w:rPr>
            </w:pPr>
            <w:r w:rsidRPr="0060702E">
              <w:rPr>
                <w:sz w:val="18"/>
                <w:szCs w:val="18"/>
              </w:rPr>
              <w:t xml:space="preserve">2013 </w:t>
            </w:r>
          </w:p>
        </w:tc>
        <w:tc>
          <w:tcPr>
            <w:tcW w:w="1260" w:type="dxa"/>
          </w:tcPr>
          <w:p w:rsidR="00066B0F" w:rsidRPr="0060702E" w:rsidRDefault="00066B0F" w:rsidP="008F5543">
            <w:pPr>
              <w:pStyle w:val="Default"/>
              <w:tabs>
                <w:tab w:val="decimal" w:pos="874"/>
              </w:tabs>
              <w:rPr>
                <w:sz w:val="18"/>
                <w:szCs w:val="18"/>
              </w:rPr>
            </w:pPr>
            <w:r w:rsidRPr="0060702E">
              <w:rPr>
                <w:sz w:val="18"/>
                <w:szCs w:val="18"/>
              </w:rPr>
              <w:t>88,533</w:t>
            </w:r>
          </w:p>
        </w:tc>
        <w:tc>
          <w:tcPr>
            <w:tcW w:w="1710" w:type="dxa"/>
          </w:tcPr>
          <w:p w:rsidR="00066B0F" w:rsidRPr="0060702E" w:rsidRDefault="00066B0F" w:rsidP="008F5543">
            <w:pPr>
              <w:pStyle w:val="Default"/>
              <w:tabs>
                <w:tab w:val="decimal" w:pos="1057"/>
              </w:tabs>
              <w:rPr>
                <w:sz w:val="18"/>
                <w:szCs w:val="18"/>
              </w:rPr>
            </w:pPr>
            <w:r w:rsidRPr="0060702E">
              <w:rPr>
                <w:sz w:val="18"/>
                <w:szCs w:val="18"/>
              </w:rPr>
              <w:t>61,230</w:t>
            </w:r>
          </w:p>
        </w:tc>
      </w:tr>
      <w:tr w:rsidR="00066B0F" w:rsidRPr="0060702E" w:rsidTr="00C67712">
        <w:trPr>
          <w:trHeight w:val="148"/>
          <w:jc w:val="center"/>
        </w:trPr>
        <w:tc>
          <w:tcPr>
            <w:tcW w:w="1284" w:type="dxa"/>
          </w:tcPr>
          <w:p w:rsidR="00066B0F" w:rsidRPr="0060702E" w:rsidRDefault="00066B0F" w:rsidP="008F5543">
            <w:pPr>
              <w:pStyle w:val="Default"/>
              <w:rPr>
                <w:sz w:val="18"/>
                <w:szCs w:val="18"/>
              </w:rPr>
            </w:pPr>
            <w:r w:rsidRPr="0060702E">
              <w:rPr>
                <w:sz w:val="18"/>
                <w:szCs w:val="18"/>
              </w:rPr>
              <w:t xml:space="preserve">2012 </w:t>
            </w:r>
          </w:p>
        </w:tc>
        <w:tc>
          <w:tcPr>
            <w:tcW w:w="1260" w:type="dxa"/>
          </w:tcPr>
          <w:p w:rsidR="00066B0F" w:rsidRPr="0060702E" w:rsidRDefault="00066B0F" w:rsidP="008F5543">
            <w:pPr>
              <w:pStyle w:val="Default"/>
              <w:tabs>
                <w:tab w:val="decimal" w:pos="874"/>
              </w:tabs>
              <w:rPr>
                <w:sz w:val="18"/>
                <w:szCs w:val="18"/>
              </w:rPr>
            </w:pPr>
            <w:r w:rsidRPr="0060702E">
              <w:rPr>
                <w:sz w:val="18"/>
                <w:szCs w:val="18"/>
              </w:rPr>
              <w:t>91,245</w:t>
            </w:r>
          </w:p>
        </w:tc>
        <w:tc>
          <w:tcPr>
            <w:tcW w:w="1710" w:type="dxa"/>
          </w:tcPr>
          <w:p w:rsidR="00066B0F" w:rsidRPr="0060702E" w:rsidRDefault="00066B0F" w:rsidP="008F5543">
            <w:pPr>
              <w:pStyle w:val="Default"/>
              <w:tabs>
                <w:tab w:val="decimal" w:pos="1057"/>
              </w:tabs>
              <w:rPr>
                <w:sz w:val="18"/>
                <w:szCs w:val="18"/>
              </w:rPr>
            </w:pPr>
            <w:r w:rsidRPr="0060702E">
              <w:rPr>
                <w:sz w:val="18"/>
                <w:szCs w:val="18"/>
              </w:rPr>
              <w:t>62,411</w:t>
            </w:r>
          </w:p>
        </w:tc>
      </w:tr>
      <w:tr w:rsidR="00066B0F" w:rsidRPr="0060702E" w:rsidTr="00C67712">
        <w:trPr>
          <w:trHeight w:val="148"/>
          <w:jc w:val="center"/>
        </w:trPr>
        <w:tc>
          <w:tcPr>
            <w:tcW w:w="1284" w:type="dxa"/>
          </w:tcPr>
          <w:p w:rsidR="00066B0F" w:rsidRPr="0060702E" w:rsidRDefault="00066B0F" w:rsidP="008F5543">
            <w:pPr>
              <w:pStyle w:val="Default"/>
              <w:rPr>
                <w:sz w:val="18"/>
                <w:szCs w:val="18"/>
              </w:rPr>
            </w:pPr>
            <w:r w:rsidRPr="0060702E">
              <w:rPr>
                <w:sz w:val="18"/>
                <w:szCs w:val="18"/>
              </w:rPr>
              <w:t xml:space="preserve">2011 </w:t>
            </w:r>
          </w:p>
        </w:tc>
        <w:tc>
          <w:tcPr>
            <w:tcW w:w="1260" w:type="dxa"/>
          </w:tcPr>
          <w:p w:rsidR="00066B0F" w:rsidRPr="0060702E" w:rsidRDefault="00066B0F" w:rsidP="008F5543">
            <w:pPr>
              <w:pStyle w:val="Default"/>
              <w:tabs>
                <w:tab w:val="decimal" w:pos="874"/>
              </w:tabs>
              <w:rPr>
                <w:sz w:val="18"/>
                <w:szCs w:val="18"/>
              </w:rPr>
            </w:pPr>
            <w:r w:rsidRPr="0060702E">
              <w:rPr>
                <w:sz w:val="18"/>
                <w:szCs w:val="18"/>
              </w:rPr>
              <w:t>19,269</w:t>
            </w:r>
          </w:p>
        </w:tc>
        <w:tc>
          <w:tcPr>
            <w:tcW w:w="1710" w:type="dxa"/>
          </w:tcPr>
          <w:p w:rsidR="00066B0F" w:rsidRPr="0060702E" w:rsidRDefault="00066B0F" w:rsidP="008F5543">
            <w:pPr>
              <w:pStyle w:val="Default"/>
              <w:tabs>
                <w:tab w:val="decimal" w:pos="1057"/>
              </w:tabs>
              <w:rPr>
                <w:sz w:val="18"/>
                <w:szCs w:val="18"/>
              </w:rPr>
            </w:pPr>
            <w:r w:rsidRPr="0060702E">
              <w:rPr>
                <w:sz w:val="18"/>
                <w:szCs w:val="18"/>
              </w:rPr>
              <w:t>12,575</w:t>
            </w:r>
          </w:p>
        </w:tc>
      </w:tr>
    </w:tbl>
    <w:p w:rsidR="00066B0F" w:rsidRPr="0060702E" w:rsidRDefault="00066B0F" w:rsidP="00066B0F"/>
    <w:p w:rsidR="00066B0F" w:rsidRPr="0060702E" w:rsidRDefault="00066B0F" w:rsidP="00066B0F"/>
    <w:p w:rsidR="00066B0F" w:rsidRPr="0060702E" w:rsidRDefault="00066B0F" w:rsidP="00066B0F">
      <w:pPr>
        <w:pStyle w:val="Heading8"/>
        <w:rPr>
          <w:i/>
          <w:szCs w:val="18"/>
        </w:rPr>
      </w:pPr>
      <w:bookmarkStart w:id="47" w:name="_Toc398738947"/>
      <w:r w:rsidRPr="0060702E">
        <w:rPr>
          <w:szCs w:val="18"/>
        </w:rPr>
        <w:t>(d)  Participation in seminars and symposia held in Geneva in conjunction with UPOV sessions</w:t>
      </w:r>
      <w:bookmarkEnd w:id="47"/>
    </w:p>
    <w:p w:rsidR="00D805DF" w:rsidRPr="0060702E" w:rsidRDefault="00066B0F" w:rsidP="00066B0F">
      <w:pPr>
        <w:keepNext/>
        <w:keepLines/>
        <w:numPr>
          <w:ilvl w:val="0"/>
          <w:numId w:val="2"/>
        </w:numPr>
        <w:spacing w:after="120"/>
        <w:ind w:right="176"/>
        <w:jc w:val="left"/>
        <w:rPr>
          <w:sz w:val="18"/>
          <w:szCs w:val="18"/>
        </w:rPr>
      </w:pPr>
      <w:r w:rsidRPr="0060702E">
        <w:rPr>
          <w:sz w:val="18"/>
          <w:szCs w:val="18"/>
        </w:rPr>
        <w:t xml:space="preserve">Symposium on the Benefits of Plant Variety Protection for Farmers and Growers, November 2, 2012:  </w:t>
      </w:r>
      <w:r w:rsidR="00D805DF" w:rsidRPr="0060702E">
        <w:rPr>
          <w:sz w:val="18"/>
          <w:szCs w:val="18"/>
        </w:rPr>
        <w:br/>
      </w:r>
      <w:r w:rsidRPr="0060702E">
        <w:rPr>
          <w:sz w:val="18"/>
          <w:szCs w:val="18"/>
        </w:rPr>
        <w:t xml:space="preserve">118 participants </w:t>
      </w:r>
    </w:p>
    <w:p w:rsidR="00066B0F" w:rsidRPr="0060702E" w:rsidRDefault="00066B0F" w:rsidP="00066B0F">
      <w:pPr>
        <w:keepNext/>
        <w:keepLines/>
        <w:numPr>
          <w:ilvl w:val="0"/>
          <w:numId w:val="2"/>
        </w:numPr>
        <w:spacing w:after="120"/>
        <w:ind w:right="176"/>
        <w:jc w:val="left"/>
        <w:rPr>
          <w:sz w:val="18"/>
          <w:szCs w:val="18"/>
        </w:rPr>
      </w:pPr>
      <w:r w:rsidRPr="0060702E">
        <w:rPr>
          <w:sz w:val="18"/>
          <w:szCs w:val="18"/>
        </w:rPr>
        <w:t>Seminar on essentially derived varieties (EDVs), October 22, 2013:  177 participants</w:t>
      </w:r>
    </w:p>
    <w:p w:rsidR="00066B0F" w:rsidRPr="0060702E" w:rsidRDefault="00066B0F" w:rsidP="00066B0F"/>
    <w:p w:rsidR="00C67712" w:rsidRDefault="00C67712">
      <w:pPr>
        <w:jc w:val="left"/>
        <w:rPr>
          <w:bCs/>
          <w:caps/>
          <w:sz w:val="18"/>
          <w:szCs w:val="22"/>
        </w:rPr>
      </w:pPr>
      <w:r>
        <w:br w:type="page"/>
      </w:r>
    </w:p>
    <w:p w:rsidR="00066B0F" w:rsidRPr="0060702E" w:rsidRDefault="00066B0F" w:rsidP="00066B0F">
      <w:pPr>
        <w:pStyle w:val="Heading6"/>
      </w:pPr>
      <w:bookmarkStart w:id="48" w:name="_Toc398738948"/>
      <w:r w:rsidRPr="0060702E">
        <w:t>2.  Guidance on the examination of varieties</w:t>
      </w:r>
      <w:bookmarkEnd w:id="48"/>
    </w:p>
    <w:p w:rsidR="00066B0F" w:rsidRPr="0060702E" w:rsidRDefault="00066B0F" w:rsidP="00066B0F"/>
    <w:p w:rsidR="00066B0F" w:rsidRPr="0060702E" w:rsidRDefault="00066B0F" w:rsidP="00066B0F">
      <w:pPr>
        <w:pStyle w:val="Heading8"/>
      </w:pPr>
      <w:bookmarkStart w:id="49" w:name="_Toc398738949"/>
      <w:r w:rsidRPr="0060702E">
        <w:t>(a)  Adoption of new or revised TGP documents and information materials</w:t>
      </w:r>
      <w:bookmarkEnd w:id="49"/>
    </w:p>
    <w:p w:rsidR="00066B0F" w:rsidRPr="0060702E" w:rsidRDefault="00066B0F" w:rsidP="00066B0F">
      <w:pPr>
        <w:keepNext/>
        <w:keepLines/>
        <w:numPr>
          <w:ilvl w:val="0"/>
          <w:numId w:val="2"/>
        </w:numPr>
        <w:spacing w:after="120"/>
        <w:ind w:left="357" w:right="176" w:hanging="357"/>
        <w:jc w:val="left"/>
        <w:rPr>
          <w:i/>
          <w:color w:val="000000"/>
          <w:sz w:val="18"/>
          <w:szCs w:val="18"/>
        </w:rPr>
      </w:pPr>
      <w:r w:rsidRPr="0060702E">
        <w:rPr>
          <w:color w:val="000000"/>
          <w:sz w:val="18"/>
          <w:szCs w:val="18"/>
        </w:rPr>
        <w:t>TGP documents adopted and published on the UPOV website:</w:t>
      </w:r>
    </w:p>
    <w:p w:rsidR="00066B0F" w:rsidRPr="0060702E" w:rsidRDefault="00066B0F" w:rsidP="00066B0F">
      <w:pPr>
        <w:tabs>
          <w:tab w:val="num" w:pos="2160"/>
        </w:tabs>
        <w:spacing w:before="120" w:after="60"/>
        <w:ind w:left="1950" w:hanging="1593"/>
        <w:jc w:val="left"/>
        <w:rPr>
          <w:i/>
          <w:color w:val="000000"/>
          <w:sz w:val="18"/>
          <w:szCs w:val="18"/>
        </w:rPr>
      </w:pPr>
      <w:r w:rsidRPr="0060702E">
        <w:rPr>
          <w:sz w:val="18"/>
          <w:szCs w:val="18"/>
        </w:rPr>
        <w:t>- 1 new</w:t>
      </w:r>
      <w:r w:rsidRPr="0060702E">
        <w:rPr>
          <w:color w:val="000000"/>
          <w:sz w:val="18"/>
          <w:szCs w:val="18"/>
        </w:rPr>
        <w:t xml:space="preserve"> TGP document</w:t>
      </w:r>
    </w:p>
    <w:p w:rsidR="00066B0F" w:rsidRPr="0060702E" w:rsidRDefault="00066B0F" w:rsidP="00066B0F">
      <w:pPr>
        <w:tabs>
          <w:tab w:val="num" w:pos="2444"/>
        </w:tabs>
        <w:spacing w:after="60"/>
        <w:ind w:left="2444" w:hanging="1701"/>
        <w:jc w:val="left"/>
        <w:rPr>
          <w:sz w:val="18"/>
          <w:szCs w:val="18"/>
        </w:rPr>
      </w:pPr>
      <w:r w:rsidRPr="0060702E">
        <w:rPr>
          <w:sz w:val="18"/>
          <w:szCs w:val="18"/>
        </w:rPr>
        <w:t>TGP/15/1</w:t>
      </w:r>
      <w:r w:rsidRPr="0060702E">
        <w:rPr>
          <w:sz w:val="18"/>
          <w:szCs w:val="18"/>
        </w:rPr>
        <w:tab/>
        <w:t>Guidance on the Use of Biochemical and Molecular Markers in the Examination of Distinctness, Uniformity and Stability (DUS)</w:t>
      </w:r>
    </w:p>
    <w:p w:rsidR="00066B0F" w:rsidRPr="0060702E" w:rsidRDefault="00066B0F" w:rsidP="00066B0F">
      <w:pPr>
        <w:tabs>
          <w:tab w:val="num" w:pos="2160"/>
        </w:tabs>
        <w:spacing w:before="120" w:after="60"/>
        <w:ind w:left="1950" w:hanging="1593"/>
        <w:jc w:val="left"/>
        <w:rPr>
          <w:i/>
          <w:color w:val="000000"/>
          <w:sz w:val="18"/>
          <w:szCs w:val="18"/>
        </w:rPr>
      </w:pPr>
      <w:r w:rsidRPr="0060702E">
        <w:rPr>
          <w:sz w:val="18"/>
          <w:szCs w:val="18"/>
        </w:rPr>
        <w:t>- 4 revisions to previously adopted TGP documents</w:t>
      </w:r>
    </w:p>
    <w:p w:rsidR="00066B0F" w:rsidRPr="0060702E" w:rsidRDefault="00066B0F" w:rsidP="00066B0F">
      <w:pPr>
        <w:tabs>
          <w:tab w:val="num" w:pos="2444"/>
        </w:tabs>
        <w:spacing w:after="60"/>
        <w:ind w:left="2444" w:hanging="1701"/>
        <w:jc w:val="left"/>
        <w:rPr>
          <w:sz w:val="18"/>
          <w:szCs w:val="18"/>
        </w:rPr>
      </w:pPr>
      <w:r w:rsidRPr="0060702E">
        <w:rPr>
          <w:sz w:val="18"/>
          <w:szCs w:val="18"/>
        </w:rPr>
        <w:t>TGP/12/2</w:t>
      </w:r>
      <w:r w:rsidRPr="0060702E">
        <w:rPr>
          <w:sz w:val="18"/>
          <w:szCs w:val="18"/>
        </w:rPr>
        <w:tab/>
        <w:t>Guidance on Certain Physiological Characteristics (Revision)</w:t>
      </w:r>
    </w:p>
    <w:p w:rsidR="00066B0F" w:rsidRPr="0060702E" w:rsidRDefault="00066B0F" w:rsidP="00066B0F">
      <w:pPr>
        <w:tabs>
          <w:tab w:val="num" w:pos="2444"/>
        </w:tabs>
        <w:spacing w:after="60"/>
        <w:ind w:left="2444" w:hanging="1701"/>
        <w:jc w:val="left"/>
        <w:rPr>
          <w:sz w:val="18"/>
          <w:szCs w:val="18"/>
        </w:rPr>
      </w:pPr>
      <w:r w:rsidRPr="0060702E">
        <w:rPr>
          <w:sz w:val="18"/>
          <w:szCs w:val="18"/>
        </w:rPr>
        <w:t>TGP/14/2</w:t>
      </w:r>
      <w:r w:rsidRPr="0060702E">
        <w:rPr>
          <w:sz w:val="18"/>
          <w:szCs w:val="18"/>
        </w:rPr>
        <w:tab/>
        <w:t>Glossary of Terms Used in UPOV Documents (Revision)</w:t>
      </w:r>
    </w:p>
    <w:p w:rsidR="00066B0F" w:rsidRPr="0060702E" w:rsidRDefault="00066B0F" w:rsidP="00066B0F">
      <w:pPr>
        <w:tabs>
          <w:tab w:val="num" w:pos="2444"/>
        </w:tabs>
        <w:spacing w:after="60"/>
        <w:ind w:left="2444" w:hanging="1701"/>
        <w:jc w:val="left"/>
        <w:rPr>
          <w:sz w:val="18"/>
          <w:szCs w:val="18"/>
        </w:rPr>
      </w:pPr>
      <w:r w:rsidRPr="0060702E">
        <w:rPr>
          <w:sz w:val="18"/>
          <w:szCs w:val="18"/>
        </w:rPr>
        <w:t>TGP/0/5</w:t>
      </w:r>
      <w:r w:rsidRPr="0060702E">
        <w:rPr>
          <w:sz w:val="18"/>
          <w:szCs w:val="18"/>
        </w:rPr>
        <w:tab/>
        <w:t>List of TGP Documents and Latest Issue Dates (Revision)</w:t>
      </w:r>
    </w:p>
    <w:p w:rsidR="00066B0F" w:rsidRPr="0060702E" w:rsidRDefault="00066B0F" w:rsidP="00066B0F">
      <w:pPr>
        <w:tabs>
          <w:tab w:val="num" w:pos="2444"/>
        </w:tabs>
        <w:spacing w:after="60"/>
        <w:ind w:left="2444" w:hanging="1701"/>
        <w:jc w:val="left"/>
        <w:rPr>
          <w:sz w:val="18"/>
          <w:szCs w:val="18"/>
        </w:rPr>
      </w:pPr>
      <w:r w:rsidRPr="0060702E">
        <w:rPr>
          <w:sz w:val="18"/>
          <w:szCs w:val="18"/>
        </w:rPr>
        <w:t>TGP/0/6</w:t>
      </w:r>
      <w:r w:rsidRPr="0060702E">
        <w:rPr>
          <w:sz w:val="18"/>
          <w:szCs w:val="18"/>
        </w:rPr>
        <w:tab/>
        <w:t xml:space="preserve">List of TGP Documents and Latest Issue Dates (Revision) </w:t>
      </w:r>
    </w:p>
    <w:p w:rsidR="00066B0F" w:rsidRPr="0060702E" w:rsidRDefault="00066B0F" w:rsidP="00066B0F">
      <w:pPr>
        <w:keepNext/>
        <w:keepLines/>
        <w:numPr>
          <w:ilvl w:val="0"/>
          <w:numId w:val="2"/>
        </w:numPr>
        <w:spacing w:before="120" w:after="120"/>
        <w:ind w:left="357" w:right="176" w:hanging="357"/>
        <w:jc w:val="left"/>
        <w:rPr>
          <w:i/>
          <w:color w:val="000000"/>
          <w:sz w:val="18"/>
          <w:szCs w:val="18"/>
        </w:rPr>
      </w:pPr>
      <w:r w:rsidRPr="0060702E">
        <w:rPr>
          <w:color w:val="000000"/>
          <w:sz w:val="18"/>
          <w:szCs w:val="18"/>
        </w:rPr>
        <w:t>Drafts of TGP documents advanced in the CAJ, TC and/or the TWPs</w:t>
      </w:r>
    </w:p>
    <w:p w:rsidR="00066B0F" w:rsidRPr="0060702E" w:rsidRDefault="00066B0F" w:rsidP="00066B0F">
      <w:pPr>
        <w:tabs>
          <w:tab w:val="num" w:pos="2160"/>
        </w:tabs>
        <w:spacing w:before="120" w:after="60"/>
        <w:ind w:left="1950" w:hanging="1593"/>
        <w:jc w:val="left"/>
        <w:rPr>
          <w:sz w:val="18"/>
          <w:szCs w:val="18"/>
        </w:rPr>
      </w:pPr>
      <w:r w:rsidRPr="0060702E">
        <w:rPr>
          <w:sz w:val="18"/>
          <w:szCs w:val="18"/>
        </w:rPr>
        <w:t>- 3 revisions to previously adopted TGP documents</w:t>
      </w:r>
    </w:p>
    <w:p w:rsidR="00066B0F" w:rsidRPr="0060702E" w:rsidRDefault="00066B0F" w:rsidP="00066B0F">
      <w:pPr>
        <w:tabs>
          <w:tab w:val="num" w:pos="2444"/>
        </w:tabs>
        <w:spacing w:after="60"/>
        <w:ind w:left="2444" w:hanging="1701"/>
        <w:jc w:val="left"/>
        <w:rPr>
          <w:sz w:val="18"/>
          <w:szCs w:val="18"/>
        </w:rPr>
      </w:pPr>
      <w:r w:rsidRPr="0060702E">
        <w:rPr>
          <w:sz w:val="18"/>
          <w:szCs w:val="18"/>
        </w:rPr>
        <w:t>TGP/7</w:t>
      </w:r>
      <w:r w:rsidRPr="0060702E">
        <w:rPr>
          <w:sz w:val="18"/>
          <w:szCs w:val="18"/>
        </w:rPr>
        <w:tab/>
        <w:t>Development of Test Guidelines</w:t>
      </w:r>
    </w:p>
    <w:p w:rsidR="00066B0F" w:rsidRPr="0060702E" w:rsidRDefault="00066B0F" w:rsidP="00066B0F">
      <w:pPr>
        <w:tabs>
          <w:tab w:val="num" w:pos="2444"/>
        </w:tabs>
        <w:spacing w:after="60"/>
        <w:ind w:left="2444" w:hanging="1701"/>
        <w:jc w:val="left"/>
        <w:rPr>
          <w:sz w:val="18"/>
          <w:szCs w:val="18"/>
        </w:rPr>
      </w:pPr>
      <w:r w:rsidRPr="0060702E">
        <w:rPr>
          <w:sz w:val="18"/>
          <w:szCs w:val="18"/>
        </w:rPr>
        <w:t>TGP/8</w:t>
      </w:r>
      <w:r w:rsidRPr="0060702E">
        <w:rPr>
          <w:sz w:val="18"/>
          <w:szCs w:val="18"/>
        </w:rPr>
        <w:tab/>
        <w:t>Trial Design and Techniques Used in the Examination of Distinctness, Uniformity and Stability</w:t>
      </w:r>
    </w:p>
    <w:p w:rsidR="00066B0F" w:rsidRPr="0060702E" w:rsidRDefault="00066B0F" w:rsidP="00066B0F">
      <w:pPr>
        <w:keepNext/>
        <w:keepLines/>
        <w:numPr>
          <w:ilvl w:val="0"/>
          <w:numId w:val="2"/>
        </w:numPr>
        <w:tabs>
          <w:tab w:val="num" w:pos="2160"/>
        </w:tabs>
        <w:spacing w:before="120" w:after="120"/>
        <w:ind w:left="357" w:right="176" w:hanging="357"/>
        <w:jc w:val="left"/>
        <w:rPr>
          <w:i/>
          <w:color w:val="000000"/>
          <w:sz w:val="18"/>
          <w:szCs w:val="18"/>
        </w:rPr>
      </w:pPr>
      <w:r w:rsidRPr="0060702E">
        <w:rPr>
          <w:color w:val="000000"/>
          <w:sz w:val="18"/>
          <w:szCs w:val="18"/>
        </w:rPr>
        <w:t>Drafts of information materials advanced in the CAJ, TC and/or the TWPs</w:t>
      </w:r>
    </w:p>
    <w:p w:rsidR="00066B0F" w:rsidRPr="0060702E" w:rsidRDefault="00066B0F" w:rsidP="00066B0F">
      <w:pPr>
        <w:tabs>
          <w:tab w:val="num" w:pos="2160"/>
        </w:tabs>
        <w:spacing w:before="120" w:after="60"/>
        <w:ind w:left="1950" w:hanging="1593"/>
        <w:jc w:val="left"/>
        <w:rPr>
          <w:color w:val="000000"/>
          <w:sz w:val="18"/>
          <w:szCs w:val="18"/>
        </w:rPr>
      </w:pPr>
      <w:r w:rsidRPr="0060702E">
        <w:rPr>
          <w:sz w:val="18"/>
          <w:szCs w:val="18"/>
        </w:rPr>
        <w:t>- 2 revisions</w:t>
      </w:r>
      <w:r w:rsidRPr="0060702E">
        <w:rPr>
          <w:color w:val="000000"/>
          <w:sz w:val="18"/>
          <w:szCs w:val="18"/>
        </w:rPr>
        <w:t xml:space="preserve"> to previously adopted information materials</w:t>
      </w:r>
    </w:p>
    <w:p w:rsidR="00066B0F" w:rsidRPr="0060702E" w:rsidRDefault="00F1044C" w:rsidP="00F1044C">
      <w:pPr>
        <w:tabs>
          <w:tab w:val="num" w:pos="2444"/>
        </w:tabs>
        <w:spacing w:after="60"/>
        <w:ind w:left="2444" w:hanging="1701"/>
        <w:jc w:val="left"/>
        <w:rPr>
          <w:color w:val="000000"/>
          <w:sz w:val="18"/>
          <w:szCs w:val="18"/>
        </w:rPr>
      </w:pPr>
      <w:r w:rsidRPr="0060702E">
        <w:rPr>
          <w:sz w:val="18"/>
          <w:szCs w:val="18"/>
        </w:rPr>
        <w:t>UPOV/INF/12</w:t>
      </w:r>
      <w:r w:rsidRPr="0060702E">
        <w:rPr>
          <w:sz w:val="18"/>
          <w:szCs w:val="18"/>
        </w:rPr>
        <w:tab/>
      </w:r>
      <w:r w:rsidR="00066B0F" w:rsidRPr="0060702E">
        <w:rPr>
          <w:sz w:val="18"/>
          <w:szCs w:val="18"/>
        </w:rPr>
        <w:t>Explanatory Notes on Variety Denominations under the UPOV Convention (Revision)</w:t>
      </w:r>
    </w:p>
    <w:p w:rsidR="00066B0F" w:rsidRPr="0060702E" w:rsidRDefault="00066B0F" w:rsidP="00F1044C">
      <w:pPr>
        <w:tabs>
          <w:tab w:val="num" w:pos="2444"/>
        </w:tabs>
        <w:spacing w:after="60"/>
        <w:ind w:left="2444" w:hanging="1701"/>
        <w:jc w:val="left"/>
        <w:rPr>
          <w:sz w:val="18"/>
          <w:szCs w:val="18"/>
        </w:rPr>
      </w:pPr>
      <w:r w:rsidRPr="0060702E">
        <w:rPr>
          <w:sz w:val="18"/>
          <w:szCs w:val="18"/>
        </w:rPr>
        <w:t>UPOV/INF/16</w:t>
      </w:r>
      <w:r w:rsidR="00F1044C" w:rsidRPr="0060702E">
        <w:rPr>
          <w:sz w:val="18"/>
          <w:szCs w:val="18"/>
        </w:rPr>
        <w:tab/>
        <w:t>E</w:t>
      </w:r>
      <w:r w:rsidRPr="0060702E">
        <w:rPr>
          <w:sz w:val="18"/>
          <w:szCs w:val="18"/>
        </w:rPr>
        <w:t>xchangeable Software (Revision)</w:t>
      </w:r>
    </w:p>
    <w:p w:rsidR="00066B0F" w:rsidRPr="0060702E" w:rsidRDefault="00066B0F" w:rsidP="00066B0F">
      <w:pPr>
        <w:rPr>
          <w:sz w:val="18"/>
          <w:szCs w:val="18"/>
        </w:rPr>
      </w:pPr>
    </w:p>
    <w:p w:rsidR="00066B0F" w:rsidRPr="0060702E" w:rsidRDefault="00066B0F" w:rsidP="00066B0F">
      <w:pPr>
        <w:pStyle w:val="Heading8"/>
      </w:pPr>
      <w:bookmarkStart w:id="50" w:name="_Toc398738950"/>
      <w:r w:rsidRPr="0060702E">
        <w:t>(b)  Adoption of new or revised Test Guidelines</w:t>
      </w:r>
      <w:bookmarkEnd w:id="50"/>
    </w:p>
    <w:p w:rsidR="00066B0F" w:rsidRPr="0060702E" w:rsidRDefault="00066B0F" w:rsidP="00066B0F">
      <w:pPr>
        <w:keepNext/>
        <w:keepLines/>
        <w:spacing w:after="120"/>
        <w:jc w:val="left"/>
        <w:rPr>
          <w:i/>
          <w:sz w:val="18"/>
          <w:szCs w:val="18"/>
        </w:rPr>
      </w:pPr>
      <w:r w:rsidRPr="0060702E">
        <w:rPr>
          <w:i/>
          <w:sz w:val="18"/>
          <w:szCs w:val="18"/>
        </w:rPr>
        <w:t>Adopted Test Guidelines</w:t>
      </w:r>
    </w:p>
    <w:p w:rsidR="00066B0F" w:rsidRPr="0060702E" w:rsidRDefault="00066B0F" w:rsidP="00066B0F">
      <w:pPr>
        <w:keepNext/>
        <w:keepLines/>
        <w:numPr>
          <w:ilvl w:val="0"/>
          <w:numId w:val="3"/>
        </w:numPr>
        <w:tabs>
          <w:tab w:val="num" w:pos="318"/>
        </w:tabs>
        <w:spacing w:after="120"/>
        <w:ind w:left="357" w:hanging="357"/>
        <w:jc w:val="left"/>
        <w:rPr>
          <w:i/>
          <w:color w:val="000000"/>
          <w:sz w:val="18"/>
          <w:szCs w:val="18"/>
        </w:rPr>
      </w:pPr>
      <w:r w:rsidRPr="0060702E">
        <w:rPr>
          <w:color w:val="000000"/>
          <w:sz w:val="18"/>
          <w:szCs w:val="18"/>
        </w:rPr>
        <w:t xml:space="preserve">42 Test Guidelines were adopted by the TC, comprising: </w:t>
      </w:r>
    </w:p>
    <w:p w:rsidR="00066B0F" w:rsidRPr="0060702E" w:rsidRDefault="00066B0F" w:rsidP="00066B0F">
      <w:pPr>
        <w:tabs>
          <w:tab w:val="left" w:pos="756"/>
          <w:tab w:val="left" w:pos="2444"/>
        </w:tabs>
        <w:spacing w:after="60"/>
        <w:ind w:left="2444" w:hanging="2087"/>
        <w:jc w:val="left"/>
        <w:rPr>
          <w:i/>
          <w:color w:val="000000"/>
          <w:sz w:val="18"/>
          <w:szCs w:val="18"/>
        </w:rPr>
      </w:pPr>
      <w:r w:rsidRPr="0060702E">
        <w:rPr>
          <w:color w:val="000000"/>
          <w:sz w:val="18"/>
          <w:szCs w:val="18"/>
        </w:rPr>
        <w:t>–</w:t>
      </w:r>
      <w:r w:rsidRPr="0060702E">
        <w:rPr>
          <w:color w:val="000000"/>
          <w:sz w:val="18"/>
          <w:szCs w:val="18"/>
        </w:rPr>
        <w:tab/>
        <w:t>23 new Test Guidelines</w:t>
      </w:r>
    </w:p>
    <w:p w:rsidR="00066B0F" w:rsidRPr="0060702E" w:rsidRDefault="00066B0F" w:rsidP="00066B0F">
      <w:pPr>
        <w:tabs>
          <w:tab w:val="left" w:pos="756"/>
          <w:tab w:val="left" w:pos="2444"/>
        </w:tabs>
        <w:spacing w:after="60"/>
        <w:ind w:left="2444" w:hanging="2087"/>
        <w:jc w:val="left"/>
        <w:rPr>
          <w:color w:val="000000"/>
          <w:sz w:val="18"/>
          <w:szCs w:val="18"/>
        </w:rPr>
      </w:pPr>
      <w:r w:rsidRPr="0060702E">
        <w:rPr>
          <w:color w:val="000000"/>
          <w:sz w:val="18"/>
          <w:szCs w:val="18"/>
        </w:rPr>
        <w:t>–</w:t>
      </w:r>
      <w:r w:rsidRPr="0060702E">
        <w:rPr>
          <w:color w:val="000000"/>
          <w:sz w:val="18"/>
          <w:szCs w:val="18"/>
        </w:rPr>
        <w:tab/>
        <w:t>11 revised Test Guidelines</w:t>
      </w:r>
    </w:p>
    <w:p w:rsidR="00066B0F" w:rsidRPr="0060702E" w:rsidRDefault="00066B0F" w:rsidP="00066B0F">
      <w:pPr>
        <w:spacing w:after="120"/>
        <w:ind w:left="743" w:hanging="386"/>
        <w:jc w:val="left"/>
        <w:rPr>
          <w:color w:val="000000"/>
          <w:sz w:val="18"/>
          <w:szCs w:val="18"/>
        </w:rPr>
      </w:pPr>
      <w:r w:rsidRPr="0060702E">
        <w:rPr>
          <w:color w:val="000000"/>
          <w:sz w:val="18"/>
          <w:szCs w:val="18"/>
        </w:rPr>
        <w:t>–</w:t>
      </w:r>
      <w:r w:rsidRPr="0060702E">
        <w:rPr>
          <w:color w:val="000000"/>
          <w:sz w:val="18"/>
          <w:szCs w:val="18"/>
        </w:rPr>
        <w:tab/>
        <w:t xml:space="preserve">  8 partially revised Test Guidelines</w:t>
      </w:r>
    </w:p>
    <w:p w:rsidR="00066B0F" w:rsidRPr="0060702E" w:rsidRDefault="00066B0F" w:rsidP="00066B0F">
      <w:pPr>
        <w:spacing w:after="120"/>
        <w:ind w:left="743" w:hanging="386"/>
        <w:jc w:val="left"/>
        <w:rPr>
          <w:color w:val="000000"/>
          <w:sz w:val="18"/>
          <w:szCs w:val="18"/>
        </w:rPr>
      </w:pPr>
      <w:r w:rsidRPr="0060702E">
        <w:rPr>
          <w:color w:val="000000"/>
          <w:sz w:val="18"/>
          <w:szCs w:val="18"/>
        </w:rPr>
        <w:t>(</w:t>
      </w:r>
      <w:proofErr w:type="gramStart"/>
      <w:r w:rsidRPr="0060702E">
        <w:rPr>
          <w:color w:val="000000"/>
          <w:sz w:val="18"/>
          <w:szCs w:val="18"/>
        </w:rPr>
        <w:t>see</w:t>
      </w:r>
      <w:proofErr w:type="gramEnd"/>
      <w:r w:rsidRPr="0060702E">
        <w:rPr>
          <w:color w:val="000000"/>
          <w:sz w:val="18"/>
          <w:szCs w:val="18"/>
        </w:rPr>
        <w:t xml:space="preserve"> Figure 4)</w:t>
      </w:r>
    </w:p>
    <w:p w:rsidR="00066B0F" w:rsidRPr="0060702E" w:rsidRDefault="00066B0F" w:rsidP="00066B0F">
      <w:pPr>
        <w:keepNext/>
        <w:keepLines/>
        <w:spacing w:after="120"/>
        <w:jc w:val="left"/>
        <w:rPr>
          <w:sz w:val="18"/>
          <w:szCs w:val="18"/>
        </w:rPr>
      </w:pPr>
      <w:r w:rsidRPr="0060702E">
        <w:rPr>
          <w:sz w:val="18"/>
          <w:szCs w:val="18"/>
        </w:rPr>
        <w:t>At the end of 2013, the adopted Test Guidelines covered 91% of all PBR-related entries in the Plant Variety Database (217,298 of 247,818</w:t>
      </w:r>
      <w:proofErr w:type="gramStart"/>
      <w:r w:rsidRPr="0060702E">
        <w:rPr>
          <w:sz w:val="18"/>
          <w:szCs w:val="18"/>
        </w:rPr>
        <w:t>)  (</w:t>
      </w:r>
      <w:proofErr w:type="gramEnd"/>
      <w:r w:rsidRPr="0060702E">
        <w:rPr>
          <w:sz w:val="18"/>
          <w:szCs w:val="18"/>
        </w:rPr>
        <w:t>90% at the end of 2011 (201,873 of 224,189))</w:t>
      </w:r>
    </w:p>
    <w:p w:rsidR="00066B0F" w:rsidRPr="0060702E" w:rsidRDefault="00066B0F" w:rsidP="00066B0F">
      <w:pPr>
        <w:spacing w:after="120"/>
        <w:ind w:left="743" w:hanging="386"/>
        <w:jc w:val="left"/>
        <w:rPr>
          <w:color w:val="000000"/>
          <w:sz w:val="18"/>
          <w:szCs w:val="18"/>
        </w:rPr>
      </w:pPr>
      <w:r w:rsidRPr="0060702E">
        <w:rPr>
          <w:color w:val="000000"/>
          <w:sz w:val="18"/>
          <w:szCs w:val="18"/>
        </w:rPr>
        <w:t>(</w:t>
      </w:r>
      <w:proofErr w:type="gramStart"/>
      <w:r w:rsidRPr="0060702E">
        <w:rPr>
          <w:color w:val="000000"/>
          <w:sz w:val="18"/>
          <w:szCs w:val="18"/>
        </w:rPr>
        <w:t>see</w:t>
      </w:r>
      <w:proofErr w:type="gramEnd"/>
      <w:r w:rsidRPr="0060702E">
        <w:rPr>
          <w:color w:val="000000"/>
          <w:sz w:val="18"/>
          <w:szCs w:val="18"/>
        </w:rPr>
        <w:t xml:space="preserve"> Figure 6)</w:t>
      </w:r>
    </w:p>
    <w:p w:rsidR="00066B0F" w:rsidRPr="0060702E" w:rsidRDefault="00066B0F" w:rsidP="00066B0F">
      <w:pPr>
        <w:spacing w:after="120"/>
        <w:jc w:val="left"/>
        <w:rPr>
          <w:i/>
          <w:color w:val="000000"/>
          <w:sz w:val="18"/>
          <w:szCs w:val="18"/>
        </w:rPr>
      </w:pPr>
      <w:r w:rsidRPr="0060702E">
        <w:rPr>
          <w:i/>
          <w:color w:val="000000"/>
          <w:sz w:val="18"/>
          <w:szCs w:val="18"/>
        </w:rPr>
        <w:t>Test Guidelines advanced in the Technical Working Parties</w:t>
      </w:r>
    </w:p>
    <w:p w:rsidR="00066B0F" w:rsidRPr="0060702E" w:rsidRDefault="00066B0F" w:rsidP="00066B0F">
      <w:pPr>
        <w:keepNext/>
        <w:keepLines/>
        <w:numPr>
          <w:ilvl w:val="0"/>
          <w:numId w:val="3"/>
        </w:numPr>
        <w:tabs>
          <w:tab w:val="num" w:pos="318"/>
        </w:tabs>
        <w:spacing w:after="120"/>
        <w:ind w:left="357" w:hanging="357"/>
        <w:jc w:val="left"/>
        <w:rPr>
          <w:i/>
          <w:color w:val="000000"/>
          <w:sz w:val="18"/>
          <w:szCs w:val="18"/>
        </w:rPr>
      </w:pPr>
      <w:r w:rsidRPr="0060702E">
        <w:rPr>
          <w:color w:val="000000"/>
          <w:sz w:val="18"/>
          <w:szCs w:val="18"/>
        </w:rPr>
        <w:t>In 2012, 59 draft Test Guidelines were advanced by the TWPs, comprising</w:t>
      </w:r>
    </w:p>
    <w:p w:rsidR="00066B0F" w:rsidRPr="0060702E" w:rsidRDefault="00066B0F" w:rsidP="00066B0F">
      <w:pPr>
        <w:spacing w:after="60"/>
        <w:ind w:left="743" w:hanging="386"/>
        <w:jc w:val="left"/>
        <w:rPr>
          <w:i/>
          <w:color w:val="000000"/>
          <w:sz w:val="18"/>
          <w:szCs w:val="18"/>
        </w:rPr>
      </w:pPr>
      <w:r w:rsidRPr="0060702E">
        <w:rPr>
          <w:color w:val="000000"/>
          <w:sz w:val="18"/>
          <w:szCs w:val="18"/>
        </w:rPr>
        <w:t>–</w:t>
      </w:r>
      <w:r w:rsidRPr="0060702E">
        <w:rPr>
          <w:color w:val="000000"/>
          <w:sz w:val="18"/>
          <w:szCs w:val="18"/>
        </w:rPr>
        <w:tab/>
        <w:t>36 new Test Guidelines</w:t>
      </w:r>
    </w:p>
    <w:p w:rsidR="00066B0F" w:rsidRPr="0060702E" w:rsidRDefault="00066B0F" w:rsidP="00066B0F">
      <w:pPr>
        <w:tabs>
          <w:tab w:val="left" w:pos="756"/>
          <w:tab w:val="left" w:pos="2444"/>
        </w:tabs>
        <w:spacing w:after="60"/>
        <w:ind w:left="2444" w:hanging="2087"/>
        <w:jc w:val="left"/>
        <w:rPr>
          <w:color w:val="000000"/>
          <w:sz w:val="18"/>
          <w:szCs w:val="18"/>
        </w:rPr>
      </w:pPr>
      <w:r w:rsidRPr="0060702E">
        <w:rPr>
          <w:color w:val="000000"/>
          <w:sz w:val="18"/>
          <w:szCs w:val="18"/>
        </w:rPr>
        <w:t>–</w:t>
      </w:r>
      <w:r w:rsidRPr="0060702E">
        <w:rPr>
          <w:color w:val="000000"/>
          <w:sz w:val="18"/>
          <w:szCs w:val="18"/>
        </w:rPr>
        <w:tab/>
        <w:t>16 revisions</w:t>
      </w:r>
    </w:p>
    <w:p w:rsidR="00066B0F" w:rsidRPr="0060702E" w:rsidRDefault="00066B0F" w:rsidP="00066B0F">
      <w:pPr>
        <w:tabs>
          <w:tab w:val="left" w:pos="756"/>
          <w:tab w:val="left" w:pos="2444"/>
        </w:tabs>
        <w:spacing w:after="120"/>
        <w:ind w:left="2444" w:hanging="2087"/>
        <w:jc w:val="left"/>
        <w:rPr>
          <w:color w:val="000000"/>
          <w:sz w:val="18"/>
          <w:szCs w:val="18"/>
        </w:rPr>
      </w:pPr>
      <w:r w:rsidRPr="0060702E">
        <w:rPr>
          <w:color w:val="000000"/>
          <w:sz w:val="18"/>
          <w:szCs w:val="18"/>
        </w:rPr>
        <w:t>–</w:t>
      </w:r>
      <w:r w:rsidRPr="0060702E">
        <w:rPr>
          <w:color w:val="000000"/>
          <w:sz w:val="18"/>
          <w:szCs w:val="18"/>
        </w:rPr>
        <w:tab/>
        <w:t xml:space="preserve">  7 partial revisions</w:t>
      </w:r>
    </w:p>
    <w:p w:rsidR="00066B0F" w:rsidRPr="0060702E" w:rsidRDefault="00066B0F" w:rsidP="00066B0F">
      <w:pPr>
        <w:keepNext/>
        <w:keepLines/>
        <w:numPr>
          <w:ilvl w:val="0"/>
          <w:numId w:val="3"/>
        </w:numPr>
        <w:tabs>
          <w:tab w:val="num" w:pos="318"/>
        </w:tabs>
        <w:spacing w:after="120"/>
        <w:ind w:left="357" w:hanging="357"/>
        <w:jc w:val="left"/>
        <w:rPr>
          <w:i/>
          <w:color w:val="000000"/>
          <w:sz w:val="18"/>
          <w:szCs w:val="18"/>
        </w:rPr>
      </w:pPr>
      <w:r w:rsidRPr="0060702E">
        <w:rPr>
          <w:color w:val="000000"/>
          <w:sz w:val="18"/>
          <w:szCs w:val="18"/>
        </w:rPr>
        <w:t>In 2013, 49 draft Test Guidelines were advanced by the TWPs, comprising</w:t>
      </w:r>
    </w:p>
    <w:p w:rsidR="00066B0F" w:rsidRPr="0060702E" w:rsidRDefault="00066B0F" w:rsidP="00066B0F">
      <w:pPr>
        <w:spacing w:after="60"/>
        <w:ind w:left="743" w:hanging="386"/>
        <w:jc w:val="left"/>
        <w:rPr>
          <w:i/>
          <w:color w:val="000000"/>
          <w:sz w:val="18"/>
          <w:szCs w:val="18"/>
        </w:rPr>
      </w:pPr>
      <w:r w:rsidRPr="0060702E">
        <w:rPr>
          <w:color w:val="000000"/>
          <w:sz w:val="18"/>
          <w:szCs w:val="18"/>
        </w:rPr>
        <w:t>–</w:t>
      </w:r>
      <w:r w:rsidRPr="0060702E">
        <w:rPr>
          <w:color w:val="000000"/>
          <w:sz w:val="18"/>
          <w:szCs w:val="18"/>
        </w:rPr>
        <w:tab/>
        <w:t>30 new Test Guidelines</w:t>
      </w:r>
    </w:p>
    <w:p w:rsidR="00066B0F" w:rsidRPr="0060702E" w:rsidRDefault="00066B0F" w:rsidP="00066B0F">
      <w:pPr>
        <w:tabs>
          <w:tab w:val="left" w:pos="756"/>
          <w:tab w:val="left" w:pos="2444"/>
        </w:tabs>
        <w:spacing w:after="60"/>
        <w:ind w:left="2444" w:hanging="2087"/>
        <w:jc w:val="left"/>
        <w:rPr>
          <w:color w:val="000000"/>
          <w:sz w:val="18"/>
          <w:szCs w:val="18"/>
        </w:rPr>
      </w:pPr>
      <w:r w:rsidRPr="0060702E">
        <w:rPr>
          <w:color w:val="000000"/>
          <w:sz w:val="18"/>
          <w:szCs w:val="18"/>
        </w:rPr>
        <w:t>–</w:t>
      </w:r>
      <w:r w:rsidRPr="0060702E">
        <w:rPr>
          <w:color w:val="000000"/>
          <w:sz w:val="18"/>
          <w:szCs w:val="18"/>
        </w:rPr>
        <w:tab/>
        <w:t>13 revisions</w:t>
      </w:r>
    </w:p>
    <w:p w:rsidR="00066B0F" w:rsidRPr="0060702E" w:rsidRDefault="00066B0F" w:rsidP="00066B0F">
      <w:pPr>
        <w:tabs>
          <w:tab w:val="left" w:pos="756"/>
          <w:tab w:val="left" w:pos="2444"/>
        </w:tabs>
        <w:spacing w:after="60"/>
        <w:ind w:left="2444" w:hanging="2087"/>
        <w:jc w:val="left"/>
        <w:rPr>
          <w:color w:val="000000"/>
          <w:sz w:val="18"/>
          <w:szCs w:val="18"/>
        </w:rPr>
      </w:pPr>
      <w:r w:rsidRPr="0060702E">
        <w:rPr>
          <w:color w:val="000000"/>
          <w:sz w:val="18"/>
          <w:szCs w:val="18"/>
        </w:rPr>
        <w:t>–</w:t>
      </w:r>
      <w:r w:rsidRPr="0060702E">
        <w:rPr>
          <w:color w:val="000000"/>
          <w:sz w:val="18"/>
          <w:szCs w:val="18"/>
        </w:rPr>
        <w:tab/>
        <w:t xml:space="preserve">  6 partial revisions</w:t>
      </w:r>
    </w:p>
    <w:p w:rsidR="00066B0F" w:rsidRPr="0060702E" w:rsidRDefault="00066B0F" w:rsidP="00066B0F">
      <w:pPr>
        <w:rPr>
          <w:color w:val="000000"/>
          <w:sz w:val="18"/>
          <w:szCs w:val="18"/>
        </w:rPr>
      </w:pPr>
      <w:r w:rsidRPr="0060702E">
        <w:rPr>
          <w:color w:val="000000"/>
          <w:sz w:val="18"/>
          <w:szCs w:val="18"/>
        </w:rPr>
        <w:tab/>
        <w:t>(</w:t>
      </w:r>
      <w:proofErr w:type="gramStart"/>
      <w:r w:rsidRPr="0060702E">
        <w:rPr>
          <w:color w:val="000000"/>
          <w:sz w:val="18"/>
          <w:szCs w:val="18"/>
        </w:rPr>
        <w:t>see</w:t>
      </w:r>
      <w:proofErr w:type="gramEnd"/>
      <w:r w:rsidRPr="0060702E">
        <w:rPr>
          <w:color w:val="000000"/>
          <w:sz w:val="18"/>
          <w:szCs w:val="18"/>
        </w:rPr>
        <w:t xml:space="preserve"> Figure 5)</w:t>
      </w:r>
    </w:p>
    <w:p w:rsidR="00066B0F" w:rsidRPr="0060702E" w:rsidRDefault="00066B0F" w:rsidP="00066B0F"/>
    <w:p w:rsidR="00C67712" w:rsidRDefault="00C67712">
      <w:pPr>
        <w:jc w:val="left"/>
        <w:rPr>
          <w:rFonts w:eastAsiaTheme="minorEastAsia"/>
        </w:rPr>
      </w:pPr>
      <w:r>
        <w:rPr>
          <w:rFonts w:eastAsiaTheme="minorEastAsia"/>
        </w:rPr>
        <w:br w:type="page"/>
      </w:r>
    </w:p>
    <w:p w:rsidR="00066B0F" w:rsidRPr="0060702E" w:rsidRDefault="00066B0F" w:rsidP="00C67712">
      <w:pPr>
        <w:pStyle w:val="Heading8"/>
        <w:jc w:val="center"/>
        <w:rPr>
          <w:rFonts w:eastAsiaTheme="minorEastAsia"/>
        </w:rPr>
      </w:pPr>
      <w:bookmarkStart w:id="51" w:name="_Toc398738951"/>
      <w:r w:rsidRPr="0060702E">
        <w:rPr>
          <w:rFonts w:eastAsiaTheme="minorEastAsia"/>
        </w:rPr>
        <w:t>Test Guidelines</w:t>
      </w:r>
      <w:r w:rsidR="00D04EA8">
        <w:rPr>
          <w:rFonts w:eastAsiaTheme="minorEastAsia"/>
        </w:rPr>
        <w:t xml:space="preserve">:  visits to </w:t>
      </w:r>
      <w:r w:rsidRPr="0060702E">
        <w:rPr>
          <w:rFonts w:eastAsiaTheme="minorEastAsia"/>
        </w:rPr>
        <w:t>the UPOV Website in 2013</w:t>
      </w:r>
      <w:bookmarkEnd w:id="51"/>
    </w:p>
    <w:tbl>
      <w:tblPr>
        <w:tblW w:w="4254" w:type="dxa"/>
        <w:jc w:val="center"/>
        <w:tblInd w:w="4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260"/>
        <w:gridCol w:w="1710"/>
      </w:tblGrid>
      <w:tr w:rsidR="00066B0F" w:rsidRPr="0060702E" w:rsidTr="00C67712">
        <w:trPr>
          <w:trHeight w:val="143"/>
          <w:jc w:val="center"/>
        </w:trPr>
        <w:tc>
          <w:tcPr>
            <w:tcW w:w="1284" w:type="dxa"/>
          </w:tcPr>
          <w:p w:rsidR="00066B0F" w:rsidRPr="0060702E" w:rsidRDefault="00066B0F" w:rsidP="008F5543">
            <w:pPr>
              <w:autoSpaceDE w:val="0"/>
              <w:autoSpaceDN w:val="0"/>
              <w:adjustRightInd w:val="0"/>
              <w:jc w:val="left"/>
              <w:rPr>
                <w:rFonts w:cs="Arial"/>
                <w:color w:val="000000"/>
                <w:sz w:val="18"/>
                <w:szCs w:val="22"/>
              </w:rPr>
            </w:pPr>
            <w:r w:rsidRPr="0060702E">
              <w:rPr>
                <w:rFonts w:cs="Arial"/>
                <w:bCs/>
                <w:color w:val="000000"/>
                <w:sz w:val="18"/>
                <w:szCs w:val="22"/>
              </w:rPr>
              <w:t xml:space="preserve">Language </w:t>
            </w:r>
          </w:p>
        </w:tc>
        <w:tc>
          <w:tcPr>
            <w:tcW w:w="1260" w:type="dxa"/>
          </w:tcPr>
          <w:p w:rsidR="00066B0F" w:rsidRPr="0060702E" w:rsidRDefault="00066B0F" w:rsidP="008F5543">
            <w:pPr>
              <w:autoSpaceDE w:val="0"/>
              <w:autoSpaceDN w:val="0"/>
              <w:adjustRightInd w:val="0"/>
              <w:jc w:val="left"/>
              <w:rPr>
                <w:rFonts w:cs="Arial"/>
                <w:color w:val="000000"/>
                <w:sz w:val="18"/>
                <w:szCs w:val="22"/>
              </w:rPr>
            </w:pPr>
            <w:proofErr w:type="spellStart"/>
            <w:r w:rsidRPr="0060702E">
              <w:rPr>
                <w:rFonts w:cs="Arial"/>
                <w:bCs/>
                <w:color w:val="000000"/>
                <w:sz w:val="18"/>
                <w:szCs w:val="22"/>
              </w:rPr>
              <w:t>Pageviews</w:t>
            </w:r>
            <w:proofErr w:type="spellEnd"/>
            <w:r w:rsidRPr="0060702E">
              <w:rPr>
                <w:rFonts w:cs="Arial"/>
                <w:bCs/>
                <w:color w:val="000000"/>
                <w:sz w:val="18"/>
                <w:szCs w:val="22"/>
              </w:rPr>
              <w:t xml:space="preserve"> </w:t>
            </w:r>
          </w:p>
        </w:tc>
        <w:tc>
          <w:tcPr>
            <w:tcW w:w="1710" w:type="dxa"/>
          </w:tcPr>
          <w:p w:rsidR="00066B0F" w:rsidRPr="0060702E" w:rsidRDefault="00066B0F" w:rsidP="008F5543">
            <w:pPr>
              <w:autoSpaceDE w:val="0"/>
              <w:autoSpaceDN w:val="0"/>
              <w:adjustRightInd w:val="0"/>
              <w:jc w:val="left"/>
              <w:rPr>
                <w:rFonts w:cs="Arial"/>
                <w:bCs/>
                <w:color w:val="000000"/>
                <w:sz w:val="18"/>
                <w:szCs w:val="22"/>
              </w:rPr>
            </w:pPr>
            <w:r w:rsidRPr="0060702E">
              <w:rPr>
                <w:rFonts w:cs="Arial"/>
                <w:bCs/>
                <w:color w:val="000000"/>
                <w:sz w:val="18"/>
                <w:szCs w:val="22"/>
              </w:rPr>
              <w:t xml:space="preserve">Unique </w:t>
            </w:r>
            <w:proofErr w:type="spellStart"/>
            <w:r w:rsidRPr="0060702E">
              <w:rPr>
                <w:rFonts w:cs="Arial"/>
                <w:bCs/>
                <w:color w:val="000000"/>
                <w:sz w:val="18"/>
                <w:szCs w:val="22"/>
              </w:rPr>
              <w:t>pageviews</w:t>
            </w:r>
            <w:proofErr w:type="spellEnd"/>
            <w:r w:rsidRPr="0060702E">
              <w:rPr>
                <w:rFonts w:cs="Arial"/>
                <w:bCs/>
                <w:color w:val="000000"/>
                <w:sz w:val="18"/>
                <w:szCs w:val="22"/>
              </w:rPr>
              <w:t xml:space="preserve"> </w:t>
            </w:r>
          </w:p>
          <w:p w:rsidR="00066B0F" w:rsidRPr="0060702E" w:rsidRDefault="00066B0F" w:rsidP="008F5543">
            <w:pPr>
              <w:autoSpaceDE w:val="0"/>
              <w:autoSpaceDN w:val="0"/>
              <w:adjustRightInd w:val="0"/>
              <w:jc w:val="left"/>
              <w:rPr>
                <w:rFonts w:cs="Arial"/>
                <w:color w:val="000000"/>
                <w:sz w:val="18"/>
                <w:szCs w:val="22"/>
              </w:rPr>
            </w:pPr>
          </w:p>
        </w:tc>
      </w:tr>
      <w:tr w:rsidR="00066B0F" w:rsidRPr="0060702E" w:rsidTr="00C67712">
        <w:trPr>
          <w:trHeight w:val="148"/>
          <w:jc w:val="center"/>
        </w:trPr>
        <w:tc>
          <w:tcPr>
            <w:tcW w:w="1284" w:type="dxa"/>
          </w:tcPr>
          <w:p w:rsidR="00066B0F" w:rsidRPr="0060702E" w:rsidRDefault="00066B0F" w:rsidP="008F5543">
            <w:pPr>
              <w:autoSpaceDE w:val="0"/>
              <w:autoSpaceDN w:val="0"/>
              <w:adjustRightInd w:val="0"/>
              <w:jc w:val="left"/>
              <w:rPr>
                <w:rFonts w:cs="Arial"/>
                <w:color w:val="000000"/>
                <w:sz w:val="18"/>
                <w:szCs w:val="22"/>
              </w:rPr>
            </w:pPr>
            <w:r w:rsidRPr="0060702E">
              <w:rPr>
                <w:rFonts w:cs="Arial"/>
                <w:color w:val="000000"/>
                <w:sz w:val="18"/>
                <w:szCs w:val="22"/>
              </w:rPr>
              <w:t xml:space="preserve">English </w:t>
            </w:r>
          </w:p>
        </w:tc>
        <w:tc>
          <w:tcPr>
            <w:tcW w:w="1260" w:type="dxa"/>
          </w:tcPr>
          <w:p w:rsidR="00066B0F" w:rsidRPr="0060702E" w:rsidRDefault="00066B0F" w:rsidP="008F5543">
            <w:pPr>
              <w:pStyle w:val="Default"/>
              <w:tabs>
                <w:tab w:val="decimal" w:pos="849"/>
              </w:tabs>
              <w:rPr>
                <w:sz w:val="18"/>
                <w:szCs w:val="18"/>
              </w:rPr>
            </w:pPr>
            <w:r w:rsidRPr="0060702E">
              <w:rPr>
                <w:sz w:val="18"/>
                <w:szCs w:val="18"/>
              </w:rPr>
              <w:t xml:space="preserve">55,559 </w:t>
            </w:r>
          </w:p>
        </w:tc>
        <w:tc>
          <w:tcPr>
            <w:tcW w:w="1710" w:type="dxa"/>
          </w:tcPr>
          <w:p w:rsidR="00066B0F" w:rsidRPr="0060702E" w:rsidRDefault="00066B0F" w:rsidP="008F5543">
            <w:pPr>
              <w:pStyle w:val="Default"/>
              <w:tabs>
                <w:tab w:val="decimal" w:pos="1057"/>
              </w:tabs>
              <w:rPr>
                <w:sz w:val="18"/>
                <w:szCs w:val="18"/>
              </w:rPr>
            </w:pPr>
            <w:r w:rsidRPr="0060702E">
              <w:rPr>
                <w:sz w:val="18"/>
                <w:szCs w:val="18"/>
              </w:rPr>
              <w:t xml:space="preserve">31,498 </w:t>
            </w:r>
          </w:p>
        </w:tc>
      </w:tr>
      <w:tr w:rsidR="00066B0F" w:rsidRPr="0060702E" w:rsidTr="00C67712">
        <w:trPr>
          <w:trHeight w:val="142"/>
          <w:jc w:val="center"/>
        </w:trPr>
        <w:tc>
          <w:tcPr>
            <w:tcW w:w="1284" w:type="dxa"/>
          </w:tcPr>
          <w:p w:rsidR="00066B0F" w:rsidRPr="0060702E" w:rsidRDefault="00066B0F" w:rsidP="008F5543">
            <w:pPr>
              <w:autoSpaceDE w:val="0"/>
              <w:autoSpaceDN w:val="0"/>
              <w:adjustRightInd w:val="0"/>
              <w:jc w:val="left"/>
              <w:rPr>
                <w:rFonts w:cs="Arial"/>
                <w:color w:val="000000"/>
                <w:sz w:val="18"/>
                <w:szCs w:val="22"/>
              </w:rPr>
            </w:pPr>
            <w:r w:rsidRPr="0060702E">
              <w:rPr>
                <w:rFonts w:cs="Arial"/>
                <w:color w:val="000000"/>
                <w:sz w:val="18"/>
                <w:szCs w:val="22"/>
              </w:rPr>
              <w:t xml:space="preserve">Spanish </w:t>
            </w:r>
          </w:p>
        </w:tc>
        <w:tc>
          <w:tcPr>
            <w:tcW w:w="1260" w:type="dxa"/>
          </w:tcPr>
          <w:p w:rsidR="00066B0F" w:rsidRPr="0060702E" w:rsidRDefault="00F524AF" w:rsidP="008F5543">
            <w:pPr>
              <w:pStyle w:val="Default"/>
              <w:tabs>
                <w:tab w:val="decimal" w:pos="849"/>
              </w:tabs>
              <w:rPr>
                <w:sz w:val="18"/>
                <w:szCs w:val="18"/>
              </w:rPr>
            </w:pPr>
            <w:r w:rsidRPr="0060702E">
              <w:rPr>
                <w:sz w:val="18"/>
                <w:szCs w:val="18"/>
              </w:rPr>
              <w:t>8,591</w:t>
            </w:r>
          </w:p>
        </w:tc>
        <w:tc>
          <w:tcPr>
            <w:tcW w:w="1710" w:type="dxa"/>
          </w:tcPr>
          <w:p w:rsidR="00066B0F" w:rsidRPr="0060702E" w:rsidRDefault="00066B0F" w:rsidP="008F5543">
            <w:pPr>
              <w:pStyle w:val="Default"/>
              <w:tabs>
                <w:tab w:val="decimal" w:pos="1057"/>
              </w:tabs>
              <w:rPr>
                <w:sz w:val="18"/>
                <w:szCs w:val="18"/>
              </w:rPr>
            </w:pPr>
            <w:r w:rsidRPr="0060702E">
              <w:rPr>
                <w:sz w:val="18"/>
                <w:szCs w:val="18"/>
              </w:rPr>
              <w:t xml:space="preserve">4,802 </w:t>
            </w:r>
          </w:p>
        </w:tc>
      </w:tr>
      <w:tr w:rsidR="00066B0F" w:rsidRPr="0060702E" w:rsidTr="00C67712">
        <w:trPr>
          <w:trHeight w:val="155"/>
          <w:jc w:val="center"/>
        </w:trPr>
        <w:tc>
          <w:tcPr>
            <w:tcW w:w="1284" w:type="dxa"/>
          </w:tcPr>
          <w:p w:rsidR="00066B0F" w:rsidRPr="0060702E" w:rsidRDefault="00066B0F" w:rsidP="008F5543">
            <w:pPr>
              <w:autoSpaceDE w:val="0"/>
              <w:autoSpaceDN w:val="0"/>
              <w:adjustRightInd w:val="0"/>
              <w:jc w:val="left"/>
              <w:rPr>
                <w:rFonts w:cs="Arial"/>
                <w:color w:val="000000"/>
                <w:sz w:val="18"/>
                <w:szCs w:val="22"/>
              </w:rPr>
            </w:pPr>
            <w:r w:rsidRPr="0060702E">
              <w:rPr>
                <w:rFonts w:cs="Arial"/>
                <w:color w:val="000000"/>
                <w:sz w:val="18"/>
                <w:szCs w:val="22"/>
              </w:rPr>
              <w:t xml:space="preserve">French </w:t>
            </w:r>
          </w:p>
        </w:tc>
        <w:tc>
          <w:tcPr>
            <w:tcW w:w="1260" w:type="dxa"/>
          </w:tcPr>
          <w:p w:rsidR="00066B0F" w:rsidRPr="0060702E" w:rsidRDefault="00066B0F" w:rsidP="008F5543">
            <w:pPr>
              <w:pStyle w:val="Default"/>
              <w:tabs>
                <w:tab w:val="decimal" w:pos="849"/>
              </w:tabs>
              <w:rPr>
                <w:sz w:val="18"/>
                <w:szCs w:val="18"/>
              </w:rPr>
            </w:pPr>
            <w:r w:rsidRPr="0060702E">
              <w:rPr>
                <w:sz w:val="18"/>
                <w:szCs w:val="18"/>
              </w:rPr>
              <w:t xml:space="preserve">3,071 </w:t>
            </w:r>
          </w:p>
        </w:tc>
        <w:tc>
          <w:tcPr>
            <w:tcW w:w="1710" w:type="dxa"/>
          </w:tcPr>
          <w:p w:rsidR="00066B0F" w:rsidRPr="0060702E" w:rsidRDefault="00066B0F" w:rsidP="008F5543">
            <w:pPr>
              <w:pStyle w:val="Default"/>
              <w:tabs>
                <w:tab w:val="decimal" w:pos="1057"/>
              </w:tabs>
              <w:rPr>
                <w:sz w:val="18"/>
                <w:szCs w:val="18"/>
              </w:rPr>
            </w:pPr>
            <w:r w:rsidRPr="0060702E">
              <w:rPr>
                <w:sz w:val="18"/>
                <w:szCs w:val="18"/>
              </w:rPr>
              <w:t xml:space="preserve">1,898 </w:t>
            </w:r>
          </w:p>
        </w:tc>
      </w:tr>
      <w:tr w:rsidR="00066B0F" w:rsidRPr="0060702E" w:rsidTr="00C67712">
        <w:trPr>
          <w:trHeight w:val="142"/>
          <w:jc w:val="center"/>
        </w:trPr>
        <w:tc>
          <w:tcPr>
            <w:tcW w:w="1284" w:type="dxa"/>
          </w:tcPr>
          <w:p w:rsidR="00066B0F" w:rsidRPr="0060702E" w:rsidRDefault="00066B0F" w:rsidP="008F5543">
            <w:pPr>
              <w:autoSpaceDE w:val="0"/>
              <w:autoSpaceDN w:val="0"/>
              <w:adjustRightInd w:val="0"/>
              <w:jc w:val="left"/>
              <w:rPr>
                <w:rFonts w:cs="Arial"/>
                <w:color w:val="000000"/>
                <w:sz w:val="18"/>
                <w:szCs w:val="22"/>
              </w:rPr>
            </w:pPr>
            <w:r w:rsidRPr="0060702E">
              <w:rPr>
                <w:rFonts w:cs="Arial"/>
                <w:color w:val="000000"/>
                <w:sz w:val="18"/>
                <w:szCs w:val="22"/>
              </w:rPr>
              <w:t xml:space="preserve">German </w:t>
            </w:r>
          </w:p>
        </w:tc>
        <w:tc>
          <w:tcPr>
            <w:tcW w:w="1260" w:type="dxa"/>
          </w:tcPr>
          <w:p w:rsidR="00066B0F" w:rsidRPr="0060702E" w:rsidRDefault="00066B0F" w:rsidP="008F5543">
            <w:pPr>
              <w:pStyle w:val="Default"/>
              <w:tabs>
                <w:tab w:val="decimal" w:pos="849"/>
              </w:tabs>
              <w:rPr>
                <w:sz w:val="18"/>
                <w:szCs w:val="18"/>
              </w:rPr>
            </w:pPr>
            <w:r w:rsidRPr="0060702E">
              <w:rPr>
                <w:sz w:val="18"/>
                <w:szCs w:val="18"/>
              </w:rPr>
              <w:t xml:space="preserve">1,258 </w:t>
            </w:r>
          </w:p>
        </w:tc>
        <w:tc>
          <w:tcPr>
            <w:tcW w:w="1710" w:type="dxa"/>
          </w:tcPr>
          <w:p w:rsidR="00066B0F" w:rsidRPr="0060702E" w:rsidRDefault="00066B0F" w:rsidP="00C67712">
            <w:pPr>
              <w:pStyle w:val="Default"/>
              <w:tabs>
                <w:tab w:val="decimal" w:pos="1057"/>
              </w:tabs>
              <w:rPr>
                <w:sz w:val="18"/>
                <w:szCs w:val="18"/>
              </w:rPr>
            </w:pPr>
            <w:r w:rsidRPr="0060702E">
              <w:rPr>
                <w:sz w:val="18"/>
                <w:szCs w:val="18"/>
              </w:rPr>
              <w:t xml:space="preserve">781 </w:t>
            </w:r>
          </w:p>
        </w:tc>
      </w:tr>
    </w:tbl>
    <w:p w:rsidR="00066B0F" w:rsidRPr="0060702E" w:rsidRDefault="00066B0F" w:rsidP="00C67712">
      <w:pPr>
        <w:jc w:val="center"/>
      </w:pPr>
    </w:p>
    <w:p w:rsidR="00066B0F" w:rsidRPr="0060702E" w:rsidRDefault="00066B0F" w:rsidP="00C67712">
      <w:pPr>
        <w:keepNext/>
        <w:tabs>
          <w:tab w:val="left" w:pos="374"/>
        </w:tabs>
        <w:jc w:val="center"/>
        <w:rPr>
          <w:rFonts w:eastAsiaTheme="minorEastAsia"/>
          <w:bCs/>
          <w:sz w:val="18"/>
          <w:szCs w:val="22"/>
        </w:rPr>
      </w:pPr>
      <w:r w:rsidRPr="0060702E">
        <w:rPr>
          <w:rFonts w:eastAsiaTheme="minorEastAsia"/>
          <w:bCs/>
          <w:sz w:val="18"/>
          <w:szCs w:val="22"/>
        </w:rPr>
        <w:t>Evolution of visits</w:t>
      </w:r>
    </w:p>
    <w:p w:rsidR="00066B0F" w:rsidRPr="0060702E" w:rsidRDefault="00066B0F" w:rsidP="00C67712">
      <w:pPr>
        <w:jc w:val="center"/>
      </w:pPr>
    </w:p>
    <w:tbl>
      <w:tblPr>
        <w:tblW w:w="0" w:type="auto"/>
        <w:jc w:val="center"/>
        <w:tblInd w:w="4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260"/>
        <w:gridCol w:w="1710"/>
      </w:tblGrid>
      <w:tr w:rsidR="00066B0F" w:rsidRPr="0060702E" w:rsidTr="00C67712">
        <w:trPr>
          <w:trHeight w:val="143"/>
          <w:jc w:val="center"/>
        </w:trPr>
        <w:tc>
          <w:tcPr>
            <w:tcW w:w="1284" w:type="dxa"/>
          </w:tcPr>
          <w:p w:rsidR="00066B0F" w:rsidRPr="0060702E" w:rsidRDefault="00066B0F" w:rsidP="008F5543">
            <w:pPr>
              <w:keepNext/>
              <w:autoSpaceDE w:val="0"/>
              <w:autoSpaceDN w:val="0"/>
              <w:adjustRightInd w:val="0"/>
              <w:jc w:val="left"/>
              <w:rPr>
                <w:rFonts w:eastAsiaTheme="minorEastAsia" w:cs="Arial"/>
                <w:color w:val="000000"/>
                <w:sz w:val="18"/>
                <w:szCs w:val="22"/>
              </w:rPr>
            </w:pPr>
            <w:r w:rsidRPr="0060702E">
              <w:rPr>
                <w:rFonts w:eastAsiaTheme="minorEastAsia" w:cs="Arial"/>
                <w:bCs/>
                <w:color w:val="000000"/>
                <w:sz w:val="18"/>
                <w:szCs w:val="22"/>
              </w:rPr>
              <w:t xml:space="preserve">Year </w:t>
            </w:r>
          </w:p>
        </w:tc>
        <w:tc>
          <w:tcPr>
            <w:tcW w:w="1260" w:type="dxa"/>
          </w:tcPr>
          <w:p w:rsidR="00066B0F" w:rsidRPr="0060702E" w:rsidRDefault="00066B0F" w:rsidP="008F5543">
            <w:pPr>
              <w:keepNext/>
              <w:autoSpaceDE w:val="0"/>
              <w:autoSpaceDN w:val="0"/>
              <w:adjustRightInd w:val="0"/>
              <w:jc w:val="left"/>
              <w:rPr>
                <w:rFonts w:eastAsiaTheme="minorEastAsia" w:cs="Arial"/>
                <w:color w:val="000000"/>
                <w:sz w:val="18"/>
                <w:szCs w:val="22"/>
              </w:rPr>
            </w:pPr>
            <w:proofErr w:type="spellStart"/>
            <w:r w:rsidRPr="0060702E">
              <w:rPr>
                <w:rFonts w:eastAsiaTheme="minorEastAsia" w:cs="Arial"/>
                <w:bCs/>
                <w:color w:val="000000"/>
                <w:sz w:val="18"/>
                <w:szCs w:val="22"/>
              </w:rPr>
              <w:t>Pageviews</w:t>
            </w:r>
            <w:proofErr w:type="spellEnd"/>
          </w:p>
        </w:tc>
        <w:tc>
          <w:tcPr>
            <w:tcW w:w="1710" w:type="dxa"/>
          </w:tcPr>
          <w:p w:rsidR="00066B0F" w:rsidRPr="0060702E" w:rsidRDefault="00066B0F" w:rsidP="008F5543">
            <w:pPr>
              <w:keepNext/>
              <w:autoSpaceDE w:val="0"/>
              <w:autoSpaceDN w:val="0"/>
              <w:adjustRightInd w:val="0"/>
              <w:jc w:val="left"/>
              <w:rPr>
                <w:rFonts w:eastAsiaTheme="minorEastAsia" w:cs="Arial"/>
                <w:bCs/>
                <w:color w:val="000000"/>
                <w:sz w:val="18"/>
                <w:szCs w:val="22"/>
              </w:rPr>
            </w:pPr>
            <w:r w:rsidRPr="0060702E">
              <w:rPr>
                <w:rFonts w:eastAsiaTheme="minorEastAsia" w:cs="Arial"/>
                <w:bCs/>
                <w:color w:val="000000"/>
                <w:sz w:val="18"/>
                <w:szCs w:val="22"/>
              </w:rPr>
              <w:t xml:space="preserve">Unique </w:t>
            </w:r>
            <w:proofErr w:type="spellStart"/>
            <w:r w:rsidRPr="0060702E">
              <w:rPr>
                <w:rFonts w:eastAsiaTheme="minorEastAsia" w:cs="Arial"/>
                <w:bCs/>
                <w:color w:val="000000"/>
                <w:sz w:val="18"/>
                <w:szCs w:val="22"/>
              </w:rPr>
              <w:t>pageviews</w:t>
            </w:r>
            <w:proofErr w:type="spellEnd"/>
            <w:r w:rsidRPr="0060702E">
              <w:rPr>
                <w:rFonts w:eastAsiaTheme="minorEastAsia" w:cs="Arial"/>
                <w:bCs/>
                <w:color w:val="000000"/>
                <w:sz w:val="18"/>
                <w:szCs w:val="22"/>
              </w:rPr>
              <w:t xml:space="preserve"> </w:t>
            </w:r>
          </w:p>
          <w:p w:rsidR="00066B0F" w:rsidRPr="0060702E" w:rsidRDefault="00066B0F" w:rsidP="008F5543">
            <w:pPr>
              <w:keepNext/>
              <w:autoSpaceDE w:val="0"/>
              <w:autoSpaceDN w:val="0"/>
              <w:adjustRightInd w:val="0"/>
              <w:jc w:val="left"/>
              <w:rPr>
                <w:rFonts w:eastAsiaTheme="minorEastAsia" w:cs="Arial"/>
                <w:color w:val="000000"/>
                <w:sz w:val="18"/>
                <w:szCs w:val="22"/>
              </w:rPr>
            </w:pPr>
          </w:p>
        </w:tc>
      </w:tr>
      <w:tr w:rsidR="00066B0F" w:rsidRPr="0060702E" w:rsidTr="00C67712">
        <w:trPr>
          <w:trHeight w:val="148"/>
          <w:jc w:val="center"/>
        </w:trPr>
        <w:tc>
          <w:tcPr>
            <w:tcW w:w="1284" w:type="dxa"/>
          </w:tcPr>
          <w:p w:rsidR="00066B0F" w:rsidRPr="0060702E" w:rsidRDefault="00066B0F" w:rsidP="008F5543">
            <w:pPr>
              <w:pStyle w:val="Default"/>
              <w:rPr>
                <w:sz w:val="18"/>
                <w:szCs w:val="18"/>
              </w:rPr>
            </w:pPr>
            <w:r w:rsidRPr="0060702E">
              <w:rPr>
                <w:sz w:val="18"/>
                <w:szCs w:val="18"/>
              </w:rPr>
              <w:t xml:space="preserve">2013 </w:t>
            </w:r>
          </w:p>
        </w:tc>
        <w:tc>
          <w:tcPr>
            <w:tcW w:w="1260" w:type="dxa"/>
          </w:tcPr>
          <w:p w:rsidR="00066B0F" w:rsidRPr="0060702E" w:rsidRDefault="00066B0F" w:rsidP="008F5543">
            <w:pPr>
              <w:pStyle w:val="Default"/>
              <w:tabs>
                <w:tab w:val="decimal" w:pos="837"/>
              </w:tabs>
              <w:rPr>
                <w:sz w:val="18"/>
                <w:szCs w:val="18"/>
              </w:rPr>
            </w:pPr>
            <w:r w:rsidRPr="0060702E">
              <w:rPr>
                <w:sz w:val="18"/>
                <w:szCs w:val="18"/>
              </w:rPr>
              <w:t xml:space="preserve">68,479 </w:t>
            </w:r>
          </w:p>
        </w:tc>
        <w:tc>
          <w:tcPr>
            <w:tcW w:w="1710" w:type="dxa"/>
          </w:tcPr>
          <w:p w:rsidR="00066B0F" w:rsidRPr="0060702E" w:rsidRDefault="00066B0F" w:rsidP="008F5543">
            <w:pPr>
              <w:pStyle w:val="Default"/>
              <w:tabs>
                <w:tab w:val="decimal" w:pos="1057"/>
              </w:tabs>
              <w:rPr>
                <w:sz w:val="18"/>
                <w:szCs w:val="18"/>
              </w:rPr>
            </w:pPr>
            <w:r w:rsidRPr="0060702E">
              <w:rPr>
                <w:sz w:val="18"/>
                <w:szCs w:val="18"/>
              </w:rPr>
              <w:t xml:space="preserve">38,979 </w:t>
            </w:r>
          </w:p>
        </w:tc>
      </w:tr>
      <w:tr w:rsidR="00066B0F" w:rsidRPr="0060702E" w:rsidTr="00C67712">
        <w:trPr>
          <w:trHeight w:val="148"/>
          <w:jc w:val="center"/>
        </w:trPr>
        <w:tc>
          <w:tcPr>
            <w:tcW w:w="1284" w:type="dxa"/>
          </w:tcPr>
          <w:p w:rsidR="00066B0F" w:rsidRPr="0060702E" w:rsidRDefault="00066B0F" w:rsidP="008F5543">
            <w:pPr>
              <w:pStyle w:val="Default"/>
              <w:rPr>
                <w:sz w:val="18"/>
                <w:szCs w:val="18"/>
              </w:rPr>
            </w:pPr>
            <w:r w:rsidRPr="0060702E">
              <w:rPr>
                <w:sz w:val="18"/>
                <w:szCs w:val="18"/>
              </w:rPr>
              <w:t xml:space="preserve">2012 </w:t>
            </w:r>
          </w:p>
        </w:tc>
        <w:tc>
          <w:tcPr>
            <w:tcW w:w="1260" w:type="dxa"/>
          </w:tcPr>
          <w:p w:rsidR="00066B0F" w:rsidRPr="0060702E" w:rsidRDefault="00066B0F" w:rsidP="008F5543">
            <w:pPr>
              <w:pStyle w:val="Default"/>
              <w:tabs>
                <w:tab w:val="decimal" w:pos="837"/>
              </w:tabs>
              <w:rPr>
                <w:sz w:val="18"/>
                <w:szCs w:val="18"/>
              </w:rPr>
            </w:pPr>
            <w:r w:rsidRPr="0060702E">
              <w:rPr>
                <w:sz w:val="18"/>
                <w:szCs w:val="18"/>
              </w:rPr>
              <w:t xml:space="preserve">65,471 </w:t>
            </w:r>
          </w:p>
        </w:tc>
        <w:tc>
          <w:tcPr>
            <w:tcW w:w="1710" w:type="dxa"/>
          </w:tcPr>
          <w:p w:rsidR="00066B0F" w:rsidRPr="0060702E" w:rsidRDefault="00066B0F" w:rsidP="008F5543">
            <w:pPr>
              <w:pStyle w:val="Default"/>
              <w:tabs>
                <w:tab w:val="decimal" w:pos="1057"/>
              </w:tabs>
              <w:rPr>
                <w:sz w:val="18"/>
                <w:szCs w:val="18"/>
              </w:rPr>
            </w:pPr>
            <w:r w:rsidRPr="0060702E">
              <w:rPr>
                <w:sz w:val="18"/>
                <w:szCs w:val="18"/>
              </w:rPr>
              <w:t xml:space="preserve">37,227 </w:t>
            </w:r>
          </w:p>
        </w:tc>
      </w:tr>
      <w:tr w:rsidR="00DC39ED" w:rsidRPr="0060702E" w:rsidTr="00C67712">
        <w:trPr>
          <w:trHeight w:val="148"/>
          <w:jc w:val="center"/>
        </w:trPr>
        <w:tc>
          <w:tcPr>
            <w:tcW w:w="1284" w:type="dxa"/>
          </w:tcPr>
          <w:p w:rsidR="00DC39ED" w:rsidRPr="0060702E" w:rsidRDefault="00DC39ED" w:rsidP="008F5543">
            <w:pPr>
              <w:pStyle w:val="Default"/>
              <w:rPr>
                <w:sz w:val="18"/>
                <w:szCs w:val="18"/>
              </w:rPr>
            </w:pPr>
            <w:r w:rsidRPr="0060702E">
              <w:rPr>
                <w:sz w:val="18"/>
                <w:szCs w:val="18"/>
              </w:rPr>
              <w:t xml:space="preserve">2011 </w:t>
            </w:r>
          </w:p>
        </w:tc>
        <w:tc>
          <w:tcPr>
            <w:tcW w:w="1260" w:type="dxa"/>
          </w:tcPr>
          <w:p w:rsidR="00DC39ED" w:rsidRPr="0060702E" w:rsidRDefault="00DC39ED" w:rsidP="008F5543">
            <w:pPr>
              <w:pStyle w:val="Default"/>
              <w:tabs>
                <w:tab w:val="decimal" w:pos="837"/>
              </w:tabs>
              <w:rPr>
                <w:sz w:val="18"/>
                <w:szCs w:val="18"/>
              </w:rPr>
            </w:pPr>
            <w:r w:rsidRPr="0060702E">
              <w:rPr>
                <w:sz w:val="18"/>
                <w:szCs w:val="18"/>
              </w:rPr>
              <w:t xml:space="preserve">not available </w:t>
            </w:r>
          </w:p>
        </w:tc>
        <w:tc>
          <w:tcPr>
            <w:tcW w:w="1710" w:type="dxa"/>
          </w:tcPr>
          <w:p w:rsidR="00DC39ED" w:rsidRPr="0060702E" w:rsidRDefault="00DC39ED" w:rsidP="00DC39ED">
            <w:pPr>
              <w:pStyle w:val="Default"/>
              <w:tabs>
                <w:tab w:val="decimal" w:pos="837"/>
              </w:tabs>
              <w:jc w:val="right"/>
              <w:rPr>
                <w:sz w:val="18"/>
                <w:szCs w:val="18"/>
              </w:rPr>
            </w:pPr>
            <w:r w:rsidRPr="0060702E">
              <w:rPr>
                <w:sz w:val="18"/>
                <w:szCs w:val="18"/>
              </w:rPr>
              <w:t xml:space="preserve">not available </w:t>
            </w:r>
          </w:p>
        </w:tc>
      </w:tr>
    </w:tbl>
    <w:p w:rsidR="00066B0F" w:rsidRDefault="00066B0F" w:rsidP="002D6F42">
      <w:pPr>
        <w:tabs>
          <w:tab w:val="left" w:pos="2410"/>
          <w:tab w:val="left" w:pos="4536"/>
          <w:tab w:val="left" w:pos="9072"/>
        </w:tabs>
        <w:rPr>
          <w:sz w:val="18"/>
          <w:szCs w:val="18"/>
        </w:rPr>
      </w:pPr>
    </w:p>
    <w:p w:rsidR="00C67712" w:rsidRPr="0060702E" w:rsidRDefault="00C67712" w:rsidP="002D6F42">
      <w:pPr>
        <w:tabs>
          <w:tab w:val="left" w:pos="2410"/>
          <w:tab w:val="left" w:pos="4536"/>
          <w:tab w:val="left" w:pos="9072"/>
        </w:tabs>
        <w:rPr>
          <w:sz w:val="18"/>
          <w:szCs w:val="18"/>
        </w:rPr>
      </w:pPr>
    </w:p>
    <w:tbl>
      <w:tblPr>
        <w:tblW w:w="9889" w:type="dxa"/>
        <w:tblLayout w:type="fixed"/>
        <w:tblLook w:val="0000" w:firstRow="0" w:lastRow="0" w:firstColumn="0" w:lastColumn="0" w:noHBand="0" w:noVBand="0"/>
      </w:tblPr>
      <w:tblGrid>
        <w:gridCol w:w="4944"/>
        <w:gridCol w:w="4945"/>
      </w:tblGrid>
      <w:tr w:rsidR="00AE0E67" w:rsidRPr="0060702E" w:rsidTr="00456CBD">
        <w:trPr>
          <w:cantSplit/>
          <w:trHeight w:val="4755"/>
        </w:trPr>
        <w:tc>
          <w:tcPr>
            <w:tcW w:w="4944" w:type="dxa"/>
          </w:tcPr>
          <w:p w:rsidR="00AE0E67" w:rsidRPr="0060702E" w:rsidRDefault="00AE0E67" w:rsidP="002B1CF4">
            <w:pPr>
              <w:pStyle w:val="Heading9"/>
              <w:keepLines/>
            </w:pPr>
            <w:bookmarkStart w:id="52" w:name="_Toc398738952"/>
            <w:proofErr w:type="gramStart"/>
            <w:r w:rsidRPr="0060702E">
              <w:t>Figure 4.</w:t>
            </w:r>
            <w:proofErr w:type="gramEnd"/>
            <w:r w:rsidRPr="0060702E">
              <w:t xml:space="preserve">  Adoption of Test Guidelines</w:t>
            </w:r>
            <w:bookmarkEnd w:id="52"/>
          </w:p>
          <w:p w:rsidR="002B1CF4" w:rsidRPr="0060702E" w:rsidRDefault="002B1CF4" w:rsidP="002B1CF4">
            <w:pPr>
              <w:keepNext/>
              <w:keepLines/>
            </w:pPr>
            <w:r w:rsidRPr="0060702E">
              <w:rPr>
                <w:noProof/>
              </w:rPr>
              <w:drawing>
                <wp:inline distT="0" distB="0" distL="0" distR="0" wp14:anchorId="57B941FC" wp14:editId="79255163">
                  <wp:extent cx="3076575" cy="2400300"/>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E0E67" w:rsidRPr="0060702E" w:rsidRDefault="00AE0E67" w:rsidP="002B1CF4">
            <w:pPr>
              <w:keepNext/>
              <w:keepLines/>
            </w:pPr>
          </w:p>
        </w:tc>
        <w:tc>
          <w:tcPr>
            <w:tcW w:w="4945" w:type="dxa"/>
          </w:tcPr>
          <w:p w:rsidR="00AE0E67" w:rsidRPr="0060702E" w:rsidRDefault="00AE0E67" w:rsidP="00303BED">
            <w:pPr>
              <w:jc w:val="center"/>
            </w:pPr>
            <w:bookmarkStart w:id="53" w:name="_Toc398738953"/>
            <w:r w:rsidRPr="0060702E">
              <w:rPr>
                <w:rStyle w:val="Heading9Char"/>
              </w:rPr>
              <w:t xml:space="preserve">Figure 5.  </w:t>
            </w:r>
            <w:r w:rsidR="00716BF0" w:rsidRPr="0060702E">
              <w:rPr>
                <w:rStyle w:val="Heading9Char"/>
              </w:rPr>
              <w:t>Draft</w:t>
            </w:r>
            <w:r w:rsidRPr="0060702E">
              <w:rPr>
                <w:rStyle w:val="Heading9Char"/>
              </w:rPr>
              <w:t xml:space="preserve"> Test Guidelines</w:t>
            </w:r>
            <w:r w:rsidRPr="0060702E">
              <w:rPr>
                <w:rStyle w:val="Heading9Char"/>
              </w:rPr>
              <w:br/>
              <w:t>discussed in TWPs</w:t>
            </w:r>
            <w:bookmarkEnd w:id="53"/>
            <w:r w:rsidR="00456CBD" w:rsidRPr="0060702E">
              <w:rPr>
                <w:noProof/>
              </w:rPr>
              <w:drawing>
                <wp:inline distT="0" distB="0" distL="0" distR="0" wp14:anchorId="27B031EF" wp14:editId="2D78781D">
                  <wp:extent cx="2988000" cy="2412000"/>
                  <wp:effectExtent l="0" t="0" r="3175" b="762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B1CF4" w:rsidRPr="0060702E" w:rsidRDefault="002B1CF4" w:rsidP="00303BED"/>
          <w:p w:rsidR="00AE0E67" w:rsidRPr="0060702E" w:rsidRDefault="00AE0E67" w:rsidP="00303BED"/>
        </w:tc>
      </w:tr>
    </w:tbl>
    <w:p w:rsidR="008F5543" w:rsidRPr="0060702E" w:rsidRDefault="008F5543">
      <w:pPr>
        <w:rPr>
          <w:bCs/>
          <w:caps/>
        </w:rPr>
      </w:pPr>
    </w:p>
    <w:p w:rsidR="008F5543" w:rsidRPr="0060702E" w:rsidRDefault="008F5543" w:rsidP="008F5543">
      <w:pPr>
        <w:pStyle w:val="Heading9"/>
        <w:spacing w:before="120" w:after="120"/>
      </w:pPr>
      <w:bookmarkStart w:id="54" w:name="_Toc398738954"/>
      <w:proofErr w:type="gramStart"/>
      <w:r w:rsidRPr="0060702E">
        <w:t>Figure 6.</w:t>
      </w:r>
      <w:proofErr w:type="gramEnd"/>
      <w:r w:rsidRPr="0060702E">
        <w:t xml:space="preserve">  Plant Breeders’ Rights Entries in Plant Variety Database covered by Test Guidelines</w:t>
      </w:r>
      <w:bookmarkEnd w:id="54"/>
    </w:p>
    <w:p w:rsidR="008F5543" w:rsidRPr="0060702E" w:rsidRDefault="008F5543" w:rsidP="008F5543">
      <w:pPr>
        <w:pStyle w:val="Heading6"/>
      </w:pPr>
    </w:p>
    <w:p w:rsidR="008F5543" w:rsidRPr="0060702E" w:rsidRDefault="008F5543" w:rsidP="008F5543">
      <w:pPr>
        <w:jc w:val="center"/>
      </w:pPr>
      <w:r w:rsidRPr="0060702E">
        <w:rPr>
          <w:noProof/>
        </w:rPr>
        <w:drawing>
          <wp:inline distT="0" distB="0" distL="0" distR="0" wp14:anchorId="01A4C5A8" wp14:editId="293F7EB2">
            <wp:extent cx="4772025" cy="2743200"/>
            <wp:effectExtent l="0" t="0" r="9525" b="1905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F5543" w:rsidRPr="0060702E" w:rsidRDefault="008F5543" w:rsidP="008F5543">
      <w:pPr>
        <w:jc w:val="center"/>
      </w:pPr>
    </w:p>
    <w:p w:rsidR="008F5543" w:rsidRPr="0060702E" w:rsidRDefault="00240810" w:rsidP="00C67712">
      <w:pPr>
        <w:pStyle w:val="Heading8"/>
        <w:keepNext/>
        <w:rPr>
          <w:i/>
          <w:szCs w:val="18"/>
        </w:rPr>
      </w:pPr>
      <w:bookmarkStart w:id="55" w:name="_Toc398738955"/>
      <w:r w:rsidRPr="0060702E">
        <w:rPr>
          <w:szCs w:val="18"/>
        </w:rPr>
        <w:t>(</w:t>
      </w:r>
      <w:r w:rsidR="008F5543" w:rsidRPr="0060702E">
        <w:rPr>
          <w:szCs w:val="18"/>
        </w:rPr>
        <w:t>c)  Participation in seminars and symposia held in Geneva in conjunction with UPOV sessions</w:t>
      </w:r>
      <w:bookmarkEnd w:id="55"/>
    </w:p>
    <w:p w:rsidR="008F5543" w:rsidRPr="0060702E" w:rsidRDefault="008F5543" w:rsidP="008F5543">
      <w:pPr>
        <w:keepNext/>
        <w:keepLines/>
        <w:numPr>
          <w:ilvl w:val="0"/>
          <w:numId w:val="2"/>
        </w:numPr>
        <w:spacing w:after="120"/>
        <w:ind w:right="176"/>
        <w:jc w:val="left"/>
        <w:rPr>
          <w:sz w:val="18"/>
          <w:szCs w:val="18"/>
        </w:rPr>
      </w:pPr>
      <w:r w:rsidRPr="0060702E">
        <w:rPr>
          <w:sz w:val="18"/>
          <w:szCs w:val="18"/>
        </w:rPr>
        <w:t>In 2012, discussion on experiences of members of the Union on measures to improve the efficiency and effectiveness of DUS testing</w:t>
      </w:r>
      <w:r w:rsidR="00894DC3" w:rsidRPr="0060702E">
        <w:rPr>
          <w:sz w:val="18"/>
          <w:szCs w:val="18"/>
        </w:rPr>
        <w:t>:</w:t>
      </w:r>
    </w:p>
    <w:p w:rsidR="008F5543" w:rsidRPr="0060702E" w:rsidRDefault="008F5543" w:rsidP="00E30D75">
      <w:pPr>
        <w:ind w:firstLine="360"/>
        <w:jc w:val="left"/>
        <w:rPr>
          <w:sz w:val="18"/>
          <w:szCs w:val="18"/>
        </w:rPr>
      </w:pPr>
      <w:r w:rsidRPr="0060702E">
        <w:rPr>
          <w:sz w:val="18"/>
          <w:szCs w:val="18"/>
        </w:rPr>
        <w:t>89 participants representing 42 members of the Union, 4 observer States, and 5 observer organizations</w:t>
      </w:r>
    </w:p>
    <w:p w:rsidR="008F5543" w:rsidRPr="0060702E" w:rsidRDefault="008F5543" w:rsidP="008F5543">
      <w:pPr>
        <w:jc w:val="left"/>
      </w:pPr>
    </w:p>
    <w:p w:rsidR="008F5543" w:rsidRPr="0060702E" w:rsidRDefault="008F5543">
      <w:pPr>
        <w:rPr>
          <w:bCs/>
          <w:caps/>
        </w:rPr>
      </w:pPr>
    </w:p>
    <w:p w:rsidR="008F5543" w:rsidRPr="0060702E" w:rsidRDefault="008F5543" w:rsidP="008F5543">
      <w:pPr>
        <w:pStyle w:val="Heading6"/>
      </w:pPr>
      <w:bookmarkStart w:id="56" w:name="_Toc398738956"/>
      <w:r w:rsidRPr="0060702E">
        <w:t>3.  Cooperation for the examination of plant breeders’ rights</w:t>
      </w:r>
      <w:bookmarkEnd w:id="56"/>
    </w:p>
    <w:p w:rsidR="00894DC3" w:rsidRDefault="00894DC3" w:rsidP="00466D52">
      <w:pPr>
        <w:rPr>
          <w:sz w:val="1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
        <w:gridCol w:w="5664"/>
      </w:tblGrid>
      <w:tr w:rsidR="00466D52" w:rsidTr="00466D52">
        <w:trPr>
          <w:jc w:val="center"/>
        </w:trPr>
        <w:tc>
          <w:tcPr>
            <w:tcW w:w="798" w:type="dxa"/>
            <w:tcMar>
              <w:left w:w="0" w:type="dxa"/>
              <w:right w:w="0" w:type="dxa"/>
            </w:tcMar>
            <w:vAlign w:val="bottom"/>
          </w:tcPr>
          <w:p w:rsidR="00466D52" w:rsidRDefault="00466D52" w:rsidP="006B23B7">
            <w:pPr>
              <w:jc w:val="right"/>
              <w:rPr>
                <w:sz w:val="18"/>
              </w:rPr>
            </w:pPr>
            <w:r w:rsidRPr="006A3581">
              <w:rPr>
                <w:noProof/>
              </w:rPr>
              <w:drawing>
                <wp:inline distT="0" distB="0" distL="0" distR="0" wp14:anchorId="03EC4324" wp14:editId="19D87E34">
                  <wp:extent cx="305435" cy="467995"/>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2-Genie-logo-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435" cy="467995"/>
                          </a:xfrm>
                          <a:prstGeom prst="rect">
                            <a:avLst/>
                          </a:prstGeom>
                        </pic:spPr>
                      </pic:pic>
                    </a:graphicData>
                  </a:graphic>
                </wp:inline>
              </w:drawing>
            </w:r>
          </w:p>
        </w:tc>
        <w:tc>
          <w:tcPr>
            <w:tcW w:w="5664" w:type="dxa"/>
            <w:tcMar>
              <w:left w:w="0" w:type="dxa"/>
              <w:right w:w="0" w:type="dxa"/>
            </w:tcMar>
            <w:vAlign w:val="bottom"/>
          </w:tcPr>
          <w:p w:rsidR="00466D52" w:rsidRDefault="00466D52" w:rsidP="00FF3208">
            <w:pPr>
              <w:pStyle w:val="Heading8"/>
              <w:spacing w:after="0"/>
              <w:outlineLvl w:val="7"/>
            </w:pPr>
            <w:bookmarkStart w:id="57" w:name="_Toc398738957"/>
            <w:r w:rsidRPr="0060702E">
              <w:t>GENIE Database</w:t>
            </w:r>
            <w:r w:rsidR="00FF3208">
              <w:t xml:space="preserve">:  visits to </w:t>
            </w:r>
            <w:r w:rsidRPr="0060702E">
              <w:t>the UPOV Website in 2013</w:t>
            </w:r>
            <w:bookmarkEnd w:id="57"/>
          </w:p>
        </w:tc>
      </w:tr>
    </w:tbl>
    <w:p w:rsidR="00466D52" w:rsidRPr="00466D52" w:rsidRDefault="00466D52" w:rsidP="00466D52">
      <w:pPr>
        <w:rPr>
          <w:sz w:val="18"/>
        </w:rPr>
      </w:pPr>
    </w:p>
    <w:tbl>
      <w:tblPr>
        <w:tblW w:w="9747" w:type="dxa"/>
        <w:tblLayout w:type="fixed"/>
        <w:tblLook w:val="0000" w:firstRow="0" w:lastRow="0" w:firstColumn="0" w:lastColumn="0" w:noHBand="0" w:noVBand="0"/>
      </w:tblPr>
      <w:tblGrid>
        <w:gridCol w:w="5211"/>
        <w:gridCol w:w="4536"/>
      </w:tblGrid>
      <w:tr w:rsidR="008F5543" w:rsidRPr="0060702E" w:rsidTr="006A3581">
        <w:tc>
          <w:tcPr>
            <w:tcW w:w="5211" w:type="dxa"/>
          </w:tcPr>
          <w:tbl>
            <w:tblPr>
              <w:tblW w:w="422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975"/>
              <w:gridCol w:w="2250"/>
            </w:tblGrid>
            <w:tr w:rsidR="008F5543" w:rsidRPr="0060702E" w:rsidTr="008F5543">
              <w:trPr>
                <w:trHeight w:val="148"/>
              </w:trPr>
              <w:tc>
                <w:tcPr>
                  <w:tcW w:w="1975" w:type="dxa"/>
                </w:tcPr>
                <w:p w:rsidR="008F5543" w:rsidRPr="0060702E" w:rsidRDefault="008F5543" w:rsidP="008F5543">
                  <w:pPr>
                    <w:pStyle w:val="Default"/>
                    <w:ind w:firstLine="6"/>
                    <w:rPr>
                      <w:sz w:val="18"/>
                      <w:szCs w:val="18"/>
                    </w:rPr>
                  </w:pPr>
                  <w:r w:rsidRPr="0060702E">
                    <w:rPr>
                      <w:sz w:val="18"/>
                      <w:szCs w:val="18"/>
                    </w:rPr>
                    <w:t xml:space="preserve">Sessions </w:t>
                  </w:r>
                </w:p>
              </w:tc>
              <w:tc>
                <w:tcPr>
                  <w:tcW w:w="2250" w:type="dxa"/>
                </w:tcPr>
                <w:p w:rsidR="008F5543" w:rsidRPr="0060702E" w:rsidRDefault="008F5543" w:rsidP="008F5543">
                  <w:pPr>
                    <w:pStyle w:val="Default"/>
                    <w:tabs>
                      <w:tab w:val="decimal" w:pos="775"/>
                    </w:tabs>
                    <w:ind w:right="432" w:hanging="18"/>
                    <w:jc w:val="right"/>
                    <w:rPr>
                      <w:sz w:val="18"/>
                      <w:szCs w:val="18"/>
                    </w:rPr>
                  </w:pPr>
                  <w:r w:rsidRPr="0060702E">
                    <w:rPr>
                      <w:sz w:val="18"/>
                      <w:szCs w:val="18"/>
                    </w:rPr>
                    <w:t>16,545</w:t>
                  </w:r>
                </w:p>
              </w:tc>
            </w:tr>
            <w:tr w:rsidR="008F5543" w:rsidRPr="0060702E" w:rsidTr="008F5543">
              <w:trPr>
                <w:trHeight w:val="148"/>
              </w:trPr>
              <w:tc>
                <w:tcPr>
                  <w:tcW w:w="1975" w:type="dxa"/>
                </w:tcPr>
                <w:p w:rsidR="008F5543" w:rsidRPr="0060702E" w:rsidRDefault="008F5543" w:rsidP="008F5543">
                  <w:pPr>
                    <w:pStyle w:val="Default"/>
                    <w:ind w:firstLine="6"/>
                    <w:rPr>
                      <w:sz w:val="18"/>
                      <w:szCs w:val="18"/>
                    </w:rPr>
                  </w:pPr>
                  <w:r w:rsidRPr="0060702E">
                    <w:rPr>
                      <w:sz w:val="18"/>
                      <w:szCs w:val="18"/>
                    </w:rPr>
                    <w:t xml:space="preserve">Users </w:t>
                  </w:r>
                </w:p>
              </w:tc>
              <w:tc>
                <w:tcPr>
                  <w:tcW w:w="2250" w:type="dxa"/>
                </w:tcPr>
                <w:p w:rsidR="008F5543" w:rsidRPr="0060702E" w:rsidRDefault="008F5543" w:rsidP="008F5543">
                  <w:pPr>
                    <w:pStyle w:val="Default"/>
                    <w:tabs>
                      <w:tab w:val="decimal" w:pos="775"/>
                    </w:tabs>
                    <w:ind w:right="432" w:hanging="18"/>
                    <w:jc w:val="right"/>
                    <w:rPr>
                      <w:sz w:val="18"/>
                      <w:szCs w:val="18"/>
                    </w:rPr>
                  </w:pPr>
                  <w:r w:rsidRPr="0060702E">
                    <w:rPr>
                      <w:sz w:val="18"/>
                      <w:szCs w:val="18"/>
                    </w:rPr>
                    <w:t>8,913</w:t>
                  </w:r>
                </w:p>
              </w:tc>
            </w:tr>
            <w:tr w:rsidR="008F5543" w:rsidRPr="0060702E" w:rsidTr="008F5543">
              <w:trPr>
                <w:trHeight w:val="148"/>
              </w:trPr>
              <w:tc>
                <w:tcPr>
                  <w:tcW w:w="1975" w:type="dxa"/>
                </w:tcPr>
                <w:p w:rsidR="008F5543" w:rsidRPr="0060702E" w:rsidRDefault="008F5543" w:rsidP="008F5543">
                  <w:pPr>
                    <w:pStyle w:val="Default"/>
                    <w:ind w:firstLine="6"/>
                    <w:rPr>
                      <w:sz w:val="18"/>
                      <w:szCs w:val="18"/>
                    </w:rPr>
                  </w:pPr>
                  <w:proofErr w:type="spellStart"/>
                  <w:r w:rsidRPr="0060702E">
                    <w:rPr>
                      <w:sz w:val="18"/>
                      <w:szCs w:val="18"/>
                    </w:rPr>
                    <w:t>Pageviews</w:t>
                  </w:r>
                  <w:proofErr w:type="spellEnd"/>
                  <w:r w:rsidRPr="0060702E">
                    <w:rPr>
                      <w:sz w:val="18"/>
                      <w:szCs w:val="18"/>
                    </w:rPr>
                    <w:t xml:space="preserve"> </w:t>
                  </w:r>
                </w:p>
              </w:tc>
              <w:tc>
                <w:tcPr>
                  <w:tcW w:w="2250" w:type="dxa"/>
                </w:tcPr>
                <w:p w:rsidR="008F5543" w:rsidRPr="0060702E" w:rsidRDefault="008F5543" w:rsidP="008F5543">
                  <w:pPr>
                    <w:pStyle w:val="Default"/>
                    <w:tabs>
                      <w:tab w:val="decimal" w:pos="775"/>
                    </w:tabs>
                    <w:ind w:right="432" w:hanging="18"/>
                    <w:jc w:val="right"/>
                    <w:rPr>
                      <w:sz w:val="18"/>
                      <w:szCs w:val="18"/>
                    </w:rPr>
                  </w:pPr>
                  <w:r w:rsidRPr="0060702E">
                    <w:rPr>
                      <w:sz w:val="18"/>
                      <w:szCs w:val="18"/>
                    </w:rPr>
                    <w:t>84,306</w:t>
                  </w:r>
                </w:p>
              </w:tc>
            </w:tr>
            <w:tr w:rsidR="008F5543" w:rsidRPr="0060702E" w:rsidTr="008F5543">
              <w:trPr>
                <w:trHeight w:val="148"/>
              </w:trPr>
              <w:tc>
                <w:tcPr>
                  <w:tcW w:w="1975" w:type="dxa"/>
                </w:tcPr>
                <w:p w:rsidR="008F5543" w:rsidRPr="0060702E" w:rsidRDefault="008F5543" w:rsidP="008F5543">
                  <w:pPr>
                    <w:pStyle w:val="Default"/>
                    <w:ind w:firstLine="6"/>
                    <w:rPr>
                      <w:sz w:val="18"/>
                      <w:szCs w:val="18"/>
                    </w:rPr>
                  </w:pPr>
                  <w:r w:rsidRPr="0060702E">
                    <w:rPr>
                      <w:sz w:val="18"/>
                      <w:szCs w:val="18"/>
                    </w:rPr>
                    <w:t xml:space="preserve">New Visitors </w:t>
                  </w:r>
                </w:p>
              </w:tc>
              <w:tc>
                <w:tcPr>
                  <w:tcW w:w="2250" w:type="dxa"/>
                </w:tcPr>
                <w:p w:rsidR="008F5543" w:rsidRPr="0060702E" w:rsidRDefault="008F5543" w:rsidP="008F5543">
                  <w:pPr>
                    <w:pStyle w:val="Default"/>
                    <w:tabs>
                      <w:tab w:val="decimal" w:pos="849"/>
                    </w:tabs>
                    <w:ind w:right="432"/>
                    <w:jc w:val="right"/>
                    <w:rPr>
                      <w:sz w:val="18"/>
                      <w:szCs w:val="18"/>
                    </w:rPr>
                  </w:pPr>
                  <w:r w:rsidRPr="0060702E">
                    <w:rPr>
                      <w:sz w:val="18"/>
                      <w:szCs w:val="18"/>
                    </w:rPr>
                    <w:t xml:space="preserve"> 48%</w:t>
                  </w:r>
                </w:p>
              </w:tc>
            </w:tr>
            <w:tr w:rsidR="008F5543" w:rsidRPr="0060702E" w:rsidTr="008F5543">
              <w:trPr>
                <w:trHeight w:val="148"/>
              </w:trPr>
              <w:tc>
                <w:tcPr>
                  <w:tcW w:w="1975" w:type="dxa"/>
                </w:tcPr>
                <w:p w:rsidR="008F5543" w:rsidRPr="0060702E" w:rsidRDefault="008F5543" w:rsidP="008F5543">
                  <w:pPr>
                    <w:ind w:firstLine="6"/>
                    <w:jc w:val="left"/>
                    <w:rPr>
                      <w:sz w:val="18"/>
                      <w:szCs w:val="18"/>
                    </w:rPr>
                  </w:pPr>
                  <w:r w:rsidRPr="0060702E">
                    <w:rPr>
                      <w:sz w:val="18"/>
                      <w:szCs w:val="18"/>
                    </w:rPr>
                    <w:t xml:space="preserve">Returning Visitors </w:t>
                  </w:r>
                </w:p>
              </w:tc>
              <w:tc>
                <w:tcPr>
                  <w:tcW w:w="2250" w:type="dxa"/>
                </w:tcPr>
                <w:p w:rsidR="008F5543" w:rsidRPr="0060702E" w:rsidRDefault="008F5543" w:rsidP="008F5543">
                  <w:pPr>
                    <w:pStyle w:val="Default"/>
                    <w:tabs>
                      <w:tab w:val="decimal" w:pos="849"/>
                    </w:tabs>
                    <w:ind w:right="432"/>
                    <w:jc w:val="right"/>
                    <w:rPr>
                      <w:sz w:val="18"/>
                      <w:szCs w:val="18"/>
                    </w:rPr>
                  </w:pPr>
                  <w:r w:rsidRPr="0060702E">
                    <w:rPr>
                      <w:sz w:val="18"/>
                      <w:szCs w:val="18"/>
                    </w:rPr>
                    <w:t>52%</w:t>
                  </w:r>
                </w:p>
              </w:tc>
            </w:tr>
          </w:tbl>
          <w:p w:rsidR="008F5543" w:rsidRPr="0060702E" w:rsidRDefault="008F5543" w:rsidP="006A3581">
            <w:pPr>
              <w:pStyle w:val="Heading9"/>
            </w:pPr>
          </w:p>
        </w:tc>
        <w:tc>
          <w:tcPr>
            <w:tcW w:w="4536" w:type="dxa"/>
          </w:tcPr>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260"/>
              <w:gridCol w:w="1800"/>
            </w:tblGrid>
            <w:tr w:rsidR="008F5543" w:rsidRPr="0060702E" w:rsidTr="008F5543">
              <w:trPr>
                <w:trHeight w:val="143"/>
              </w:trPr>
              <w:tc>
                <w:tcPr>
                  <w:tcW w:w="1284" w:type="dxa"/>
                </w:tcPr>
                <w:p w:rsidR="008F5543" w:rsidRPr="0060702E" w:rsidRDefault="008F5543" w:rsidP="008F5543">
                  <w:pPr>
                    <w:autoSpaceDE w:val="0"/>
                    <w:autoSpaceDN w:val="0"/>
                    <w:adjustRightInd w:val="0"/>
                    <w:jc w:val="left"/>
                    <w:rPr>
                      <w:rFonts w:cs="Arial"/>
                      <w:color w:val="000000"/>
                      <w:sz w:val="18"/>
                      <w:szCs w:val="22"/>
                    </w:rPr>
                  </w:pPr>
                  <w:r w:rsidRPr="0060702E">
                    <w:rPr>
                      <w:rFonts w:cs="Arial"/>
                      <w:bCs/>
                      <w:color w:val="000000"/>
                      <w:sz w:val="18"/>
                      <w:szCs w:val="22"/>
                    </w:rPr>
                    <w:t xml:space="preserve">Language </w:t>
                  </w:r>
                </w:p>
              </w:tc>
              <w:tc>
                <w:tcPr>
                  <w:tcW w:w="1260" w:type="dxa"/>
                </w:tcPr>
                <w:p w:rsidR="008F5543" w:rsidRPr="0060702E" w:rsidRDefault="008F5543" w:rsidP="008F5543">
                  <w:pPr>
                    <w:autoSpaceDE w:val="0"/>
                    <w:autoSpaceDN w:val="0"/>
                    <w:adjustRightInd w:val="0"/>
                    <w:jc w:val="left"/>
                    <w:rPr>
                      <w:rFonts w:cs="Arial"/>
                      <w:color w:val="000000"/>
                      <w:sz w:val="18"/>
                      <w:szCs w:val="22"/>
                    </w:rPr>
                  </w:pPr>
                  <w:proofErr w:type="spellStart"/>
                  <w:r w:rsidRPr="0060702E">
                    <w:rPr>
                      <w:rFonts w:cs="Arial"/>
                      <w:bCs/>
                      <w:color w:val="000000"/>
                      <w:sz w:val="18"/>
                      <w:szCs w:val="22"/>
                    </w:rPr>
                    <w:t>Pageviews</w:t>
                  </w:r>
                  <w:proofErr w:type="spellEnd"/>
                  <w:r w:rsidRPr="0060702E">
                    <w:rPr>
                      <w:rFonts w:cs="Arial"/>
                      <w:bCs/>
                      <w:color w:val="000000"/>
                      <w:sz w:val="18"/>
                      <w:szCs w:val="22"/>
                    </w:rPr>
                    <w:t xml:space="preserve"> </w:t>
                  </w:r>
                </w:p>
              </w:tc>
              <w:tc>
                <w:tcPr>
                  <w:tcW w:w="1800" w:type="dxa"/>
                </w:tcPr>
                <w:p w:rsidR="008F5543" w:rsidRPr="0060702E" w:rsidRDefault="008F5543" w:rsidP="008F5543">
                  <w:pPr>
                    <w:autoSpaceDE w:val="0"/>
                    <w:autoSpaceDN w:val="0"/>
                    <w:adjustRightInd w:val="0"/>
                    <w:jc w:val="left"/>
                    <w:rPr>
                      <w:rFonts w:cs="Arial"/>
                      <w:bCs/>
                      <w:color w:val="000000"/>
                      <w:sz w:val="18"/>
                      <w:szCs w:val="22"/>
                    </w:rPr>
                  </w:pPr>
                  <w:r w:rsidRPr="0060702E">
                    <w:rPr>
                      <w:rFonts w:cs="Arial"/>
                      <w:bCs/>
                      <w:color w:val="000000"/>
                      <w:sz w:val="18"/>
                      <w:szCs w:val="22"/>
                    </w:rPr>
                    <w:t xml:space="preserve">Unique </w:t>
                  </w:r>
                  <w:proofErr w:type="spellStart"/>
                  <w:r w:rsidRPr="0060702E">
                    <w:rPr>
                      <w:rFonts w:cs="Arial"/>
                      <w:bCs/>
                      <w:color w:val="000000"/>
                      <w:sz w:val="18"/>
                      <w:szCs w:val="22"/>
                    </w:rPr>
                    <w:t>pageviews</w:t>
                  </w:r>
                  <w:proofErr w:type="spellEnd"/>
                  <w:r w:rsidRPr="0060702E">
                    <w:rPr>
                      <w:rFonts w:cs="Arial"/>
                      <w:bCs/>
                      <w:color w:val="000000"/>
                      <w:sz w:val="18"/>
                      <w:szCs w:val="22"/>
                    </w:rPr>
                    <w:t xml:space="preserve"> </w:t>
                  </w:r>
                </w:p>
                <w:p w:rsidR="008F5543" w:rsidRPr="0060702E" w:rsidRDefault="008F5543" w:rsidP="008F5543">
                  <w:pPr>
                    <w:autoSpaceDE w:val="0"/>
                    <w:autoSpaceDN w:val="0"/>
                    <w:adjustRightInd w:val="0"/>
                    <w:jc w:val="left"/>
                    <w:rPr>
                      <w:rFonts w:cs="Arial"/>
                      <w:color w:val="000000"/>
                      <w:sz w:val="18"/>
                      <w:szCs w:val="22"/>
                    </w:rPr>
                  </w:pPr>
                </w:p>
              </w:tc>
            </w:tr>
            <w:tr w:rsidR="008F5543" w:rsidRPr="0060702E" w:rsidTr="008F5543">
              <w:trPr>
                <w:trHeight w:val="148"/>
              </w:trPr>
              <w:tc>
                <w:tcPr>
                  <w:tcW w:w="1284" w:type="dxa"/>
                </w:tcPr>
                <w:p w:rsidR="008F5543" w:rsidRPr="0060702E" w:rsidRDefault="008F5543" w:rsidP="008F5543">
                  <w:pPr>
                    <w:autoSpaceDE w:val="0"/>
                    <w:autoSpaceDN w:val="0"/>
                    <w:adjustRightInd w:val="0"/>
                    <w:jc w:val="left"/>
                    <w:rPr>
                      <w:rFonts w:cs="Arial"/>
                      <w:color w:val="000000"/>
                      <w:sz w:val="18"/>
                      <w:szCs w:val="22"/>
                    </w:rPr>
                  </w:pPr>
                  <w:r w:rsidRPr="0060702E">
                    <w:rPr>
                      <w:rFonts w:cs="Arial"/>
                      <w:color w:val="000000"/>
                      <w:sz w:val="18"/>
                      <w:szCs w:val="22"/>
                    </w:rPr>
                    <w:t xml:space="preserve">English </w:t>
                  </w:r>
                </w:p>
              </w:tc>
              <w:tc>
                <w:tcPr>
                  <w:tcW w:w="1260" w:type="dxa"/>
                </w:tcPr>
                <w:p w:rsidR="008F5543" w:rsidRPr="0060702E" w:rsidRDefault="008F5543" w:rsidP="008F5543">
                  <w:pPr>
                    <w:pStyle w:val="Default"/>
                    <w:tabs>
                      <w:tab w:val="decimal" w:pos="849"/>
                    </w:tabs>
                    <w:rPr>
                      <w:sz w:val="18"/>
                      <w:szCs w:val="18"/>
                    </w:rPr>
                  </w:pPr>
                  <w:r w:rsidRPr="0060702E">
                    <w:rPr>
                      <w:sz w:val="18"/>
                      <w:szCs w:val="18"/>
                    </w:rPr>
                    <w:t xml:space="preserve">61,335 </w:t>
                  </w:r>
                </w:p>
              </w:tc>
              <w:tc>
                <w:tcPr>
                  <w:tcW w:w="1800" w:type="dxa"/>
                </w:tcPr>
                <w:p w:rsidR="008F5543" w:rsidRPr="0060702E" w:rsidRDefault="008F5543" w:rsidP="008F5543">
                  <w:pPr>
                    <w:pStyle w:val="Default"/>
                    <w:tabs>
                      <w:tab w:val="decimal" w:pos="1057"/>
                    </w:tabs>
                    <w:rPr>
                      <w:sz w:val="18"/>
                      <w:szCs w:val="18"/>
                    </w:rPr>
                  </w:pPr>
                  <w:r w:rsidRPr="0060702E">
                    <w:rPr>
                      <w:sz w:val="18"/>
                      <w:szCs w:val="18"/>
                    </w:rPr>
                    <w:t>35,992</w:t>
                  </w:r>
                </w:p>
              </w:tc>
            </w:tr>
            <w:tr w:rsidR="008F5543" w:rsidRPr="0060702E" w:rsidTr="008F5543">
              <w:trPr>
                <w:trHeight w:val="142"/>
              </w:trPr>
              <w:tc>
                <w:tcPr>
                  <w:tcW w:w="1284" w:type="dxa"/>
                </w:tcPr>
                <w:p w:rsidR="008F5543" w:rsidRPr="0060702E" w:rsidRDefault="008F5543" w:rsidP="008F5543">
                  <w:pPr>
                    <w:autoSpaceDE w:val="0"/>
                    <w:autoSpaceDN w:val="0"/>
                    <w:adjustRightInd w:val="0"/>
                    <w:jc w:val="left"/>
                    <w:rPr>
                      <w:rFonts w:cs="Arial"/>
                      <w:color w:val="000000"/>
                      <w:sz w:val="18"/>
                      <w:szCs w:val="22"/>
                    </w:rPr>
                  </w:pPr>
                  <w:r w:rsidRPr="0060702E">
                    <w:rPr>
                      <w:rFonts w:cs="Arial"/>
                      <w:color w:val="000000"/>
                      <w:sz w:val="18"/>
                      <w:szCs w:val="22"/>
                    </w:rPr>
                    <w:t xml:space="preserve">Spanish </w:t>
                  </w:r>
                </w:p>
              </w:tc>
              <w:tc>
                <w:tcPr>
                  <w:tcW w:w="1260" w:type="dxa"/>
                </w:tcPr>
                <w:p w:rsidR="008F5543" w:rsidRPr="0060702E" w:rsidRDefault="008F5543" w:rsidP="008F5543">
                  <w:pPr>
                    <w:pStyle w:val="Default"/>
                    <w:tabs>
                      <w:tab w:val="decimal" w:pos="849"/>
                    </w:tabs>
                    <w:rPr>
                      <w:sz w:val="18"/>
                      <w:szCs w:val="18"/>
                    </w:rPr>
                  </w:pPr>
                  <w:r w:rsidRPr="0060702E">
                    <w:rPr>
                      <w:sz w:val="18"/>
                      <w:szCs w:val="18"/>
                    </w:rPr>
                    <w:t xml:space="preserve">10,610 </w:t>
                  </w:r>
                </w:p>
              </w:tc>
              <w:tc>
                <w:tcPr>
                  <w:tcW w:w="1800" w:type="dxa"/>
                </w:tcPr>
                <w:p w:rsidR="008F5543" w:rsidRPr="0060702E" w:rsidRDefault="008F5543" w:rsidP="008F5543">
                  <w:pPr>
                    <w:pStyle w:val="Default"/>
                    <w:tabs>
                      <w:tab w:val="decimal" w:pos="1057"/>
                    </w:tabs>
                    <w:rPr>
                      <w:sz w:val="18"/>
                      <w:szCs w:val="18"/>
                    </w:rPr>
                  </w:pPr>
                  <w:r w:rsidRPr="0060702E">
                    <w:rPr>
                      <w:sz w:val="18"/>
                      <w:szCs w:val="18"/>
                    </w:rPr>
                    <w:t>6,074</w:t>
                  </w:r>
                </w:p>
              </w:tc>
            </w:tr>
            <w:tr w:rsidR="008F5543" w:rsidRPr="0060702E" w:rsidTr="008F5543">
              <w:trPr>
                <w:trHeight w:val="148"/>
              </w:trPr>
              <w:tc>
                <w:tcPr>
                  <w:tcW w:w="1284" w:type="dxa"/>
                </w:tcPr>
                <w:p w:rsidR="008F5543" w:rsidRPr="0060702E" w:rsidRDefault="008F5543" w:rsidP="008F5543">
                  <w:pPr>
                    <w:autoSpaceDE w:val="0"/>
                    <w:autoSpaceDN w:val="0"/>
                    <w:adjustRightInd w:val="0"/>
                    <w:jc w:val="left"/>
                    <w:rPr>
                      <w:rFonts w:cs="Arial"/>
                      <w:color w:val="000000"/>
                      <w:sz w:val="18"/>
                      <w:szCs w:val="22"/>
                    </w:rPr>
                  </w:pPr>
                  <w:r w:rsidRPr="0060702E">
                    <w:rPr>
                      <w:rFonts w:cs="Arial"/>
                      <w:color w:val="000000"/>
                      <w:sz w:val="18"/>
                      <w:szCs w:val="22"/>
                    </w:rPr>
                    <w:t xml:space="preserve">French </w:t>
                  </w:r>
                </w:p>
              </w:tc>
              <w:tc>
                <w:tcPr>
                  <w:tcW w:w="1260" w:type="dxa"/>
                </w:tcPr>
                <w:p w:rsidR="008F5543" w:rsidRPr="0060702E" w:rsidRDefault="008F5543" w:rsidP="008F5543">
                  <w:pPr>
                    <w:pStyle w:val="Default"/>
                    <w:tabs>
                      <w:tab w:val="decimal" w:pos="849"/>
                    </w:tabs>
                    <w:rPr>
                      <w:sz w:val="18"/>
                      <w:szCs w:val="18"/>
                    </w:rPr>
                  </w:pPr>
                  <w:r w:rsidRPr="0060702E">
                    <w:rPr>
                      <w:sz w:val="18"/>
                      <w:szCs w:val="18"/>
                    </w:rPr>
                    <w:t>7,050</w:t>
                  </w:r>
                </w:p>
              </w:tc>
              <w:tc>
                <w:tcPr>
                  <w:tcW w:w="1800" w:type="dxa"/>
                </w:tcPr>
                <w:p w:rsidR="008F5543" w:rsidRPr="0060702E" w:rsidRDefault="008F5543" w:rsidP="008F5543">
                  <w:pPr>
                    <w:pStyle w:val="Default"/>
                    <w:tabs>
                      <w:tab w:val="decimal" w:pos="1057"/>
                    </w:tabs>
                    <w:rPr>
                      <w:sz w:val="18"/>
                      <w:szCs w:val="18"/>
                    </w:rPr>
                  </w:pPr>
                  <w:r w:rsidRPr="0060702E">
                    <w:rPr>
                      <w:sz w:val="18"/>
                      <w:szCs w:val="18"/>
                    </w:rPr>
                    <w:t>4,252</w:t>
                  </w:r>
                </w:p>
              </w:tc>
            </w:tr>
            <w:tr w:rsidR="008F5543" w:rsidRPr="0060702E" w:rsidTr="008F5543">
              <w:trPr>
                <w:trHeight w:val="142"/>
              </w:trPr>
              <w:tc>
                <w:tcPr>
                  <w:tcW w:w="1284" w:type="dxa"/>
                </w:tcPr>
                <w:p w:rsidR="008F5543" w:rsidRPr="0060702E" w:rsidRDefault="008F5543" w:rsidP="008F5543">
                  <w:pPr>
                    <w:autoSpaceDE w:val="0"/>
                    <w:autoSpaceDN w:val="0"/>
                    <w:adjustRightInd w:val="0"/>
                    <w:jc w:val="left"/>
                    <w:rPr>
                      <w:rFonts w:cs="Arial"/>
                      <w:color w:val="000000"/>
                      <w:sz w:val="18"/>
                      <w:szCs w:val="22"/>
                    </w:rPr>
                  </w:pPr>
                  <w:r w:rsidRPr="0060702E">
                    <w:rPr>
                      <w:rFonts w:cs="Arial"/>
                      <w:color w:val="000000"/>
                      <w:sz w:val="18"/>
                      <w:szCs w:val="22"/>
                    </w:rPr>
                    <w:t xml:space="preserve">German </w:t>
                  </w:r>
                </w:p>
              </w:tc>
              <w:tc>
                <w:tcPr>
                  <w:tcW w:w="1260" w:type="dxa"/>
                </w:tcPr>
                <w:p w:rsidR="008F5543" w:rsidRPr="0060702E" w:rsidRDefault="008F5543" w:rsidP="008F5543">
                  <w:pPr>
                    <w:pStyle w:val="Default"/>
                    <w:tabs>
                      <w:tab w:val="decimal" w:pos="849"/>
                    </w:tabs>
                    <w:rPr>
                      <w:sz w:val="18"/>
                      <w:szCs w:val="18"/>
                    </w:rPr>
                  </w:pPr>
                  <w:r w:rsidRPr="0060702E">
                    <w:rPr>
                      <w:sz w:val="18"/>
                      <w:szCs w:val="18"/>
                    </w:rPr>
                    <w:t>2,360</w:t>
                  </w:r>
                </w:p>
              </w:tc>
              <w:tc>
                <w:tcPr>
                  <w:tcW w:w="1800" w:type="dxa"/>
                </w:tcPr>
                <w:p w:rsidR="008F5543" w:rsidRPr="0060702E" w:rsidRDefault="008F5543" w:rsidP="008F5543">
                  <w:pPr>
                    <w:pStyle w:val="Default"/>
                    <w:tabs>
                      <w:tab w:val="decimal" w:pos="1057"/>
                    </w:tabs>
                    <w:rPr>
                      <w:sz w:val="18"/>
                      <w:szCs w:val="18"/>
                    </w:rPr>
                  </w:pPr>
                  <w:r w:rsidRPr="0060702E">
                    <w:rPr>
                      <w:sz w:val="18"/>
                      <w:szCs w:val="18"/>
                    </w:rPr>
                    <w:t>1,072</w:t>
                  </w:r>
                </w:p>
              </w:tc>
            </w:tr>
          </w:tbl>
          <w:p w:rsidR="008F5543" w:rsidRPr="0060702E" w:rsidRDefault="008F5543" w:rsidP="008F5543"/>
        </w:tc>
      </w:tr>
    </w:tbl>
    <w:p w:rsidR="008F5543" w:rsidRPr="0060702E" w:rsidRDefault="008F5543"/>
    <w:p w:rsidR="008F5543" w:rsidRPr="0060702E" w:rsidRDefault="008F5543" w:rsidP="008F5543">
      <w:pPr>
        <w:keepNext/>
        <w:jc w:val="center"/>
        <w:rPr>
          <w:rFonts w:eastAsiaTheme="minorEastAsia"/>
          <w:bCs/>
          <w:sz w:val="18"/>
          <w:szCs w:val="22"/>
        </w:rPr>
      </w:pPr>
      <w:r w:rsidRPr="0060702E">
        <w:rPr>
          <w:rFonts w:eastAsiaTheme="minorEastAsia"/>
          <w:bCs/>
          <w:sz w:val="18"/>
          <w:szCs w:val="22"/>
        </w:rPr>
        <w:t>Top 10 countries visiting the GENIE database in 2013</w:t>
      </w:r>
    </w:p>
    <w:p w:rsidR="008F5543" w:rsidRPr="0060702E" w:rsidRDefault="008F5543" w:rsidP="008F5543">
      <w:pPr>
        <w:keepNext/>
        <w:rPr>
          <w:rFonts w:eastAsiaTheme="minorEastAsia"/>
          <w:b/>
          <w:bCs/>
          <w:sz w:val="18"/>
          <w:szCs w:val="22"/>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81"/>
        <w:gridCol w:w="1681"/>
        <w:gridCol w:w="1681"/>
        <w:gridCol w:w="1681"/>
      </w:tblGrid>
      <w:tr w:rsidR="008F5543" w:rsidRPr="0060702E" w:rsidTr="008F5543">
        <w:trPr>
          <w:trHeight w:val="143"/>
          <w:jc w:val="center"/>
        </w:trPr>
        <w:tc>
          <w:tcPr>
            <w:tcW w:w="1681" w:type="dxa"/>
          </w:tcPr>
          <w:p w:rsidR="008F5543" w:rsidRPr="0060702E" w:rsidRDefault="008F5543" w:rsidP="008F5543">
            <w:pPr>
              <w:autoSpaceDE w:val="0"/>
              <w:autoSpaceDN w:val="0"/>
              <w:adjustRightInd w:val="0"/>
              <w:jc w:val="left"/>
              <w:rPr>
                <w:rFonts w:cs="Arial"/>
                <w:color w:val="000000"/>
                <w:sz w:val="18"/>
                <w:szCs w:val="18"/>
              </w:rPr>
            </w:pPr>
            <w:r w:rsidRPr="0060702E">
              <w:rPr>
                <w:rFonts w:cs="Arial"/>
                <w:bCs/>
                <w:color w:val="000000"/>
                <w:sz w:val="18"/>
                <w:szCs w:val="18"/>
              </w:rPr>
              <w:t xml:space="preserve">Country / Territory </w:t>
            </w:r>
          </w:p>
        </w:tc>
        <w:tc>
          <w:tcPr>
            <w:tcW w:w="1681" w:type="dxa"/>
          </w:tcPr>
          <w:p w:rsidR="008F5543" w:rsidRPr="0060702E" w:rsidRDefault="008F5543" w:rsidP="006A3581">
            <w:pPr>
              <w:autoSpaceDE w:val="0"/>
              <w:autoSpaceDN w:val="0"/>
              <w:adjustRightInd w:val="0"/>
              <w:jc w:val="center"/>
              <w:rPr>
                <w:rFonts w:cs="Arial"/>
                <w:color w:val="000000"/>
                <w:sz w:val="18"/>
                <w:szCs w:val="18"/>
              </w:rPr>
            </w:pPr>
            <w:r w:rsidRPr="0060702E">
              <w:rPr>
                <w:rFonts w:cs="Arial"/>
                <w:bCs/>
                <w:color w:val="000000"/>
                <w:sz w:val="18"/>
                <w:szCs w:val="18"/>
              </w:rPr>
              <w:t>Sessions</w:t>
            </w:r>
          </w:p>
        </w:tc>
        <w:tc>
          <w:tcPr>
            <w:tcW w:w="1681" w:type="dxa"/>
          </w:tcPr>
          <w:p w:rsidR="008F5543" w:rsidRPr="0060702E" w:rsidRDefault="008F5543" w:rsidP="006A3581">
            <w:pPr>
              <w:autoSpaceDE w:val="0"/>
              <w:autoSpaceDN w:val="0"/>
              <w:adjustRightInd w:val="0"/>
              <w:jc w:val="center"/>
              <w:rPr>
                <w:rFonts w:cs="Arial"/>
                <w:color w:val="000000"/>
                <w:sz w:val="18"/>
                <w:szCs w:val="18"/>
              </w:rPr>
            </w:pPr>
            <w:r w:rsidRPr="0060702E">
              <w:rPr>
                <w:rFonts w:cs="Arial"/>
                <w:bCs/>
                <w:color w:val="000000"/>
                <w:sz w:val="18"/>
                <w:szCs w:val="18"/>
              </w:rPr>
              <w:t>% New Sessions</w:t>
            </w:r>
          </w:p>
        </w:tc>
        <w:tc>
          <w:tcPr>
            <w:tcW w:w="1681" w:type="dxa"/>
          </w:tcPr>
          <w:p w:rsidR="008F5543" w:rsidRPr="0060702E" w:rsidRDefault="008F5543" w:rsidP="006A3581">
            <w:pPr>
              <w:autoSpaceDE w:val="0"/>
              <w:autoSpaceDN w:val="0"/>
              <w:adjustRightInd w:val="0"/>
              <w:jc w:val="center"/>
              <w:rPr>
                <w:rFonts w:cs="Arial"/>
                <w:bCs/>
                <w:color w:val="000000"/>
                <w:sz w:val="18"/>
                <w:szCs w:val="18"/>
              </w:rPr>
            </w:pPr>
            <w:r w:rsidRPr="0060702E">
              <w:rPr>
                <w:rFonts w:cs="Arial"/>
                <w:bCs/>
                <w:color w:val="000000"/>
                <w:sz w:val="18"/>
                <w:szCs w:val="18"/>
              </w:rPr>
              <w:t>New Users</w:t>
            </w:r>
          </w:p>
          <w:p w:rsidR="008F5543" w:rsidRPr="0060702E" w:rsidRDefault="008F5543" w:rsidP="006A3581">
            <w:pPr>
              <w:autoSpaceDE w:val="0"/>
              <w:autoSpaceDN w:val="0"/>
              <w:adjustRightInd w:val="0"/>
              <w:jc w:val="center"/>
              <w:rPr>
                <w:rFonts w:cs="Arial"/>
                <w:color w:val="000000"/>
                <w:sz w:val="18"/>
                <w:szCs w:val="18"/>
              </w:rPr>
            </w:pPr>
          </w:p>
        </w:tc>
      </w:tr>
      <w:tr w:rsidR="008F5543" w:rsidRPr="0060702E" w:rsidTr="008F5543">
        <w:trPr>
          <w:trHeight w:val="148"/>
          <w:jc w:val="center"/>
        </w:trPr>
        <w:tc>
          <w:tcPr>
            <w:tcW w:w="1681" w:type="dxa"/>
          </w:tcPr>
          <w:p w:rsidR="008F5543" w:rsidRPr="0060702E" w:rsidRDefault="008F5543" w:rsidP="008F5543">
            <w:pPr>
              <w:autoSpaceDE w:val="0"/>
              <w:autoSpaceDN w:val="0"/>
              <w:adjustRightInd w:val="0"/>
              <w:jc w:val="left"/>
              <w:rPr>
                <w:rFonts w:cs="Arial"/>
                <w:color w:val="000000"/>
                <w:sz w:val="18"/>
                <w:szCs w:val="18"/>
              </w:rPr>
            </w:pPr>
            <w:r w:rsidRPr="0060702E">
              <w:rPr>
                <w:rFonts w:cs="Arial"/>
                <w:color w:val="000000"/>
                <w:sz w:val="18"/>
                <w:szCs w:val="18"/>
              </w:rPr>
              <w:t xml:space="preserve">France </w:t>
            </w:r>
          </w:p>
        </w:tc>
        <w:tc>
          <w:tcPr>
            <w:tcW w:w="1681" w:type="dxa"/>
          </w:tcPr>
          <w:p w:rsidR="008F5543" w:rsidRPr="0060702E" w:rsidRDefault="008F5543" w:rsidP="008F5543">
            <w:pPr>
              <w:autoSpaceDE w:val="0"/>
              <w:autoSpaceDN w:val="0"/>
              <w:adjustRightInd w:val="0"/>
              <w:ind w:right="289"/>
              <w:jc w:val="right"/>
              <w:rPr>
                <w:rFonts w:cs="Arial"/>
                <w:color w:val="000000"/>
                <w:sz w:val="18"/>
                <w:szCs w:val="18"/>
              </w:rPr>
            </w:pPr>
            <w:r w:rsidRPr="0060702E">
              <w:rPr>
                <w:rFonts w:cs="Arial"/>
                <w:color w:val="000000"/>
                <w:sz w:val="18"/>
                <w:szCs w:val="18"/>
              </w:rPr>
              <w:t xml:space="preserve">1,637 </w:t>
            </w:r>
          </w:p>
        </w:tc>
        <w:tc>
          <w:tcPr>
            <w:tcW w:w="1681" w:type="dxa"/>
          </w:tcPr>
          <w:p w:rsidR="008F5543" w:rsidRPr="0060702E" w:rsidRDefault="008F5543" w:rsidP="008F5543">
            <w:pPr>
              <w:autoSpaceDE w:val="0"/>
              <w:autoSpaceDN w:val="0"/>
              <w:adjustRightInd w:val="0"/>
              <w:jc w:val="center"/>
              <w:rPr>
                <w:rFonts w:cs="Arial"/>
                <w:color w:val="000000"/>
                <w:sz w:val="18"/>
                <w:szCs w:val="18"/>
              </w:rPr>
            </w:pPr>
            <w:r w:rsidRPr="0060702E">
              <w:rPr>
                <w:rFonts w:cs="Arial"/>
                <w:color w:val="000000"/>
                <w:sz w:val="18"/>
                <w:szCs w:val="18"/>
              </w:rPr>
              <w:t>55,65%</w:t>
            </w:r>
          </w:p>
        </w:tc>
        <w:tc>
          <w:tcPr>
            <w:tcW w:w="1681" w:type="dxa"/>
          </w:tcPr>
          <w:p w:rsidR="008F5543" w:rsidRPr="0060702E" w:rsidRDefault="008F5543" w:rsidP="008F5543">
            <w:pPr>
              <w:tabs>
                <w:tab w:val="decimal" w:pos="1083"/>
              </w:tabs>
              <w:autoSpaceDE w:val="0"/>
              <w:autoSpaceDN w:val="0"/>
              <w:adjustRightInd w:val="0"/>
              <w:jc w:val="left"/>
              <w:rPr>
                <w:rFonts w:cs="Arial"/>
                <w:color w:val="000000"/>
                <w:sz w:val="18"/>
                <w:szCs w:val="18"/>
              </w:rPr>
            </w:pPr>
            <w:r w:rsidRPr="0060702E">
              <w:rPr>
                <w:rFonts w:cs="Arial"/>
                <w:color w:val="000000"/>
                <w:sz w:val="18"/>
                <w:szCs w:val="18"/>
              </w:rPr>
              <w:t xml:space="preserve">911 </w:t>
            </w:r>
          </w:p>
        </w:tc>
      </w:tr>
      <w:tr w:rsidR="008F5543" w:rsidRPr="0060702E" w:rsidTr="008F5543">
        <w:trPr>
          <w:trHeight w:val="142"/>
          <w:jc w:val="center"/>
        </w:trPr>
        <w:tc>
          <w:tcPr>
            <w:tcW w:w="1681" w:type="dxa"/>
          </w:tcPr>
          <w:p w:rsidR="008F5543" w:rsidRPr="0060702E" w:rsidRDefault="008F5543" w:rsidP="008F5543">
            <w:pPr>
              <w:autoSpaceDE w:val="0"/>
              <w:autoSpaceDN w:val="0"/>
              <w:adjustRightInd w:val="0"/>
              <w:jc w:val="left"/>
              <w:rPr>
                <w:rFonts w:cs="Arial"/>
                <w:color w:val="000000"/>
                <w:sz w:val="18"/>
                <w:szCs w:val="18"/>
              </w:rPr>
            </w:pPr>
            <w:r w:rsidRPr="0060702E">
              <w:rPr>
                <w:rFonts w:cs="Arial"/>
                <w:color w:val="000000"/>
                <w:sz w:val="18"/>
                <w:szCs w:val="18"/>
              </w:rPr>
              <w:t xml:space="preserve">Switzerland </w:t>
            </w:r>
          </w:p>
        </w:tc>
        <w:tc>
          <w:tcPr>
            <w:tcW w:w="1681" w:type="dxa"/>
          </w:tcPr>
          <w:p w:rsidR="008F5543" w:rsidRPr="0060702E" w:rsidRDefault="008F5543" w:rsidP="008F5543">
            <w:pPr>
              <w:autoSpaceDE w:val="0"/>
              <w:autoSpaceDN w:val="0"/>
              <w:adjustRightInd w:val="0"/>
              <w:ind w:right="289"/>
              <w:jc w:val="right"/>
              <w:rPr>
                <w:rFonts w:cs="Arial"/>
                <w:color w:val="000000"/>
                <w:sz w:val="18"/>
                <w:szCs w:val="18"/>
              </w:rPr>
            </w:pPr>
            <w:r w:rsidRPr="0060702E">
              <w:rPr>
                <w:rFonts w:cs="Arial"/>
                <w:color w:val="000000"/>
                <w:sz w:val="18"/>
                <w:szCs w:val="18"/>
              </w:rPr>
              <w:t xml:space="preserve">1,070 </w:t>
            </w:r>
          </w:p>
        </w:tc>
        <w:tc>
          <w:tcPr>
            <w:tcW w:w="1681" w:type="dxa"/>
          </w:tcPr>
          <w:p w:rsidR="008F5543" w:rsidRPr="0060702E" w:rsidRDefault="008F5543" w:rsidP="008F5543">
            <w:pPr>
              <w:autoSpaceDE w:val="0"/>
              <w:autoSpaceDN w:val="0"/>
              <w:adjustRightInd w:val="0"/>
              <w:jc w:val="center"/>
              <w:rPr>
                <w:rFonts w:cs="Arial"/>
                <w:color w:val="000000"/>
                <w:sz w:val="18"/>
                <w:szCs w:val="18"/>
              </w:rPr>
            </w:pPr>
            <w:r w:rsidRPr="0060702E">
              <w:rPr>
                <w:rFonts w:cs="Arial"/>
                <w:color w:val="000000"/>
                <w:sz w:val="18"/>
                <w:szCs w:val="18"/>
              </w:rPr>
              <w:t>25,79%</w:t>
            </w:r>
          </w:p>
        </w:tc>
        <w:tc>
          <w:tcPr>
            <w:tcW w:w="1681" w:type="dxa"/>
          </w:tcPr>
          <w:p w:rsidR="008F5543" w:rsidRPr="0060702E" w:rsidRDefault="008F5543" w:rsidP="008F5543">
            <w:pPr>
              <w:tabs>
                <w:tab w:val="decimal" w:pos="1083"/>
              </w:tabs>
              <w:autoSpaceDE w:val="0"/>
              <w:autoSpaceDN w:val="0"/>
              <w:adjustRightInd w:val="0"/>
              <w:jc w:val="left"/>
              <w:rPr>
                <w:rFonts w:cs="Arial"/>
                <w:color w:val="000000"/>
                <w:sz w:val="18"/>
                <w:szCs w:val="18"/>
              </w:rPr>
            </w:pPr>
            <w:r w:rsidRPr="0060702E">
              <w:rPr>
                <w:rFonts w:cs="Arial"/>
                <w:color w:val="000000"/>
                <w:sz w:val="18"/>
                <w:szCs w:val="18"/>
              </w:rPr>
              <w:t xml:space="preserve">276 </w:t>
            </w:r>
          </w:p>
        </w:tc>
      </w:tr>
      <w:tr w:rsidR="008F5543" w:rsidRPr="0060702E" w:rsidTr="008F5543">
        <w:trPr>
          <w:trHeight w:val="148"/>
          <w:jc w:val="center"/>
        </w:trPr>
        <w:tc>
          <w:tcPr>
            <w:tcW w:w="1681" w:type="dxa"/>
          </w:tcPr>
          <w:p w:rsidR="008F5543" w:rsidRPr="0060702E" w:rsidRDefault="008F5543" w:rsidP="008F5543">
            <w:pPr>
              <w:autoSpaceDE w:val="0"/>
              <w:autoSpaceDN w:val="0"/>
              <w:adjustRightInd w:val="0"/>
              <w:jc w:val="left"/>
              <w:rPr>
                <w:rFonts w:cs="Arial"/>
                <w:color w:val="000000"/>
                <w:sz w:val="18"/>
                <w:szCs w:val="18"/>
              </w:rPr>
            </w:pPr>
            <w:r w:rsidRPr="0060702E">
              <w:rPr>
                <w:rFonts w:cs="Arial"/>
                <w:color w:val="000000"/>
                <w:sz w:val="18"/>
                <w:szCs w:val="18"/>
              </w:rPr>
              <w:t xml:space="preserve">United States </w:t>
            </w:r>
          </w:p>
        </w:tc>
        <w:tc>
          <w:tcPr>
            <w:tcW w:w="1681" w:type="dxa"/>
          </w:tcPr>
          <w:p w:rsidR="008F5543" w:rsidRPr="0060702E" w:rsidRDefault="008F5543" w:rsidP="008F5543">
            <w:pPr>
              <w:tabs>
                <w:tab w:val="decimal" w:pos="1115"/>
              </w:tabs>
              <w:autoSpaceDE w:val="0"/>
              <w:autoSpaceDN w:val="0"/>
              <w:adjustRightInd w:val="0"/>
              <w:ind w:right="289"/>
              <w:jc w:val="right"/>
              <w:rPr>
                <w:rFonts w:cs="Arial"/>
                <w:color w:val="000000"/>
                <w:sz w:val="18"/>
                <w:szCs w:val="18"/>
              </w:rPr>
            </w:pPr>
            <w:r w:rsidRPr="0060702E">
              <w:rPr>
                <w:rFonts w:cs="Arial"/>
                <w:color w:val="000000"/>
                <w:sz w:val="18"/>
                <w:szCs w:val="18"/>
              </w:rPr>
              <w:t xml:space="preserve">914 </w:t>
            </w:r>
          </w:p>
        </w:tc>
        <w:tc>
          <w:tcPr>
            <w:tcW w:w="1681" w:type="dxa"/>
          </w:tcPr>
          <w:p w:rsidR="008F5543" w:rsidRPr="0060702E" w:rsidRDefault="008F5543" w:rsidP="008F5543">
            <w:pPr>
              <w:autoSpaceDE w:val="0"/>
              <w:autoSpaceDN w:val="0"/>
              <w:adjustRightInd w:val="0"/>
              <w:jc w:val="center"/>
              <w:rPr>
                <w:rFonts w:cs="Arial"/>
                <w:color w:val="000000"/>
                <w:sz w:val="18"/>
                <w:szCs w:val="18"/>
              </w:rPr>
            </w:pPr>
            <w:r w:rsidRPr="0060702E">
              <w:rPr>
                <w:rFonts w:cs="Arial"/>
                <w:color w:val="000000"/>
                <w:sz w:val="18"/>
                <w:szCs w:val="18"/>
              </w:rPr>
              <w:t>68,27%</w:t>
            </w:r>
          </w:p>
        </w:tc>
        <w:tc>
          <w:tcPr>
            <w:tcW w:w="1681" w:type="dxa"/>
          </w:tcPr>
          <w:p w:rsidR="008F5543" w:rsidRPr="0060702E" w:rsidRDefault="008F5543" w:rsidP="008F5543">
            <w:pPr>
              <w:tabs>
                <w:tab w:val="decimal" w:pos="1083"/>
              </w:tabs>
              <w:autoSpaceDE w:val="0"/>
              <w:autoSpaceDN w:val="0"/>
              <w:adjustRightInd w:val="0"/>
              <w:jc w:val="left"/>
              <w:rPr>
                <w:rFonts w:cs="Arial"/>
                <w:color w:val="000000"/>
                <w:sz w:val="18"/>
                <w:szCs w:val="18"/>
              </w:rPr>
            </w:pPr>
            <w:r w:rsidRPr="0060702E">
              <w:rPr>
                <w:rFonts w:cs="Arial"/>
                <w:color w:val="000000"/>
                <w:sz w:val="18"/>
                <w:szCs w:val="18"/>
              </w:rPr>
              <w:t xml:space="preserve">624 </w:t>
            </w:r>
          </w:p>
        </w:tc>
      </w:tr>
      <w:tr w:rsidR="008F5543" w:rsidRPr="0060702E" w:rsidTr="008F5543">
        <w:trPr>
          <w:trHeight w:val="142"/>
          <w:jc w:val="center"/>
        </w:trPr>
        <w:tc>
          <w:tcPr>
            <w:tcW w:w="1681" w:type="dxa"/>
          </w:tcPr>
          <w:p w:rsidR="008F5543" w:rsidRPr="0060702E" w:rsidRDefault="008F5543" w:rsidP="008F5543">
            <w:pPr>
              <w:autoSpaceDE w:val="0"/>
              <w:autoSpaceDN w:val="0"/>
              <w:adjustRightInd w:val="0"/>
              <w:jc w:val="left"/>
              <w:rPr>
                <w:rFonts w:cs="Arial"/>
                <w:color w:val="000000"/>
                <w:sz w:val="18"/>
                <w:szCs w:val="18"/>
              </w:rPr>
            </w:pPr>
            <w:r w:rsidRPr="0060702E">
              <w:rPr>
                <w:rFonts w:cs="Arial"/>
                <w:color w:val="000000"/>
                <w:sz w:val="18"/>
                <w:szCs w:val="18"/>
              </w:rPr>
              <w:t xml:space="preserve">Germany </w:t>
            </w:r>
          </w:p>
        </w:tc>
        <w:tc>
          <w:tcPr>
            <w:tcW w:w="1681" w:type="dxa"/>
          </w:tcPr>
          <w:p w:rsidR="008F5543" w:rsidRPr="0060702E" w:rsidRDefault="008F5543" w:rsidP="008F5543">
            <w:pPr>
              <w:tabs>
                <w:tab w:val="decimal" w:pos="1115"/>
              </w:tabs>
              <w:autoSpaceDE w:val="0"/>
              <w:autoSpaceDN w:val="0"/>
              <w:adjustRightInd w:val="0"/>
              <w:ind w:right="289"/>
              <w:jc w:val="right"/>
              <w:rPr>
                <w:rFonts w:cs="Arial"/>
                <w:color w:val="000000"/>
                <w:sz w:val="18"/>
                <w:szCs w:val="18"/>
              </w:rPr>
            </w:pPr>
            <w:r w:rsidRPr="0060702E">
              <w:rPr>
                <w:rFonts w:cs="Arial"/>
                <w:color w:val="000000"/>
                <w:sz w:val="18"/>
                <w:szCs w:val="18"/>
              </w:rPr>
              <w:t xml:space="preserve">857 </w:t>
            </w:r>
          </w:p>
        </w:tc>
        <w:tc>
          <w:tcPr>
            <w:tcW w:w="1681" w:type="dxa"/>
          </w:tcPr>
          <w:p w:rsidR="008F5543" w:rsidRPr="0060702E" w:rsidRDefault="008F5543" w:rsidP="008F5543">
            <w:pPr>
              <w:autoSpaceDE w:val="0"/>
              <w:autoSpaceDN w:val="0"/>
              <w:adjustRightInd w:val="0"/>
              <w:jc w:val="center"/>
              <w:rPr>
                <w:rFonts w:cs="Arial"/>
                <w:color w:val="000000"/>
                <w:sz w:val="18"/>
                <w:szCs w:val="18"/>
              </w:rPr>
            </w:pPr>
            <w:r w:rsidRPr="0060702E">
              <w:rPr>
                <w:rFonts w:cs="Arial"/>
                <w:color w:val="000000"/>
                <w:sz w:val="18"/>
                <w:szCs w:val="18"/>
              </w:rPr>
              <w:t>70,36%</w:t>
            </w:r>
          </w:p>
        </w:tc>
        <w:tc>
          <w:tcPr>
            <w:tcW w:w="1681" w:type="dxa"/>
          </w:tcPr>
          <w:p w:rsidR="008F5543" w:rsidRPr="0060702E" w:rsidRDefault="008F5543" w:rsidP="008F5543">
            <w:pPr>
              <w:tabs>
                <w:tab w:val="decimal" w:pos="1083"/>
              </w:tabs>
              <w:autoSpaceDE w:val="0"/>
              <w:autoSpaceDN w:val="0"/>
              <w:adjustRightInd w:val="0"/>
              <w:jc w:val="left"/>
              <w:rPr>
                <w:rFonts w:cs="Arial"/>
                <w:color w:val="000000"/>
                <w:sz w:val="18"/>
                <w:szCs w:val="18"/>
              </w:rPr>
            </w:pPr>
            <w:r w:rsidRPr="0060702E">
              <w:rPr>
                <w:rFonts w:cs="Arial"/>
                <w:color w:val="000000"/>
                <w:sz w:val="18"/>
                <w:szCs w:val="18"/>
              </w:rPr>
              <w:t xml:space="preserve">603 </w:t>
            </w:r>
          </w:p>
        </w:tc>
      </w:tr>
      <w:tr w:rsidR="008F5543" w:rsidRPr="0060702E" w:rsidTr="008F5543">
        <w:trPr>
          <w:trHeight w:val="148"/>
          <w:jc w:val="center"/>
        </w:trPr>
        <w:tc>
          <w:tcPr>
            <w:tcW w:w="1681" w:type="dxa"/>
          </w:tcPr>
          <w:p w:rsidR="008F5543" w:rsidRPr="0060702E" w:rsidRDefault="008F5543" w:rsidP="008F5543">
            <w:pPr>
              <w:autoSpaceDE w:val="0"/>
              <w:autoSpaceDN w:val="0"/>
              <w:adjustRightInd w:val="0"/>
              <w:jc w:val="left"/>
              <w:rPr>
                <w:rFonts w:cs="Arial"/>
                <w:color w:val="000000"/>
                <w:sz w:val="18"/>
                <w:szCs w:val="18"/>
              </w:rPr>
            </w:pPr>
            <w:r w:rsidRPr="0060702E">
              <w:rPr>
                <w:rFonts w:cs="Arial"/>
                <w:color w:val="000000"/>
                <w:sz w:val="18"/>
                <w:szCs w:val="18"/>
              </w:rPr>
              <w:t xml:space="preserve">Japan </w:t>
            </w:r>
          </w:p>
        </w:tc>
        <w:tc>
          <w:tcPr>
            <w:tcW w:w="1681" w:type="dxa"/>
          </w:tcPr>
          <w:p w:rsidR="008F5543" w:rsidRPr="0060702E" w:rsidRDefault="008F5543" w:rsidP="008F5543">
            <w:pPr>
              <w:tabs>
                <w:tab w:val="decimal" w:pos="1115"/>
              </w:tabs>
              <w:autoSpaceDE w:val="0"/>
              <w:autoSpaceDN w:val="0"/>
              <w:adjustRightInd w:val="0"/>
              <w:ind w:right="289"/>
              <w:jc w:val="right"/>
              <w:rPr>
                <w:rFonts w:cs="Arial"/>
                <w:color w:val="000000"/>
                <w:sz w:val="18"/>
                <w:szCs w:val="18"/>
              </w:rPr>
            </w:pPr>
            <w:r w:rsidRPr="0060702E">
              <w:rPr>
                <w:rFonts w:cs="Arial"/>
                <w:color w:val="000000"/>
                <w:sz w:val="18"/>
                <w:szCs w:val="18"/>
              </w:rPr>
              <w:t xml:space="preserve">754 </w:t>
            </w:r>
          </w:p>
        </w:tc>
        <w:tc>
          <w:tcPr>
            <w:tcW w:w="1681" w:type="dxa"/>
          </w:tcPr>
          <w:p w:rsidR="008F5543" w:rsidRPr="0060702E" w:rsidRDefault="008F5543" w:rsidP="008F5543">
            <w:pPr>
              <w:autoSpaceDE w:val="0"/>
              <w:autoSpaceDN w:val="0"/>
              <w:adjustRightInd w:val="0"/>
              <w:jc w:val="center"/>
              <w:rPr>
                <w:rFonts w:cs="Arial"/>
                <w:color w:val="000000"/>
                <w:sz w:val="18"/>
                <w:szCs w:val="18"/>
              </w:rPr>
            </w:pPr>
            <w:r w:rsidRPr="0060702E">
              <w:rPr>
                <w:rFonts w:cs="Arial"/>
                <w:color w:val="000000"/>
                <w:sz w:val="18"/>
                <w:szCs w:val="18"/>
              </w:rPr>
              <w:t>21,75%</w:t>
            </w:r>
          </w:p>
        </w:tc>
        <w:tc>
          <w:tcPr>
            <w:tcW w:w="1681" w:type="dxa"/>
          </w:tcPr>
          <w:p w:rsidR="008F5543" w:rsidRPr="0060702E" w:rsidRDefault="008F5543" w:rsidP="008F5543">
            <w:pPr>
              <w:tabs>
                <w:tab w:val="decimal" w:pos="1083"/>
              </w:tabs>
              <w:autoSpaceDE w:val="0"/>
              <w:autoSpaceDN w:val="0"/>
              <w:adjustRightInd w:val="0"/>
              <w:jc w:val="left"/>
              <w:rPr>
                <w:rFonts w:cs="Arial"/>
                <w:color w:val="000000"/>
                <w:sz w:val="18"/>
                <w:szCs w:val="18"/>
              </w:rPr>
            </w:pPr>
            <w:r w:rsidRPr="0060702E">
              <w:rPr>
                <w:rFonts w:cs="Arial"/>
                <w:color w:val="000000"/>
                <w:sz w:val="18"/>
                <w:szCs w:val="18"/>
              </w:rPr>
              <w:t xml:space="preserve">164 </w:t>
            </w:r>
          </w:p>
        </w:tc>
      </w:tr>
      <w:tr w:rsidR="008F5543" w:rsidRPr="0060702E" w:rsidTr="008F5543">
        <w:trPr>
          <w:trHeight w:val="142"/>
          <w:jc w:val="center"/>
        </w:trPr>
        <w:tc>
          <w:tcPr>
            <w:tcW w:w="1681" w:type="dxa"/>
          </w:tcPr>
          <w:p w:rsidR="008F5543" w:rsidRPr="0060702E" w:rsidRDefault="008F5543" w:rsidP="008F5543">
            <w:pPr>
              <w:autoSpaceDE w:val="0"/>
              <w:autoSpaceDN w:val="0"/>
              <w:adjustRightInd w:val="0"/>
              <w:jc w:val="left"/>
              <w:rPr>
                <w:rFonts w:cs="Arial"/>
                <w:color w:val="000000"/>
                <w:sz w:val="18"/>
                <w:szCs w:val="18"/>
              </w:rPr>
            </w:pPr>
            <w:r w:rsidRPr="0060702E">
              <w:rPr>
                <w:rFonts w:cs="Arial"/>
                <w:color w:val="000000"/>
                <w:sz w:val="18"/>
                <w:szCs w:val="18"/>
              </w:rPr>
              <w:t xml:space="preserve">Spain </w:t>
            </w:r>
          </w:p>
        </w:tc>
        <w:tc>
          <w:tcPr>
            <w:tcW w:w="1681" w:type="dxa"/>
          </w:tcPr>
          <w:p w:rsidR="008F5543" w:rsidRPr="0060702E" w:rsidRDefault="008F5543" w:rsidP="008F5543">
            <w:pPr>
              <w:tabs>
                <w:tab w:val="decimal" w:pos="1115"/>
              </w:tabs>
              <w:autoSpaceDE w:val="0"/>
              <w:autoSpaceDN w:val="0"/>
              <w:adjustRightInd w:val="0"/>
              <w:ind w:right="289"/>
              <w:jc w:val="right"/>
              <w:rPr>
                <w:rFonts w:cs="Arial"/>
                <w:color w:val="000000"/>
                <w:sz w:val="18"/>
                <w:szCs w:val="18"/>
              </w:rPr>
            </w:pPr>
            <w:r w:rsidRPr="0060702E">
              <w:rPr>
                <w:rFonts w:cs="Arial"/>
                <w:color w:val="000000"/>
                <w:sz w:val="18"/>
                <w:szCs w:val="18"/>
              </w:rPr>
              <w:t xml:space="preserve">748 </w:t>
            </w:r>
          </w:p>
        </w:tc>
        <w:tc>
          <w:tcPr>
            <w:tcW w:w="1681" w:type="dxa"/>
          </w:tcPr>
          <w:p w:rsidR="008F5543" w:rsidRPr="0060702E" w:rsidRDefault="008F5543" w:rsidP="008F5543">
            <w:pPr>
              <w:autoSpaceDE w:val="0"/>
              <w:autoSpaceDN w:val="0"/>
              <w:adjustRightInd w:val="0"/>
              <w:jc w:val="center"/>
              <w:rPr>
                <w:rFonts w:cs="Arial"/>
                <w:color w:val="000000"/>
                <w:sz w:val="18"/>
                <w:szCs w:val="18"/>
              </w:rPr>
            </w:pPr>
            <w:r w:rsidRPr="0060702E">
              <w:rPr>
                <w:rFonts w:cs="Arial"/>
                <w:color w:val="000000"/>
                <w:sz w:val="18"/>
                <w:szCs w:val="18"/>
              </w:rPr>
              <w:t>67,38%</w:t>
            </w:r>
          </w:p>
        </w:tc>
        <w:tc>
          <w:tcPr>
            <w:tcW w:w="1681" w:type="dxa"/>
          </w:tcPr>
          <w:p w:rsidR="008F5543" w:rsidRPr="0060702E" w:rsidRDefault="008F5543" w:rsidP="008F5543">
            <w:pPr>
              <w:tabs>
                <w:tab w:val="decimal" w:pos="1083"/>
              </w:tabs>
              <w:autoSpaceDE w:val="0"/>
              <w:autoSpaceDN w:val="0"/>
              <w:adjustRightInd w:val="0"/>
              <w:jc w:val="left"/>
              <w:rPr>
                <w:rFonts w:cs="Arial"/>
                <w:color w:val="000000"/>
                <w:sz w:val="18"/>
                <w:szCs w:val="18"/>
              </w:rPr>
            </w:pPr>
            <w:r w:rsidRPr="0060702E">
              <w:rPr>
                <w:rFonts w:cs="Arial"/>
                <w:color w:val="000000"/>
                <w:sz w:val="18"/>
                <w:szCs w:val="18"/>
              </w:rPr>
              <w:t xml:space="preserve">504 </w:t>
            </w:r>
          </w:p>
        </w:tc>
      </w:tr>
      <w:tr w:rsidR="008F5543" w:rsidRPr="0060702E" w:rsidTr="008F5543">
        <w:trPr>
          <w:trHeight w:val="148"/>
          <w:jc w:val="center"/>
        </w:trPr>
        <w:tc>
          <w:tcPr>
            <w:tcW w:w="1681" w:type="dxa"/>
          </w:tcPr>
          <w:p w:rsidR="008F5543" w:rsidRPr="0060702E" w:rsidRDefault="008F5543" w:rsidP="008F5543">
            <w:pPr>
              <w:autoSpaceDE w:val="0"/>
              <w:autoSpaceDN w:val="0"/>
              <w:adjustRightInd w:val="0"/>
              <w:jc w:val="left"/>
              <w:rPr>
                <w:rFonts w:cs="Arial"/>
                <w:color w:val="000000"/>
                <w:sz w:val="18"/>
                <w:szCs w:val="18"/>
              </w:rPr>
            </w:pPr>
            <w:r w:rsidRPr="0060702E">
              <w:rPr>
                <w:rFonts w:cs="Arial"/>
                <w:color w:val="000000"/>
                <w:sz w:val="18"/>
                <w:szCs w:val="18"/>
              </w:rPr>
              <w:t xml:space="preserve">India </w:t>
            </w:r>
          </w:p>
        </w:tc>
        <w:tc>
          <w:tcPr>
            <w:tcW w:w="1681" w:type="dxa"/>
          </w:tcPr>
          <w:p w:rsidR="008F5543" w:rsidRPr="0060702E" w:rsidRDefault="008F5543" w:rsidP="008F5543">
            <w:pPr>
              <w:tabs>
                <w:tab w:val="decimal" w:pos="1115"/>
              </w:tabs>
              <w:autoSpaceDE w:val="0"/>
              <w:autoSpaceDN w:val="0"/>
              <w:adjustRightInd w:val="0"/>
              <w:ind w:right="289"/>
              <w:jc w:val="right"/>
              <w:rPr>
                <w:rFonts w:cs="Arial"/>
                <w:color w:val="000000"/>
                <w:sz w:val="18"/>
                <w:szCs w:val="18"/>
              </w:rPr>
            </w:pPr>
            <w:r w:rsidRPr="0060702E">
              <w:rPr>
                <w:rFonts w:cs="Arial"/>
                <w:color w:val="000000"/>
                <w:sz w:val="18"/>
                <w:szCs w:val="18"/>
              </w:rPr>
              <w:t xml:space="preserve">662 </w:t>
            </w:r>
          </w:p>
        </w:tc>
        <w:tc>
          <w:tcPr>
            <w:tcW w:w="1681" w:type="dxa"/>
          </w:tcPr>
          <w:p w:rsidR="008F5543" w:rsidRPr="0060702E" w:rsidRDefault="008F5543" w:rsidP="008F5543">
            <w:pPr>
              <w:autoSpaceDE w:val="0"/>
              <w:autoSpaceDN w:val="0"/>
              <w:adjustRightInd w:val="0"/>
              <w:jc w:val="center"/>
              <w:rPr>
                <w:rFonts w:cs="Arial"/>
                <w:color w:val="000000"/>
                <w:sz w:val="18"/>
                <w:szCs w:val="18"/>
              </w:rPr>
            </w:pPr>
            <w:r w:rsidRPr="0060702E">
              <w:rPr>
                <w:rFonts w:cs="Arial"/>
                <w:color w:val="000000"/>
                <w:sz w:val="18"/>
                <w:szCs w:val="18"/>
              </w:rPr>
              <w:t>74,17%</w:t>
            </w:r>
          </w:p>
        </w:tc>
        <w:tc>
          <w:tcPr>
            <w:tcW w:w="1681" w:type="dxa"/>
          </w:tcPr>
          <w:p w:rsidR="008F5543" w:rsidRPr="0060702E" w:rsidRDefault="008F5543" w:rsidP="008F5543">
            <w:pPr>
              <w:tabs>
                <w:tab w:val="decimal" w:pos="1083"/>
              </w:tabs>
              <w:autoSpaceDE w:val="0"/>
              <w:autoSpaceDN w:val="0"/>
              <w:adjustRightInd w:val="0"/>
              <w:jc w:val="left"/>
              <w:rPr>
                <w:rFonts w:cs="Arial"/>
                <w:color w:val="000000"/>
                <w:sz w:val="18"/>
                <w:szCs w:val="18"/>
              </w:rPr>
            </w:pPr>
            <w:r w:rsidRPr="0060702E">
              <w:rPr>
                <w:rFonts w:cs="Arial"/>
                <w:color w:val="000000"/>
                <w:sz w:val="18"/>
                <w:szCs w:val="18"/>
              </w:rPr>
              <w:t xml:space="preserve">491 </w:t>
            </w:r>
          </w:p>
        </w:tc>
      </w:tr>
      <w:tr w:rsidR="008F5543" w:rsidRPr="0060702E" w:rsidTr="008F5543">
        <w:trPr>
          <w:trHeight w:val="142"/>
          <w:jc w:val="center"/>
        </w:trPr>
        <w:tc>
          <w:tcPr>
            <w:tcW w:w="1681" w:type="dxa"/>
          </w:tcPr>
          <w:p w:rsidR="008F5543" w:rsidRPr="0060702E" w:rsidRDefault="008F5543" w:rsidP="008F5543">
            <w:pPr>
              <w:autoSpaceDE w:val="0"/>
              <w:autoSpaceDN w:val="0"/>
              <w:adjustRightInd w:val="0"/>
              <w:jc w:val="left"/>
              <w:rPr>
                <w:rFonts w:cs="Arial"/>
                <w:color w:val="000000"/>
                <w:sz w:val="18"/>
                <w:szCs w:val="18"/>
              </w:rPr>
            </w:pPr>
            <w:r w:rsidRPr="0060702E">
              <w:rPr>
                <w:rFonts w:cs="Arial"/>
                <w:color w:val="000000"/>
                <w:sz w:val="18"/>
                <w:szCs w:val="18"/>
              </w:rPr>
              <w:t xml:space="preserve">Mexico </w:t>
            </w:r>
          </w:p>
        </w:tc>
        <w:tc>
          <w:tcPr>
            <w:tcW w:w="1681" w:type="dxa"/>
          </w:tcPr>
          <w:p w:rsidR="008F5543" w:rsidRPr="0060702E" w:rsidRDefault="008F5543" w:rsidP="008F5543">
            <w:pPr>
              <w:tabs>
                <w:tab w:val="decimal" w:pos="1115"/>
              </w:tabs>
              <w:autoSpaceDE w:val="0"/>
              <w:autoSpaceDN w:val="0"/>
              <w:adjustRightInd w:val="0"/>
              <w:ind w:right="289"/>
              <w:jc w:val="right"/>
              <w:rPr>
                <w:rFonts w:cs="Arial"/>
                <w:color w:val="000000"/>
                <w:sz w:val="18"/>
                <w:szCs w:val="18"/>
              </w:rPr>
            </w:pPr>
            <w:r w:rsidRPr="0060702E">
              <w:rPr>
                <w:rFonts w:cs="Arial"/>
                <w:color w:val="000000"/>
                <w:sz w:val="18"/>
                <w:szCs w:val="18"/>
              </w:rPr>
              <w:t xml:space="preserve">633 </w:t>
            </w:r>
          </w:p>
        </w:tc>
        <w:tc>
          <w:tcPr>
            <w:tcW w:w="1681" w:type="dxa"/>
          </w:tcPr>
          <w:p w:rsidR="008F5543" w:rsidRPr="0060702E" w:rsidRDefault="008F5543" w:rsidP="008F5543">
            <w:pPr>
              <w:autoSpaceDE w:val="0"/>
              <w:autoSpaceDN w:val="0"/>
              <w:adjustRightInd w:val="0"/>
              <w:jc w:val="center"/>
              <w:rPr>
                <w:rFonts w:cs="Arial"/>
                <w:color w:val="000000"/>
                <w:sz w:val="18"/>
                <w:szCs w:val="18"/>
              </w:rPr>
            </w:pPr>
            <w:r w:rsidRPr="0060702E">
              <w:rPr>
                <w:rFonts w:cs="Arial"/>
                <w:color w:val="000000"/>
                <w:sz w:val="18"/>
                <w:szCs w:val="18"/>
              </w:rPr>
              <w:t>52,13%</w:t>
            </w:r>
          </w:p>
        </w:tc>
        <w:tc>
          <w:tcPr>
            <w:tcW w:w="1681" w:type="dxa"/>
          </w:tcPr>
          <w:p w:rsidR="008F5543" w:rsidRPr="0060702E" w:rsidRDefault="008F5543" w:rsidP="008F5543">
            <w:pPr>
              <w:tabs>
                <w:tab w:val="decimal" w:pos="1083"/>
              </w:tabs>
              <w:autoSpaceDE w:val="0"/>
              <w:autoSpaceDN w:val="0"/>
              <w:adjustRightInd w:val="0"/>
              <w:jc w:val="left"/>
              <w:rPr>
                <w:rFonts w:cs="Arial"/>
                <w:color w:val="000000"/>
                <w:sz w:val="18"/>
                <w:szCs w:val="18"/>
              </w:rPr>
            </w:pPr>
            <w:r w:rsidRPr="0060702E">
              <w:rPr>
                <w:rFonts w:cs="Arial"/>
                <w:color w:val="000000"/>
                <w:sz w:val="18"/>
                <w:szCs w:val="18"/>
              </w:rPr>
              <w:t xml:space="preserve">330 </w:t>
            </w:r>
          </w:p>
        </w:tc>
      </w:tr>
      <w:tr w:rsidR="008F5543" w:rsidRPr="0060702E" w:rsidTr="008F5543">
        <w:trPr>
          <w:trHeight w:val="148"/>
          <w:jc w:val="center"/>
        </w:trPr>
        <w:tc>
          <w:tcPr>
            <w:tcW w:w="1681" w:type="dxa"/>
          </w:tcPr>
          <w:p w:rsidR="008F5543" w:rsidRPr="0060702E" w:rsidRDefault="008F5543" w:rsidP="008F5543">
            <w:pPr>
              <w:autoSpaceDE w:val="0"/>
              <w:autoSpaceDN w:val="0"/>
              <w:adjustRightInd w:val="0"/>
              <w:jc w:val="left"/>
              <w:rPr>
                <w:rFonts w:cs="Arial"/>
                <w:color w:val="000000"/>
                <w:sz w:val="18"/>
                <w:szCs w:val="18"/>
              </w:rPr>
            </w:pPr>
            <w:r w:rsidRPr="0060702E">
              <w:rPr>
                <w:rFonts w:cs="Arial"/>
                <w:color w:val="000000"/>
                <w:sz w:val="18"/>
                <w:szCs w:val="18"/>
              </w:rPr>
              <w:t xml:space="preserve">Netherlands </w:t>
            </w:r>
          </w:p>
        </w:tc>
        <w:tc>
          <w:tcPr>
            <w:tcW w:w="1681" w:type="dxa"/>
          </w:tcPr>
          <w:p w:rsidR="008F5543" w:rsidRPr="0060702E" w:rsidRDefault="008F5543" w:rsidP="008F5543">
            <w:pPr>
              <w:tabs>
                <w:tab w:val="decimal" w:pos="1115"/>
              </w:tabs>
              <w:autoSpaceDE w:val="0"/>
              <w:autoSpaceDN w:val="0"/>
              <w:adjustRightInd w:val="0"/>
              <w:ind w:right="289"/>
              <w:jc w:val="right"/>
              <w:rPr>
                <w:rFonts w:cs="Arial"/>
                <w:color w:val="000000"/>
                <w:sz w:val="18"/>
                <w:szCs w:val="18"/>
              </w:rPr>
            </w:pPr>
            <w:r w:rsidRPr="0060702E">
              <w:rPr>
                <w:rFonts w:cs="Arial"/>
                <w:color w:val="000000"/>
                <w:sz w:val="18"/>
                <w:szCs w:val="18"/>
              </w:rPr>
              <w:t xml:space="preserve">541 </w:t>
            </w:r>
          </w:p>
        </w:tc>
        <w:tc>
          <w:tcPr>
            <w:tcW w:w="1681" w:type="dxa"/>
          </w:tcPr>
          <w:p w:rsidR="008F5543" w:rsidRPr="0060702E" w:rsidRDefault="008F5543" w:rsidP="008F5543">
            <w:pPr>
              <w:autoSpaceDE w:val="0"/>
              <w:autoSpaceDN w:val="0"/>
              <w:adjustRightInd w:val="0"/>
              <w:jc w:val="center"/>
              <w:rPr>
                <w:rFonts w:cs="Arial"/>
                <w:color w:val="000000"/>
                <w:sz w:val="18"/>
                <w:szCs w:val="18"/>
              </w:rPr>
            </w:pPr>
            <w:r w:rsidRPr="0060702E">
              <w:rPr>
                <w:rFonts w:cs="Arial"/>
                <w:color w:val="000000"/>
                <w:sz w:val="18"/>
                <w:szCs w:val="18"/>
              </w:rPr>
              <w:t>31,98%</w:t>
            </w:r>
          </w:p>
        </w:tc>
        <w:tc>
          <w:tcPr>
            <w:tcW w:w="1681" w:type="dxa"/>
          </w:tcPr>
          <w:p w:rsidR="008F5543" w:rsidRPr="0060702E" w:rsidRDefault="008F5543" w:rsidP="008F5543">
            <w:pPr>
              <w:tabs>
                <w:tab w:val="decimal" w:pos="1083"/>
              </w:tabs>
              <w:autoSpaceDE w:val="0"/>
              <w:autoSpaceDN w:val="0"/>
              <w:adjustRightInd w:val="0"/>
              <w:jc w:val="left"/>
              <w:rPr>
                <w:rFonts w:cs="Arial"/>
                <w:color w:val="000000"/>
                <w:sz w:val="18"/>
                <w:szCs w:val="18"/>
              </w:rPr>
            </w:pPr>
            <w:r w:rsidRPr="0060702E">
              <w:rPr>
                <w:rFonts w:cs="Arial"/>
                <w:color w:val="000000"/>
                <w:sz w:val="18"/>
                <w:szCs w:val="18"/>
              </w:rPr>
              <w:t xml:space="preserve">173 </w:t>
            </w:r>
          </w:p>
        </w:tc>
      </w:tr>
      <w:tr w:rsidR="008F5543" w:rsidRPr="0060702E" w:rsidTr="008F5543">
        <w:trPr>
          <w:trHeight w:val="142"/>
          <w:jc w:val="center"/>
        </w:trPr>
        <w:tc>
          <w:tcPr>
            <w:tcW w:w="1681" w:type="dxa"/>
          </w:tcPr>
          <w:p w:rsidR="008F5543" w:rsidRPr="0060702E" w:rsidRDefault="008F5543" w:rsidP="008F5543">
            <w:pPr>
              <w:autoSpaceDE w:val="0"/>
              <w:autoSpaceDN w:val="0"/>
              <w:adjustRightInd w:val="0"/>
              <w:jc w:val="left"/>
              <w:rPr>
                <w:rFonts w:cs="Arial"/>
                <w:color w:val="000000"/>
                <w:sz w:val="18"/>
                <w:szCs w:val="18"/>
              </w:rPr>
            </w:pPr>
            <w:r w:rsidRPr="0060702E">
              <w:rPr>
                <w:rFonts w:cs="Arial"/>
                <w:color w:val="000000"/>
                <w:sz w:val="18"/>
                <w:szCs w:val="18"/>
              </w:rPr>
              <w:t xml:space="preserve">Australia </w:t>
            </w:r>
          </w:p>
        </w:tc>
        <w:tc>
          <w:tcPr>
            <w:tcW w:w="1681" w:type="dxa"/>
          </w:tcPr>
          <w:p w:rsidR="008F5543" w:rsidRPr="0060702E" w:rsidRDefault="008F5543" w:rsidP="008F5543">
            <w:pPr>
              <w:tabs>
                <w:tab w:val="decimal" w:pos="1115"/>
              </w:tabs>
              <w:autoSpaceDE w:val="0"/>
              <w:autoSpaceDN w:val="0"/>
              <w:adjustRightInd w:val="0"/>
              <w:ind w:right="289"/>
              <w:jc w:val="right"/>
              <w:rPr>
                <w:rFonts w:cs="Arial"/>
                <w:color w:val="000000"/>
                <w:sz w:val="18"/>
                <w:szCs w:val="18"/>
              </w:rPr>
            </w:pPr>
            <w:r w:rsidRPr="0060702E">
              <w:rPr>
                <w:rFonts w:cs="Arial"/>
                <w:color w:val="000000"/>
                <w:sz w:val="18"/>
                <w:szCs w:val="18"/>
              </w:rPr>
              <w:t xml:space="preserve">535 </w:t>
            </w:r>
          </w:p>
        </w:tc>
        <w:tc>
          <w:tcPr>
            <w:tcW w:w="1681" w:type="dxa"/>
          </w:tcPr>
          <w:p w:rsidR="008F5543" w:rsidRPr="0060702E" w:rsidRDefault="008F5543" w:rsidP="008F5543">
            <w:pPr>
              <w:autoSpaceDE w:val="0"/>
              <w:autoSpaceDN w:val="0"/>
              <w:adjustRightInd w:val="0"/>
              <w:jc w:val="center"/>
              <w:rPr>
                <w:rFonts w:cs="Arial"/>
                <w:color w:val="000000"/>
                <w:sz w:val="18"/>
                <w:szCs w:val="18"/>
              </w:rPr>
            </w:pPr>
            <w:r w:rsidRPr="0060702E">
              <w:rPr>
                <w:rFonts w:cs="Arial"/>
                <w:color w:val="000000"/>
                <w:sz w:val="18"/>
                <w:szCs w:val="18"/>
              </w:rPr>
              <w:t>34,39%</w:t>
            </w:r>
          </w:p>
        </w:tc>
        <w:tc>
          <w:tcPr>
            <w:tcW w:w="1681" w:type="dxa"/>
          </w:tcPr>
          <w:p w:rsidR="008F5543" w:rsidRPr="0060702E" w:rsidRDefault="008F5543" w:rsidP="008F5543">
            <w:pPr>
              <w:tabs>
                <w:tab w:val="decimal" w:pos="1083"/>
              </w:tabs>
              <w:autoSpaceDE w:val="0"/>
              <w:autoSpaceDN w:val="0"/>
              <w:adjustRightInd w:val="0"/>
              <w:jc w:val="left"/>
              <w:rPr>
                <w:rFonts w:cs="Arial"/>
                <w:color w:val="000000"/>
                <w:sz w:val="18"/>
                <w:szCs w:val="18"/>
              </w:rPr>
            </w:pPr>
            <w:r w:rsidRPr="0060702E">
              <w:rPr>
                <w:rFonts w:cs="Arial"/>
                <w:color w:val="000000"/>
                <w:sz w:val="18"/>
                <w:szCs w:val="18"/>
              </w:rPr>
              <w:t xml:space="preserve">184 </w:t>
            </w:r>
          </w:p>
        </w:tc>
      </w:tr>
    </w:tbl>
    <w:p w:rsidR="008F5543" w:rsidRPr="0060702E" w:rsidRDefault="008F5543" w:rsidP="008F5543">
      <w:pPr>
        <w:keepNext/>
        <w:rPr>
          <w:rFonts w:eastAsiaTheme="minorEastAsia"/>
          <w:b/>
          <w:bCs/>
          <w:sz w:val="18"/>
          <w:szCs w:val="22"/>
        </w:rPr>
      </w:pPr>
    </w:p>
    <w:p w:rsidR="008F5543" w:rsidRPr="0060702E" w:rsidRDefault="008F5543" w:rsidP="008F5543">
      <w:pPr>
        <w:keepNext/>
        <w:jc w:val="center"/>
        <w:rPr>
          <w:rFonts w:eastAsiaTheme="minorEastAsia"/>
          <w:bCs/>
          <w:sz w:val="18"/>
          <w:szCs w:val="22"/>
        </w:rPr>
      </w:pPr>
      <w:r w:rsidRPr="0060702E">
        <w:rPr>
          <w:rFonts w:eastAsiaTheme="minorEastAsia"/>
          <w:bCs/>
          <w:sz w:val="18"/>
          <w:szCs w:val="22"/>
        </w:rPr>
        <w:t>Evolution of visits</w:t>
      </w:r>
    </w:p>
    <w:p w:rsidR="008F5543" w:rsidRPr="0060702E" w:rsidRDefault="008F5543" w:rsidP="008F5543">
      <w:pPr>
        <w:keepNext/>
        <w:jc w:val="center"/>
        <w:rPr>
          <w:rFonts w:eastAsiaTheme="minorEastAsia"/>
          <w:sz w:val="14"/>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44"/>
        <w:gridCol w:w="1710"/>
        <w:gridCol w:w="1710"/>
      </w:tblGrid>
      <w:tr w:rsidR="008F5543" w:rsidRPr="0060702E" w:rsidTr="008F5543">
        <w:trPr>
          <w:trHeight w:val="143"/>
          <w:jc w:val="center"/>
        </w:trPr>
        <w:tc>
          <w:tcPr>
            <w:tcW w:w="1644" w:type="dxa"/>
          </w:tcPr>
          <w:p w:rsidR="008F5543" w:rsidRPr="0060702E" w:rsidRDefault="008F5543" w:rsidP="008F5543">
            <w:pPr>
              <w:keepNext/>
              <w:autoSpaceDE w:val="0"/>
              <w:autoSpaceDN w:val="0"/>
              <w:adjustRightInd w:val="0"/>
              <w:jc w:val="center"/>
              <w:rPr>
                <w:rFonts w:eastAsiaTheme="minorEastAsia" w:cs="Arial"/>
                <w:color w:val="000000"/>
                <w:sz w:val="18"/>
                <w:szCs w:val="22"/>
              </w:rPr>
            </w:pPr>
            <w:r w:rsidRPr="0060702E">
              <w:rPr>
                <w:rFonts w:eastAsiaTheme="minorEastAsia" w:cs="Arial"/>
                <w:bCs/>
                <w:color w:val="000000"/>
                <w:sz w:val="18"/>
                <w:szCs w:val="22"/>
              </w:rPr>
              <w:t>Year</w:t>
            </w:r>
          </w:p>
        </w:tc>
        <w:tc>
          <w:tcPr>
            <w:tcW w:w="1710" w:type="dxa"/>
          </w:tcPr>
          <w:p w:rsidR="008F5543" w:rsidRPr="0060702E" w:rsidRDefault="008F5543" w:rsidP="008F5543">
            <w:pPr>
              <w:keepNext/>
              <w:autoSpaceDE w:val="0"/>
              <w:autoSpaceDN w:val="0"/>
              <w:adjustRightInd w:val="0"/>
              <w:jc w:val="center"/>
              <w:rPr>
                <w:rFonts w:eastAsiaTheme="minorEastAsia" w:cs="Arial"/>
                <w:color w:val="000000"/>
                <w:sz w:val="18"/>
                <w:szCs w:val="22"/>
              </w:rPr>
            </w:pPr>
            <w:proofErr w:type="spellStart"/>
            <w:r w:rsidRPr="0060702E">
              <w:rPr>
                <w:rFonts w:eastAsiaTheme="minorEastAsia" w:cs="Arial"/>
                <w:bCs/>
                <w:color w:val="000000"/>
                <w:sz w:val="18"/>
                <w:szCs w:val="22"/>
              </w:rPr>
              <w:t>Pageviews</w:t>
            </w:r>
            <w:proofErr w:type="spellEnd"/>
          </w:p>
        </w:tc>
        <w:tc>
          <w:tcPr>
            <w:tcW w:w="1710" w:type="dxa"/>
          </w:tcPr>
          <w:p w:rsidR="008F5543" w:rsidRPr="0060702E" w:rsidRDefault="008F5543" w:rsidP="008F5543">
            <w:pPr>
              <w:keepNext/>
              <w:autoSpaceDE w:val="0"/>
              <w:autoSpaceDN w:val="0"/>
              <w:adjustRightInd w:val="0"/>
              <w:jc w:val="center"/>
              <w:rPr>
                <w:rFonts w:eastAsiaTheme="minorEastAsia" w:cs="Arial"/>
                <w:bCs/>
                <w:color w:val="000000"/>
                <w:sz w:val="18"/>
                <w:szCs w:val="22"/>
              </w:rPr>
            </w:pPr>
            <w:r w:rsidRPr="0060702E">
              <w:rPr>
                <w:rFonts w:eastAsiaTheme="minorEastAsia" w:cs="Arial"/>
                <w:bCs/>
                <w:color w:val="000000"/>
                <w:sz w:val="18"/>
                <w:szCs w:val="22"/>
              </w:rPr>
              <w:t xml:space="preserve">Unique </w:t>
            </w:r>
            <w:proofErr w:type="spellStart"/>
            <w:r w:rsidRPr="0060702E">
              <w:rPr>
                <w:rFonts w:eastAsiaTheme="minorEastAsia" w:cs="Arial"/>
                <w:bCs/>
                <w:color w:val="000000"/>
                <w:sz w:val="18"/>
                <w:szCs w:val="22"/>
              </w:rPr>
              <w:t>pageviews</w:t>
            </w:r>
            <w:proofErr w:type="spellEnd"/>
          </w:p>
          <w:p w:rsidR="008F5543" w:rsidRPr="0060702E" w:rsidRDefault="008F5543" w:rsidP="008F5543">
            <w:pPr>
              <w:keepNext/>
              <w:autoSpaceDE w:val="0"/>
              <w:autoSpaceDN w:val="0"/>
              <w:adjustRightInd w:val="0"/>
              <w:jc w:val="center"/>
              <w:rPr>
                <w:rFonts w:eastAsiaTheme="minorEastAsia" w:cs="Arial"/>
                <w:color w:val="000000"/>
                <w:sz w:val="18"/>
                <w:szCs w:val="22"/>
              </w:rPr>
            </w:pPr>
          </w:p>
        </w:tc>
      </w:tr>
      <w:tr w:rsidR="008F5543" w:rsidRPr="0060702E" w:rsidTr="008F5543">
        <w:trPr>
          <w:trHeight w:val="148"/>
          <w:jc w:val="center"/>
        </w:trPr>
        <w:tc>
          <w:tcPr>
            <w:tcW w:w="1644" w:type="dxa"/>
          </w:tcPr>
          <w:p w:rsidR="008F5543" w:rsidRPr="0060702E" w:rsidRDefault="008F5543" w:rsidP="008F5543">
            <w:pPr>
              <w:pStyle w:val="Default"/>
              <w:jc w:val="center"/>
              <w:rPr>
                <w:sz w:val="18"/>
                <w:szCs w:val="18"/>
              </w:rPr>
            </w:pPr>
            <w:r w:rsidRPr="0060702E">
              <w:rPr>
                <w:sz w:val="18"/>
                <w:szCs w:val="18"/>
              </w:rPr>
              <w:t>2013</w:t>
            </w:r>
          </w:p>
        </w:tc>
        <w:tc>
          <w:tcPr>
            <w:tcW w:w="1710" w:type="dxa"/>
          </w:tcPr>
          <w:p w:rsidR="008F5543" w:rsidRPr="0060702E" w:rsidRDefault="008F5543" w:rsidP="008F5543">
            <w:pPr>
              <w:pStyle w:val="Default"/>
              <w:tabs>
                <w:tab w:val="decimal" w:pos="874"/>
              </w:tabs>
              <w:jc w:val="center"/>
              <w:rPr>
                <w:sz w:val="18"/>
                <w:szCs w:val="18"/>
              </w:rPr>
            </w:pPr>
            <w:r w:rsidRPr="0060702E">
              <w:rPr>
                <w:sz w:val="18"/>
                <w:szCs w:val="18"/>
              </w:rPr>
              <w:t>84,306</w:t>
            </w:r>
          </w:p>
        </w:tc>
        <w:tc>
          <w:tcPr>
            <w:tcW w:w="1710" w:type="dxa"/>
          </w:tcPr>
          <w:p w:rsidR="008F5543" w:rsidRPr="0060702E" w:rsidRDefault="008F5543" w:rsidP="008F5543">
            <w:pPr>
              <w:pStyle w:val="Default"/>
              <w:tabs>
                <w:tab w:val="decimal" w:pos="1057"/>
              </w:tabs>
              <w:jc w:val="center"/>
              <w:rPr>
                <w:sz w:val="18"/>
                <w:szCs w:val="18"/>
              </w:rPr>
            </w:pPr>
            <w:r w:rsidRPr="0060702E">
              <w:rPr>
                <w:sz w:val="18"/>
                <w:szCs w:val="18"/>
              </w:rPr>
              <w:t>49,280</w:t>
            </w:r>
          </w:p>
        </w:tc>
      </w:tr>
      <w:tr w:rsidR="008F5543" w:rsidRPr="0060702E" w:rsidTr="008F5543">
        <w:trPr>
          <w:trHeight w:val="148"/>
          <w:jc w:val="center"/>
        </w:trPr>
        <w:tc>
          <w:tcPr>
            <w:tcW w:w="1644" w:type="dxa"/>
          </w:tcPr>
          <w:p w:rsidR="008F5543" w:rsidRPr="0060702E" w:rsidRDefault="008F5543" w:rsidP="008F5543">
            <w:pPr>
              <w:pStyle w:val="Default"/>
              <w:jc w:val="center"/>
              <w:rPr>
                <w:sz w:val="18"/>
                <w:szCs w:val="18"/>
              </w:rPr>
            </w:pPr>
            <w:r w:rsidRPr="0060702E">
              <w:rPr>
                <w:sz w:val="18"/>
                <w:szCs w:val="18"/>
              </w:rPr>
              <w:t>2012</w:t>
            </w:r>
          </w:p>
        </w:tc>
        <w:tc>
          <w:tcPr>
            <w:tcW w:w="1710" w:type="dxa"/>
          </w:tcPr>
          <w:p w:rsidR="008F5543" w:rsidRPr="0060702E" w:rsidRDefault="008F5543" w:rsidP="008F5543">
            <w:pPr>
              <w:pStyle w:val="Default"/>
              <w:tabs>
                <w:tab w:val="decimal" w:pos="874"/>
              </w:tabs>
              <w:jc w:val="center"/>
              <w:rPr>
                <w:sz w:val="18"/>
                <w:szCs w:val="18"/>
              </w:rPr>
            </w:pPr>
            <w:r w:rsidRPr="0060702E">
              <w:rPr>
                <w:sz w:val="18"/>
                <w:szCs w:val="18"/>
              </w:rPr>
              <w:t>85,149</w:t>
            </w:r>
          </w:p>
        </w:tc>
        <w:tc>
          <w:tcPr>
            <w:tcW w:w="1710" w:type="dxa"/>
          </w:tcPr>
          <w:p w:rsidR="008F5543" w:rsidRPr="0060702E" w:rsidRDefault="008F5543" w:rsidP="008F5543">
            <w:pPr>
              <w:pStyle w:val="Default"/>
              <w:tabs>
                <w:tab w:val="decimal" w:pos="1057"/>
              </w:tabs>
              <w:jc w:val="center"/>
              <w:rPr>
                <w:sz w:val="18"/>
                <w:szCs w:val="18"/>
              </w:rPr>
            </w:pPr>
            <w:r w:rsidRPr="0060702E">
              <w:rPr>
                <w:sz w:val="18"/>
                <w:szCs w:val="18"/>
              </w:rPr>
              <w:t>46,122</w:t>
            </w:r>
          </w:p>
        </w:tc>
      </w:tr>
      <w:tr w:rsidR="008F5543" w:rsidRPr="0060702E" w:rsidTr="008F5543">
        <w:trPr>
          <w:trHeight w:val="148"/>
          <w:jc w:val="center"/>
        </w:trPr>
        <w:tc>
          <w:tcPr>
            <w:tcW w:w="1644" w:type="dxa"/>
          </w:tcPr>
          <w:p w:rsidR="008F5543" w:rsidRPr="0060702E" w:rsidRDefault="008F5543" w:rsidP="008F5543">
            <w:pPr>
              <w:pStyle w:val="Default"/>
              <w:jc w:val="center"/>
              <w:rPr>
                <w:sz w:val="18"/>
                <w:szCs w:val="18"/>
              </w:rPr>
            </w:pPr>
            <w:r w:rsidRPr="0060702E">
              <w:rPr>
                <w:sz w:val="18"/>
                <w:szCs w:val="18"/>
              </w:rPr>
              <w:t>2011</w:t>
            </w:r>
          </w:p>
        </w:tc>
        <w:tc>
          <w:tcPr>
            <w:tcW w:w="1710" w:type="dxa"/>
          </w:tcPr>
          <w:p w:rsidR="008F5543" w:rsidRPr="0060702E" w:rsidRDefault="008F5543" w:rsidP="008F5543">
            <w:pPr>
              <w:pStyle w:val="Default"/>
              <w:tabs>
                <w:tab w:val="decimal" w:pos="874"/>
              </w:tabs>
              <w:jc w:val="center"/>
              <w:rPr>
                <w:sz w:val="18"/>
                <w:szCs w:val="18"/>
              </w:rPr>
            </w:pPr>
            <w:r w:rsidRPr="0060702E">
              <w:rPr>
                <w:sz w:val="18"/>
                <w:szCs w:val="18"/>
              </w:rPr>
              <w:t>59,735</w:t>
            </w:r>
          </w:p>
        </w:tc>
        <w:tc>
          <w:tcPr>
            <w:tcW w:w="1710" w:type="dxa"/>
          </w:tcPr>
          <w:p w:rsidR="008F5543" w:rsidRPr="0060702E" w:rsidRDefault="008F5543" w:rsidP="008F5543">
            <w:pPr>
              <w:pStyle w:val="Default"/>
              <w:tabs>
                <w:tab w:val="decimal" w:pos="1057"/>
              </w:tabs>
              <w:jc w:val="center"/>
              <w:rPr>
                <w:sz w:val="18"/>
                <w:szCs w:val="18"/>
              </w:rPr>
            </w:pPr>
            <w:r w:rsidRPr="0060702E">
              <w:rPr>
                <w:sz w:val="18"/>
                <w:szCs w:val="18"/>
              </w:rPr>
              <w:t>32,839</w:t>
            </w:r>
          </w:p>
        </w:tc>
      </w:tr>
      <w:tr w:rsidR="008F5543" w:rsidRPr="0060702E" w:rsidTr="008F5543">
        <w:trPr>
          <w:trHeight w:val="148"/>
          <w:jc w:val="center"/>
        </w:trPr>
        <w:tc>
          <w:tcPr>
            <w:tcW w:w="1644" w:type="dxa"/>
          </w:tcPr>
          <w:p w:rsidR="008F5543" w:rsidRPr="0060702E" w:rsidRDefault="008F5543" w:rsidP="008F5543">
            <w:pPr>
              <w:pStyle w:val="Default"/>
              <w:jc w:val="center"/>
              <w:rPr>
                <w:sz w:val="18"/>
                <w:szCs w:val="18"/>
              </w:rPr>
            </w:pPr>
            <w:r w:rsidRPr="0060702E">
              <w:rPr>
                <w:sz w:val="18"/>
                <w:szCs w:val="18"/>
              </w:rPr>
              <w:t>2010</w:t>
            </w:r>
          </w:p>
        </w:tc>
        <w:tc>
          <w:tcPr>
            <w:tcW w:w="1710" w:type="dxa"/>
          </w:tcPr>
          <w:p w:rsidR="008F5543" w:rsidRPr="0060702E" w:rsidRDefault="008F5543" w:rsidP="008F5543">
            <w:pPr>
              <w:pStyle w:val="Default"/>
              <w:tabs>
                <w:tab w:val="decimal" w:pos="874"/>
              </w:tabs>
              <w:jc w:val="center"/>
              <w:rPr>
                <w:sz w:val="18"/>
                <w:szCs w:val="18"/>
              </w:rPr>
            </w:pPr>
            <w:r w:rsidRPr="0060702E">
              <w:rPr>
                <w:sz w:val="18"/>
                <w:szCs w:val="18"/>
              </w:rPr>
              <w:t>51,457</w:t>
            </w:r>
          </w:p>
        </w:tc>
        <w:tc>
          <w:tcPr>
            <w:tcW w:w="1710" w:type="dxa"/>
          </w:tcPr>
          <w:p w:rsidR="008F5543" w:rsidRPr="0060702E" w:rsidRDefault="008F5543" w:rsidP="008F5543">
            <w:pPr>
              <w:pStyle w:val="Default"/>
              <w:tabs>
                <w:tab w:val="decimal" w:pos="1057"/>
              </w:tabs>
              <w:jc w:val="center"/>
              <w:rPr>
                <w:sz w:val="18"/>
                <w:szCs w:val="18"/>
              </w:rPr>
            </w:pPr>
            <w:r w:rsidRPr="0060702E">
              <w:rPr>
                <w:sz w:val="18"/>
                <w:szCs w:val="18"/>
              </w:rPr>
              <w:t>28,565</w:t>
            </w:r>
          </w:p>
        </w:tc>
      </w:tr>
      <w:tr w:rsidR="008F5543" w:rsidRPr="0060702E" w:rsidTr="008F5543">
        <w:trPr>
          <w:trHeight w:val="148"/>
          <w:jc w:val="center"/>
        </w:trPr>
        <w:tc>
          <w:tcPr>
            <w:tcW w:w="1644" w:type="dxa"/>
          </w:tcPr>
          <w:p w:rsidR="008F5543" w:rsidRPr="0060702E" w:rsidRDefault="008F5543" w:rsidP="008F5543">
            <w:pPr>
              <w:pStyle w:val="Default"/>
              <w:jc w:val="center"/>
              <w:rPr>
                <w:sz w:val="18"/>
                <w:szCs w:val="18"/>
              </w:rPr>
            </w:pPr>
            <w:r w:rsidRPr="0060702E">
              <w:rPr>
                <w:sz w:val="18"/>
                <w:szCs w:val="18"/>
              </w:rPr>
              <w:t>2009</w:t>
            </w:r>
          </w:p>
        </w:tc>
        <w:tc>
          <w:tcPr>
            <w:tcW w:w="1710" w:type="dxa"/>
          </w:tcPr>
          <w:p w:rsidR="008F5543" w:rsidRPr="0060702E" w:rsidRDefault="008F5543" w:rsidP="008F5543">
            <w:pPr>
              <w:pStyle w:val="Default"/>
              <w:tabs>
                <w:tab w:val="decimal" w:pos="874"/>
              </w:tabs>
              <w:jc w:val="center"/>
              <w:rPr>
                <w:sz w:val="18"/>
                <w:szCs w:val="18"/>
              </w:rPr>
            </w:pPr>
            <w:r w:rsidRPr="0060702E">
              <w:rPr>
                <w:sz w:val="18"/>
                <w:szCs w:val="18"/>
              </w:rPr>
              <w:t>11,474</w:t>
            </w:r>
          </w:p>
        </w:tc>
        <w:tc>
          <w:tcPr>
            <w:tcW w:w="1710" w:type="dxa"/>
          </w:tcPr>
          <w:p w:rsidR="008F5543" w:rsidRPr="0060702E" w:rsidRDefault="008F5543" w:rsidP="008F5543">
            <w:pPr>
              <w:pStyle w:val="Default"/>
              <w:tabs>
                <w:tab w:val="decimal" w:pos="1057"/>
              </w:tabs>
              <w:jc w:val="center"/>
              <w:rPr>
                <w:sz w:val="18"/>
                <w:szCs w:val="18"/>
              </w:rPr>
            </w:pPr>
            <w:r w:rsidRPr="0060702E">
              <w:rPr>
                <w:sz w:val="18"/>
                <w:szCs w:val="18"/>
              </w:rPr>
              <w:t>5,337</w:t>
            </w:r>
          </w:p>
        </w:tc>
      </w:tr>
      <w:tr w:rsidR="008F5543" w:rsidRPr="0060702E" w:rsidTr="008F5543">
        <w:trPr>
          <w:trHeight w:val="148"/>
          <w:jc w:val="center"/>
        </w:trPr>
        <w:tc>
          <w:tcPr>
            <w:tcW w:w="1644" w:type="dxa"/>
          </w:tcPr>
          <w:p w:rsidR="008F5543" w:rsidRPr="0060702E" w:rsidRDefault="008F5543" w:rsidP="008F5543">
            <w:pPr>
              <w:pStyle w:val="Default"/>
              <w:jc w:val="center"/>
              <w:rPr>
                <w:sz w:val="18"/>
                <w:szCs w:val="18"/>
              </w:rPr>
            </w:pPr>
            <w:r w:rsidRPr="0060702E">
              <w:rPr>
                <w:sz w:val="18"/>
                <w:szCs w:val="18"/>
              </w:rPr>
              <w:t>2008</w:t>
            </w:r>
          </w:p>
        </w:tc>
        <w:tc>
          <w:tcPr>
            <w:tcW w:w="1710" w:type="dxa"/>
          </w:tcPr>
          <w:p w:rsidR="008F5543" w:rsidRPr="0060702E" w:rsidRDefault="008F5543" w:rsidP="008F5543">
            <w:pPr>
              <w:pStyle w:val="Default"/>
              <w:tabs>
                <w:tab w:val="decimal" w:pos="874"/>
              </w:tabs>
              <w:jc w:val="center"/>
              <w:rPr>
                <w:sz w:val="18"/>
                <w:szCs w:val="18"/>
              </w:rPr>
            </w:pPr>
            <w:r w:rsidRPr="0060702E">
              <w:rPr>
                <w:sz w:val="18"/>
                <w:szCs w:val="18"/>
              </w:rPr>
              <w:t>14,063</w:t>
            </w:r>
          </w:p>
        </w:tc>
        <w:tc>
          <w:tcPr>
            <w:tcW w:w="1710" w:type="dxa"/>
          </w:tcPr>
          <w:p w:rsidR="008F5543" w:rsidRPr="0060702E" w:rsidRDefault="008F5543" w:rsidP="008F5543">
            <w:pPr>
              <w:pStyle w:val="Default"/>
              <w:tabs>
                <w:tab w:val="decimal" w:pos="1057"/>
              </w:tabs>
              <w:jc w:val="center"/>
              <w:rPr>
                <w:sz w:val="18"/>
                <w:szCs w:val="18"/>
              </w:rPr>
            </w:pPr>
            <w:r w:rsidRPr="0060702E">
              <w:rPr>
                <w:sz w:val="18"/>
                <w:szCs w:val="18"/>
              </w:rPr>
              <w:t>5,763</w:t>
            </w:r>
          </w:p>
        </w:tc>
      </w:tr>
      <w:tr w:rsidR="008F5543" w:rsidRPr="0060702E" w:rsidTr="008F5543">
        <w:trPr>
          <w:trHeight w:val="148"/>
          <w:jc w:val="center"/>
        </w:trPr>
        <w:tc>
          <w:tcPr>
            <w:tcW w:w="1644" w:type="dxa"/>
          </w:tcPr>
          <w:p w:rsidR="008F5543" w:rsidRPr="0060702E" w:rsidRDefault="008F5543" w:rsidP="008F5543">
            <w:pPr>
              <w:pStyle w:val="Default"/>
              <w:jc w:val="center"/>
              <w:rPr>
                <w:sz w:val="18"/>
                <w:szCs w:val="18"/>
              </w:rPr>
            </w:pPr>
            <w:r w:rsidRPr="0060702E">
              <w:rPr>
                <w:sz w:val="18"/>
                <w:szCs w:val="18"/>
              </w:rPr>
              <w:t>2007</w:t>
            </w:r>
          </w:p>
        </w:tc>
        <w:tc>
          <w:tcPr>
            <w:tcW w:w="1710" w:type="dxa"/>
          </w:tcPr>
          <w:p w:rsidR="008F5543" w:rsidRPr="0060702E" w:rsidRDefault="008F5543" w:rsidP="008F5543">
            <w:pPr>
              <w:pStyle w:val="Default"/>
              <w:tabs>
                <w:tab w:val="decimal" w:pos="874"/>
              </w:tabs>
              <w:jc w:val="center"/>
              <w:rPr>
                <w:sz w:val="18"/>
                <w:szCs w:val="18"/>
              </w:rPr>
            </w:pPr>
            <w:r w:rsidRPr="0060702E">
              <w:rPr>
                <w:sz w:val="18"/>
                <w:szCs w:val="18"/>
              </w:rPr>
              <w:t>5,357</w:t>
            </w:r>
          </w:p>
        </w:tc>
        <w:tc>
          <w:tcPr>
            <w:tcW w:w="1710" w:type="dxa"/>
          </w:tcPr>
          <w:p w:rsidR="008F5543" w:rsidRPr="0060702E" w:rsidRDefault="008F5543" w:rsidP="008F5543">
            <w:pPr>
              <w:pStyle w:val="Default"/>
              <w:tabs>
                <w:tab w:val="decimal" w:pos="1057"/>
              </w:tabs>
              <w:jc w:val="center"/>
              <w:rPr>
                <w:sz w:val="18"/>
                <w:szCs w:val="18"/>
              </w:rPr>
            </w:pPr>
            <w:r w:rsidRPr="0060702E">
              <w:rPr>
                <w:sz w:val="18"/>
                <w:szCs w:val="18"/>
              </w:rPr>
              <w:t>2,530</w:t>
            </w:r>
          </w:p>
        </w:tc>
      </w:tr>
    </w:tbl>
    <w:p w:rsidR="008F5543" w:rsidRPr="0060702E" w:rsidRDefault="008F5543" w:rsidP="008F5543">
      <w:pPr>
        <w:keepNext/>
        <w:rPr>
          <w:rFonts w:eastAsiaTheme="minorEastAsia"/>
          <w:sz w:val="18"/>
          <w:szCs w:val="18"/>
        </w:rPr>
      </w:pPr>
    </w:p>
    <w:p w:rsidR="008F5543" w:rsidRPr="0060702E" w:rsidRDefault="008F5543"/>
    <w:p w:rsidR="008409A3" w:rsidRDefault="008409A3">
      <w:pPr>
        <w:jc w:val="left"/>
        <w:rPr>
          <w:iCs/>
          <w:sz w:val="18"/>
          <w:szCs w:val="24"/>
          <w:u w:val="single"/>
        </w:rPr>
      </w:pPr>
      <w:r>
        <w:br w:type="page"/>
      </w:r>
    </w:p>
    <w:p w:rsidR="008F5543" w:rsidRPr="0060702E" w:rsidRDefault="008F5543" w:rsidP="008F5543">
      <w:pPr>
        <w:pStyle w:val="Heading8"/>
      </w:pPr>
      <w:bookmarkStart w:id="58" w:name="_Toc398738958"/>
      <w:r w:rsidRPr="0060702E">
        <w:t>(a)  Plant genera and species for which members of the Union have practical experience</w:t>
      </w:r>
      <w:bookmarkEnd w:id="58"/>
    </w:p>
    <w:p w:rsidR="008F5543" w:rsidRPr="0060702E" w:rsidRDefault="008F5543" w:rsidP="008F5543">
      <w:pPr>
        <w:keepNext/>
        <w:rPr>
          <w:sz w:val="18"/>
          <w:szCs w:val="18"/>
        </w:rPr>
      </w:pPr>
      <w:r w:rsidRPr="0060702E">
        <w:rPr>
          <w:sz w:val="18"/>
          <w:szCs w:val="18"/>
        </w:rPr>
        <w:t xml:space="preserve">Practical experience in examination of DUS reported for approximately </w:t>
      </w:r>
      <w:r w:rsidRPr="0060702E">
        <w:rPr>
          <w:sz w:val="18"/>
          <w:szCs w:val="18"/>
          <w:lang w:eastAsia="ja-JP"/>
        </w:rPr>
        <w:t>2,589</w:t>
      </w:r>
      <w:r w:rsidRPr="0060702E">
        <w:rPr>
          <w:sz w:val="18"/>
          <w:szCs w:val="18"/>
        </w:rPr>
        <w:t xml:space="preserve"> genera or species in </w:t>
      </w:r>
      <w:r w:rsidRPr="0060702E">
        <w:rPr>
          <w:sz w:val="18"/>
          <w:szCs w:val="18"/>
          <w:lang w:eastAsia="ja-JP"/>
        </w:rPr>
        <w:t>2013</w:t>
      </w:r>
      <w:r w:rsidRPr="0060702E">
        <w:rPr>
          <w:sz w:val="18"/>
          <w:szCs w:val="18"/>
        </w:rPr>
        <w:t xml:space="preserve"> (</w:t>
      </w:r>
      <w:r w:rsidRPr="0060702E">
        <w:rPr>
          <w:sz w:val="18"/>
          <w:szCs w:val="18"/>
          <w:lang w:eastAsia="ja-JP"/>
        </w:rPr>
        <w:t>2,726 in 2012</w:t>
      </w:r>
      <w:r w:rsidR="00FB4E78" w:rsidRPr="0060702E">
        <w:rPr>
          <w:sz w:val="18"/>
          <w:szCs w:val="18"/>
          <w:lang w:eastAsia="ja-JP"/>
        </w:rPr>
        <w:t>; 2,679</w:t>
      </w:r>
      <w:r w:rsidRPr="0060702E">
        <w:rPr>
          <w:sz w:val="18"/>
          <w:szCs w:val="18"/>
        </w:rPr>
        <w:t xml:space="preserve"> in 2011</w:t>
      </w:r>
      <w:r w:rsidR="00FB4E78" w:rsidRPr="0060702E">
        <w:rPr>
          <w:sz w:val="18"/>
          <w:szCs w:val="18"/>
        </w:rPr>
        <w:t>; 2,254</w:t>
      </w:r>
      <w:r w:rsidRPr="0060702E">
        <w:rPr>
          <w:sz w:val="18"/>
          <w:szCs w:val="18"/>
        </w:rPr>
        <w:t xml:space="preserve"> in 2010) (see Figure 7)</w:t>
      </w:r>
    </w:p>
    <w:p w:rsidR="008F5543" w:rsidRPr="0060702E" w:rsidRDefault="008F5543">
      <w:pPr>
        <w:rPr>
          <w:sz w:val="18"/>
        </w:rPr>
      </w:pPr>
    </w:p>
    <w:p w:rsidR="008F5543" w:rsidRPr="0060702E" w:rsidRDefault="008F5543" w:rsidP="008F5543">
      <w:pPr>
        <w:pStyle w:val="Heading9"/>
        <w:spacing w:before="120" w:after="120"/>
      </w:pPr>
      <w:bookmarkStart w:id="59" w:name="_Toc398738959"/>
      <w:proofErr w:type="gramStart"/>
      <w:r w:rsidRPr="0060702E">
        <w:t>Figure 7.</w:t>
      </w:r>
      <w:proofErr w:type="gramEnd"/>
      <w:r w:rsidRPr="0060702E">
        <w:t xml:space="preserve">  Plant Genera/Species with Cooperation Agreements, Practical Experience and</w:t>
      </w:r>
      <w:r w:rsidRPr="0060702E">
        <w:br/>
        <w:t>Plant Breeders’ Rights Entries in Plant Variety Database</w:t>
      </w:r>
      <w:bookmarkEnd w:id="59"/>
    </w:p>
    <w:p w:rsidR="008F5543" w:rsidRPr="0060702E" w:rsidRDefault="008F5543" w:rsidP="00FE0FFC">
      <w:pPr>
        <w:jc w:val="center"/>
      </w:pPr>
      <w:r w:rsidRPr="0060702E">
        <w:rPr>
          <w:noProof/>
        </w:rPr>
        <w:drawing>
          <wp:inline distT="0" distB="0" distL="0" distR="0" wp14:anchorId="216E62FA" wp14:editId="22D7D6FE">
            <wp:extent cx="5029200" cy="333375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F5543" w:rsidRDefault="008F5543"/>
    <w:p w:rsidR="008409A3" w:rsidRPr="0060702E" w:rsidRDefault="008409A3"/>
    <w:p w:rsidR="008F5543" w:rsidRPr="0060702E" w:rsidRDefault="008F5543" w:rsidP="00C67712">
      <w:pPr>
        <w:pStyle w:val="Heading8"/>
        <w:jc w:val="both"/>
      </w:pPr>
      <w:bookmarkStart w:id="60" w:name="_Toc398738960"/>
      <w:r w:rsidRPr="0060702E">
        <w:t>(b)  Plant genera and species for which members of the Union cooperate in DUS exa</w:t>
      </w:r>
      <w:r w:rsidR="00C67712">
        <w:t>mination, as indicated in GENIE </w:t>
      </w:r>
      <w:r w:rsidRPr="0060702E">
        <w:t>database</w:t>
      </w:r>
      <w:bookmarkEnd w:id="60"/>
    </w:p>
    <w:p w:rsidR="008F5543" w:rsidRPr="0060702E" w:rsidRDefault="008F5543" w:rsidP="008F5543">
      <w:pPr>
        <w:pStyle w:val="Heading8"/>
        <w:rPr>
          <w:i/>
          <w:u w:val="none"/>
        </w:rPr>
      </w:pPr>
      <w:bookmarkStart w:id="61" w:name="_Toc336339236"/>
      <w:bookmarkStart w:id="62" w:name="_Toc336613838"/>
      <w:bookmarkStart w:id="63" w:name="_Toc398738961"/>
      <w:r w:rsidRPr="0060702E">
        <w:rPr>
          <w:i/>
          <w:u w:val="none"/>
        </w:rPr>
        <w:t>-  General cooperation</w:t>
      </w:r>
      <w:bookmarkEnd w:id="61"/>
      <w:bookmarkEnd w:id="62"/>
      <w:bookmarkEnd w:id="63"/>
      <w:r w:rsidRPr="0060702E">
        <w:rPr>
          <w:i/>
          <w:u w:val="none"/>
        </w:rPr>
        <w:t xml:space="preserve"> </w:t>
      </w:r>
    </w:p>
    <w:p w:rsidR="008F5543" w:rsidRPr="0060702E" w:rsidRDefault="008F5543" w:rsidP="008F5543">
      <w:pPr>
        <w:keepNext/>
        <w:jc w:val="left"/>
        <w:rPr>
          <w:color w:val="000000"/>
          <w:sz w:val="18"/>
          <w:szCs w:val="18"/>
        </w:rPr>
      </w:pPr>
      <w:r w:rsidRPr="0060702E">
        <w:rPr>
          <w:color w:val="000000"/>
          <w:sz w:val="18"/>
          <w:szCs w:val="18"/>
        </w:rPr>
        <w:t>Number of authorities which would provide existing DUS reports to any member of the Union:</w:t>
      </w:r>
    </w:p>
    <w:p w:rsidR="008F5543" w:rsidRPr="0060702E" w:rsidRDefault="008F5543" w:rsidP="008F5543">
      <w:pPr>
        <w:keepNext/>
        <w:ind w:left="317"/>
        <w:jc w:val="left"/>
        <w:rPr>
          <w:color w:val="000000"/>
          <w:sz w:val="18"/>
          <w:szCs w:val="18"/>
        </w:rPr>
      </w:pPr>
      <w:r w:rsidRPr="0060702E">
        <w:rPr>
          <w:color w:val="000000"/>
          <w:sz w:val="18"/>
          <w:szCs w:val="18"/>
        </w:rPr>
        <w:t>2 in 2013 (1 in 2011)</w:t>
      </w:r>
    </w:p>
    <w:p w:rsidR="008F5543" w:rsidRPr="0060702E" w:rsidRDefault="008F5543" w:rsidP="008F5543">
      <w:pPr>
        <w:keepNext/>
        <w:ind w:left="176" w:hanging="176"/>
        <w:jc w:val="left"/>
        <w:rPr>
          <w:color w:val="000000"/>
          <w:sz w:val="18"/>
          <w:szCs w:val="18"/>
        </w:rPr>
      </w:pPr>
    </w:p>
    <w:p w:rsidR="008F5543" w:rsidRPr="0060702E" w:rsidRDefault="008F5543" w:rsidP="008F5543">
      <w:pPr>
        <w:keepNext/>
        <w:jc w:val="left"/>
        <w:rPr>
          <w:color w:val="000000"/>
          <w:sz w:val="18"/>
          <w:szCs w:val="18"/>
        </w:rPr>
      </w:pPr>
      <w:r w:rsidRPr="0060702E">
        <w:rPr>
          <w:color w:val="000000"/>
          <w:sz w:val="18"/>
          <w:szCs w:val="18"/>
        </w:rPr>
        <w:t xml:space="preserve">Number of authorities which would, for any species for which they have experience in DUS examination, provide existing DUS reports to any member of the Union:  </w:t>
      </w:r>
    </w:p>
    <w:p w:rsidR="008F5543" w:rsidRPr="0060702E" w:rsidRDefault="008F5543" w:rsidP="008F5543">
      <w:pPr>
        <w:keepNext/>
        <w:ind w:left="317"/>
        <w:jc w:val="left"/>
        <w:rPr>
          <w:color w:val="000000"/>
          <w:sz w:val="18"/>
          <w:szCs w:val="18"/>
        </w:rPr>
      </w:pPr>
      <w:r w:rsidRPr="0060702E">
        <w:rPr>
          <w:color w:val="000000"/>
          <w:sz w:val="18"/>
          <w:szCs w:val="18"/>
        </w:rPr>
        <w:t>6 in 2013 (5 in 2011)</w:t>
      </w:r>
    </w:p>
    <w:p w:rsidR="008F5543" w:rsidRPr="0060702E" w:rsidRDefault="008F5543" w:rsidP="008F5543">
      <w:pPr>
        <w:keepNext/>
        <w:jc w:val="left"/>
        <w:rPr>
          <w:color w:val="000000"/>
          <w:sz w:val="18"/>
          <w:szCs w:val="18"/>
        </w:rPr>
      </w:pPr>
    </w:p>
    <w:p w:rsidR="008F5543" w:rsidRPr="0060702E" w:rsidRDefault="008F5543" w:rsidP="008F5543">
      <w:pPr>
        <w:keepNext/>
        <w:jc w:val="left"/>
        <w:rPr>
          <w:color w:val="000000"/>
          <w:sz w:val="18"/>
          <w:szCs w:val="18"/>
        </w:rPr>
      </w:pPr>
      <w:r w:rsidRPr="0060702E">
        <w:rPr>
          <w:color w:val="000000"/>
          <w:sz w:val="18"/>
          <w:szCs w:val="18"/>
        </w:rPr>
        <w:t xml:space="preserve">Number of authorities which would accept DUS reports from any other member of the Union: </w:t>
      </w:r>
    </w:p>
    <w:p w:rsidR="008F5543" w:rsidRPr="0060702E" w:rsidRDefault="008F5543" w:rsidP="008F5543">
      <w:pPr>
        <w:keepNext/>
        <w:ind w:left="317"/>
        <w:jc w:val="left"/>
        <w:rPr>
          <w:color w:val="000000"/>
          <w:sz w:val="18"/>
          <w:szCs w:val="18"/>
        </w:rPr>
      </w:pPr>
      <w:r w:rsidRPr="0060702E">
        <w:rPr>
          <w:color w:val="000000"/>
          <w:sz w:val="18"/>
          <w:szCs w:val="18"/>
        </w:rPr>
        <w:t>1 in 2013 (1 in 2011)</w:t>
      </w:r>
    </w:p>
    <w:p w:rsidR="008F5543" w:rsidRPr="0060702E" w:rsidRDefault="008F5543" w:rsidP="008F5543">
      <w:pPr>
        <w:keepNext/>
        <w:jc w:val="left"/>
        <w:rPr>
          <w:color w:val="000000"/>
          <w:sz w:val="18"/>
          <w:szCs w:val="18"/>
        </w:rPr>
      </w:pPr>
    </w:p>
    <w:p w:rsidR="008F5543" w:rsidRPr="0060702E" w:rsidRDefault="008F5543" w:rsidP="008F5543">
      <w:pPr>
        <w:keepNext/>
        <w:jc w:val="left"/>
        <w:rPr>
          <w:color w:val="000000"/>
          <w:sz w:val="18"/>
          <w:szCs w:val="18"/>
        </w:rPr>
      </w:pPr>
      <w:r w:rsidRPr="0060702E">
        <w:rPr>
          <w:color w:val="000000"/>
          <w:sz w:val="18"/>
          <w:szCs w:val="18"/>
        </w:rPr>
        <w:t>Number of authorities which would accept DUS reports from any other member of the Union under certain circumstances:</w:t>
      </w:r>
    </w:p>
    <w:p w:rsidR="008F5543" w:rsidRPr="0060702E" w:rsidRDefault="008F5543" w:rsidP="008F5543">
      <w:pPr>
        <w:keepNext/>
        <w:ind w:left="317"/>
        <w:jc w:val="left"/>
        <w:rPr>
          <w:color w:val="000000"/>
          <w:sz w:val="18"/>
          <w:szCs w:val="18"/>
        </w:rPr>
      </w:pPr>
      <w:r w:rsidRPr="0060702E">
        <w:rPr>
          <w:color w:val="000000"/>
          <w:sz w:val="18"/>
          <w:szCs w:val="18"/>
        </w:rPr>
        <w:t>2 in 2013 (2 in 2011)</w:t>
      </w:r>
    </w:p>
    <w:p w:rsidR="008F5543" w:rsidRPr="0060702E" w:rsidRDefault="008F5543" w:rsidP="008F5543">
      <w:pPr>
        <w:keepNext/>
        <w:jc w:val="left"/>
        <w:rPr>
          <w:color w:val="000000"/>
          <w:sz w:val="18"/>
          <w:szCs w:val="18"/>
        </w:rPr>
      </w:pPr>
    </w:p>
    <w:p w:rsidR="008F5543" w:rsidRPr="0060702E" w:rsidRDefault="008F5543" w:rsidP="008F5543">
      <w:pPr>
        <w:pStyle w:val="Heading8"/>
        <w:rPr>
          <w:i/>
          <w:u w:val="none"/>
        </w:rPr>
      </w:pPr>
      <w:bookmarkStart w:id="64" w:name="_Toc336339237"/>
      <w:bookmarkStart w:id="65" w:name="_Toc336613839"/>
      <w:bookmarkStart w:id="66" w:name="_Toc398738962"/>
      <w:r w:rsidRPr="0060702E">
        <w:rPr>
          <w:i/>
          <w:u w:val="none"/>
        </w:rPr>
        <w:t>-  Number of specific bilateral and regional arrangements on plant variety protection</w:t>
      </w:r>
      <w:bookmarkEnd w:id="64"/>
      <w:bookmarkEnd w:id="65"/>
      <w:bookmarkEnd w:id="66"/>
    </w:p>
    <w:p w:rsidR="008F5543" w:rsidRPr="0060702E" w:rsidRDefault="008F5543" w:rsidP="008F5543">
      <w:pPr>
        <w:rPr>
          <w:sz w:val="18"/>
        </w:rPr>
      </w:pPr>
      <w:r w:rsidRPr="0060702E">
        <w:rPr>
          <w:sz w:val="18"/>
        </w:rPr>
        <w:t xml:space="preserve">Agreement for cooperation in variety testing extended to approximately 1,997 genera or species (1,991 in 2012;  </w:t>
      </w:r>
      <w:r w:rsidR="00C67712">
        <w:rPr>
          <w:sz w:val="18"/>
        </w:rPr>
        <w:br/>
      </w:r>
      <w:r w:rsidRPr="0060702E">
        <w:rPr>
          <w:sz w:val="18"/>
        </w:rPr>
        <w:t>1,990 in 2011;  1,417 in 2010) – excluding general cooperation (see Figure 7 and document C/48/5)</w:t>
      </w:r>
    </w:p>
    <w:p w:rsidR="008F5543" w:rsidRDefault="008F5543" w:rsidP="008F5543"/>
    <w:p w:rsidR="008409A3" w:rsidRPr="0060702E" w:rsidRDefault="008409A3" w:rsidP="008F5543"/>
    <w:p w:rsidR="008409A3" w:rsidRDefault="008409A3">
      <w:pPr>
        <w:jc w:val="left"/>
        <w:rPr>
          <w:iCs/>
          <w:sz w:val="18"/>
          <w:szCs w:val="18"/>
          <w:u w:val="single"/>
        </w:rPr>
      </w:pPr>
      <w:r>
        <w:rPr>
          <w:szCs w:val="18"/>
        </w:rPr>
        <w:br w:type="page"/>
      </w:r>
    </w:p>
    <w:p w:rsidR="008F5543" w:rsidRPr="0060702E" w:rsidRDefault="008F5543" w:rsidP="008F5543">
      <w:pPr>
        <w:pStyle w:val="Heading8"/>
        <w:keepNext/>
        <w:rPr>
          <w:szCs w:val="18"/>
        </w:rPr>
      </w:pPr>
      <w:bookmarkStart w:id="67" w:name="_Toc398738963"/>
      <w:r w:rsidRPr="0060702E">
        <w:rPr>
          <w:szCs w:val="18"/>
        </w:rPr>
        <w:t>(c)  Participation in the development of Test Guidelines</w:t>
      </w:r>
      <w:bookmarkEnd w:id="67"/>
    </w:p>
    <w:p w:rsidR="008F5543" w:rsidRPr="0060702E" w:rsidRDefault="008F5543" w:rsidP="008F5543">
      <w:pPr>
        <w:keepNext/>
        <w:rPr>
          <w:sz w:val="18"/>
        </w:rPr>
      </w:pPr>
      <w:r w:rsidRPr="0060702E">
        <w:rPr>
          <w:sz w:val="18"/>
        </w:rPr>
        <w:t>An overview of participation in the development of Test Guidelines by TWPs and by region of the leading expert is provided in Figures 8 to 11</w:t>
      </w:r>
    </w:p>
    <w:p w:rsidR="008F5543" w:rsidRDefault="008F5543" w:rsidP="008F5543"/>
    <w:p w:rsidR="008409A3" w:rsidRPr="0060702E" w:rsidRDefault="008409A3" w:rsidP="008F5543"/>
    <w:tbl>
      <w:tblPr>
        <w:tblW w:w="9889" w:type="dxa"/>
        <w:tblLayout w:type="fixed"/>
        <w:tblLook w:val="0000" w:firstRow="0" w:lastRow="0" w:firstColumn="0" w:lastColumn="0" w:noHBand="0" w:noVBand="0"/>
      </w:tblPr>
      <w:tblGrid>
        <w:gridCol w:w="5058"/>
        <w:gridCol w:w="4831"/>
      </w:tblGrid>
      <w:tr w:rsidR="00766B45" w:rsidRPr="0060702E" w:rsidTr="008F5543">
        <w:trPr>
          <w:trHeight w:val="5295"/>
        </w:trPr>
        <w:tc>
          <w:tcPr>
            <w:tcW w:w="5058" w:type="dxa"/>
          </w:tcPr>
          <w:p w:rsidR="00766B45" w:rsidRPr="0060702E" w:rsidRDefault="00766B45" w:rsidP="008813C7">
            <w:pPr>
              <w:pStyle w:val="Heading9"/>
            </w:pPr>
            <w:bookmarkStart w:id="68" w:name="_Toc398738964"/>
            <w:proofErr w:type="gramStart"/>
            <w:r w:rsidRPr="0060702E">
              <w:t>Figure 8</w:t>
            </w:r>
            <w:r w:rsidR="003B16E7" w:rsidRPr="0060702E">
              <w:t>.</w:t>
            </w:r>
            <w:proofErr w:type="gramEnd"/>
            <w:r w:rsidRPr="0060702E">
              <w:t xml:space="preserve"> </w:t>
            </w:r>
            <w:r w:rsidR="003B16E7" w:rsidRPr="0060702E">
              <w:t xml:space="preserve"> </w:t>
            </w:r>
            <w:r w:rsidRPr="0060702E">
              <w:t>Total number of Test Guidelines</w:t>
            </w:r>
            <w:r w:rsidRPr="0060702E">
              <w:br/>
              <w:t>adopted</w:t>
            </w:r>
            <w:r w:rsidR="008813C7" w:rsidRPr="0060702E">
              <w:br/>
            </w:r>
            <w:r w:rsidR="008813C7" w:rsidRPr="0060702E">
              <w:rPr>
                <w:b w:val="0"/>
              </w:rPr>
              <w:t xml:space="preserve"> </w:t>
            </w:r>
            <w:r w:rsidRPr="0060702E">
              <w:rPr>
                <w:b w:val="0"/>
              </w:rPr>
              <w:t>(by Technical Working Party)</w:t>
            </w:r>
            <w:bookmarkEnd w:id="68"/>
          </w:p>
          <w:p w:rsidR="00766B45" w:rsidRPr="0060702E" w:rsidRDefault="00766B45" w:rsidP="00766B45">
            <w:r w:rsidRPr="0060702E">
              <w:rPr>
                <w:noProof/>
              </w:rPr>
              <w:drawing>
                <wp:inline distT="0" distB="0" distL="0" distR="0" wp14:anchorId="4D5F9904" wp14:editId="677DFC44">
                  <wp:extent cx="3019425" cy="2390775"/>
                  <wp:effectExtent l="0" t="0" r="0" b="0"/>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831" w:type="dxa"/>
          </w:tcPr>
          <w:p w:rsidR="008813C7" w:rsidRPr="0060702E" w:rsidRDefault="00766B45" w:rsidP="00766B45">
            <w:pPr>
              <w:jc w:val="center"/>
            </w:pPr>
            <w:bookmarkStart w:id="69" w:name="_Toc398738965"/>
            <w:r w:rsidRPr="0060702E">
              <w:rPr>
                <w:rStyle w:val="Heading9Char"/>
              </w:rPr>
              <w:t>Figure 9</w:t>
            </w:r>
            <w:r w:rsidR="003B16E7" w:rsidRPr="0060702E">
              <w:rPr>
                <w:rStyle w:val="Heading9Char"/>
              </w:rPr>
              <w:t>.</w:t>
            </w:r>
            <w:r w:rsidRPr="0060702E">
              <w:rPr>
                <w:rStyle w:val="Heading9Char"/>
              </w:rPr>
              <w:t xml:space="preserve"> </w:t>
            </w:r>
            <w:r w:rsidR="003B16E7" w:rsidRPr="0060702E">
              <w:rPr>
                <w:rStyle w:val="Heading9Char"/>
              </w:rPr>
              <w:t xml:space="preserve"> </w:t>
            </w:r>
            <w:r w:rsidRPr="0060702E">
              <w:rPr>
                <w:rStyle w:val="Heading9Char"/>
              </w:rPr>
              <w:t>Total number of Test Guidelines</w:t>
            </w:r>
            <w:r w:rsidRPr="0060702E">
              <w:rPr>
                <w:rStyle w:val="Heading9Char"/>
              </w:rPr>
              <w:br/>
              <w:t>under development</w:t>
            </w:r>
            <w:bookmarkEnd w:id="69"/>
            <w:r w:rsidRPr="0060702E">
              <w:t xml:space="preserve"> </w:t>
            </w:r>
          </w:p>
          <w:p w:rsidR="00766B45" w:rsidRPr="0060702E" w:rsidRDefault="00766B45" w:rsidP="00766B45">
            <w:pPr>
              <w:jc w:val="center"/>
              <w:rPr>
                <w:sz w:val="18"/>
              </w:rPr>
            </w:pPr>
            <w:r w:rsidRPr="0060702E">
              <w:rPr>
                <w:sz w:val="18"/>
              </w:rPr>
              <w:t>(by Technical Working Party)</w:t>
            </w:r>
          </w:p>
          <w:p w:rsidR="00AF45D5" w:rsidRPr="0060702E" w:rsidRDefault="00AF45D5" w:rsidP="00766B45">
            <w:pPr>
              <w:jc w:val="center"/>
            </w:pPr>
          </w:p>
          <w:p w:rsidR="00766B45" w:rsidRPr="0060702E" w:rsidRDefault="00766B45" w:rsidP="008474B1">
            <w:r w:rsidRPr="0060702E">
              <w:rPr>
                <w:noProof/>
              </w:rPr>
              <w:drawing>
                <wp:inline distT="0" distB="0" distL="0" distR="0" wp14:anchorId="67439BB6" wp14:editId="27B97B3F">
                  <wp:extent cx="3067050" cy="2466975"/>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813C7" w:rsidRPr="0060702E" w:rsidRDefault="008813C7" w:rsidP="008474B1"/>
        </w:tc>
      </w:tr>
      <w:tr w:rsidR="008813C7" w:rsidRPr="0060702E" w:rsidTr="00FD7720">
        <w:tc>
          <w:tcPr>
            <w:tcW w:w="5058" w:type="dxa"/>
          </w:tcPr>
          <w:p w:rsidR="008813C7" w:rsidRPr="0060702E" w:rsidRDefault="008813C7" w:rsidP="008474B1">
            <w:pPr>
              <w:pStyle w:val="Heading9"/>
            </w:pPr>
            <w:bookmarkStart w:id="70" w:name="_Toc398738966"/>
            <w:proofErr w:type="gramStart"/>
            <w:r w:rsidRPr="0060702E">
              <w:t>Figure 10</w:t>
            </w:r>
            <w:r w:rsidR="003B16E7" w:rsidRPr="0060702E">
              <w:t>.</w:t>
            </w:r>
            <w:proofErr w:type="gramEnd"/>
            <w:r w:rsidRPr="0060702E">
              <w:t xml:space="preserve"> </w:t>
            </w:r>
            <w:r w:rsidR="003B16E7" w:rsidRPr="0060702E">
              <w:t xml:space="preserve"> </w:t>
            </w:r>
            <w:r w:rsidRPr="0060702E">
              <w:t>Total number of Test Guidelines</w:t>
            </w:r>
            <w:r w:rsidRPr="0060702E">
              <w:br/>
            </w:r>
            <w:proofErr w:type="gramStart"/>
            <w:r w:rsidRPr="0060702E">
              <w:t>adopted</w:t>
            </w:r>
            <w:proofErr w:type="gramEnd"/>
            <w:r w:rsidRPr="0060702E">
              <w:br/>
            </w:r>
            <w:r w:rsidRPr="0060702E">
              <w:rPr>
                <w:b w:val="0"/>
              </w:rPr>
              <w:t>(by region of the leading expert)</w:t>
            </w:r>
            <w:bookmarkEnd w:id="70"/>
          </w:p>
          <w:p w:rsidR="008813C7" w:rsidRPr="0060702E" w:rsidRDefault="008813C7" w:rsidP="008813C7">
            <w:r w:rsidRPr="0060702E">
              <w:rPr>
                <w:noProof/>
              </w:rPr>
              <w:drawing>
                <wp:inline distT="0" distB="0" distL="0" distR="0" wp14:anchorId="11B9E978" wp14:editId="243E624F">
                  <wp:extent cx="3076575" cy="2428875"/>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831" w:type="dxa"/>
          </w:tcPr>
          <w:p w:rsidR="008813C7" w:rsidRPr="0060702E" w:rsidRDefault="008813C7" w:rsidP="00766B45">
            <w:pPr>
              <w:jc w:val="center"/>
              <w:rPr>
                <w:sz w:val="18"/>
              </w:rPr>
            </w:pPr>
            <w:bookmarkStart w:id="71" w:name="_Toc398738967"/>
            <w:r w:rsidRPr="0060702E">
              <w:rPr>
                <w:rStyle w:val="Heading9Char"/>
              </w:rPr>
              <w:t>Figure 11</w:t>
            </w:r>
            <w:r w:rsidR="003B16E7" w:rsidRPr="0060702E">
              <w:rPr>
                <w:rStyle w:val="Heading9Char"/>
              </w:rPr>
              <w:t xml:space="preserve">. </w:t>
            </w:r>
            <w:r w:rsidRPr="0060702E">
              <w:rPr>
                <w:rStyle w:val="Heading9Char"/>
              </w:rPr>
              <w:t xml:space="preserve"> Total number of Test Guidelines</w:t>
            </w:r>
            <w:r w:rsidRPr="0060702E">
              <w:rPr>
                <w:rStyle w:val="Heading9Char"/>
              </w:rPr>
              <w:br/>
              <w:t>under development</w:t>
            </w:r>
            <w:bookmarkEnd w:id="71"/>
            <w:r w:rsidRPr="0060702E">
              <w:br/>
            </w:r>
            <w:r w:rsidRPr="0060702E">
              <w:rPr>
                <w:sz w:val="18"/>
              </w:rPr>
              <w:t>(by region of the leading expert)</w:t>
            </w:r>
          </w:p>
          <w:p w:rsidR="00AF45D5" w:rsidRPr="0060702E" w:rsidRDefault="00AF45D5" w:rsidP="00766B45">
            <w:pPr>
              <w:jc w:val="center"/>
              <w:rPr>
                <w:b/>
              </w:rPr>
            </w:pPr>
          </w:p>
          <w:p w:rsidR="008813C7" w:rsidRPr="0060702E" w:rsidRDefault="008813C7" w:rsidP="00766B45">
            <w:pPr>
              <w:jc w:val="center"/>
            </w:pPr>
            <w:r w:rsidRPr="0060702E">
              <w:rPr>
                <w:noProof/>
              </w:rPr>
              <w:drawing>
                <wp:inline distT="0" distB="0" distL="0" distR="0" wp14:anchorId="084E2FA5" wp14:editId="3A86703C">
                  <wp:extent cx="2981325" cy="241935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rsidR="00BB3FB8" w:rsidRPr="0060702E" w:rsidRDefault="00BB3FB8"/>
    <w:p w:rsidR="008F5543" w:rsidRPr="0060702E" w:rsidRDefault="008F5543" w:rsidP="003B16E7">
      <w:pPr>
        <w:keepNext/>
        <w:keepLines/>
        <w:rPr>
          <w:sz w:val="18"/>
          <w:szCs w:val="18"/>
        </w:rPr>
      </w:pPr>
      <w:r w:rsidRPr="0060702E">
        <w:rPr>
          <w:sz w:val="18"/>
          <w:szCs w:val="18"/>
        </w:rPr>
        <w:t xml:space="preserve">Total of 20 members of the Union involved in drafting Test Guidelines (AR, AU, BR, CA, CN, CO, DE, ES, FR, GB, IL, JP, KE, KR, MX, NL, NZ, PL, QZ, </w:t>
      </w:r>
      <w:proofErr w:type="gramStart"/>
      <w:r w:rsidRPr="0060702E">
        <w:rPr>
          <w:sz w:val="18"/>
          <w:szCs w:val="18"/>
        </w:rPr>
        <w:t>ZA</w:t>
      </w:r>
      <w:proofErr w:type="gramEnd"/>
      <w:r w:rsidRPr="0060702E">
        <w:rPr>
          <w:sz w:val="18"/>
          <w:szCs w:val="18"/>
        </w:rPr>
        <w:t>).</w:t>
      </w:r>
    </w:p>
    <w:p w:rsidR="008F5543" w:rsidRPr="0060702E" w:rsidRDefault="008F5543" w:rsidP="003B16E7">
      <w:pPr>
        <w:keepNext/>
        <w:keepLines/>
        <w:jc w:val="left"/>
        <w:rPr>
          <w:sz w:val="18"/>
          <w:szCs w:val="18"/>
        </w:rPr>
      </w:pPr>
      <w:r w:rsidRPr="0060702E">
        <w:rPr>
          <w:sz w:val="18"/>
          <w:szCs w:val="18"/>
        </w:rPr>
        <w:t>(</w:t>
      </w:r>
      <w:proofErr w:type="gramStart"/>
      <w:r w:rsidRPr="0060702E">
        <w:rPr>
          <w:sz w:val="18"/>
          <w:szCs w:val="18"/>
        </w:rPr>
        <w:t>see</w:t>
      </w:r>
      <w:proofErr w:type="gramEnd"/>
      <w:r w:rsidRPr="0060702E">
        <w:rPr>
          <w:sz w:val="18"/>
          <w:szCs w:val="18"/>
        </w:rPr>
        <w:t xml:space="preserve"> Figure 12)</w:t>
      </w:r>
    </w:p>
    <w:p w:rsidR="008F5543" w:rsidRPr="0060702E" w:rsidRDefault="008F5543" w:rsidP="003B16E7">
      <w:pPr>
        <w:keepNext/>
        <w:keepLines/>
        <w:jc w:val="left"/>
        <w:rPr>
          <w:sz w:val="18"/>
          <w:szCs w:val="18"/>
        </w:rPr>
      </w:pPr>
    </w:p>
    <w:p w:rsidR="008F5543" w:rsidRPr="0060702E" w:rsidRDefault="008F5543" w:rsidP="003B16E7">
      <w:pPr>
        <w:pStyle w:val="Heading9"/>
        <w:keepLines/>
        <w:widowControl w:val="0"/>
        <w:spacing w:before="120" w:after="120"/>
      </w:pPr>
      <w:bookmarkStart w:id="72" w:name="_Toc398738968"/>
      <w:proofErr w:type="gramStart"/>
      <w:r w:rsidRPr="0060702E">
        <w:t>Figure</w:t>
      </w:r>
      <w:r w:rsidR="00327138" w:rsidRPr="0060702E">
        <w:t xml:space="preserve"> </w:t>
      </w:r>
      <w:r w:rsidRPr="0060702E">
        <w:t>12.</w:t>
      </w:r>
      <w:proofErr w:type="gramEnd"/>
      <w:r w:rsidRPr="0060702E">
        <w:t xml:space="preserve">  Number of members of the Union involved in drafting Test Guidelines</w:t>
      </w:r>
      <w:bookmarkEnd w:id="72"/>
    </w:p>
    <w:p w:rsidR="008F5543" w:rsidRPr="0060702E" w:rsidRDefault="008F5543" w:rsidP="003B16E7">
      <w:pPr>
        <w:keepNext/>
      </w:pPr>
    </w:p>
    <w:p w:rsidR="008F5543" w:rsidRPr="0060702E" w:rsidRDefault="00C203B3" w:rsidP="003B16E7">
      <w:pPr>
        <w:keepNext/>
        <w:jc w:val="center"/>
      </w:pPr>
      <w:r w:rsidRPr="0060702E">
        <w:rPr>
          <w:noProof/>
        </w:rPr>
        <w:drawing>
          <wp:inline distT="0" distB="0" distL="0" distR="0" wp14:anchorId="528C767A" wp14:editId="71AA0780">
            <wp:extent cx="4621408" cy="2853075"/>
            <wp:effectExtent l="0" t="0" r="8255" b="444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F5543" w:rsidRDefault="008F5543"/>
    <w:p w:rsidR="000F4F1E" w:rsidRPr="0060702E" w:rsidRDefault="000F4F1E"/>
    <w:p w:rsidR="008F5543" w:rsidRPr="0060702E" w:rsidRDefault="008F5543" w:rsidP="008F5543">
      <w:pPr>
        <w:pStyle w:val="Heading8"/>
      </w:pPr>
      <w:bookmarkStart w:id="73" w:name="_Toc398738969"/>
      <w:r w:rsidRPr="0060702E">
        <w:t>(d)  Quality and completeness of data in the Plant Variety Database and quality of search facility; and facilities for access to other relevant data</w:t>
      </w:r>
      <w:bookmarkEnd w:id="73"/>
    </w:p>
    <w:p w:rsidR="008F5543" w:rsidRPr="0060702E" w:rsidRDefault="008F5543" w:rsidP="008F5543">
      <w:pPr>
        <w:tabs>
          <w:tab w:val="left" w:pos="210"/>
          <w:tab w:val="left" w:pos="2302"/>
        </w:tabs>
        <w:spacing w:after="120"/>
        <w:ind w:left="459" w:hanging="459"/>
        <w:jc w:val="left"/>
        <w:rPr>
          <w:sz w:val="18"/>
          <w:szCs w:val="18"/>
        </w:rPr>
      </w:pPr>
      <w:r w:rsidRPr="0060702E">
        <w:rPr>
          <w:sz w:val="18"/>
          <w:szCs w:val="18"/>
        </w:rPr>
        <w:t xml:space="preserve">- </w:t>
      </w:r>
      <w:r w:rsidRPr="0060702E">
        <w:rPr>
          <w:sz w:val="18"/>
          <w:szCs w:val="18"/>
        </w:rPr>
        <w:tab/>
        <w:t xml:space="preserve">Total number of records included in the PLUTO database </w:t>
      </w:r>
      <w:r w:rsidRPr="0060702E">
        <w:rPr>
          <w:sz w:val="18"/>
          <w:szCs w:val="18"/>
          <w:lang w:eastAsia="ja-JP"/>
        </w:rPr>
        <w:t>at the end of 2013</w:t>
      </w:r>
      <w:r w:rsidRPr="0060702E">
        <w:rPr>
          <w:sz w:val="18"/>
          <w:szCs w:val="18"/>
        </w:rPr>
        <w:t>:</w:t>
      </w:r>
      <w:r w:rsidRPr="0060702E">
        <w:rPr>
          <w:sz w:val="18"/>
          <w:szCs w:val="18"/>
        </w:rPr>
        <w:br/>
      </w:r>
      <w:r w:rsidRPr="0060702E">
        <w:rPr>
          <w:sz w:val="18"/>
          <w:szCs w:val="18"/>
          <w:lang w:eastAsia="ja-JP"/>
        </w:rPr>
        <w:t>645,068</w:t>
      </w:r>
      <w:r w:rsidRPr="0060702E">
        <w:rPr>
          <w:sz w:val="18"/>
          <w:szCs w:val="18"/>
        </w:rPr>
        <w:t xml:space="preserve">   (</w:t>
      </w:r>
      <w:r w:rsidRPr="0060702E">
        <w:rPr>
          <w:sz w:val="18"/>
          <w:szCs w:val="18"/>
          <w:lang w:eastAsia="ja-JP"/>
        </w:rPr>
        <w:t>620,517 at the end of 2012</w:t>
      </w:r>
      <w:proofErr w:type="gramStart"/>
      <w:r w:rsidRPr="0060702E">
        <w:rPr>
          <w:sz w:val="18"/>
          <w:szCs w:val="18"/>
          <w:lang w:eastAsia="ja-JP"/>
        </w:rPr>
        <w:t xml:space="preserve">;  </w:t>
      </w:r>
      <w:r w:rsidRPr="0060702E">
        <w:rPr>
          <w:sz w:val="18"/>
          <w:szCs w:val="18"/>
        </w:rPr>
        <w:t>575,378</w:t>
      </w:r>
      <w:proofErr w:type="gramEnd"/>
      <w:r w:rsidRPr="0060702E">
        <w:rPr>
          <w:sz w:val="18"/>
          <w:szCs w:val="18"/>
        </w:rPr>
        <w:t xml:space="preserve"> at the end of 2011)</w:t>
      </w:r>
    </w:p>
    <w:p w:rsidR="008F5543" w:rsidRPr="0060702E" w:rsidRDefault="008F5543" w:rsidP="008F5543">
      <w:pPr>
        <w:tabs>
          <w:tab w:val="left" w:pos="210"/>
        </w:tabs>
        <w:ind w:left="176" w:hanging="176"/>
        <w:jc w:val="left"/>
        <w:rPr>
          <w:sz w:val="18"/>
          <w:szCs w:val="18"/>
        </w:rPr>
      </w:pPr>
      <w:r w:rsidRPr="0060702E">
        <w:rPr>
          <w:sz w:val="18"/>
          <w:szCs w:val="18"/>
        </w:rPr>
        <w:t xml:space="preserve">- </w:t>
      </w:r>
      <w:r w:rsidRPr="0060702E">
        <w:rPr>
          <w:sz w:val="18"/>
          <w:szCs w:val="18"/>
        </w:rPr>
        <w:tab/>
        <w:t xml:space="preserve">Number of submissions of new data in 2012 and 2013 (each contributor was invited to make six submissions in 2013):  </w:t>
      </w:r>
    </w:p>
    <w:p w:rsidR="008F5543" w:rsidRPr="0060702E" w:rsidRDefault="008F5543" w:rsidP="008F5543">
      <w:pPr>
        <w:tabs>
          <w:tab w:val="left" w:pos="210"/>
        </w:tabs>
        <w:spacing w:after="120"/>
        <w:ind w:left="459"/>
        <w:jc w:val="left"/>
        <w:rPr>
          <w:sz w:val="18"/>
          <w:szCs w:val="18"/>
        </w:rPr>
      </w:pPr>
      <w:r w:rsidRPr="0060702E">
        <w:rPr>
          <w:sz w:val="18"/>
          <w:szCs w:val="18"/>
        </w:rPr>
        <w:t>16</w:t>
      </w:r>
      <w:r w:rsidRPr="0060702E">
        <w:rPr>
          <w:sz w:val="18"/>
          <w:szCs w:val="18"/>
          <w:lang w:eastAsia="ja-JP"/>
        </w:rPr>
        <w:t>3</w:t>
      </w:r>
      <w:r w:rsidRPr="0060702E">
        <w:rPr>
          <w:sz w:val="18"/>
          <w:szCs w:val="18"/>
        </w:rPr>
        <w:t xml:space="preserve"> in 2013; 167 in 2012   (164 in 2011; 161 in 2010)</w:t>
      </w:r>
    </w:p>
    <w:p w:rsidR="008F5543" w:rsidRPr="0060702E" w:rsidRDefault="008F5543" w:rsidP="008F5543">
      <w:pPr>
        <w:tabs>
          <w:tab w:val="left" w:pos="210"/>
        </w:tabs>
        <w:spacing w:after="120"/>
        <w:ind w:left="459" w:hanging="459"/>
        <w:jc w:val="left"/>
        <w:rPr>
          <w:sz w:val="18"/>
          <w:szCs w:val="18"/>
        </w:rPr>
      </w:pPr>
      <w:r w:rsidRPr="0060702E">
        <w:rPr>
          <w:sz w:val="18"/>
          <w:szCs w:val="18"/>
        </w:rPr>
        <w:t xml:space="preserve">- </w:t>
      </w:r>
      <w:r w:rsidRPr="0060702E">
        <w:rPr>
          <w:sz w:val="18"/>
          <w:szCs w:val="18"/>
        </w:rPr>
        <w:tab/>
        <w:t>Number of contributors included in the PLUTO database at the end of 2012 and 201</w:t>
      </w:r>
      <w:r w:rsidRPr="0060702E">
        <w:rPr>
          <w:sz w:val="18"/>
          <w:szCs w:val="18"/>
          <w:lang w:eastAsia="ja-JP"/>
        </w:rPr>
        <w:t>3</w:t>
      </w:r>
      <w:r w:rsidRPr="0060702E">
        <w:rPr>
          <w:sz w:val="18"/>
          <w:szCs w:val="18"/>
        </w:rPr>
        <w:t>:</w:t>
      </w:r>
      <w:r w:rsidRPr="0060702E">
        <w:rPr>
          <w:sz w:val="18"/>
          <w:szCs w:val="18"/>
        </w:rPr>
        <w:br/>
        <w:t>5</w:t>
      </w:r>
      <w:r w:rsidRPr="0060702E">
        <w:rPr>
          <w:sz w:val="18"/>
          <w:szCs w:val="18"/>
          <w:lang w:eastAsia="ja-JP"/>
        </w:rPr>
        <w:t>6 in 2013</w:t>
      </w:r>
      <w:proofErr w:type="gramStart"/>
      <w:r w:rsidRPr="0060702E">
        <w:rPr>
          <w:sz w:val="18"/>
          <w:szCs w:val="18"/>
          <w:lang w:eastAsia="ja-JP"/>
        </w:rPr>
        <w:t>;  52</w:t>
      </w:r>
      <w:proofErr w:type="gramEnd"/>
      <w:r w:rsidRPr="0060702E">
        <w:rPr>
          <w:sz w:val="18"/>
          <w:szCs w:val="18"/>
          <w:lang w:eastAsia="ja-JP"/>
        </w:rPr>
        <w:t xml:space="preserve"> in 2012</w:t>
      </w:r>
      <w:r w:rsidRPr="0060702E">
        <w:rPr>
          <w:sz w:val="18"/>
          <w:szCs w:val="18"/>
        </w:rPr>
        <w:t xml:space="preserve">   (48 in 2011;  41 in 2010)</w:t>
      </w:r>
    </w:p>
    <w:p w:rsidR="008F5543" w:rsidRPr="0060702E" w:rsidRDefault="008F5543" w:rsidP="008F5543">
      <w:pPr>
        <w:tabs>
          <w:tab w:val="left" w:pos="210"/>
          <w:tab w:val="left" w:pos="2302"/>
        </w:tabs>
        <w:spacing w:after="120"/>
        <w:ind w:left="459" w:hanging="459"/>
        <w:jc w:val="left"/>
        <w:rPr>
          <w:sz w:val="18"/>
          <w:szCs w:val="18"/>
        </w:rPr>
      </w:pPr>
      <w:r w:rsidRPr="0060702E">
        <w:rPr>
          <w:sz w:val="18"/>
          <w:szCs w:val="18"/>
        </w:rPr>
        <w:t xml:space="preserve">- </w:t>
      </w:r>
      <w:r w:rsidRPr="0060702E">
        <w:rPr>
          <w:sz w:val="18"/>
          <w:szCs w:val="18"/>
        </w:rPr>
        <w:tab/>
        <w:t>Number of members of the Union that contributed data in 2012 and 201</w:t>
      </w:r>
      <w:r w:rsidRPr="0060702E">
        <w:rPr>
          <w:sz w:val="18"/>
          <w:szCs w:val="18"/>
          <w:lang w:eastAsia="ja-JP"/>
        </w:rPr>
        <w:t>3</w:t>
      </w:r>
      <w:r w:rsidRPr="0060702E">
        <w:rPr>
          <w:sz w:val="18"/>
          <w:szCs w:val="18"/>
        </w:rPr>
        <w:t>:</w:t>
      </w:r>
      <w:r w:rsidRPr="0060702E">
        <w:rPr>
          <w:sz w:val="18"/>
          <w:szCs w:val="18"/>
        </w:rPr>
        <w:br/>
        <w:t>45 in 2013</w:t>
      </w:r>
      <w:proofErr w:type="gramStart"/>
      <w:r w:rsidRPr="0060702E">
        <w:rPr>
          <w:sz w:val="18"/>
          <w:szCs w:val="18"/>
        </w:rPr>
        <w:t>;  45</w:t>
      </w:r>
      <w:proofErr w:type="gramEnd"/>
      <w:r w:rsidRPr="0060702E">
        <w:rPr>
          <w:sz w:val="18"/>
          <w:szCs w:val="18"/>
        </w:rPr>
        <w:t xml:space="preserve"> in 2012   (41 in 2011;  41 in 2010)</w:t>
      </w:r>
    </w:p>
    <w:p w:rsidR="008F5543" w:rsidRPr="0060702E" w:rsidRDefault="008F5543" w:rsidP="008F5543">
      <w:pPr>
        <w:tabs>
          <w:tab w:val="left" w:pos="210"/>
        </w:tabs>
        <w:spacing w:after="120"/>
        <w:ind w:left="459" w:hanging="459"/>
        <w:jc w:val="left"/>
        <w:rPr>
          <w:sz w:val="18"/>
          <w:szCs w:val="18"/>
        </w:rPr>
      </w:pPr>
      <w:r w:rsidRPr="0060702E">
        <w:rPr>
          <w:sz w:val="18"/>
          <w:szCs w:val="18"/>
        </w:rPr>
        <w:t xml:space="preserve">- </w:t>
      </w:r>
      <w:r w:rsidRPr="0060702E">
        <w:rPr>
          <w:sz w:val="18"/>
          <w:szCs w:val="18"/>
        </w:rPr>
        <w:tab/>
        <w:t>Number of members of the Union that contributed data for the first time in 2012 and 2013:</w:t>
      </w:r>
      <w:r w:rsidRPr="0060702E">
        <w:rPr>
          <w:sz w:val="18"/>
          <w:szCs w:val="18"/>
        </w:rPr>
        <w:br/>
        <w:t>4 in 2013 (</w:t>
      </w:r>
      <w:r w:rsidRPr="0060702E">
        <w:rPr>
          <w:sz w:val="18"/>
          <w:szCs w:val="18"/>
          <w:lang w:eastAsia="ja-JP"/>
        </w:rPr>
        <w:t>GE</w:t>
      </w:r>
      <w:r w:rsidRPr="0060702E">
        <w:rPr>
          <w:sz w:val="18"/>
          <w:szCs w:val="18"/>
        </w:rPr>
        <w:t xml:space="preserve">, </w:t>
      </w:r>
      <w:r w:rsidRPr="0060702E">
        <w:rPr>
          <w:sz w:val="18"/>
          <w:szCs w:val="18"/>
          <w:lang w:eastAsia="ja-JP"/>
        </w:rPr>
        <w:t>KE</w:t>
      </w:r>
      <w:r w:rsidRPr="0060702E">
        <w:rPr>
          <w:sz w:val="18"/>
          <w:szCs w:val="18"/>
        </w:rPr>
        <w:t xml:space="preserve">, </w:t>
      </w:r>
      <w:r w:rsidRPr="0060702E">
        <w:rPr>
          <w:sz w:val="18"/>
          <w:szCs w:val="18"/>
          <w:lang w:eastAsia="ja-JP"/>
        </w:rPr>
        <w:t>PE</w:t>
      </w:r>
      <w:r w:rsidRPr="0060702E">
        <w:rPr>
          <w:sz w:val="18"/>
          <w:szCs w:val="18"/>
        </w:rPr>
        <w:t xml:space="preserve">, </w:t>
      </w:r>
      <w:r w:rsidRPr="0060702E">
        <w:rPr>
          <w:sz w:val="18"/>
          <w:szCs w:val="18"/>
          <w:lang w:eastAsia="ja-JP"/>
        </w:rPr>
        <w:t>RS</w:t>
      </w:r>
      <w:r w:rsidRPr="0060702E">
        <w:rPr>
          <w:sz w:val="18"/>
          <w:szCs w:val="18"/>
        </w:rPr>
        <w:t>)   (4 in 2012</w:t>
      </w:r>
      <w:proofErr w:type="gramStart"/>
      <w:r w:rsidRPr="0060702E">
        <w:rPr>
          <w:sz w:val="18"/>
          <w:szCs w:val="18"/>
        </w:rPr>
        <w:t>;  3</w:t>
      </w:r>
      <w:proofErr w:type="gramEnd"/>
      <w:r w:rsidRPr="0060702E">
        <w:rPr>
          <w:sz w:val="18"/>
          <w:szCs w:val="18"/>
        </w:rPr>
        <w:t xml:space="preserve"> in 2011;  0 in 2010)</w:t>
      </w:r>
    </w:p>
    <w:p w:rsidR="008F5543" w:rsidRPr="0060702E" w:rsidRDefault="008F5543" w:rsidP="008F5543">
      <w:pPr>
        <w:tabs>
          <w:tab w:val="left" w:pos="210"/>
        </w:tabs>
        <w:ind w:left="450" w:hanging="450"/>
        <w:jc w:val="left"/>
        <w:rPr>
          <w:sz w:val="18"/>
          <w:szCs w:val="18"/>
        </w:rPr>
      </w:pPr>
      <w:r w:rsidRPr="0060702E">
        <w:rPr>
          <w:sz w:val="18"/>
          <w:szCs w:val="18"/>
        </w:rPr>
        <w:t xml:space="preserve">- </w:t>
      </w:r>
      <w:r w:rsidRPr="0060702E">
        <w:rPr>
          <w:sz w:val="18"/>
          <w:szCs w:val="18"/>
        </w:rPr>
        <w:tab/>
        <w:t xml:space="preserve">Number of other contributors of data in 2012 and </w:t>
      </w:r>
      <w:r w:rsidRPr="0060702E">
        <w:rPr>
          <w:sz w:val="18"/>
          <w:szCs w:val="18"/>
          <w:lang w:eastAsia="ja-JP"/>
        </w:rPr>
        <w:t>2013</w:t>
      </w:r>
      <w:r w:rsidRPr="0060702E">
        <w:rPr>
          <w:sz w:val="18"/>
          <w:szCs w:val="18"/>
        </w:rPr>
        <w:t>:</w:t>
      </w:r>
      <w:r w:rsidRPr="0060702E">
        <w:rPr>
          <w:sz w:val="18"/>
          <w:szCs w:val="18"/>
        </w:rPr>
        <w:br/>
      </w:r>
      <w:r w:rsidR="00AF7905" w:rsidRPr="0060702E">
        <w:rPr>
          <w:sz w:val="18"/>
          <w:szCs w:val="18"/>
        </w:rPr>
        <w:t>1</w:t>
      </w:r>
      <w:r w:rsidRPr="0060702E">
        <w:rPr>
          <w:sz w:val="18"/>
          <w:szCs w:val="18"/>
        </w:rPr>
        <w:t xml:space="preserve"> in 2013 and 2012 (OECD)   (1 in 201</w:t>
      </w:r>
      <w:r w:rsidRPr="0060702E">
        <w:rPr>
          <w:sz w:val="18"/>
          <w:szCs w:val="18"/>
          <w:lang w:eastAsia="ja-JP"/>
        </w:rPr>
        <w:t>1</w:t>
      </w:r>
      <w:proofErr w:type="gramStart"/>
      <w:r w:rsidRPr="0060702E">
        <w:rPr>
          <w:sz w:val="18"/>
          <w:szCs w:val="18"/>
          <w:lang w:eastAsia="ja-JP"/>
        </w:rPr>
        <w:t>;  1</w:t>
      </w:r>
      <w:proofErr w:type="gramEnd"/>
      <w:r w:rsidRPr="0060702E">
        <w:rPr>
          <w:sz w:val="18"/>
          <w:szCs w:val="18"/>
          <w:lang w:eastAsia="ja-JP"/>
        </w:rPr>
        <w:t xml:space="preserve"> in 2010</w:t>
      </w:r>
      <w:r w:rsidRPr="0060702E">
        <w:rPr>
          <w:sz w:val="18"/>
          <w:szCs w:val="18"/>
        </w:rPr>
        <w:t>)</w:t>
      </w:r>
    </w:p>
    <w:p w:rsidR="008F5543" w:rsidRPr="0060702E" w:rsidRDefault="008F5543"/>
    <w:p w:rsidR="008F5543" w:rsidRPr="0060702E" w:rsidRDefault="008F5543"/>
    <w:p w:rsidR="008F5543" w:rsidRPr="0060702E" w:rsidRDefault="008F5543">
      <w:pPr>
        <w:jc w:val="left"/>
      </w:pPr>
      <w:r w:rsidRPr="0060702E">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
        <w:gridCol w:w="5664"/>
      </w:tblGrid>
      <w:tr w:rsidR="00D72AEF" w:rsidTr="00073796">
        <w:trPr>
          <w:jc w:val="center"/>
        </w:trPr>
        <w:tc>
          <w:tcPr>
            <w:tcW w:w="798" w:type="dxa"/>
            <w:tcMar>
              <w:left w:w="0" w:type="dxa"/>
              <w:right w:w="0" w:type="dxa"/>
            </w:tcMar>
            <w:vAlign w:val="bottom"/>
          </w:tcPr>
          <w:p w:rsidR="00D72AEF" w:rsidRDefault="00D72AEF" w:rsidP="006B23B7">
            <w:pPr>
              <w:jc w:val="right"/>
              <w:rPr>
                <w:sz w:val="18"/>
              </w:rPr>
            </w:pPr>
            <w:r w:rsidRPr="001A4B93">
              <w:rPr>
                <w:noProof/>
              </w:rPr>
              <w:drawing>
                <wp:inline distT="0" distB="0" distL="0" distR="0" wp14:anchorId="22EEA9E5" wp14:editId="38F87B5A">
                  <wp:extent cx="392541" cy="395785"/>
                  <wp:effectExtent l="0" t="0" r="762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OV-Logo_Pluto-def.jpg"/>
                          <pic:cNvPicPr/>
                        </pic:nvPicPr>
                        <pic:blipFill rotWithShape="1">
                          <a:blip r:embed="rId24" cstate="print">
                            <a:extLst>
                              <a:ext uri="{28A0092B-C50C-407E-A947-70E740481C1C}">
                                <a14:useLocalDpi xmlns:a14="http://schemas.microsoft.com/office/drawing/2010/main" val="0"/>
                              </a:ext>
                            </a:extLst>
                          </a:blip>
                          <a:srcRect t="12162" b="9460"/>
                          <a:stretch/>
                        </pic:blipFill>
                        <pic:spPr bwMode="auto">
                          <a:xfrm>
                            <a:off x="0" y="0"/>
                            <a:ext cx="392541" cy="395785"/>
                          </a:xfrm>
                          <a:prstGeom prst="rect">
                            <a:avLst/>
                          </a:prstGeom>
                          <a:ln>
                            <a:noFill/>
                          </a:ln>
                          <a:extLst>
                            <a:ext uri="{53640926-AAD7-44D8-BBD7-CCE9431645EC}">
                              <a14:shadowObscured xmlns:a14="http://schemas.microsoft.com/office/drawing/2010/main"/>
                            </a:ext>
                          </a:extLst>
                        </pic:spPr>
                      </pic:pic>
                    </a:graphicData>
                  </a:graphic>
                </wp:inline>
              </w:drawing>
            </w:r>
          </w:p>
        </w:tc>
        <w:tc>
          <w:tcPr>
            <w:tcW w:w="5664" w:type="dxa"/>
            <w:tcMar>
              <w:left w:w="0" w:type="dxa"/>
              <w:right w:w="0" w:type="dxa"/>
            </w:tcMar>
            <w:vAlign w:val="bottom"/>
          </w:tcPr>
          <w:p w:rsidR="00D72AEF" w:rsidRDefault="00D72AEF" w:rsidP="005107B4">
            <w:pPr>
              <w:pStyle w:val="Heading8"/>
              <w:spacing w:after="0"/>
              <w:outlineLvl w:val="7"/>
            </w:pPr>
            <w:bookmarkStart w:id="74" w:name="_Toc398738970"/>
            <w:r w:rsidRPr="0060702E">
              <w:t>PLUTO Database</w:t>
            </w:r>
            <w:r w:rsidR="005107B4">
              <w:t>:  v</w:t>
            </w:r>
            <w:r w:rsidR="005107B4" w:rsidRPr="0060702E">
              <w:t>isits to the</w:t>
            </w:r>
            <w:r w:rsidRPr="0060702E">
              <w:t xml:space="preserve"> UPOV Website in 2013</w:t>
            </w:r>
            <w:bookmarkEnd w:id="74"/>
          </w:p>
        </w:tc>
      </w:tr>
    </w:tbl>
    <w:p w:rsidR="00D72AEF" w:rsidRDefault="00D72AEF" w:rsidP="00D72AEF"/>
    <w:tbl>
      <w:tblPr>
        <w:tblW w:w="9889" w:type="dxa"/>
        <w:tblLayout w:type="fixed"/>
        <w:tblLook w:val="0000" w:firstRow="0" w:lastRow="0" w:firstColumn="0" w:lastColumn="0" w:noHBand="0" w:noVBand="0"/>
      </w:tblPr>
      <w:tblGrid>
        <w:gridCol w:w="5058"/>
        <w:gridCol w:w="4831"/>
      </w:tblGrid>
      <w:tr w:rsidR="004F2E99" w:rsidRPr="0060702E" w:rsidTr="00D805DF">
        <w:trPr>
          <w:cantSplit/>
        </w:trPr>
        <w:tc>
          <w:tcPr>
            <w:tcW w:w="5058" w:type="dxa"/>
            <w:shd w:val="clear" w:color="auto" w:fill="auto"/>
          </w:tcPr>
          <w:p w:rsidR="004F2E99" w:rsidRPr="001A4B93" w:rsidRDefault="004F2E99" w:rsidP="00D805DF">
            <w:pPr>
              <w:keepNext/>
              <w:keepLines/>
              <w:widowControl w:val="0"/>
              <w:ind w:firstLine="659"/>
              <w:rPr>
                <w:noProof/>
                <w:sz w:val="18"/>
                <w:szCs w:val="1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155"/>
              <w:gridCol w:w="1800"/>
            </w:tblGrid>
            <w:tr w:rsidR="004F2E99" w:rsidRPr="001A4B93" w:rsidTr="00D805DF">
              <w:trPr>
                <w:trHeight w:val="148"/>
              </w:trPr>
              <w:tc>
                <w:tcPr>
                  <w:tcW w:w="2155" w:type="dxa"/>
                </w:tcPr>
                <w:p w:rsidR="004F2E99" w:rsidRPr="001A4B93" w:rsidRDefault="004F2E99" w:rsidP="00D805DF">
                  <w:pPr>
                    <w:pStyle w:val="Default"/>
                    <w:keepNext/>
                    <w:keepLines/>
                    <w:widowControl w:val="0"/>
                    <w:ind w:firstLine="6"/>
                    <w:rPr>
                      <w:sz w:val="18"/>
                      <w:szCs w:val="18"/>
                    </w:rPr>
                  </w:pPr>
                  <w:r w:rsidRPr="001A4B93">
                    <w:rPr>
                      <w:sz w:val="18"/>
                      <w:szCs w:val="18"/>
                    </w:rPr>
                    <w:t xml:space="preserve">Sessions </w:t>
                  </w:r>
                </w:p>
              </w:tc>
              <w:tc>
                <w:tcPr>
                  <w:tcW w:w="1800" w:type="dxa"/>
                </w:tcPr>
                <w:p w:rsidR="004F2E99" w:rsidRPr="001A4B93" w:rsidRDefault="004F2E99" w:rsidP="00D805DF">
                  <w:pPr>
                    <w:pStyle w:val="Default"/>
                    <w:keepNext/>
                    <w:keepLines/>
                    <w:widowControl w:val="0"/>
                    <w:ind w:firstLine="276"/>
                    <w:rPr>
                      <w:sz w:val="18"/>
                      <w:szCs w:val="18"/>
                    </w:rPr>
                  </w:pPr>
                  <w:r w:rsidRPr="001A4B93">
                    <w:rPr>
                      <w:sz w:val="18"/>
                      <w:szCs w:val="18"/>
                    </w:rPr>
                    <w:t>41,957</w:t>
                  </w:r>
                </w:p>
              </w:tc>
            </w:tr>
            <w:tr w:rsidR="004F2E99" w:rsidRPr="001A4B93" w:rsidTr="00D805DF">
              <w:trPr>
                <w:trHeight w:val="148"/>
              </w:trPr>
              <w:tc>
                <w:tcPr>
                  <w:tcW w:w="2155" w:type="dxa"/>
                </w:tcPr>
                <w:p w:rsidR="004F2E99" w:rsidRPr="001A4B93" w:rsidRDefault="004F2E99" w:rsidP="00D805DF">
                  <w:pPr>
                    <w:pStyle w:val="Default"/>
                    <w:keepNext/>
                    <w:keepLines/>
                    <w:widowControl w:val="0"/>
                    <w:ind w:firstLine="6"/>
                    <w:rPr>
                      <w:sz w:val="18"/>
                      <w:szCs w:val="18"/>
                    </w:rPr>
                  </w:pPr>
                  <w:r w:rsidRPr="001A4B93">
                    <w:rPr>
                      <w:sz w:val="18"/>
                      <w:szCs w:val="18"/>
                    </w:rPr>
                    <w:t xml:space="preserve">Users </w:t>
                  </w:r>
                </w:p>
              </w:tc>
              <w:tc>
                <w:tcPr>
                  <w:tcW w:w="1800" w:type="dxa"/>
                </w:tcPr>
                <w:p w:rsidR="004F2E99" w:rsidRPr="001A4B93" w:rsidRDefault="004F2E99" w:rsidP="00D805DF">
                  <w:pPr>
                    <w:pStyle w:val="Default"/>
                    <w:keepNext/>
                    <w:keepLines/>
                    <w:widowControl w:val="0"/>
                    <w:ind w:firstLine="276"/>
                    <w:rPr>
                      <w:sz w:val="18"/>
                      <w:szCs w:val="18"/>
                    </w:rPr>
                  </w:pPr>
                  <w:r w:rsidRPr="001A4B93">
                    <w:rPr>
                      <w:sz w:val="18"/>
                      <w:szCs w:val="18"/>
                    </w:rPr>
                    <w:t>12,145</w:t>
                  </w:r>
                </w:p>
              </w:tc>
            </w:tr>
            <w:tr w:rsidR="004F2E99" w:rsidRPr="001A4B93" w:rsidTr="00D805DF">
              <w:trPr>
                <w:trHeight w:val="148"/>
              </w:trPr>
              <w:tc>
                <w:tcPr>
                  <w:tcW w:w="2155" w:type="dxa"/>
                </w:tcPr>
                <w:p w:rsidR="004F2E99" w:rsidRPr="001A4B93" w:rsidRDefault="004F2E99" w:rsidP="00D805DF">
                  <w:pPr>
                    <w:pStyle w:val="Default"/>
                    <w:keepNext/>
                    <w:keepLines/>
                    <w:widowControl w:val="0"/>
                    <w:ind w:firstLine="6"/>
                    <w:rPr>
                      <w:sz w:val="18"/>
                      <w:szCs w:val="18"/>
                    </w:rPr>
                  </w:pPr>
                  <w:proofErr w:type="spellStart"/>
                  <w:r w:rsidRPr="001A4B93">
                    <w:rPr>
                      <w:sz w:val="18"/>
                      <w:szCs w:val="18"/>
                    </w:rPr>
                    <w:t>Pageviews</w:t>
                  </w:r>
                  <w:proofErr w:type="spellEnd"/>
                  <w:r w:rsidRPr="001A4B93">
                    <w:rPr>
                      <w:sz w:val="18"/>
                      <w:szCs w:val="18"/>
                    </w:rPr>
                    <w:t xml:space="preserve"> </w:t>
                  </w:r>
                </w:p>
              </w:tc>
              <w:tc>
                <w:tcPr>
                  <w:tcW w:w="1800" w:type="dxa"/>
                </w:tcPr>
                <w:p w:rsidR="004F2E99" w:rsidRPr="001A4B93" w:rsidRDefault="004F2E99" w:rsidP="00D805DF">
                  <w:pPr>
                    <w:pStyle w:val="Default"/>
                    <w:keepNext/>
                    <w:keepLines/>
                    <w:widowControl w:val="0"/>
                    <w:ind w:firstLine="276"/>
                    <w:rPr>
                      <w:sz w:val="18"/>
                      <w:szCs w:val="18"/>
                    </w:rPr>
                  </w:pPr>
                  <w:r w:rsidRPr="001A4B93">
                    <w:rPr>
                      <w:sz w:val="18"/>
                      <w:szCs w:val="18"/>
                    </w:rPr>
                    <w:t>70,739</w:t>
                  </w:r>
                </w:p>
              </w:tc>
            </w:tr>
            <w:tr w:rsidR="004F2E99" w:rsidRPr="001A4B93" w:rsidTr="00D805DF">
              <w:trPr>
                <w:trHeight w:val="148"/>
              </w:trPr>
              <w:tc>
                <w:tcPr>
                  <w:tcW w:w="2155" w:type="dxa"/>
                </w:tcPr>
                <w:p w:rsidR="004F2E99" w:rsidRPr="001A4B93" w:rsidRDefault="004F2E99" w:rsidP="00D805DF">
                  <w:pPr>
                    <w:pStyle w:val="Default"/>
                    <w:keepNext/>
                    <w:keepLines/>
                    <w:widowControl w:val="0"/>
                    <w:ind w:firstLine="6"/>
                    <w:rPr>
                      <w:sz w:val="18"/>
                      <w:szCs w:val="18"/>
                    </w:rPr>
                  </w:pPr>
                  <w:r w:rsidRPr="001A4B93">
                    <w:rPr>
                      <w:sz w:val="18"/>
                      <w:szCs w:val="18"/>
                    </w:rPr>
                    <w:t xml:space="preserve">New Visitors </w:t>
                  </w:r>
                </w:p>
              </w:tc>
              <w:tc>
                <w:tcPr>
                  <w:tcW w:w="1800" w:type="dxa"/>
                </w:tcPr>
                <w:p w:rsidR="004F2E99" w:rsidRPr="001A4B93" w:rsidRDefault="004F2E99" w:rsidP="00D805DF">
                  <w:pPr>
                    <w:pStyle w:val="Default"/>
                    <w:keepNext/>
                    <w:keepLines/>
                    <w:widowControl w:val="0"/>
                    <w:ind w:firstLine="276"/>
                    <w:rPr>
                      <w:sz w:val="18"/>
                      <w:szCs w:val="18"/>
                    </w:rPr>
                  </w:pPr>
                  <w:r w:rsidRPr="001A4B93">
                    <w:rPr>
                      <w:sz w:val="18"/>
                      <w:szCs w:val="18"/>
                    </w:rPr>
                    <w:t xml:space="preserve"> 27.4%</w:t>
                  </w:r>
                </w:p>
              </w:tc>
            </w:tr>
            <w:tr w:rsidR="004F2E99" w:rsidRPr="001A4B93" w:rsidTr="00D805DF">
              <w:trPr>
                <w:trHeight w:val="148"/>
              </w:trPr>
              <w:tc>
                <w:tcPr>
                  <w:tcW w:w="2155" w:type="dxa"/>
                </w:tcPr>
                <w:p w:rsidR="004F2E99" w:rsidRPr="001A4B93" w:rsidRDefault="004F2E99" w:rsidP="00D805DF">
                  <w:pPr>
                    <w:keepNext/>
                    <w:keepLines/>
                    <w:widowControl w:val="0"/>
                    <w:ind w:firstLine="6"/>
                    <w:jc w:val="left"/>
                    <w:rPr>
                      <w:sz w:val="18"/>
                      <w:szCs w:val="18"/>
                    </w:rPr>
                  </w:pPr>
                  <w:r w:rsidRPr="001A4B93">
                    <w:rPr>
                      <w:sz w:val="18"/>
                      <w:szCs w:val="18"/>
                    </w:rPr>
                    <w:t xml:space="preserve">Returning Visitors </w:t>
                  </w:r>
                </w:p>
              </w:tc>
              <w:tc>
                <w:tcPr>
                  <w:tcW w:w="1800" w:type="dxa"/>
                </w:tcPr>
                <w:p w:rsidR="004F2E99" w:rsidRPr="001A4B93" w:rsidRDefault="004F2E99" w:rsidP="00D805DF">
                  <w:pPr>
                    <w:keepNext/>
                    <w:keepLines/>
                    <w:widowControl w:val="0"/>
                    <w:ind w:firstLine="276"/>
                    <w:jc w:val="left"/>
                    <w:rPr>
                      <w:sz w:val="18"/>
                      <w:szCs w:val="18"/>
                    </w:rPr>
                  </w:pPr>
                  <w:r w:rsidRPr="001A4B93">
                    <w:rPr>
                      <w:sz w:val="18"/>
                      <w:szCs w:val="18"/>
                    </w:rPr>
                    <w:t xml:space="preserve"> 72.6%</w:t>
                  </w:r>
                </w:p>
              </w:tc>
            </w:tr>
          </w:tbl>
          <w:p w:rsidR="004F2E99" w:rsidRPr="001A4B93" w:rsidRDefault="004F2E99" w:rsidP="00D805DF">
            <w:pPr>
              <w:keepNext/>
              <w:keepLines/>
              <w:widowControl w:val="0"/>
              <w:ind w:firstLine="659"/>
              <w:rPr>
                <w:noProof/>
                <w:sz w:val="18"/>
                <w:szCs w:val="18"/>
              </w:rPr>
            </w:pPr>
          </w:p>
        </w:tc>
        <w:tc>
          <w:tcPr>
            <w:tcW w:w="4831" w:type="dxa"/>
            <w:shd w:val="clear" w:color="auto" w:fill="auto"/>
          </w:tcPr>
          <w:p w:rsidR="004F2E99" w:rsidRPr="001A4B93" w:rsidRDefault="004F2E99" w:rsidP="00D805DF">
            <w:pPr>
              <w:keepNext/>
              <w:keepLines/>
              <w:widowControl w:val="0"/>
              <w:ind w:hanging="18"/>
              <w:rPr>
                <w:noProof/>
                <w:sz w:val="18"/>
              </w:rPr>
            </w:pPr>
          </w:p>
          <w:tbl>
            <w:tblPr>
              <w:tblW w:w="434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260"/>
              <w:gridCol w:w="1800"/>
            </w:tblGrid>
            <w:tr w:rsidR="004F2E99" w:rsidRPr="001A4B93" w:rsidTr="00D805DF">
              <w:trPr>
                <w:trHeight w:val="143"/>
              </w:trPr>
              <w:tc>
                <w:tcPr>
                  <w:tcW w:w="1284" w:type="dxa"/>
                </w:tcPr>
                <w:p w:rsidR="004F2E99" w:rsidRPr="001A4B93" w:rsidRDefault="004F2E99" w:rsidP="00D805DF">
                  <w:pPr>
                    <w:keepNext/>
                    <w:keepLines/>
                    <w:widowControl w:val="0"/>
                    <w:autoSpaceDE w:val="0"/>
                    <w:autoSpaceDN w:val="0"/>
                    <w:adjustRightInd w:val="0"/>
                    <w:jc w:val="left"/>
                    <w:rPr>
                      <w:rFonts w:cs="Arial"/>
                      <w:color w:val="000000"/>
                      <w:sz w:val="18"/>
                      <w:szCs w:val="18"/>
                    </w:rPr>
                  </w:pPr>
                  <w:r w:rsidRPr="001A4B93">
                    <w:rPr>
                      <w:rFonts w:cs="Arial"/>
                      <w:bCs/>
                      <w:color w:val="000000"/>
                      <w:sz w:val="18"/>
                      <w:szCs w:val="18"/>
                    </w:rPr>
                    <w:t xml:space="preserve">Language </w:t>
                  </w:r>
                </w:p>
              </w:tc>
              <w:tc>
                <w:tcPr>
                  <w:tcW w:w="1260" w:type="dxa"/>
                </w:tcPr>
                <w:p w:rsidR="004F2E99" w:rsidRPr="001A4B93" w:rsidRDefault="004F2E99" w:rsidP="00D805DF">
                  <w:pPr>
                    <w:keepNext/>
                    <w:keepLines/>
                    <w:widowControl w:val="0"/>
                    <w:autoSpaceDE w:val="0"/>
                    <w:autoSpaceDN w:val="0"/>
                    <w:adjustRightInd w:val="0"/>
                    <w:jc w:val="left"/>
                    <w:rPr>
                      <w:rFonts w:cs="Arial"/>
                      <w:color w:val="000000"/>
                      <w:sz w:val="18"/>
                      <w:szCs w:val="18"/>
                    </w:rPr>
                  </w:pPr>
                  <w:proofErr w:type="spellStart"/>
                  <w:r w:rsidRPr="001A4B93">
                    <w:rPr>
                      <w:rFonts w:cs="Arial"/>
                      <w:bCs/>
                      <w:color w:val="000000"/>
                      <w:sz w:val="18"/>
                      <w:szCs w:val="18"/>
                    </w:rPr>
                    <w:t>Pageviews</w:t>
                  </w:r>
                  <w:proofErr w:type="spellEnd"/>
                  <w:r w:rsidRPr="001A4B93">
                    <w:rPr>
                      <w:rFonts w:cs="Arial"/>
                      <w:bCs/>
                      <w:color w:val="000000"/>
                      <w:sz w:val="18"/>
                      <w:szCs w:val="18"/>
                    </w:rPr>
                    <w:t xml:space="preserve"> </w:t>
                  </w:r>
                </w:p>
              </w:tc>
              <w:tc>
                <w:tcPr>
                  <w:tcW w:w="1800" w:type="dxa"/>
                </w:tcPr>
                <w:p w:rsidR="004F2E99" w:rsidRPr="001A4B93" w:rsidRDefault="004F2E99" w:rsidP="00D805DF">
                  <w:pPr>
                    <w:keepNext/>
                    <w:keepLines/>
                    <w:widowControl w:val="0"/>
                    <w:autoSpaceDE w:val="0"/>
                    <w:autoSpaceDN w:val="0"/>
                    <w:adjustRightInd w:val="0"/>
                    <w:jc w:val="left"/>
                    <w:rPr>
                      <w:rFonts w:cs="Arial"/>
                      <w:bCs/>
                      <w:color w:val="000000"/>
                      <w:sz w:val="18"/>
                      <w:szCs w:val="18"/>
                    </w:rPr>
                  </w:pPr>
                  <w:r w:rsidRPr="001A4B93">
                    <w:rPr>
                      <w:rFonts w:cs="Arial"/>
                      <w:bCs/>
                      <w:color w:val="000000"/>
                      <w:sz w:val="18"/>
                      <w:szCs w:val="18"/>
                    </w:rPr>
                    <w:t xml:space="preserve">Unique </w:t>
                  </w:r>
                  <w:proofErr w:type="spellStart"/>
                  <w:r w:rsidRPr="001A4B93">
                    <w:rPr>
                      <w:rFonts w:cs="Arial"/>
                      <w:bCs/>
                      <w:color w:val="000000"/>
                      <w:sz w:val="18"/>
                      <w:szCs w:val="18"/>
                    </w:rPr>
                    <w:t>pageviews</w:t>
                  </w:r>
                  <w:proofErr w:type="spellEnd"/>
                  <w:r w:rsidRPr="001A4B93">
                    <w:rPr>
                      <w:rFonts w:cs="Arial"/>
                      <w:bCs/>
                      <w:color w:val="000000"/>
                      <w:sz w:val="18"/>
                      <w:szCs w:val="18"/>
                    </w:rPr>
                    <w:t xml:space="preserve"> </w:t>
                  </w:r>
                </w:p>
                <w:p w:rsidR="004F2E99" w:rsidRPr="001A4B93" w:rsidRDefault="004F2E99" w:rsidP="00D805DF">
                  <w:pPr>
                    <w:keepNext/>
                    <w:keepLines/>
                    <w:widowControl w:val="0"/>
                    <w:autoSpaceDE w:val="0"/>
                    <w:autoSpaceDN w:val="0"/>
                    <w:adjustRightInd w:val="0"/>
                    <w:jc w:val="left"/>
                    <w:rPr>
                      <w:rFonts w:cs="Arial"/>
                      <w:color w:val="000000"/>
                      <w:sz w:val="18"/>
                      <w:szCs w:val="18"/>
                    </w:rPr>
                  </w:pPr>
                </w:p>
              </w:tc>
            </w:tr>
            <w:tr w:rsidR="004F2E99" w:rsidRPr="0060702E" w:rsidTr="00D805DF">
              <w:trPr>
                <w:trHeight w:val="148"/>
              </w:trPr>
              <w:tc>
                <w:tcPr>
                  <w:tcW w:w="1284" w:type="dxa"/>
                </w:tcPr>
                <w:p w:rsidR="004F2E99" w:rsidRPr="0060702E" w:rsidRDefault="004F2E99" w:rsidP="00D805DF">
                  <w:pPr>
                    <w:keepNext/>
                    <w:keepLines/>
                    <w:widowControl w:val="0"/>
                    <w:autoSpaceDE w:val="0"/>
                    <w:autoSpaceDN w:val="0"/>
                    <w:adjustRightInd w:val="0"/>
                    <w:jc w:val="left"/>
                    <w:rPr>
                      <w:rFonts w:cs="Arial"/>
                      <w:color w:val="000000"/>
                      <w:sz w:val="18"/>
                      <w:szCs w:val="22"/>
                    </w:rPr>
                  </w:pPr>
                  <w:r w:rsidRPr="0060702E">
                    <w:rPr>
                      <w:rFonts w:cs="Arial"/>
                      <w:color w:val="000000"/>
                      <w:sz w:val="18"/>
                      <w:szCs w:val="22"/>
                    </w:rPr>
                    <w:t xml:space="preserve">English </w:t>
                  </w:r>
                </w:p>
              </w:tc>
              <w:tc>
                <w:tcPr>
                  <w:tcW w:w="1260" w:type="dxa"/>
                </w:tcPr>
                <w:p w:rsidR="004F2E99" w:rsidRPr="0060702E" w:rsidRDefault="004F2E99" w:rsidP="00D805DF">
                  <w:pPr>
                    <w:pStyle w:val="Default"/>
                    <w:keepNext/>
                    <w:keepLines/>
                    <w:widowControl w:val="0"/>
                    <w:ind w:right="209"/>
                    <w:jc w:val="right"/>
                    <w:rPr>
                      <w:sz w:val="18"/>
                      <w:szCs w:val="18"/>
                    </w:rPr>
                  </w:pPr>
                  <w:r w:rsidRPr="0060702E">
                    <w:rPr>
                      <w:sz w:val="18"/>
                      <w:szCs w:val="18"/>
                    </w:rPr>
                    <w:t>41,058</w:t>
                  </w:r>
                </w:p>
              </w:tc>
              <w:tc>
                <w:tcPr>
                  <w:tcW w:w="1800" w:type="dxa"/>
                </w:tcPr>
                <w:p w:rsidR="004F2E99" w:rsidRPr="0060702E" w:rsidRDefault="004F2E99" w:rsidP="00D805DF">
                  <w:pPr>
                    <w:pStyle w:val="Default"/>
                    <w:keepNext/>
                    <w:keepLines/>
                    <w:widowControl w:val="0"/>
                    <w:tabs>
                      <w:tab w:val="decimal" w:pos="1057"/>
                    </w:tabs>
                    <w:rPr>
                      <w:sz w:val="18"/>
                      <w:szCs w:val="18"/>
                    </w:rPr>
                  </w:pPr>
                  <w:r w:rsidRPr="0060702E">
                    <w:rPr>
                      <w:sz w:val="18"/>
                      <w:szCs w:val="18"/>
                    </w:rPr>
                    <w:t>25,785</w:t>
                  </w:r>
                </w:p>
              </w:tc>
            </w:tr>
            <w:tr w:rsidR="004F2E99" w:rsidRPr="0060702E" w:rsidTr="00D805DF">
              <w:trPr>
                <w:trHeight w:val="142"/>
              </w:trPr>
              <w:tc>
                <w:tcPr>
                  <w:tcW w:w="1284" w:type="dxa"/>
                </w:tcPr>
                <w:p w:rsidR="004F2E99" w:rsidRPr="0060702E" w:rsidRDefault="004F2E99" w:rsidP="00D805DF">
                  <w:pPr>
                    <w:keepNext/>
                    <w:keepLines/>
                    <w:widowControl w:val="0"/>
                    <w:autoSpaceDE w:val="0"/>
                    <w:autoSpaceDN w:val="0"/>
                    <w:adjustRightInd w:val="0"/>
                    <w:jc w:val="left"/>
                    <w:rPr>
                      <w:rFonts w:cs="Arial"/>
                      <w:color w:val="000000"/>
                      <w:sz w:val="18"/>
                      <w:szCs w:val="22"/>
                    </w:rPr>
                  </w:pPr>
                  <w:r w:rsidRPr="0060702E">
                    <w:rPr>
                      <w:rFonts w:cs="Arial"/>
                      <w:color w:val="000000"/>
                      <w:sz w:val="18"/>
                      <w:szCs w:val="22"/>
                    </w:rPr>
                    <w:t xml:space="preserve">Spanish </w:t>
                  </w:r>
                </w:p>
              </w:tc>
              <w:tc>
                <w:tcPr>
                  <w:tcW w:w="1260" w:type="dxa"/>
                </w:tcPr>
                <w:p w:rsidR="004F2E99" w:rsidRPr="0060702E" w:rsidRDefault="004F2E99" w:rsidP="00D805DF">
                  <w:pPr>
                    <w:pStyle w:val="Default"/>
                    <w:keepNext/>
                    <w:keepLines/>
                    <w:widowControl w:val="0"/>
                    <w:ind w:right="209"/>
                    <w:jc w:val="right"/>
                    <w:rPr>
                      <w:sz w:val="18"/>
                      <w:szCs w:val="18"/>
                    </w:rPr>
                  </w:pPr>
                  <w:r w:rsidRPr="0060702E">
                    <w:rPr>
                      <w:sz w:val="18"/>
                      <w:szCs w:val="18"/>
                    </w:rPr>
                    <w:t>3,528</w:t>
                  </w:r>
                </w:p>
              </w:tc>
              <w:tc>
                <w:tcPr>
                  <w:tcW w:w="1800" w:type="dxa"/>
                </w:tcPr>
                <w:p w:rsidR="004F2E99" w:rsidRPr="0060702E" w:rsidRDefault="004F2E99" w:rsidP="00D805DF">
                  <w:pPr>
                    <w:pStyle w:val="Default"/>
                    <w:keepNext/>
                    <w:keepLines/>
                    <w:widowControl w:val="0"/>
                    <w:tabs>
                      <w:tab w:val="decimal" w:pos="1057"/>
                    </w:tabs>
                    <w:rPr>
                      <w:sz w:val="18"/>
                      <w:szCs w:val="18"/>
                    </w:rPr>
                  </w:pPr>
                  <w:r w:rsidRPr="0060702E">
                    <w:rPr>
                      <w:sz w:val="18"/>
                      <w:szCs w:val="18"/>
                    </w:rPr>
                    <w:t>2,045</w:t>
                  </w:r>
                </w:p>
              </w:tc>
            </w:tr>
            <w:tr w:rsidR="004F2E99" w:rsidRPr="0060702E" w:rsidTr="00D805DF">
              <w:trPr>
                <w:trHeight w:val="148"/>
              </w:trPr>
              <w:tc>
                <w:tcPr>
                  <w:tcW w:w="1284" w:type="dxa"/>
                </w:tcPr>
                <w:p w:rsidR="004F2E99" w:rsidRPr="0060702E" w:rsidRDefault="004F2E99" w:rsidP="00D805DF">
                  <w:pPr>
                    <w:keepNext/>
                    <w:keepLines/>
                    <w:widowControl w:val="0"/>
                    <w:autoSpaceDE w:val="0"/>
                    <w:autoSpaceDN w:val="0"/>
                    <w:adjustRightInd w:val="0"/>
                    <w:jc w:val="left"/>
                    <w:rPr>
                      <w:rFonts w:cs="Arial"/>
                      <w:color w:val="000000"/>
                      <w:sz w:val="18"/>
                      <w:szCs w:val="22"/>
                    </w:rPr>
                  </w:pPr>
                  <w:r w:rsidRPr="0060702E">
                    <w:rPr>
                      <w:rFonts w:cs="Arial"/>
                      <w:color w:val="000000"/>
                      <w:sz w:val="18"/>
                      <w:szCs w:val="22"/>
                    </w:rPr>
                    <w:t xml:space="preserve">French </w:t>
                  </w:r>
                </w:p>
              </w:tc>
              <w:tc>
                <w:tcPr>
                  <w:tcW w:w="1260" w:type="dxa"/>
                </w:tcPr>
                <w:p w:rsidR="004F2E99" w:rsidRPr="0060702E" w:rsidRDefault="004F2E99" w:rsidP="00D805DF">
                  <w:pPr>
                    <w:pStyle w:val="Default"/>
                    <w:keepNext/>
                    <w:keepLines/>
                    <w:widowControl w:val="0"/>
                    <w:ind w:right="209"/>
                    <w:jc w:val="right"/>
                    <w:rPr>
                      <w:sz w:val="18"/>
                      <w:szCs w:val="18"/>
                    </w:rPr>
                  </w:pPr>
                  <w:r w:rsidRPr="0060702E">
                    <w:rPr>
                      <w:sz w:val="18"/>
                      <w:szCs w:val="18"/>
                    </w:rPr>
                    <w:t>3,850</w:t>
                  </w:r>
                </w:p>
              </w:tc>
              <w:tc>
                <w:tcPr>
                  <w:tcW w:w="1800" w:type="dxa"/>
                </w:tcPr>
                <w:p w:rsidR="004F2E99" w:rsidRPr="0060702E" w:rsidRDefault="004F2E99" w:rsidP="00D805DF">
                  <w:pPr>
                    <w:pStyle w:val="Default"/>
                    <w:keepNext/>
                    <w:keepLines/>
                    <w:widowControl w:val="0"/>
                    <w:tabs>
                      <w:tab w:val="decimal" w:pos="1057"/>
                    </w:tabs>
                    <w:rPr>
                      <w:sz w:val="18"/>
                      <w:szCs w:val="18"/>
                    </w:rPr>
                  </w:pPr>
                  <w:r w:rsidRPr="0060702E">
                    <w:rPr>
                      <w:sz w:val="18"/>
                      <w:szCs w:val="18"/>
                    </w:rPr>
                    <w:t>2,525</w:t>
                  </w:r>
                </w:p>
              </w:tc>
            </w:tr>
            <w:tr w:rsidR="004F2E99" w:rsidRPr="0060702E" w:rsidTr="00D805DF">
              <w:trPr>
                <w:trHeight w:val="142"/>
              </w:trPr>
              <w:tc>
                <w:tcPr>
                  <w:tcW w:w="1284" w:type="dxa"/>
                </w:tcPr>
                <w:p w:rsidR="004F2E99" w:rsidRPr="0060702E" w:rsidRDefault="004F2E99" w:rsidP="00D805DF">
                  <w:pPr>
                    <w:keepNext/>
                    <w:keepLines/>
                    <w:widowControl w:val="0"/>
                    <w:autoSpaceDE w:val="0"/>
                    <w:autoSpaceDN w:val="0"/>
                    <w:adjustRightInd w:val="0"/>
                    <w:jc w:val="left"/>
                    <w:rPr>
                      <w:rFonts w:cs="Arial"/>
                      <w:color w:val="000000"/>
                      <w:sz w:val="18"/>
                      <w:szCs w:val="22"/>
                    </w:rPr>
                  </w:pPr>
                  <w:r w:rsidRPr="0060702E">
                    <w:rPr>
                      <w:rFonts w:cs="Arial"/>
                      <w:color w:val="000000"/>
                      <w:sz w:val="18"/>
                      <w:szCs w:val="22"/>
                    </w:rPr>
                    <w:t xml:space="preserve">German </w:t>
                  </w:r>
                </w:p>
              </w:tc>
              <w:tc>
                <w:tcPr>
                  <w:tcW w:w="1260" w:type="dxa"/>
                </w:tcPr>
                <w:p w:rsidR="004F2E99" w:rsidRPr="0060702E" w:rsidRDefault="004F2E99" w:rsidP="00D805DF">
                  <w:pPr>
                    <w:pStyle w:val="Default"/>
                    <w:keepNext/>
                    <w:keepLines/>
                    <w:widowControl w:val="0"/>
                    <w:ind w:right="209"/>
                    <w:jc w:val="right"/>
                    <w:rPr>
                      <w:sz w:val="18"/>
                      <w:szCs w:val="18"/>
                    </w:rPr>
                  </w:pPr>
                  <w:r w:rsidRPr="0060702E">
                    <w:rPr>
                      <w:sz w:val="18"/>
                      <w:szCs w:val="18"/>
                    </w:rPr>
                    <w:t>971</w:t>
                  </w:r>
                </w:p>
              </w:tc>
              <w:tc>
                <w:tcPr>
                  <w:tcW w:w="1800" w:type="dxa"/>
                </w:tcPr>
                <w:p w:rsidR="004F2E99" w:rsidRPr="0060702E" w:rsidRDefault="004F2E99" w:rsidP="00D805DF">
                  <w:pPr>
                    <w:pStyle w:val="Default"/>
                    <w:keepNext/>
                    <w:keepLines/>
                    <w:widowControl w:val="0"/>
                    <w:tabs>
                      <w:tab w:val="decimal" w:pos="1057"/>
                    </w:tabs>
                    <w:rPr>
                      <w:sz w:val="18"/>
                      <w:szCs w:val="18"/>
                    </w:rPr>
                  </w:pPr>
                  <w:r w:rsidRPr="0060702E">
                    <w:rPr>
                      <w:sz w:val="18"/>
                      <w:szCs w:val="18"/>
                    </w:rPr>
                    <w:t>603</w:t>
                  </w:r>
                </w:p>
              </w:tc>
            </w:tr>
          </w:tbl>
          <w:p w:rsidR="004F2E99" w:rsidRPr="0060702E" w:rsidRDefault="004F2E99" w:rsidP="00D805DF">
            <w:pPr>
              <w:keepNext/>
              <w:keepLines/>
              <w:widowControl w:val="0"/>
              <w:ind w:hanging="18"/>
              <w:rPr>
                <w:noProof/>
              </w:rPr>
            </w:pPr>
          </w:p>
        </w:tc>
      </w:tr>
    </w:tbl>
    <w:p w:rsidR="004F2E99" w:rsidRPr="0060702E" w:rsidRDefault="004F2E99" w:rsidP="001A4B93">
      <w:pPr>
        <w:jc w:val="center"/>
      </w:pPr>
    </w:p>
    <w:p w:rsidR="004F2E99" w:rsidRPr="0060702E" w:rsidRDefault="004F2E99" w:rsidP="001A4B93">
      <w:pPr>
        <w:widowControl w:val="0"/>
        <w:jc w:val="center"/>
        <w:rPr>
          <w:rFonts w:eastAsiaTheme="minorEastAsia"/>
          <w:bCs/>
          <w:sz w:val="18"/>
          <w:szCs w:val="22"/>
        </w:rPr>
      </w:pPr>
      <w:r w:rsidRPr="0060702E">
        <w:rPr>
          <w:rFonts w:eastAsiaTheme="minorEastAsia"/>
          <w:bCs/>
          <w:sz w:val="18"/>
          <w:szCs w:val="22"/>
        </w:rPr>
        <w:t>Top 10 countries visiting the PLUTO database in 2013</w:t>
      </w:r>
    </w:p>
    <w:p w:rsidR="004F2E99" w:rsidRPr="0060702E" w:rsidRDefault="004F2E99" w:rsidP="001A4B93">
      <w:pPr>
        <w:widowControl w:val="0"/>
        <w:jc w:val="center"/>
        <w:rPr>
          <w:rFonts w:eastAsiaTheme="minorEastAsia"/>
          <w:b/>
          <w:bCs/>
          <w:sz w:val="18"/>
          <w:szCs w:val="22"/>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81"/>
        <w:gridCol w:w="1681"/>
        <w:gridCol w:w="1681"/>
        <w:gridCol w:w="1681"/>
      </w:tblGrid>
      <w:tr w:rsidR="004F2E99" w:rsidRPr="0060702E" w:rsidTr="001A4B93">
        <w:trPr>
          <w:trHeight w:val="143"/>
          <w:jc w:val="center"/>
        </w:trPr>
        <w:tc>
          <w:tcPr>
            <w:tcW w:w="1681" w:type="dxa"/>
          </w:tcPr>
          <w:p w:rsidR="004F2E99" w:rsidRPr="0060702E" w:rsidRDefault="004F2E99" w:rsidP="004F2E99">
            <w:pPr>
              <w:widowControl w:val="0"/>
              <w:autoSpaceDE w:val="0"/>
              <w:autoSpaceDN w:val="0"/>
              <w:adjustRightInd w:val="0"/>
              <w:jc w:val="left"/>
              <w:rPr>
                <w:rFonts w:cs="Arial"/>
                <w:color w:val="000000"/>
                <w:sz w:val="18"/>
                <w:szCs w:val="18"/>
              </w:rPr>
            </w:pPr>
            <w:r w:rsidRPr="0060702E">
              <w:rPr>
                <w:rFonts w:cs="Arial"/>
                <w:bCs/>
                <w:color w:val="000000"/>
                <w:sz w:val="18"/>
                <w:szCs w:val="18"/>
              </w:rPr>
              <w:t xml:space="preserve">Country / Territory </w:t>
            </w:r>
          </w:p>
        </w:tc>
        <w:tc>
          <w:tcPr>
            <w:tcW w:w="1681" w:type="dxa"/>
          </w:tcPr>
          <w:p w:rsidR="004F2E99" w:rsidRPr="0060702E" w:rsidRDefault="004F2E99" w:rsidP="004F2E99">
            <w:pPr>
              <w:widowControl w:val="0"/>
              <w:autoSpaceDE w:val="0"/>
              <w:autoSpaceDN w:val="0"/>
              <w:adjustRightInd w:val="0"/>
              <w:jc w:val="left"/>
              <w:rPr>
                <w:rFonts w:cs="Arial"/>
                <w:color w:val="000000"/>
                <w:sz w:val="18"/>
                <w:szCs w:val="18"/>
              </w:rPr>
            </w:pPr>
            <w:r w:rsidRPr="0060702E">
              <w:rPr>
                <w:rFonts w:cs="Arial"/>
                <w:bCs/>
                <w:color w:val="000000"/>
                <w:sz w:val="18"/>
                <w:szCs w:val="18"/>
              </w:rPr>
              <w:t xml:space="preserve">Sessions </w:t>
            </w:r>
          </w:p>
        </w:tc>
        <w:tc>
          <w:tcPr>
            <w:tcW w:w="1681" w:type="dxa"/>
          </w:tcPr>
          <w:p w:rsidR="004F2E99" w:rsidRPr="0060702E" w:rsidRDefault="004F2E99" w:rsidP="004F2E99">
            <w:pPr>
              <w:widowControl w:val="0"/>
              <w:autoSpaceDE w:val="0"/>
              <w:autoSpaceDN w:val="0"/>
              <w:adjustRightInd w:val="0"/>
              <w:jc w:val="left"/>
              <w:rPr>
                <w:rFonts w:cs="Arial"/>
                <w:color w:val="000000"/>
                <w:sz w:val="18"/>
                <w:szCs w:val="18"/>
              </w:rPr>
            </w:pPr>
            <w:r w:rsidRPr="0060702E">
              <w:rPr>
                <w:rFonts w:cs="Arial"/>
                <w:bCs/>
                <w:color w:val="000000"/>
                <w:sz w:val="18"/>
                <w:szCs w:val="18"/>
              </w:rPr>
              <w:t xml:space="preserve">% New Sessions </w:t>
            </w:r>
          </w:p>
        </w:tc>
        <w:tc>
          <w:tcPr>
            <w:tcW w:w="1681" w:type="dxa"/>
          </w:tcPr>
          <w:p w:rsidR="004F2E99" w:rsidRPr="0060702E" w:rsidRDefault="004F2E99" w:rsidP="004F2E99">
            <w:pPr>
              <w:widowControl w:val="0"/>
              <w:autoSpaceDE w:val="0"/>
              <w:autoSpaceDN w:val="0"/>
              <w:adjustRightInd w:val="0"/>
              <w:jc w:val="left"/>
              <w:rPr>
                <w:rFonts w:cs="Arial"/>
                <w:bCs/>
                <w:color w:val="000000"/>
                <w:sz w:val="18"/>
                <w:szCs w:val="18"/>
              </w:rPr>
            </w:pPr>
            <w:r w:rsidRPr="0060702E">
              <w:rPr>
                <w:rFonts w:cs="Arial"/>
                <w:bCs/>
                <w:color w:val="000000"/>
                <w:sz w:val="18"/>
                <w:szCs w:val="18"/>
              </w:rPr>
              <w:t xml:space="preserve">New Users </w:t>
            </w:r>
          </w:p>
          <w:p w:rsidR="004F2E99" w:rsidRPr="0060702E" w:rsidRDefault="004F2E99" w:rsidP="004F2E99">
            <w:pPr>
              <w:widowControl w:val="0"/>
              <w:autoSpaceDE w:val="0"/>
              <w:autoSpaceDN w:val="0"/>
              <w:adjustRightInd w:val="0"/>
              <w:jc w:val="left"/>
              <w:rPr>
                <w:rFonts w:cs="Arial"/>
                <w:color w:val="000000"/>
                <w:sz w:val="18"/>
                <w:szCs w:val="18"/>
              </w:rPr>
            </w:pPr>
          </w:p>
        </w:tc>
      </w:tr>
      <w:tr w:rsidR="004F2E99" w:rsidRPr="0060702E" w:rsidTr="001A4B93">
        <w:trPr>
          <w:trHeight w:val="148"/>
          <w:jc w:val="center"/>
        </w:trPr>
        <w:tc>
          <w:tcPr>
            <w:tcW w:w="1681" w:type="dxa"/>
          </w:tcPr>
          <w:p w:rsidR="004F2E99" w:rsidRPr="0060702E" w:rsidRDefault="004F2E99" w:rsidP="004F2E99">
            <w:pPr>
              <w:pStyle w:val="Default"/>
              <w:widowControl w:val="0"/>
              <w:rPr>
                <w:sz w:val="18"/>
                <w:szCs w:val="18"/>
              </w:rPr>
            </w:pPr>
            <w:r w:rsidRPr="0060702E">
              <w:rPr>
                <w:sz w:val="18"/>
                <w:szCs w:val="18"/>
              </w:rPr>
              <w:t xml:space="preserve">France </w:t>
            </w:r>
          </w:p>
        </w:tc>
        <w:tc>
          <w:tcPr>
            <w:tcW w:w="1681" w:type="dxa"/>
          </w:tcPr>
          <w:p w:rsidR="004F2E99" w:rsidRPr="0060702E" w:rsidRDefault="004F2E99" w:rsidP="004F2E99">
            <w:pPr>
              <w:pStyle w:val="Default"/>
              <w:widowControl w:val="0"/>
              <w:tabs>
                <w:tab w:val="decimal" w:pos="1025"/>
              </w:tabs>
              <w:rPr>
                <w:sz w:val="18"/>
                <w:szCs w:val="18"/>
              </w:rPr>
            </w:pPr>
            <w:r w:rsidRPr="0060702E">
              <w:rPr>
                <w:sz w:val="18"/>
                <w:szCs w:val="18"/>
              </w:rPr>
              <w:t xml:space="preserve">4,225 </w:t>
            </w:r>
          </w:p>
        </w:tc>
        <w:tc>
          <w:tcPr>
            <w:tcW w:w="1681" w:type="dxa"/>
          </w:tcPr>
          <w:p w:rsidR="004F2E99" w:rsidRPr="0060702E" w:rsidRDefault="004F2E99" w:rsidP="004F2E99">
            <w:pPr>
              <w:pStyle w:val="Default"/>
              <w:widowControl w:val="0"/>
              <w:jc w:val="center"/>
              <w:rPr>
                <w:sz w:val="18"/>
                <w:szCs w:val="18"/>
              </w:rPr>
            </w:pPr>
            <w:r w:rsidRPr="0060702E">
              <w:rPr>
                <w:sz w:val="18"/>
                <w:szCs w:val="18"/>
              </w:rPr>
              <w:t>29.35%</w:t>
            </w:r>
          </w:p>
        </w:tc>
        <w:tc>
          <w:tcPr>
            <w:tcW w:w="1681" w:type="dxa"/>
          </w:tcPr>
          <w:p w:rsidR="004F2E99" w:rsidRPr="0060702E" w:rsidRDefault="004F2E99" w:rsidP="004F2E99">
            <w:pPr>
              <w:pStyle w:val="Default"/>
              <w:widowControl w:val="0"/>
              <w:ind w:right="321"/>
              <w:jc w:val="right"/>
              <w:rPr>
                <w:sz w:val="18"/>
                <w:szCs w:val="18"/>
              </w:rPr>
            </w:pPr>
            <w:r w:rsidRPr="0060702E">
              <w:rPr>
                <w:sz w:val="18"/>
                <w:szCs w:val="18"/>
              </w:rPr>
              <w:t xml:space="preserve">1,240 </w:t>
            </w:r>
          </w:p>
        </w:tc>
      </w:tr>
      <w:tr w:rsidR="004F2E99" w:rsidRPr="0060702E" w:rsidTr="001A4B93">
        <w:trPr>
          <w:trHeight w:val="142"/>
          <w:jc w:val="center"/>
        </w:trPr>
        <w:tc>
          <w:tcPr>
            <w:tcW w:w="1681" w:type="dxa"/>
          </w:tcPr>
          <w:p w:rsidR="004F2E99" w:rsidRPr="0060702E" w:rsidRDefault="004F2E99" w:rsidP="004F2E99">
            <w:pPr>
              <w:pStyle w:val="Default"/>
              <w:widowControl w:val="0"/>
              <w:rPr>
                <w:sz w:val="18"/>
                <w:szCs w:val="18"/>
              </w:rPr>
            </w:pPr>
            <w:r w:rsidRPr="0060702E">
              <w:rPr>
                <w:sz w:val="18"/>
                <w:szCs w:val="18"/>
              </w:rPr>
              <w:t>United States</w:t>
            </w:r>
          </w:p>
        </w:tc>
        <w:tc>
          <w:tcPr>
            <w:tcW w:w="1681" w:type="dxa"/>
          </w:tcPr>
          <w:p w:rsidR="004F2E99" w:rsidRPr="0060702E" w:rsidRDefault="004F2E99" w:rsidP="004F2E99">
            <w:pPr>
              <w:pStyle w:val="Default"/>
              <w:widowControl w:val="0"/>
              <w:tabs>
                <w:tab w:val="decimal" w:pos="1025"/>
              </w:tabs>
              <w:rPr>
                <w:sz w:val="18"/>
                <w:szCs w:val="18"/>
              </w:rPr>
            </w:pPr>
            <w:r w:rsidRPr="0060702E">
              <w:rPr>
                <w:sz w:val="18"/>
                <w:szCs w:val="18"/>
              </w:rPr>
              <w:t xml:space="preserve">4,054 </w:t>
            </w:r>
          </w:p>
        </w:tc>
        <w:tc>
          <w:tcPr>
            <w:tcW w:w="1681" w:type="dxa"/>
          </w:tcPr>
          <w:p w:rsidR="004F2E99" w:rsidRPr="0060702E" w:rsidRDefault="004F2E99" w:rsidP="004F2E99">
            <w:pPr>
              <w:pStyle w:val="Default"/>
              <w:widowControl w:val="0"/>
              <w:jc w:val="center"/>
              <w:rPr>
                <w:sz w:val="18"/>
                <w:szCs w:val="18"/>
              </w:rPr>
            </w:pPr>
            <w:r w:rsidRPr="0060702E">
              <w:rPr>
                <w:sz w:val="18"/>
                <w:szCs w:val="18"/>
              </w:rPr>
              <w:t>23.36%</w:t>
            </w:r>
          </w:p>
        </w:tc>
        <w:tc>
          <w:tcPr>
            <w:tcW w:w="1681" w:type="dxa"/>
          </w:tcPr>
          <w:p w:rsidR="004F2E99" w:rsidRPr="0060702E" w:rsidRDefault="004F2E99" w:rsidP="004F2E99">
            <w:pPr>
              <w:pStyle w:val="Default"/>
              <w:widowControl w:val="0"/>
              <w:tabs>
                <w:tab w:val="decimal" w:pos="1133"/>
              </w:tabs>
              <w:ind w:right="321"/>
              <w:jc w:val="right"/>
              <w:rPr>
                <w:sz w:val="18"/>
                <w:szCs w:val="18"/>
              </w:rPr>
            </w:pPr>
            <w:r w:rsidRPr="0060702E">
              <w:rPr>
                <w:sz w:val="18"/>
                <w:szCs w:val="18"/>
              </w:rPr>
              <w:t xml:space="preserve">947 </w:t>
            </w:r>
          </w:p>
        </w:tc>
      </w:tr>
      <w:tr w:rsidR="004F2E99" w:rsidRPr="0060702E" w:rsidTr="001A4B93">
        <w:trPr>
          <w:trHeight w:val="148"/>
          <w:jc w:val="center"/>
        </w:trPr>
        <w:tc>
          <w:tcPr>
            <w:tcW w:w="1681" w:type="dxa"/>
          </w:tcPr>
          <w:p w:rsidR="004F2E99" w:rsidRPr="0060702E" w:rsidRDefault="004F2E99" w:rsidP="004F2E99">
            <w:pPr>
              <w:pStyle w:val="Default"/>
              <w:widowControl w:val="0"/>
              <w:rPr>
                <w:sz w:val="18"/>
                <w:szCs w:val="18"/>
              </w:rPr>
            </w:pPr>
            <w:r w:rsidRPr="0060702E">
              <w:rPr>
                <w:sz w:val="18"/>
                <w:szCs w:val="18"/>
              </w:rPr>
              <w:t xml:space="preserve">Netherlands </w:t>
            </w:r>
          </w:p>
        </w:tc>
        <w:tc>
          <w:tcPr>
            <w:tcW w:w="1681" w:type="dxa"/>
          </w:tcPr>
          <w:p w:rsidR="004F2E99" w:rsidRPr="0060702E" w:rsidRDefault="004F2E99" w:rsidP="004F2E99">
            <w:pPr>
              <w:pStyle w:val="Default"/>
              <w:widowControl w:val="0"/>
              <w:tabs>
                <w:tab w:val="decimal" w:pos="1025"/>
              </w:tabs>
              <w:rPr>
                <w:sz w:val="18"/>
                <w:szCs w:val="18"/>
              </w:rPr>
            </w:pPr>
            <w:r w:rsidRPr="0060702E">
              <w:rPr>
                <w:sz w:val="18"/>
                <w:szCs w:val="18"/>
              </w:rPr>
              <w:t xml:space="preserve">3,613 </w:t>
            </w:r>
          </w:p>
        </w:tc>
        <w:tc>
          <w:tcPr>
            <w:tcW w:w="1681" w:type="dxa"/>
          </w:tcPr>
          <w:p w:rsidR="004F2E99" w:rsidRPr="0060702E" w:rsidRDefault="004F2E99" w:rsidP="004F2E99">
            <w:pPr>
              <w:pStyle w:val="Default"/>
              <w:widowControl w:val="0"/>
              <w:jc w:val="center"/>
              <w:rPr>
                <w:sz w:val="18"/>
                <w:szCs w:val="18"/>
              </w:rPr>
            </w:pPr>
            <w:r w:rsidRPr="0060702E">
              <w:rPr>
                <w:sz w:val="18"/>
                <w:szCs w:val="18"/>
              </w:rPr>
              <w:t>21.87%</w:t>
            </w:r>
          </w:p>
        </w:tc>
        <w:tc>
          <w:tcPr>
            <w:tcW w:w="1681" w:type="dxa"/>
          </w:tcPr>
          <w:p w:rsidR="004F2E99" w:rsidRPr="0060702E" w:rsidRDefault="004F2E99" w:rsidP="004F2E99">
            <w:pPr>
              <w:pStyle w:val="Default"/>
              <w:widowControl w:val="0"/>
              <w:tabs>
                <w:tab w:val="decimal" w:pos="1133"/>
              </w:tabs>
              <w:ind w:right="321"/>
              <w:jc w:val="right"/>
              <w:rPr>
                <w:sz w:val="18"/>
                <w:szCs w:val="18"/>
              </w:rPr>
            </w:pPr>
            <w:r w:rsidRPr="0060702E">
              <w:rPr>
                <w:sz w:val="18"/>
                <w:szCs w:val="18"/>
              </w:rPr>
              <w:t xml:space="preserve">790 </w:t>
            </w:r>
          </w:p>
        </w:tc>
      </w:tr>
      <w:tr w:rsidR="004F2E99" w:rsidRPr="0060702E" w:rsidTr="001A4B93">
        <w:trPr>
          <w:trHeight w:val="142"/>
          <w:jc w:val="center"/>
        </w:trPr>
        <w:tc>
          <w:tcPr>
            <w:tcW w:w="1681" w:type="dxa"/>
          </w:tcPr>
          <w:p w:rsidR="004F2E99" w:rsidRPr="0060702E" w:rsidRDefault="004F2E99" w:rsidP="004F2E99">
            <w:pPr>
              <w:pStyle w:val="Default"/>
              <w:widowControl w:val="0"/>
              <w:rPr>
                <w:sz w:val="18"/>
                <w:szCs w:val="18"/>
              </w:rPr>
            </w:pPr>
            <w:r w:rsidRPr="0060702E">
              <w:rPr>
                <w:sz w:val="18"/>
                <w:szCs w:val="18"/>
              </w:rPr>
              <w:t xml:space="preserve">Australia </w:t>
            </w:r>
          </w:p>
        </w:tc>
        <w:tc>
          <w:tcPr>
            <w:tcW w:w="1681" w:type="dxa"/>
          </w:tcPr>
          <w:p w:rsidR="004F2E99" w:rsidRPr="0060702E" w:rsidRDefault="004F2E99" w:rsidP="004F2E99">
            <w:pPr>
              <w:pStyle w:val="Default"/>
              <w:widowControl w:val="0"/>
              <w:tabs>
                <w:tab w:val="decimal" w:pos="1025"/>
              </w:tabs>
              <w:rPr>
                <w:sz w:val="18"/>
                <w:szCs w:val="18"/>
              </w:rPr>
            </w:pPr>
            <w:r w:rsidRPr="0060702E">
              <w:rPr>
                <w:sz w:val="18"/>
                <w:szCs w:val="18"/>
              </w:rPr>
              <w:t xml:space="preserve">2,513 </w:t>
            </w:r>
          </w:p>
        </w:tc>
        <w:tc>
          <w:tcPr>
            <w:tcW w:w="1681" w:type="dxa"/>
          </w:tcPr>
          <w:p w:rsidR="004F2E99" w:rsidRPr="0060702E" w:rsidRDefault="004F2E99" w:rsidP="004F2E99">
            <w:pPr>
              <w:pStyle w:val="Default"/>
              <w:widowControl w:val="0"/>
              <w:jc w:val="center"/>
              <w:rPr>
                <w:sz w:val="18"/>
                <w:szCs w:val="18"/>
              </w:rPr>
            </w:pPr>
            <w:r w:rsidRPr="0060702E">
              <w:rPr>
                <w:sz w:val="18"/>
                <w:szCs w:val="18"/>
              </w:rPr>
              <w:t>12.06%</w:t>
            </w:r>
          </w:p>
        </w:tc>
        <w:tc>
          <w:tcPr>
            <w:tcW w:w="1681" w:type="dxa"/>
          </w:tcPr>
          <w:p w:rsidR="004F2E99" w:rsidRPr="0060702E" w:rsidRDefault="004F2E99" w:rsidP="004F2E99">
            <w:pPr>
              <w:pStyle w:val="Default"/>
              <w:widowControl w:val="0"/>
              <w:tabs>
                <w:tab w:val="decimal" w:pos="1133"/>
              </w:tabs>
              <w:ind w:right="321"/>
              <w:jc w:val="right"/>
              <w:rPr>
                <w:sz w:val="18"/>
                <w:szCs w:val="18"/>
              </w:rPr>
            </w:pPr>
            <w:r w:rsidRPr="0060702E">
              <w:rPr>
                <w:sz w:val="18"/>
                <w:szCs w:val="18"/>
              </w:rPr>
              <w:t xml:space="preserve">303 </w:t>
            </w:r>
          </w:p>
        </w:tc>
      </w:tr>
      <w:tr w:rsidR="004F2E99" w:rsidRPr="0060702E" w:rsidTr="001A4B93">
        <w:trPr>
          <w:trHeight w:val="148"/>
          <w:jc w:val="center"/>
        </w:trPr>
        <w:tc>
          <w:tcPr>
            <w:tcW w:w="1681" w:type="dxa"/>
          </w:tcPr>
          <w:p w:rsidR="004F2E99" w:rsidRPr="0060702E" w:rsidRDefault="004F2E99" w:rsidP="004F2E99">
            <w:pPr>
              <w:pStyle w:val="Default"/>
              <w:widowControl w:val="0"/>
              <w:rPr>
                <w:sz w:val="18"/>
                <w:szCs w:val="18"/>
              </w:rPr>
            </w:pPr>
            <w:r w:rsidRPr="0060702E">
              <w:rPr>
                <w:sz w:val="18"/>
                <w:szCs w:val="18"/>
              </w:rPr>
              <w:t xml:space="preserve">Brazil </w:t>
            </w:r>
          </w:p>
        </w:tc>
        <w:tc>
          <w:tcPr>
            <w:tcW w:w="1681" w:type="dxa"/>
          </w:tcPr>
          <w:p w:rsidR="004F2E99" w:rsidRPr="0060702E" w:rsidRDefault="004F2E99" w:rsidP="004F2E99">
            <w:pPr>
              <w:pStyle w:val="Default"/>
              <w:widowControl w:val="0"/>
              <w:tabs>
                <w:tab w:val="decimal" w:pos="1025"/>
              </w:tabs>
              <w:rPr>
                <w:sz w:val="18"/>
                <w:szCs w:val="18"/>
              </w:rPr>
            </w:pPr>
            <w:r w:rsidRPr="0060702E">
              <w:rPr>
                <w:sz w:val="18"/>
                <w:szCs w:val="18"/>
              </w:rPr>
              <w:t xml:space="preserve">2,359 </w:t>
            </w:r>
          </w:p>
        </w:tc>
        <w:tc>
          <w:tcPr>
            <w:tcW w:w="1681" w:type="dxa"/>
          </w:tcPr>
          <w:p w:rsidR="004F2E99" w:rsidRPr="0060702E" w:rsidRDefault="004F2E99" w:rsidP="004F2E99">
            <w:pPr>
              <w:pStyle w:val="Default"/>
              <w:widowControl w:val="0"/>
              <w:jc w:val="center"/>
              <w:rPr>
                <w:sz w:val="18"/>
                <w:szCs w:val="18"/>
              </w:rPr>
            </w:pPr>
            <w:r w:rsidRPr="0060702E">
              <w:rPr>
                <w:sz w:val="18"/>
                <w:szCs w:val="18"/>
              </w:rPr>
              <w:t>33.36%</w:t>
            </w:r>
          </w:p>
        </w:tc>
        <w:tc>
          <w:tcPr>
            <w:tcW w:w="1681" w:type="dxa"/>
          </w:tcPr>
          <w:p w:rsidR="004F2E99" w:rsidRPr="0060702E" w:rsidRDefault="004F2E99" w:rsidP="004F2E99">
            <w:pPr>
              <w:pStyle w:val="Default"/>
              <w:widowControl w:val="0"/>
              <w:tabs>
                <w:tab w:val="decimal" w:pos="1133"/>
              </w:tabs>
              <w:ind w:right="321"/>
              <w:jc w:val="right"/>
              <w:rPr>
                <w:sz w:val="18"/>
                <w:szCs w:val="18"/>
              </w:rPr>
            </w:pPr>
            <w:r w:rsidRPr="0060702E">
              <w:rPr>
                <w:sz w:val="18"/>
                <w:szCs w:val="18"/>
              </w:rPr>
              <w:t xml:space="preserve">787 </w:t>
            </w:r>
          </w:p>
        </w:tc>
      </w:tr>
      <w:tr w:rsidR="004F2E99" w:rsidRPr="0060702E" w:rsidTr="001A4B93">
        <w:trPr>
          <w:trHeight w:val="142"/>
          <w:jc w:val="center"/>
        </w:trPr>
        <w:tc>
          <w:tcPr>
            <w:tcW w:w="1681" w:type="dxa"/>
          </w:tcPr>
          <w:p w:rsidR="004F2E99" w:rsidRPr="0060702E" w:rsidRDefault="004F2E99" w:rsidP="004F2E99">
            <w:pPr>
              <w:pStyle w:val="Default"/>
              <w:widowControl w:val="0"/>
              <w:rPr>
                <w:sz w:val="18"/>
                <w:szCs w:val="18"/>
              </w:rPr>
            </w:pPr>
            <w:r w:rsidRPr="0060702E">
              <w:rPr>
                <w:sz w:val="18"/>
                <w:szCs w:val="18"/>
              </w:rPr>
              <w:t xml:space="preserve">Ukraine </w:t>
            </w:r>
          </w:p>
        </w:tc>
        <w:tc>
          <w:tcPr>
            <w:tcW w:w="1681" w:type="dxa"/>
          </w:tcPr>
          <w:p w:rsidR="004F2E99" w:rsidRPr="0060702E" w:rsidRDefault="004F2E99" w:rsidP="004F2E99">
            <w:pPr>
              <w:pStyle w:val="Default"/>
              <w:widowControl w:val="0"/>
              <w:tabs>
                <w:tab w:val="decimal" w:pos="1025"/>
              </w:tabs>
              <w:rPr>
                <w:sz w:val="18"/>
                <w:szCs w:val="18"/>
              </w:rPr>
            </w:pPr>
            <w:r w:rsidRPr="0060702E">
              <w:rPr>
                <w:sz w:val="18"/>
                <w:szCs w:val="18"/>
              </w:rPr>
              <w:t xml:space="preserve">2,180 </w:t>
            </w:r>
          </w:p>
        </w:tc>
        <w:tc>
          <w:tcPr>
            <w:tcW w:w="1681" w:type="dxa"/>
          </w:tcPr>
          <w:p w:rsidR="004F2E99" w:rsidRPr="0060702E" w:rsidRDefault="004F2E99" w:rsidP="004F2E99">
            <w:pPr>
              <w:pStyle w:val="Default"/>
              <w:widowControl w:val="0"/>
              <w:jc w:val="center"/>
              <w:rPr>
                <w:sz w:val="18"/>
                <w:szCs w:val="18"/>
              </w:rPr>
            </w:pPr>
            <w:r w:rsidRPr="0060702E">
              <w:rPr>
                <w:sz w:val="18"/>
                <w:szCs w:val="18"/>
              </w:rPr>
              <w:t>13.12%</w:t>
            </w:r>
          </w:p>
        </w:tc>
        <w:tc>
          <w:tcPr>
            <w:tcW w:w="1681" w:type="dxa"/>
          </w:tcPr>
          <w:p w:rsidR="004F2E99" w:rsidRPr="0060702E" w:rsidRDefault="004F2E99" w:rsidP="004F2E99">
            <w:pPr>
              <w:pStyle w:val="Default"/>
              <w:widowControl w:val="0"/>
              <w:tabs>
                <w:tab w:val="decimal" w:pos="1133"/>
              </w:tabs>
              <w:ind w:right="321"/>
              <w:jc w:val="right"/>
              <w:rPr>
                <w:sz w:val="18"/>
                <w:szCs w:val="18"/>
              </w:rPr>
            </w:pPr>
            <w:r w:rsidRPr="0060702E">
              <w:rPr>
                <w:sz w:val="18"/>
                <w:szCs w:val="18"/>
              </w:rPr>
              <w:t xml:space="preserve">286 </w:t>
            </w:r>
          </w:p>
        </w:tc>
      </w:tr>
      <w:tr w:rsidR="004F2E99" w:rsidRPr="0060702E" w:rsidTr="001A4B93">
        <w:trPr>
          <w:trHeight w:val="148"/>
          <w:jc w:val="center"/>
        </w:trPr>
        <w:tc>
          <w:tcPr>
            <w:tcW w:w="1681" w:type="dxa"/>
          </w:tcPr>
          <w:p w:rsidR="004F2E99" w:rsidRPr="0060702E" w:rsidRDefault="004F2E99" w:rsidP="004F2E99">
            <w:pPr>
              <w:pStyle w:val="Default"/>
              <w:widowControl w:val="0"/>
              <w:rPr>
                <w:sz w:val="18"/>
                <w:szCs w:val="18"/>
              </w:rPr>
            </w:pPr>
            <w:r w:rsidRPr="0060702E">
              <w:rPr>
                <w:sz w:val="18"/>
                <w:szCs w:val="18"/>
              </w:rPr>
              <w:t xml:space="preserve">Russia </w:t>
            </w:r>
          </w:p>
        </w:tc>
        <w:tc>
          <w:tcPr>
            <w:tcW w:w="1681" w:type="dxa"/>
          </w:tcPr>
          <w:p w:rsidR="004F2E99" w:rsidRPr="0060702E" w:rsidRDefault="004F2E99" w:rsidP="004F2E99">
            <w:pPr>
              <w:pStyle w:val="Default"/>
              <w:widowControl w:val="0"/>
              <w:tabs>
                <w:tab w:val="decimal" w:pos="1025"/>
              </w:tabs>
              <w:rPr>
                <w:sz w:val="18"/>
                <w:szCs w:val="18"/>
              </w:rPr>
            </w:pPr>
            <w:r w:rsidRPr="0060702E">
              <w:rPr>
                <w:sz w:val="18"/>
                <w:szCs w:val="18"/>
              </w:rPr>
              <w:t xml:space="preserve">1,583 </w:t>
            </w:r>
          </w:p>
        </w:tc>
        <w:tc>
          <w:tcPr>
            <w:tcW w:w="1681" w:type="dxa"/>
          </w:tcPr>
          <w:p w:rsidR="004F2E99" w:rsidRPr="0060702E" w:rsidRDefault="004F2E99" w:rsidP="004F2E99">
            <w:pPr>
              <w:pStyle w:val="Default"/>
              <w:widowControl w:val="0"/>
              <w:jc w:val="center"/>
              <w:rPr>
                <w:sz w:val="18"/>
                <w:szCs w:val="18"/>
              </w:rPr>
            </w:pPr>
            <w:r w:rsidRPr="0060702E">
              <w:rPr>
                <w:sz w:val="18"/>
                <w:szCs w:val="18"/>
              </w:rPr>
              <w:t>15.41%</w:t>
            </w:r>
          </w:p>
        </w:tc>
        <w:tc>
          <w:tcPr>
            <w:tcW w:w="1681" w:type="dxa"/>
          </w:tcPr>
          <w:p w:rsidR="004F2E99" w:rsidRPr="0060702E" w:rsidRDefault="004F2E99" w:rsidP="004F2E99">
            <w:pPr>
              <w:pStyle w:val="Default"/>
              <w:widowControl w:val="0"/>
              <w:tabs>
                <w:tab w:val="decimal" w:pos="1133"/>
              </w:tabs>
              <w:ind w:right="321"/>
              <w:jc w:val="right"/>
              <w:rPr>
                <w:sz w:val="18"/>
                <w:szCs w:val="18"/>
              </w:rPr>
            </w:pPr>
            <w:r w:rsidRPr="0060702E">
              <w:rPr>
                <w:sz w:val="18"/>
                <w:szCs w:val="18"/>
              </w:rPr>
              <w:t xml:space="preserve">244 </w:t>
            </w:r>
          </w:p>
        </w:tc>
      </w:tr>
      <w:tr w:rsidR="004F2E99" w:rsidRPr="0060702E" w:rsidTr="001A4B93">
        <w:trPr>
          <w:trHeight w:val="142"/>
          <w:jc w:val="center"/>
        </w:trPr>
        <w:tc>
          <w:tcPr>
            <w:tcW w:w="1681" w:type="dxa"/>
          </w:tcPr>
          <w:p w:rsidR="004F2E99" w:rsidRPr="0060702E" w:rsidRDefault="004F2E99" w:rsidP="004F2E99">
            <w:pPr>
              <w:pStyle w:val="Default"/>
              <w:widowControl w:val="0"/>
              <w:rPr>
                <w:sz w:val="18"/>
                <w:szCs w:val="18"/>
              </w:rPr>
            </w:pPr>
            <w:r w:rsidRPr="0060702E">
              <w:rPr>
                <w:sz w:val="18"/>
                <w:szCs w:val="18"/>
              </w:rPr>
              <w:t xml:space="preserve">Germany </w:t>
            </w:r>
          </w:p>
        </w:tc>
        <w:tc>
          <w:tcPr>
            <w:tcW w:w="1681" w:type="dxa"/>
          </w:tcPr>
          <w:p w:rsidR="004F2E99" w:rsidRPr="0060702E" w:rsidRDefault="004F2E99" w:rsidP="004F2E99">
            <w:pPr>
              <w:pStyle w:val="Default"/>
              <w:widowControl w:val="0"/>
              <w:tabs>
                <w:tab w:val="decimal" w:pos="1025"/>
              </w:tabs>
              <w:rPr>
                <w:sz w:val="18"/>
                <w:szCs w:val="18"/>
              </w:rPr>
            </w:pPr>
            <w:r w:rsidRPr="0060702E">
              <w:rPr>
                <w:sz w:val="18"/>
                <w:szCs w:val="18"/>
              </w:rPr>
              <w:t xml:space="preserve">1,579 </w:t>
            </w:r>
          </w:p>
        </w:tc>
        <w:tc>
          <w:tcPr>
            <w:tcW w:w="1681" w:type="dxa"/>
          </w:tcPr>
          <w:p w:rsidR="004F2E99" w:rsidRPr="0060702E" w:rsidRDefault="004F2E99" w:rsidP="004F2E99">
            <w:pPr>
              <w:pStyle w:val="Default"/>
              <w:widowControl w:val="0"/>
              <w:jc w:val="center"/>
              <w:rPr>
                <w:sz w:val="18"/>
                <w:szCs w:val="18"/>
              </w:rPr>
            </w:pPr>
            <w:r w:rsidRPr="0060702E">
              <w:rPr>
                <w:sz w:val="18"/>
                <w:szCs w:val="18"/>
              </w:rPr>
              <w:t>34.07%</w:t>
            </w:r>
          </w:p>
        </w:tc>
        <w:tc>
          <w:tcPr>
            <w:tcW w:w="1681" w:type="dxa"/>
          </w:tcPr>
          <w:p w:rsidR="004F2E99" w:rsidRPr="0060702E" w:rsidRDefault="004F2E99" w:rsidP="004F2E99">
            <w:pPr>
              <w:pStyle w:val="Default"/>
              <w:widowControl w:val="0"/>
              <w:tabs>
                <w:tab w:val="decimal" w:pos="1133"/>
              </w:tabs>
              <w:ind w:right="321"/>
              <w:jc w:val="right"/>
              <w:rPr>
                <w:sz w:val="18"/>
                <w:szCs w:val="18"/>
              </w:rPr>
            </w:pPr>
            <w:r w:rsidRPr="0060702E">
              <w:rPr>
                <w:sz w:val="18"/>
                <w:szCs w:val="18"/>
              </w:rPr>
              <w:t xml:space="preserve">538 </w:t>
            </w:r>
          </w:p>
        </w:tc>
      </w:tr>
      <w:tr w:rsidR="004F2E99" w:rsidRPr="0060702E" w:rsidTr="001A4B93">
        <w:trPr>
          <w:trHeight w:val="148"/>
          <w:jc w:val="center"/>
        </w:trPr>
        <w:tc>
          <w:tcPr>
            <w:tcW w:w="1681" w:type="dxa"/>
          </w:tcPr>
          <w:p w:rsidR="004F2E99" w:rsidRPr="0060702E" w:rsidRDefault="004F2E99" w:rsidP="004F2E99">
            <w:pPr>
              <w:pStyle w:val="Default"/>
              <w:widowControl w:val="0"/>
              <w:rPr>
                <w:sz w:val="18"/>
                <w:szCs w:val="18"/>
              </w:rPr>
            </w:pPr>
            <w:r w:rsidRPr="0060702E">
              <w:rPr>
                <w:sz w:val="18"/>
                <w:szCs w:val="18"/>
              </w:rPr>
              <w:t xml:space="preserve">Japan </w:t>
            </w:r>
          </w:p>
        </w:tc>
        <w:tc>
          <w:tcPr>
            <w:tcW w:w="1681" w:type="dxa"/>
          </w:tcPr>
          <w:p w:rsidR="004F2E99" w:rsidRPr="0060702E" w:rsidRDefault="004F2E99" w:rsidP="004F2E99">
            <w:pPr>
              <w:pStyle w:val="Default"/>
              <w:widowControl w:val="0"/>
              <w:tabs>
                <w:tab w:val="decimal" w:pos="1025"/>
              </w:tabs>
              <w:rPr>
                <w:sz w:val="18"/>
                <w:szCs w:val="18"/>
              </w:rPr>
            </w:pPr>
            <w:r w:rsidRPr="0060702E">
              <w:rPr>
                <w:sz w:val="18"/>
                <w:szCs w:val="18"/>
              </w:rPr>
              <w:t xml:space="preserve">1,506 </w:t>
            </w:r>
          </w:p>
        </w:tc>
        <w:tc>
          <w:tcPr>
            <w:tcW w:w="1681" w:type="dxa"/>
          </w:tcPr>
          <w:p w:rsidR="004F2E99" w:rsidRPr="0060702E" w:rsidRDefault="004F2E99" w:rsidP="004F2E99">
            <w:pPr>
              <w:pStyle w:val="Default"/>
              <w:widowControl w:val="0"/>
              <w:jc w:val="center"/>
              <w:rPr>
                <w:sz w:val="18"/>
                <w:szCs w:val="18"/>
              </w:rPr>
            </w:pPr>
            <w:r w:rsidRPr="0060702E">
              <w:rPr>
                <w:sz w:val="18"/>
                <w:szCs w:val="18"/>
              </w:rPr>
              <w:t>27.56%</w:t>
            </w:r>
          </w:p>
        </w:tc>
        <w:tc>
          <w:tcPr>
            <w:tcW w:w="1681" w:type="dxa"/>
          </w:tcPr>
          <w:p w:rsidR="004F2E99" w:rsidRPr="0060702E" w:rsidRDefault="004F2E99" w:rsidP="004F2E99">
            <w:pPr>
              <w:pStyle w:val="Default"/>
              <w:widowControl w:val="0"/>
              <w:tabs>
                <w:tab w:val="decimal" w:pos="1133"/>
              </w:tabs>
              <w:ind w:right="321"/>
              <w:jc w:val="right"/>
              <w:rPr>
                <w:sz w:val="18"/>
                <w:szCs w:val="18"/>
              </w:rPr>
            </w:pPr>
            <w:r w:rsidRPr="0060702E">
              <w:rPr>
                <w:sz w:val="18"/>
                <w:szCs w:val="18"/>
              </w:rPr>
              <w:t xml:space="preserve">415 </w:t>
            </w:r>
          </w:p>
        </w:tc>
      </w:tr>
      <w:tr w:rsidR="004F2E99" w:rsidRPr="0060702E" w:rsidTr="001A4B93">
        <w:trPr>
          <w:trHeight w:val="142"/>
          <w:jc w:val="center"/>
        </w:trPr>
        <w:tc>
          <w:tcPr>
            <w:tcW w:w="1681" w:type="dxa"/>
          </w:tcPr>
          <w:p w:rsidR="004F2E99" w:rsidRPr="0060702E" w:rsidRDefault="004F2E99" w:rsidP="004F2E99">
            <w:pPr>
              <w:pStyle w:val="Default"/>
              <w:widowControl w:val="0"/>
              <w:rPr>
                <w:sz w:val="18"/>
                <w:szCs w:val="18"/>
              </w:rPr>
            </w:pPr>
            <w:r w:rsidRPr="0060702E">
              <w:rPr>
                <w:sz w:val="18"/>
                <w:szCs w:val="18"/>
              </w:rPr>
              <w:t xml:space="preserve">Switzerland </w:t>
            </w:r>
          </w:p>
        </w:tc>
        <w:tc>
          <w:tcPr>
            <w:tcW w:w="1681" w:type="dxa"/>
          </w:tcPr>
          <w:p w:rsidR="004F2E99" w:rsidRPr="0060702E" w:rsidRDefault="004F2E99" w:rsidP="004F2E99">
            <w:pPr>
              <w:pStyle w:val="Default"/>
              <w:widowControl w:val="0"/>
              <w:tabs>
                <w:tab w:val="decimal" w:pos="1025"/>
              </w:tabs>
              <w:rPr>
                <w:sz w:val="18"/>
                <w:szCs w:val="18"/>
              </w:rPr>
            </w:pPr>
            <w:r w:rsidRPr="0060702E">
              <w:rPr>
                <w:sz w:val="18"/>
                <w:szCs w:val="18"/>
              </w:rPr>
              <w:t xml:space="preserve">1,338 </w:t>
            </w:r>
          </w:p>
        </w:tc>
        <w:tc>
          <w:tcPr>
            <w:tcW w:w="1681" w:type="dxa"/>
          </w:tcPr>
          <w:p w:rsidR="004F2E99" w:rsidRPr="0060702E" w:rsidRDefault="004F2E99" w:rsidP="004F2E99">
            <w:pPr>
              <w:pStyle w:val="Default"/>
              <w:widowControl w:val="0"/>
              <w:jc w:val="center"/>
              <w:rPr>
                <w:sz w:val="18"/>
                <w:szCs w:val="18"/>
              </w:rPr>
            </w:pPr>
            <w:r w:rsidRPr="0060702E">
              <w:rPr>
                <w:sz w:val="18"/>
                <w:szCs w:val="18"/>
              </w:rPr>
              <w:t>22.94%</w:t>
            </w:r>
          </w:p>
        </w:tc>
        <w:tc>
          <w:tcPr>
            <w:tcW w:w="1681" w:type="dxa"/>
          </w:tcPr>
          <w:p w:rsidR="004F2E99" w:rsidRPr="0060702E" w:rsidRDefault="004F2E99" w:rsidP="004F2E99">
            <w:pPr>
              <w:pStyle w:val="Default"/>
              <w:widowControl w:val="0"/>
              <w:tabs>
                <w:tab w:val="decimal" w:pos="1133"/>
              </w:tabs>
              <w:ind w:right="321"/>
              <w:jc w:val="right"/>
              <w:rPr>
                <w:sz w:val="18"/>
                <w:szCs w:val="18"/>
              </w:rPr>
            </w:pPr>
            <w:r w:rsidRPr="0060702E">
              <w:rPr>
                <w:sz w:val="18"/>
                <w:szCs w:val="18"/>
              </w:rPr>
              <w:t xml:space="preserve">307 </w:t>
            </w:r>
          </w:p>
        </w:tc>
      </w:tr>
    </w:tbl>
    <w:p w:rsidR="004F2E99" w:rsidRPr="0060702E" w:rsidRDefault="004F2E99" w:rsidP="001A4B93">
      <w:pPr>
        <w:widowControl w:val="0"/>
        <w:jc w:val="center"/>
        <w:rPr>
          <w:rFonts w:eastAsiaTheme="minorEastAsia"/>
          <w:b/>
          <w:bCs/>
          <w:sz w:val="18"/>
          <w:szCs w:val="22"/>
        </w:rPr>
      </w:pPr>
    </w:p>
    <w:p w:rsidR="004F2E99" w:rsidRPr="0060702E" w:rsidRDefault="004F2E99" w:rsidP="001A4B93">
      <w:pPr>
        <w:widowControl w:val="0"/>
        <w:jc w:val="center"/>
        <w:rPr>
          <w:rFonts w:eastAsiaTheme="minorEastAsia"/>
          <w:bCs/>
          <w:sz w:val="18"/>
          <w:szCs w:val="22"/>
        </w:rPr>
      </w:pPr>
      <w:r w:rsidRPr="0060702E">
        <w:rPr>
          <w:rFonts w:eastAsiaTheme="minorEastAsia"/>
          <w:bCs/>
          <w:sz w:val="18"/>
          <w:szCs w:val="22"/>
        </w:rPr>
        <w:t>Evolution of visits</w:t>
      </w:r>
    </w:p>
    <w:p w:rsidR="004F2E99" w:rsidRPr="0060702E" w:rsidRDefault="004F2E99" w:rsidP="001A4B93">
      <w:pPr>
        <w:widowControl w:val="0"/>
        <w:jc w:val="center"/>
        <w:rPr>
          <w:rFonts w:eastAsiaTheme="minorEastAsia"/>
          <w:sz w:val="14"/>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44"/>
        <w:gridCol w:w="1710"/>
        <w:gridCol w:w="1985"/>
      </w:tblGrid>
      <w:tr w:rsidR="004F2E99" w:rsidRPr="0060702E" w:rsidTr="001A4B93">
        <w:trPr>
          <w:trHeight w:val="143"/>
          <w:jc w:val="center"/>
        </w:trPr>
        <w:tc>
          <w:tcPr>
            <w:tcW w:w="1644" w:type="dxa"/>
          </w:tcPr>
          <w:p w:rsidR="004F2E99" w:rsidRPr="0060702E" w:rsidRDefault="004F2E99" w:rsidP="004F2E99">
            <w:pPr>
              <w:widowControl w:val="0"/>
              <w:autoSpaceDE w:val="0"/>
              <w:autoSpaceDN w:val="0"/>
              <w:adjustRightInd w:val="0"/>
              <w:jc w:val="left"/>
              <w:rPr>
                <w:rFonts w:eastAsiaTheme="minorEastAsia" w:cs="Arial"/>
                <w:color w:val="000000"/>
                <w:sz w:val="18"/>
                <w:szCs w:val="22"/>
              </w:rPr>
            </w:pPr>
            <w:r w:rsidRPr="0060702E">
              <w:rPr>
                <w:rFonts w:eastAsiaTheme="minorEastAsia" w:cs="Arial"/>
                <w:bCs/>
                <w:color w:val="000000"/>
                <w:sz w:val="18"/>
                <w:szCs w:val="22"/>
              </w:rPr>
              <w:t xml:space="preserve">Year </w:t>
            </w:r>
          </w:p>
        </w:tc>
        <w:tc>
          <w:tcPr>
            <w:tcW w:w="1710" w:type="dxa"/>
          </w:tcPr>
          <w:p w:rsidR="004F2E99" w:rsidRPr="0060702E" w:rsidRDefault="004F2E99" w:rsidP="004F2E99">
            <w:pPr>
              <w:widowControl w:val="0"/>
              <w:autoSpaceDE w:val="0"/>
              <w:autoSpaceDN w:val="0"/>
              <w:adjustRightInd w:val="0"/>
              <w:jc w:val="left"/>
              <w:rPr>
                <w:rFonts w:eastAsiaTheme="minorEastAsia" w:cs="Arial"/>
                <w:color w:val="000000"/>
                <w:sz w:val="18"/>
                <w:szCs w:val="22"/>
              </w:rPr>
            </w:pPr>
            <w:proofErr w:type="spellStart"/>
            <w:r w:rsidRPr="0060702E">
              <w:rPr>
                <w:rFonts w:eastAsiaTheme="minorEastAsia" w:cs="Arial"/>
                <w:bCs/>
                <w:color w:val="000000"/>
                <w:sz w:val="18"/>
                <w:szCs w:val="22"/>
              </w:rPr>
              <w:t>Pageviews</w:t>
            </w:r>
            <w:proofErr w:type="spellEnd"/>
          </w:p>
        </w:tc>
        <w:tc>
          <w:tcPr>
            <w:tcW w:w="1985" w:type="dxa"/>
          </w:tcPr>
          <w:p w:rsidR="004F2E99" w:rsidRPr="0060702E" w:rsidRDefault="004F2E99" w:rsidP="004F2E99">
            <w:pPr>
              <w:widowControl w:val="0"/>
              <w:autoSpaceDE w:val="0"/>
              <w:autoSpaceDN w:val="0"/>
              <w:adjustRightInd w:val="0"/>
              <w:jc w:val="left"/>
              <w:rPr>
                <w:rFonts w:eastAsiaTheme="minorEastAsia" w:cs="Arial"/>
                <w:bCs/>
                <w:color w:val="000000"/>
                <w:sz w:val="18"/>
                <w:szCs w:val="22"/>
              </w:rPr>
            </w:pPr>
            <w:r w:rsidRPr="0060702E">
              <w:rPr>
                <w:rFonts w:eastAsiaTheme="minorEastAsia" w:cs="Arial"/>
                <w:bCs/>
                <w:color w:val="000000"/>
                <w:sz w:val="18"/>
                <w:szCs w:val="22"/>
              </w:rPr>
              <w:t xml:space="preserve">Unique </w:t>
            </w:r>
            <w:proofErr w:type="spellStart"/>
            <w:r w:rsidRPr="0060702E">
              <w:rPr>
                <w:rFonts w:eastAsiaTheme="minorEastAsia" w:cs="Arial"/>
                <w:bCs/>
                <w:color w:val="000000"/>
                <w:sz w:val="18"/>
                <w:szCs w:val="22"/>
              </w:rPr>
              <w:t>pageviews</w:t>
            </w:r>
            <w:proofErr w:type="spellEnd"/>
            <w:r w:rsidRPr="0060702E">
              <w:rPr>
                <w:rFonts w:eastAsiaTheme="minorEastAsia" w:cs="Arial"/>
                <w:bCs/>
                <w:color w:val="000000"/>
                <w:sz w:val="18"/>
                <w:szCs w:val="22"/>
              </w:rPr>
              <w:t xml:space="preserve"> </w:t>
            </w:r>
          </w:p>
          <w:p w:rsidR="004F2E99" w:rsidRPr="0060702E" w:rsidRDefault="004F2E99" w:rsidP="004F2E99">
            <w:pPr>
              <w:widowControl w:val="0"/>
              <w:autoSpaceDE w:val="0"/>
              <w:autoSpaceDN w:val="0"/>
              <w:adjustRightInd w:val="0"/>
              <w:jc w:val="left"/>
              <w:rPr>
                <w:rFonts w:eastAsiaTheme="minorEastAsia" w:cs="Arial"/>
                <w:color w:val="000000"/>
                <w:sz w:val="18"/>
                <w:szCs w:val="22"/>
              </w:rPr>
            </w:pPr>
          </w:p>
        </w:tc>
      </w:tr>
      <w:tr w:rsidR="004F2E99" w:rsidRPr="0060702E" w:rsidTr="001A4B93">
        <w:trPr>
          <w:trHeight w:val="148"/>
          <w:jc w:val="center"/>
        </w:trPr>
        <w:tc>
          <w:tcPr>
            <w:tcW w:w="1644" w:type="dxa"/>
          </w:tcPr>
          <w:p w:rsidR="004F2E99" w:rsidRPr="0060702E" w:rsidRDefault="004F2E99" w:rsidP="004F2E99">
            <w:pPr>
              <w:widowControl w:val="0"/>
              <w:autoSpaceDE w:val="0"/>
              <w:autoSpaceDN w:val="0"/>
              <w:adjustRightInd w:val="0"/>
              <w:jc w:val="left"/>
              <w:rPr>
                <w:rFonts w:cs="Arial"/>
                <w:color w:val="000000"/>
                <w:sz w:val="18"/>
                <w:szCs w:val="18"/>
              </w:rPr>
            </w:pPr>
            <w:r w:rsidRPr="0060702E">
              <w:rPr>
                <w:rFonts w:cs="Arial"/>
                <w:color w:val="000000"/>
                <w:sz w:val="18"/>
                <w:szCs w:val="18"/>
              </w:rPr>
              <w:t xml:space="preserve">2013 </w:t>
            </w:r>
          </w:p>
        </w:tc>
        <w:tc>
          <w:tcPr>
            <w:tcW w:w="1710" w:type="dxa"/>
          </w:tcPr>
          <w:p w:rsidR="004F2E99" w:rsidRPr="0060702E" w:rsidRDefault="004F2E99" w:rsidP="004F2E99">
            <w:pPr>
              <w:widowControl w:val="0"/>
              <w:tabs>
                <w:tab w:val="decimal" w:pos="874"/>
              </w:tabs>
              <w:autoSpaceDE w:val="0"/>
              <w:autoSpaceDN w:val="0"/>
              <w:adjustRightInd w:val="0"/>
              <w:jc w:val="left"/>
              <w:rPr>
                <w:rFonts w:cs="Arial"/>
                <w:color w:val="000000"/>
                <w:sz w:val="18"/>
                <w:szCs w:val="18"/>
              </w:rPr>
            </w:pPr>
            <w:r w:rsidRPr="0060702E">
              <w:rPr>
                <w:rFonts w:cs="Arial"/>
                <w:color w:val="000000"/>
                <w:sz w:val="18"/>
                <w:szCs w:val="18"/>
              </w:rPr>
              <w:t xml:space="preserve">70,739 </w:t>
            </w:r>
          </w:p>
        </w:tc>
        <w:tc>
          <w:tcPr>
            <w:tcW w:w="1985" w:type="dxa"/>
          </w:tcPr>
          <w:p w:rsidR="004F2E99" w:rsidRPr="0060702E" w:rsidRDefault="004F2E99" w:rsidP="004F2E99">
            <w:pPr>
              <w:widowControl w:val="0"/>
              <w:tabs>
                <w:tab w:val="decimal" w:pos="1057"/>
              </w:tabs>
              <w:autoSpaceDE w:val="0"/>
              <w:autoSpaceDN w:val="0"/>
              <w:adjustRightInd w:val="0"/>
              <w:jc w:val="left"/>
              <w:rPr>
                <w:rFonts w:cs="Arial"/>
                <w:color w:val="000000"/>
                <w:sz w:val="18"/>
                <w:szCs w:val="18"/>
              </w:rPr>
            </w:pPr>
            <w:r w:rsidRPr="0060702E">
              <w:rPr>
                <w:rFonts w:cs="Arial"/>
                <w:color w:val="000000"/>
                <w:sz w:val="18"/>
                <w:szCs w:val="18"/>
              </w:rPr>
              <w:t>44,370</w:t>
            </w:r>
          </w:p>
        </w:tc>
      </w:tr>
      <w:tr w:rsidR="004F2E99" w:rsidRPr="0060702E" w:rsidTr="001A4B93">
        <w:trPr>
          <w:trHeight w:val="148"/>
          <w:jc w:val="center"/>
        </w:trPr>
        <w:tc>
          <w:tcPr>
            <w:tcW w:w="1644" w:type="dxa"/>
          </w:tcPr>
          <w:p w:rsidR="004F2E99" w:rsidRPr="0060702E" w:rsidRDefault="004F2E99" w:rsidP="004F2E99">
            <w:pPr>
              <w:widowControl w:val="0"/>
              <w:autoSpaceDE w:val="0"/>
              <w:autoSpaceDN w:val="0"/>
              <w:adjustRightInd w:val="0"/>
              <w:jc w:val="left"/>
              <w:rPr>
                <w:rFonts w:cs="Arial"/>
                <w:color w:val="000000"/>
                <w:sz w:val="18"/>
                <w:szCs w:val="18"/>
              </w:rPr>
            </w:pPr>
            <w:r w:rsidRPr="0060702E">
              <w:rPr>
                <w:rFonts w:cs="Arial"/>
                <w:color w:val="000000"/>
                <w:sz w:val="18"/>
                <w:szCs w:val="18"/>
              </w:rPr>
              <w:t xml:space="preserve">2012 </w:t>
            </w:r>
          </w:p>
        </w:tc>
        <w:tc>
          <w:tcPr>
            <w:tcW w:w="1710" w:type="dxa"/>
          </w:tcPr>
          <w:p w:rsidR="004F2E99" w:rsidRPr="0060702E" w:rsidRDefault="004F2E99" w:rsidP="004F2E99">
            <w:pPr>
              <w:widowControl w:val="0"/>
              <w:tabs>
                <w:tab w:val="decimal" w:pos="874"/>
              </w:tabs>
              <w:autoSpaceDE w:val="0"/>
              <w:autoSpaceDN w:val="0"/>
              <w:adjustRightInd w:val="0"/>
              <w:jc w:val="left"/>
              <w:rPr>
                <w:rFonts w:cs="Arial"/>
                <w:color w:val="000000"/>
                <w:sz w:val="18"/>
                <w:szCs w:val="18"/>
              </w:rPr>
            </w:pPr>
            <w:r w:rsidRPr="0060702E">
              <w:rPr>
                <w:rFonts w:cs="Arial"/>
                <w:color w:val="000000"/>
                <w:sz w:val="18"/>
                <w:szCs w:val="18"/>
              </w:rPr>
              <w:t>255,108</w:t>
            </w:r>
          </w:p>
        </w:tc>
        <w:tc>
          <w:tcPr>
            <w:tcW w:w="1985" w:type="dxa"/>
          </w:tcPr>
          <w:p w:rsidR="004F2E99" w:rsidRPr="0060702E" w:rsidRDefault="004F2E99" w:rsidP="004F2E99">
            <w:pPr>
              <w:widowControl w:val="0"/>
              <w:tabs>
                <w:tab w:val="decimal" w:pos="1057"/>
              </w:tabs>
              <w:autoSpaceDE w:val="0"/>
              <w:autoSpaceDN w:val="0"/>
              <w:adjustRightInd w:val="0"/>
              <w:jc w:val="left"/>
              <w:rPr>
                <w:rFonts w:cs="Arial"/>
                <w:color w:val="000000"/>
                <w:sz w:val="18"/>
                <w:szCs w:val="18"/>
              </w:rPr>
            </w:pPr>
            <w:r w:rsidRPr="0060702E">
              <w:rPr>
                <w:rFonts w:cs="Arial"/>
                <w:color w:val="000000"/>
                <w:sz w:val="18"/>
                <w:szCs w:val="18"/>
              </w:rPr>
              <w:t>51,111</w:t>
            </w:r>
          </w:p>
        </w:tc>
      </w:tr>
      <w:tr w:rsidR="004F2E99" w:rsidRPr="0060702E" w:rsidTr="001A4B93">
        <w:trPr>
          <w:trHeight w:val="148"/>
          <w:jc w:val="center"/>
        </w:trPr>
        <w:tc>
          <w:tcPr>
            <w:tcW w:w="1644" w:type="dxa"/>
          </w:tcPr>
          <w:p w:rsidR="004F2E99" w:rsidRPr="0060702E" w:rsidRDefault="004F2E99" w:rsidP="004F2E99">
            <w:pPr>
              <w:widowControl w:val="0"/>
              <w:autoSpaceDE w:val="0"/>
              <w:autoSpaceDN w:val="0"/>
              <w:adjustRightInd w:val="0"/>
              <w:jc w:val="left"/>
              <w:rPr>
                <w:rFonts w:cs="Arial"/>
                <w:color w:val="000000"/>
                <w:sz w:val="18"/>
                <w:szCs w:val="18"/>
              </w:rPr>
            </w:pPr>
            <w:r w:rsidRPr="0060702E">
              <w:rPr>
                <w:rFonts w:cs="Arial"/>
                <w:color w:val="000000"/>
                <w:sz w:val="18"/>
                <w:szCs w:val="18"/>
              </w:rPr>
              <w:t xml:space="preserve">2011 </w:t>
            </w:r>
          </w:p>
        </w:tc>
        <w:tc>
          <w:tcPr>
            <w:tcW w:w="1710" w:type="dxa"/>
          </w:tcPr>
          <w:p w:rsidR="004F2E99" w:rsidRPr="0060702E" w:rsidRDefault="004F2E99" w:rsidP="004F2E99">
            <w:pPr>
              <w:widowControl w:val="0"/>
              <w:tabs>
                <w:tab w:val="decimal" w:pos="874"/>
              </w:tabs>
              <w:autoSpaceDE w:val="0"/>
              <w:autoSpaceDN w:val="0"/>
              <w:adjustRightInd w:val="0"/>
              <w:jc w:val="left"/>
              <w:rPr>
                <w:rFonts w:cs="Arial"/>
                <w:color w:val="000000"/>
                <w:sz w:val="18"/>
                <w:szCs w:val="18"/>
              </w:rPr>
            </w:pPr>
            <w:r w:rsidRPr="0060702E">
              <w:rPr>
                <w:rFonts w:cs="Arial"/>
                <w:color w:val="000000"/>
                <w:sz w:val="18"/>
                <w:szCs w:val="18"/>
              </w:rPr>
              <w:t>30,226</w:t>
            </w:r>
          </w:p>
        </w:tc>
        <w:tc>
          <w:tcPr>
            <w:tcW w:w="1985" w:type="dxa"/>
          </w:tcPr>
          <w:p w:rsidR="004F2E99" w:rsidRPr="0060702E" w:rsidRDefault="004F2E99" w:rsidP="004F2E99">
            <w:pPr>
              <w:widowControl w:val="0"/>
              <w:tabs>
                <w:tab w:val="decimal" w:pos="1057"/>
              </w:tabs>
              <w:autoSpaceDE w:val="0"/>
              <w:autoSpaceDN w:val="0"/>
              <w:adjustRightInd w:val="0"/>
              <w:jc w:val="left"/>
              <w:rPr>
                <w:rFonts w:cs="Arial"/>
                <w:color w:val="000000"/>
                <w:sz w:val="18"/>
                <w:szCs w:val="18"/>
              </w:rPr>
            </w:pPr>
            <w:r w:rsidRPr="0060702E">
              <w:rPr>
                <w:rFonts w:cs="Arial"/>
                <w:color w:val="000000"/>
                <w:sz w:val="18"/>
                <w:szCs w:val="18"/>
              </w:rPr>
              <w:t>6,316</w:t>
            </w:r>
          </w:p>
        </w:tc>
      </w:tr>
    </w:tbl>
    <w:p w:rsidR="004F2E99" w:rsidRDefault="004F2E99" w:rsidP="004F2E99">
      <w:pPr>
        <w:widowControl w:val="0"/>
        <w:rPr>
          <w:rFonts w:eastAsiaTheme="minorEastAsia"/>
          <w:sz w:val="18"/>
          <w:szCs w:val="18"/>
        </w:rPr>
      </w:pPr>
    </w:p>
    <w:p w:rsidR="001A4B93" w:rsidRPr="0060702E" w:rsidRDefault="001A4B93" w:rsidP="004F2E99">
      <w:pPr>
        <w:widowControl w:val="0"/>
        <w:rPr>
          <w:rFonts w:eastAsiaTheme="minorEastAsia"/>
          <w:sz w:val="18"/>
          <w:szCs w:val="18"/>
        </w:rPr>
      </w:pPr>
    </w:p>
    <w:p w:rsidR="004F2E99" w:rsidRPr="0060702E" w:rsidRDefault="004F2E99" w:rsidP="004F2E99">
      <w:pPr>
        <w:widowControl w:val="0"/>
        <w:jc w:val="left"/>
        <w:rPr>
          <w:sz w:val="18"/>
          <w:szCs w:val="18"/>
        </w:rPr>
      </w:pPr>
      <w:r w:rsidRPr="0060702E">
        <w:rPr>
          <w:sz w:val="18"/>
          <w:szCs w:val="18"/>
        </w:rPr>
        <w:t xml:space="preserve">Improvements in relation to the </w:t>
      </w:r>
      <w:r w:rsidRPr="0060702E">
        <w:rPr>
          <w:color w:val="000000"/>
          <w:sz w:val="18"/>
          <w:szCs w:val="18"/>
        </w:rPr>
        <w:t>Plant Variety Database</w:t>
      </w:r>
      <w:r w:rsidRPr="0060702E">
        <w:rPr>
          <w:sz w:val="18"/>
          <w:szCs w:val="18"/>
        </w:rPr>
        <w:t xml:space="preserve"> (PLUTO database) included:</w:t>
      </w:r>
    </w:p>
    <w:p w:rsidR="004F2E99" w:rsidRPr="0060702E" w:rsidRDefault="004F2E99" w:rsidP="004F2E99">
      <w:pPr>
        <w:widowControl w:val="0"/>
        <w:jc w:val="left"/>
        <w:rPr>
          <w:sz w:val="18"/>
          <w:szCs w:val="18"/>
        </w:rPr>
      </w:pPr>
    </w:p>
    <w:p w:rsidR="004F2E99" w:rsidRPr="0060702E" w:rsidRDefault="004F2E99" w:rsidP="001A4B93">
      <w:pPr>
        <w:widowControl w:val="0"/>
        <w:spacing w:after="120"/>
        <w:jc w:val="left"/>
        <w:rPr>
          <w:sz w:val="18"/>
          <w:szCs w:val="18"/>
        </w:rPr>
      </w:pPr>
      <w:r w:rsidRPr="0060702E">
        <w:rPr>
          <w:sz w:val="18"/>
          <w:szCs w:val="18"/>
        </w:rPr>
        <w:t>In 2012:</w:t>
      </w:r>
    </w:p>
    <w:p w:rsidR="004F2E99" w:rsidRPr="0060702E" w:rsidRDefault="004F2E99" w:rsidP="001A4B93">
      <w:pPr>
        <w:pStyle w:val="ListParagraph"/>
        <w:widowControl w:val="0"/>
        <w:numPr>
          <w:ilvl w:val="0"/>
          <w:numId w:val="3"/>
        </w:numPr>
        <w:spacing w:after="120"/>
        <w:contextualSpacing w:val="0"/>
        <w:jc w:val="left"/>
        <w:rPr>
          <w:sz w:val="18"/>
          <w:szCs w:val="18"/>
        </w:rPr>
      </w:pPr>
      <w:r w:rsidRPr="0060702E">
        <w:rPr>
          <w:sz w:val="18"/>
          <w:szCs w:val="18"/>
        </w:rPr>
        <w:t>New features:</w:t>
      </w:r>
    </w:p>
    <w:p w:rsidR="004F2E99" w:rsidRPr="0060702E" w:rsidRDefault="004F2E99" w:rsidP="004F2E99">
      <w:pPr>
        <w:pStyle w:val="ListParagraph"/>
        <w:widowControl w:val="0"/>
        <w:numPr>
          <w:ilvl w:val="0"/>
          <w:numId w:val="7"/>
        </w:numPr>
        <w:spacing w:after="60"/>
        <w:ind w:left="1162" w:hanging="357"/>
        <w:contextualSpacing w:val="0"/>
        <w:jc w:val="left"/>
        <w:rPr>
          <w:sz w:val="18"/>
          <w:szCs w:val="18"/>
        </w:rPr>
      </w:pPr>
      <w:r w:rsidRPr="0060702E">
        <w:rPr>
          <w:sz w:val="18"/>
          <w:szCs w:val="18"/>
        </w:rPr>
        <w:t>Page for searching variety denominations;</w:t>
      </w:r>
    </w:p>
    <w:p w:rsidR="004F2E99" w:rsidRPr="0060702E" w:rsidRDefault="004F2E99" w:rsidP="004F2E99">
      <w:pPr>
        <w:pStyle w:val="ListParagraph"/>
        <w:widowControl w:val="0"/>
        <w:numPr>
          <w:ilvl w:val="0"/>
          <w:numId w:val="7"/>
        </w:numPr>
        <w:spacing w:after="60"/>
        <w:ind w:left="1162" w:hanging="357"/>
        <w:contextualSpacing w:val="0"/>
        <w:jc w:val="left"/>
        <w:rPr>
          <w:sz w:val="18"/>
          <w:szCs w:val="18"/>
        </w:rPr>
      </w:pPr>
      <w:r w:rsidRPr="0060702E">
        <w:rPr>
          <w:sz w:val="18"/>
          <w:szCs w:val="18"/>
        </w:rPr>
        <w:t>Options to save search settings for the PLUTO database;</w:t>
      </w:r>
    </w:p>
    <w:p w:rsidR="004F2E99" w:rsidRPr="0060702E" w:rsidRDefault="004F2E99" w:rsidP="004F2E99">
      <w:pPr>
        <w:pStyle w:val="ListParagraph"/>
        <w:widowControl w:val="0"/>
        <w:numPr>
          <w:ilvl w:val="0"/>
          <w:numId w:val="7"/>
        </w:numPr>
        <w:spacing w:after="60"/>
        <w:ind w:left="1162" w:hanging="357"/>
        <w:contextualSpacing w:val="0"/>
        <w:jc w:val="left"/>
        <w:rPr>
          <w:sz w:val="18"/>
          <w:szCs w:val="18"/>
        </w:rPr>
      </w:pPr>
      <w:r w:rsidRPr="0060702E">
        <w:rPr>
          <w:sz w:val="18"/>
          <w:szCs w:val="18"/>
        </w:rPr>
        <w:t xml:space="preserve">Requirement for users of the PLUTO Database to register to use the database, with a view to using that information for future improvements; </w:t>
      </w:r>
    </w:p>
    <w:p w:rsidR="004F2E99" w:rsidRPr="0060702E" w:rsidRDefault="004F2E99" w:rsidP="004F2E99">
      <w:pPr>
        <w:pStyle w:val="ListParagraph"/>
        <w:widowControl w:val="0"/>
        <w:numPr>
          <w:ilvl w:val="0"/>
          <w:numId w:val="7"/>
        </w:numPr>
        <w:spacing w:after="60"/>
        <w:ind w:left="1162" w:hanging="357"/>
        <w:contextualSpacing w:val="0"/>
        <w:jc w:val="left"/>
        <w:rPr>
          <w:sz w:val="18"/>
          <w:szCs w:val="18"/>
        </w:rPr>
      </w:pPr>
      <w:r w:rsidRPr="0060702E">
        <w:rPr>
          <w:sz w:val="18"/>
          <w:szCs w:val="18"/>
        </w:rPr>
        <w:t>Introduction of arrangements for the inclusion of data in the original alphabet, in addition to the data being provided in Roman alphabet;  and</w:t>
      </w:r>
    </w:p>
    <w:p w:rsidR="004F2E99" w:rsidRPr="0060702E" w:rsidRDefault="004F2E99" w:rsidP="004F2E99">
      <w:pPr>
        <w:pStyle w:val="ListParagraph"/>
        <w:widowControl w:val="0"/>
        <w:numPr>
          <w:ilvl w:val="0"/>
          <w:numId w:val="7"/>
        </w:numPr>
        <w:ind w:left="1168"/>
        <w:jc w:val="left"/>
        <w:rPr>
          <w:sz w:val="18"/>
          <w:szCs w:val="18"/>
        </w:rPr>
      </w:pPr>
      <w:r w:rsidRPr="0060702E">
        <w:rPr>
          <w:sz w:val="18"/>
          <w:szCs w:val="18"/>
        </w:rPr>
        <w:t>Introduction of the possibility for contributors to the Plant Variety Database to provide information on dates on which a variety was commercialized for the first time in the territory of application and other territories.</w:t>
      </w:r>
    </w:p>
    <w:p w:rsidR="004F2E99" w:rsidRPr="0060702E" w:rsidRDefault="004F2E99" w:rsidP="001A4B93">
      <w:pPr>
        <w:pStyle w:val="ListParagraph"/>
        <w:widowControl w:val="0"/>
        <w:numPr>
          <w:ilvl w:val="0"/>
          <w:numId w:val="3"/>
        </w:numPr>
        <w:spacing w:before="120"/>
        <w:contextualSpacing w:val="0"/>
        <w:jc w:val="left"/>
        <w:rPr>
          <w:sz w:val="18"/>
          <w:szCs w:val="18"/>
        </w:rPr>
      </w:pPr>
      <w:r w:rsidRPr="0060702E">
        <w:rPr>
          <w:sz w:val="18"/>
          <w:szCs w:val="18"/>
        </w:rPr>
        <w:t>Solutions developed to allow the contribution of data in non-TAG format for Kenya and South Africa.</w:t>
      </w:r>
    </w:p>
    <w:p w:rsidR="004F2E99" w:rsidRPr="0060702E" w:rsidRDefault="004F2E99" w:rsidP="001A4B93">
      <w:pPr>
        <w:pStyle w:val="ListParagraph"/>
        <w:widowControl w:val="0"/>
        <w:numPr>
          <w:ilvl w:val="0"/>
          <w:numId w:val="3"/>
        </w:numPr>
        <w:spacing w:before="120"/>
        <w:contextualSpacing w:val="0"/>
        <w:jc w:val="left"/>
        <w:rPr>
          <w:sz w:val="18"/>
          <w:szCs w:val="18"/>
        </w:rPr>
      </w:pPr>
      <w:r w:rsidRPr="0060702E">
        <w:rPr>
          <w:sz w:val="18"/>
          <w:szCs w:val="18"/>
        </w:rPr>
        <w:t>Method for providing missing UPOV codes for data submitted for the Plant Variety Database developed by the WIPO Brand Database Unit.  On that basis, UPOV codes were allocated for virtually all entries in the Plant V</w:t>
      </w:r>
      <w:r w:rsidR="001A4B93">
        <w:rPr>
          <w:sz w:val="18"/>
          <w:szCs w:val="18"/>
        </w:rPr>
        <w:t>ariety Database.</w:t>
      </w:r>
    </w:p>
    <w:p w:rsidR="004F2E99" w:rsidRPr="0060702E" w:rsidRDefault="004F2E99" w:rsidP="001A4B93">
      <w:pPr>
        <w:pStyle w:val="ListParagraph"/>
        <w:widowControl w:val="0"/>
        <w:numPr>
          <w:ilvl w:val="0"/>
          <w:numId w:val="3"/>
        </w:numPr>
        <w:spacing w:before="120"/>
        <w:contextualSpacing w:val="0"/>
        <w:jc w:val="left"/>
        <w:rPr>
          <w:sz w:val="18"/>
          <w:szCs w:val="18"/>
        </w:rPr>
      </w:pPr>
      <w:r w:rsidRPr="0060702E">
        <w:rPr>
          <w:sz w:val="18"/>
          <w:szCs w:val="18"/>
        </w:rPr>
        <w:t xml:space="preserve">Development of UPOV’s “in-house” version of the UPOV-ROM.  </w:t>
      </w:r>
    </w:p>
    <w:p w:rsidR="004F2E99" w:rsidRPr="0060702E" w:rsidRDefault="004F2E99" w:rsidP="004F2E99">
      <w:pPr>
        <w:widowControl w:val="0"/>
        <w:jc w:val="left"/>
        <w:rPr>
          <w:sz w:val="18"/>
          <w:szCs w:val="18"/>
        </w:rPr>
      </w:pPr>
    </w:p>
    <w:p w:rsidR="004F2E99" w:rsidRPr="0060702E" w:rsidRDefault="004F2E99" w:rsidP="001A4B93">
      <w:pPr>
        <w:keepNext/>
        <w:keepLines/>
        <w:widowControl w:val="0"/>
        <w:spacing w:after="120"/>
        <w:jc w:val="left"/>
        <w:rPr>
          <w:sz w:val="18"/>
          <w:szCs w:val="18"/>
        </w:rPr>
      </w:pPr>
      <w:r w:rsidRPr="0060702E">
        <w:rPr>
          <w:sz w:val="18"/>
          <w:szCs w:val="18"/>
        </w:rPr>
        <w:t>In 2013:</w:t>
      </w:r>
    </w:p>
    <w:p w:rsidR="004F2E99" w:rsidRPr="001A4B93" w:rsidRDefault="004F2E99" w:rsidP="00322025">
      <w:pPr>
        <w:pStyle w:val="ListParagraph"/>
        <w:keepNext/>
        <w:keepLines/>
        <w:widowControl w:val="0"/>
        <w:numPr>
          <w:ilvl w:val="0"/>
          <w:numId w:val="3"/>
        </w:numPr>
        <w:jc w:val="left"/>
        <w:rPr>
          <w:rFonts w:cs="Arial"/>
          <w:color w:val="000000"/>
          <w:sz w:val="18"/>
          <w:szCs w:val="18"/>
        </w:rPr>
      </w:pPr>
      <w:r w:rsidRPr="001A4B93">
        <w:rPr>
          <w:rFonts w:cs="Arial"/>
          <w:color w:val="000000"/>
          <w:sz w:val="18"/>
          <w:szCs w:val="18"/>
        </w:rPr>
        <w:t>Contributors requested to provide data as soon as possible after it is published by the authority concerned.</w:t>
      </w:r>
    </w:p>
    <w:p w:rsidR="004F2E99" w:rsidRPr="001A4B93" w:rsidRDefault="004F2E99" w:rsidP="00322025">
      <w:pPr>
        <w:pStyle w:val="ListParagraph"/>
        <w:keepNext/>
        <w:keepLines/>
        <w:widowControl w:val="0"/>
        <w:numPr>
          <w:ilvl w:val="0"/>
          <w:numId w:val="3"/>
        </w:numPr>
        <w:jc w:val="left"/>
        <w:rPr>
          <w:rFonts w:cs="Arial"/>
          <w:color w:val="000000"/>
          <w:sz w:val="18"/>
          <w:szCs w:val="18"/>
        </w:rPr>
      </w:pPr>
      <w:r w:rsidRPr="001A4B93">
        <w:rPr>
          <w:rFonts w:cs="Arial"/>
          <w:color w:val="000000"/>
          <w:sz w:val="18"/>
          <w:szCs w:val="18"/>
        </w:rPr>
        <w:t>Procedure for the allocation and correction of UPOV codes amended to minimize delays in updates of the database.</w:t>
      </w:r>
    </w:p>
    <w:p w:rsidR="004F2E99" w:rsidRPr="001A4B93" w:rsidRDefault="004F2E99" w:rsidP="00322025">
      <w:pPr>
        <w:pStyle w:val="ListParagraph"/>
        <w:keepNext/>
        <w:keepLines/>
        <w:widowControl w:val="0"/>
        <w:numPr>
          <w:ilvl w:val="0"/>
          <w:numId w:val="3"/>
        </w:numPr>
        <w:jc w:val="left"/>
        <w:rPr>
          <w:rFonts w:cs="Arial"/>
          <w:color w:val="000000"/>
          <w:sz w:val="18"/>
          <w:szCs w:val="18"/>
        </w:rPr>
      </w:pPr>
      <w:r w:rsidRPr="001A4B93">
        <w:rPr>
          <w:rFonts w:cs="Arial"/>
          <w:color w:val="000000"/>
          <w:sz w:val="18"/>
          <w:szCs w:val="18"/>
        </w:rPr>
        <w:t>To assist the users of PLUTO database, an English version of the video tutorial was developed and made available on the PLUTO webpage</w:t>
      </w:r>
      <w:r w:rsidRPr="001A4B93">
        <w:rPr>
          <w:rFonts w:cs="Arial"/>
          <w:color w:val="000000"/>
          <w:sz w:val="18"/>
          <w:szCs w:val="18"/>
          <w:lang w:eastAsia="ja-JP"/>
        </w:rPr>
        <w:t xml:space="preserve"> </w:t>
      </w:r>
      <w:r w:rsidRPr="001A4B93">
        <w:rPr>
          <w:rFonts w:cs="Arial"/>
          <w:color w:val="000000"/>
          <w:sz w:val="18"/>
          <w:szCs w:val="18"/>
        </w:rPr>
        <w:t>(</w:t>
      </w:r>
      <w:hyperlink r:id="rId25" w:history="1">
        <w:r w:rsidRPr="001A4B93">
          <w:rPr>
            <w:rStyle w:val="Hyperlink"/>
            <w:rFonts w:cs="Arial"/>
            <w:sz w:val="18"/>
            <w:szCs w:val="18"/>
          </w:rPr>
          <w:t>https://www3.wipo.int/pluto/user/en/index.jsp</w:t>
        </w:r>
      </w:hyperlink>
      <w:r w:rsidRPr="001A4B93">
        <w:rPr>
          <w:rFonts w:cs="Arial"/>
          <w:color w:val="000000"/>
          <w:sz w:val="18"/>
          <w:szCs w:val="18"/>
        </w:rPr>
        <w:t>).</w:t>
      </w:r>
    </w:p>
    <w:p w:rsidR="004F2E99" w:rsidRPr="001A4B93" w:rsidRDefault="004F2E99" w:rsidP="004F2E99">
      <w:pPr>
        <w:pStyle w:val="ListParagraph"/>
        <w:widowControl w:val="0"/>
        <w:numPr>
          <w:ilvl w:val="0"/>
          <w:numId w:val="3"/>
        </w:numPr>
        <w:jc w:val="left"/>
        <w:rPr>
          <w:rFonts w:cs="Arial"/>
          <w:color w:val="000000"/>
          <w:sz w:val="18"/>
          <w:szCs w:val="18"/>
        </w:rPr>
      </w:pPr>
      <w:r w:rsidRPr="001A4B93">
        <w:rPr>
          <w:rFonts w:cs="Arial"/>
          <w:color w:val="000000"/>
          <w:sz w:val="18"/>
          <w:szCs w:val="18"/>
        </w:rPr>
        <w:t>The</w:t>
      </w:r>
      <w:r w:rsidRPr="001A4B93">
        <w:rPr>
          <w:sz w:val="18"/>
          <w:szCs w:val="18"/>
        </w:rPr>
        <w:t xml:space="preserve"> </w:t>
      </w:r>
      <w:r w:rsidRPr="001A4B93">
        <w:rPr>
          <w:rFonts w:cs="Arial"/>
          <w:color w:val="000000"/>
          <w:sz w:val="18"/>
          <w:szCs w:val="18"/>
        </w:rPr>
        <w:t>disclaimer</w:t>
      </w:r>
      <w:r w:rsidRPr="001A4B93">
        <w:rPr>
          <w:sz w:val="18"/>
          <w:szCs w:val="18"/>
          <w:lang w:eastAsia="ja-JP"/>
        </w:rPr>
        <w:t xml:space="preserve"> for PLUTO was amended to reflect the content of</w:t>
      </w:r>
      <w:r w:rsidRPr="001A4B93">
        <w:rPr>
          <w:sz w:val="18"/>
          <w:szCs w:val="18"/>
        </w:rPr>
        <w:t xml:space="preserve"> </w:t>
      </w:r>
      <w:r w:rsidRPr="001A4B93">
        <w:rPr>
          <w:sz w:val="18"/>
          <w:szCs w:val="18"/>
          <w:lang w:eastAsia="ja-JP"/>
        </w:rPr>
        <w:t>the Program for Improvements.</w:t>
      </w:r>
    </w:p>
    <w:p w:rsidR="004F2E99" w:rsidRPr="001A4B93" w:rsidRDefault="004F2E99" w:rsidP="001A4B93">
      <w:pPr>
        <w:pStyle w:val="ListParagraph"/>
        <w:keepLines/>
        <w:widowControl w:val="0"/>
        <w:numPr>
          <w:ilvl w:val="0"/>
          <w:numId w:val="3"/>
        </w:numPr>
        <w:ind w:left="714" w:hanging="357"/>
        <w:jc w:val="left"/>
        <w:rPr>
          <w:noProof/>
          <w:sz w:val="18"/>
          <w:szCs w:val="18"/>
        </w:rPr>
      </w:pPr>
      <w:r w:rsidRPr="001A4B93">
        <w:rPr>
          <w:rFonts w:cs="Arial"/>
          <w:color w:val="000000"/>
          <w:sz w:val="18"/>
          <w:szCs w:val="18"/>
          <w:lang w:eastAsia="ja-JP"/>
        </w:rPr>
        <w:t>A</w:t>
      </w:r>
      <w:r w:rsidRPr="001A4B93">
        <w:rPr>
          <w:rFonts w:cs="Arial"/>
          <w:color w:val="000000"/>
          <w:sz w:val="18"/>
          <w:szCs w:val="18"/>
        </w:rPr>
        <w:t xml:space="preserve"> working group to develop proposals for a UPOV similarity search tool for variety denomination purposes</w:t>
      </w:r>
      <w:r w:rsidRPr="001A4B93">
        <w:rPr>
          <w:rFonts w:cs="Arial"/>
          <w:color w:val="000000"/>
          <w:sz w:val="18"/>
          <w:szCs w:val="18"/>
          <w:lang w:eastAsia="ja-JP"/>
        </w:rPr>
        <w:t xml:space="preserve"> was established.</w:t>
      </w:r>
    </w:p>
    <w:p w:rsidR="004F2E99" w:rsidRPr="0060702E" w:rsidRDefault="004F2E99" w:rsidP="004F2E99">
      <w:pPr>
        <w:widowControl w:val="0"/>
        <w:rPr>
          <w:noProof/>
        </w:rPr>
      </w:pPr>
    </w:p>
    <w:p w:rsidR="004F2E99" w:rsidRPr="0060702E" w:rsidRDefault="00240810" w:rsidP="004F2E99">
      <w:pPr>
        <w:pStyle w:val="Heading8"/>
        <w:widowControl w:val="0"/>
      </w:pPr>
      <w:bookmarkStart w:id="75" w:name="_Toc398738971"/>
      <w:r w:rsidRPr="0060702E">
        <w:t>(</w:t>
      </w:r>
      <w:r w:rsidR="004F2E99" w:rsidRPr="0060702E">
        <w:t>e)  Exchangeable software included in document UPOV/INF/16 “Exchangeable Software”</w:t>
      </w:r>
      <w:bookmarkEnd w:id="75"/>
    </w:p>
    <w:p w:rsidR="004F2E99" w:rsidRPr="0060702E" w:rsidRDefault="004F2E99" w:rsidP="004F2E99">
      <w:pPr>
        <w:widowControl w:val="0"/>
        <w:rPr>
          <w:sz w:val="18"/>
          <w:szCs w:val="18"/>
        </w:rPr>
      </w:pPr>
      <w:r w:rsidRPr="0060702E">
        <w:rPr>
          <w:sz w:val="18"/>
          <w:szCs w:val="18"/>
        </w:rPr>
        <w:t>The following software was included in document UPOV/INF/16:</w:t>
      </w:r>
    </w:p>
    <w:p w:rsidR="004F2E99" w:rsidRPr="0060702E" w:rsidRDefault="004F2E99"/>
    <w:tbl>
      <w:tblPr>
        <w:tblStyle w:val="TableGrid"/>
        <w:tblW w:w="7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2"/>
        <w:gridCol w:w="3360"/>
        <w:gridCol w:w="2617"/>
      </w:tblGrid>
      <w:tr w:rsidR="004F2E99" w:rsidRPr="0060702E" w:rsidTr="00D805DF">
        <w:tc>
          <w:tcPr>
            <w:tcW w:w="1872" w:type="dxa"/>
          </w:tcPr>
          <w:p w:rsidR="004F2E99" w:rsidRPr="0060702E" w:rsidRDefault="004F2E99" w:rsidP="00D805DF">
            <w:pPr>
              <w:keepNext/>
              <w:keepLines/>
              <w:widowControl w:val="0"/>
              <w:spacing w:after="120"/>
              <w:rPr>
                <w:sz w:val="18"/>
                <w:szCs w:val="18"/>
                <w:u w:val="single"/>
              </w:rPr>
            </w:pPr>
            <w:r w:rsidRPr="0060702E">
              <w:rPr>
                <w:sz w:val="18"/>
                <w:szCs w:val="18"/>
                <w:u w:val="single"/>
              </w:rPr>
              <w:t>Program name</w:t>
            </w:r>
          </w:p>
        </w:tc>
        <w:tc>
          <w:tcPr>
            <w:tcW w:w="3360" w:type="dxa"/>
          </w:tcPr>
          <w:p w:rsidR="004F2E99" w:rsidRPr="0060702E" w:rsidRDefault="004F2E99" w:rsidP="00D805DF">
            <w:pPr>
              <w:keepNext/>
              <w:keepLines/>
              <w:widowControl w:val="0"/>
              <w:spacing w:after="120"/>
              <w:rPr>
                <w:sz w:val="18"/>
                <w:szCs w:val="18"/>
                <w:u w:val="single"/>
              </w:rPr>
            </w:pPr>
            <w:r w:rsidRPr="0060702E">
              <w:rPr>
                <w:sz w:val="18"/>
                <w:szCs w:val="18"/>
                <w:u w:val="single"/>
              </w:rPr>
              <w:t>Category</w:t>
            </w:r>
          </w:p>
        </w:tc>
        <w:tc>
          <w:tcPr>
            <w:tcW w:w="2617" w:type="dxa"/>
          </w:tcPr>
          <w:p w:rsidR="004F2E99" w:rsidRPr="0060702E" w:rsidRDefault="004F2E99" w:rsidP="00D805DF">
            <w:pPr>
              <w:keepNext/>
              <w:keepLines/>
              <w:widowControl w:val="0"/>
              <w:spacing w:after="120"/>
              <w:rPr>
                <w:sz w:val="18"/>
                <w:szCs w:val="18"/>
                <w:u w:val="single"/>
              </w:rPr>
            </w:pPr>
            <w:r w:rsidRPr="0060702E">
              <w:rPr>
                <w:sz w:val="18"/>
                <w:szCs w:val="18"/>
                <w:u w:val="single"/>
              </w:rPr>
              <w:t>Proposing country</w:t>
            </w:r>
          </w:p>
        </w:tc>
      </w:tr>
      <w:tr w:rsidR="004F2E99" w:rsidRPr="0060702E" w:rsidTr="00D805DF">
        <w:tc>
          <w:tcPr>
            <w:tcW w:w="1872" w:type="dxa"/>
          </w:tcPr>
          <w:p w:rsidR="004F2E99" w:rsidRPr="0060702E" w:rsidRDefault="004F2E99" w:rsidP="00D805DF">
            <w:pPr>
              <w:keepNext/>
              <w:keepLines/>
              <w:widowControl w:val="0"/>
              <w:rPr>
                <w:sz w:val="18"/>
                <w:szCs w:val="18"/>
              </w:rPr>
            </w:pPr>
            <w:r w:rsidRPr="0060702E">
              <w:rPr>
                <w:sz w:val="18"/>
                <w:szCs w:val="18"/>
              </w:rPr>
              <w:t>ZAJVKA</w:t>
            </w:r>
          </w:p>
        </w:tc>
        <w:tc>
          <w:tcPr>
            <w:tcW w:w="3360" w:type="dxa"/>
          </w:tcPr>
          <w:p w:rsidR="004F2E99" w:rsidRPr="0060702E" w:rsidRDefault="004F2E99" w:rsidP="00D805DF">
            <w:pPr>
              <w:keepNext/>
              <w:keepLines/>
              <w:widowControl w:val="0"/>
              <w:rPr>
                <w:sz w:val="18"/>
                <w:szCs w:val="18"/>
              </w:rPr>
            </w:pPr>
            <w:r w:rsidRPr="0060702E">
              <w:rPr>
                <w:sz w:val="18"/>
                <w:szCs w:val="18"/>
              </w:rPr>
              <w:t>DUS trial design and data analysis</w:t>
            </w:r>
          </w:p>
        </w:tc>
        <w:tc>
          <w:tcPr>
            <w:tcW w:w="2617" w:type="dxa"/>
          </w:tcPr>
          <w:p w:rsidR="004F2E99" w:rsidRPr="0060702E" w:rsidRDefault="004F2E99" w:rsidP="00D805DF">
            <w:pPr>
              <w:keepNext/>
              <w:keepLines/>
              <w:widowControl w:val="0"/>
              <w:rPr>
                <w:sz w:val="18"/>
                <w:szCs w:val="18"/>
              </w:rPr>
            </w:pPr>
            <w:r w:rsidRPr="0060702E">
              <w:rPr>
                <w:sz w:val="18"/>
                <w:szCs w:val="18"/>
              </w:rPr>
              <w:t>Russian Federation</w:t>
            </w:r>
          </w:p>
        </w:tc>
      </w:tr>
      <w:tr w:rsidR="004F2E99" w:rsidRPr="0060702E" w:rsidTr="00D805DF">
        <w:tc>
          <w:tcPr>
            <w:tcW w:w="1872" w:type="dxa"/>
          </w:tcPr>
          <w:p w:rsidR="004F2E99" w:rsidRPr="0060702E" w:rsidRDefault="004F2E99" w:rsidP="00D805DF">
            <w:pPr>
              <w:keepNext/>
              <w:keepLines/>
              <w:widowControl w:val="0"/>
              <w:rPr>
                <w:sz w:val="18"/>
                <w:szCs w:val="18"/>
              </w:rPr>
            </w:pPr>
            <w:r w:rsidRPr="0060702E">
              <w:rPr>
                <w:sz w:val="18"/>
                <w:szCs w:val="18"/>
              </w:rPr>
              <w:t>AIM</w:t>
            </w:r>
          </w:p>
        </w:tc>
        <w:tc>
          <w:tcPr>
            <w:tcW w:w="3360" w:type="dxa"/>
          </w:tcPr>
          <w:p w:rsidR="004F2E99" w:rsidRPr="0060702E" w:rsidRDefault="004F2E99" w:rsidP="00D805DF">
            <w:pPr>
              <w:keepNext/>
              <w:keepLines/>
              <w:widowControl w:val="0"/>
              <w:rPr>
                <w:sz w:val="18"/>
                <w:szCs w:val="18"/>
              </w:rPr>
            </w:pPr>
            <w:r w:rsidRPr="0060702E">
              <w:rPr>
                <w:sz w:val="18"/>
                <w:szCs w:val="18"/>
              </w:rPr>
              <w:t>Image analysis</w:t>
            </w:r>
          </w:p>
        </w:tc>
        <w:tc>
          <w:tcPr>
            <w:tcW w:w="2617" w:type="dxa"/>
          </w:tcPr>
          <w:p w:rsidR="004F2E99" w:rsidRPr="0060702E" w:rsidRDefault="004F2E99" w:rsidP="00D805DF">
            <w:pPr>
              <w:keepNext/>
              <w:keepLines/>
              <w:widowControl w:val="0"/>
              <w:rPr>
                <w:sz w:val="18"/>
                <w:szCs w:val="18"/>
              </w:rPr>
            </w:pPr>
            <w:r w:rsidRPr="0060702E">
              <w:rPr>
                <w:sz w:val="18"/>
                <w:szCs w:val="18"/>
              </w:rPr>
              <w:t>France</w:t>
            </w:r>
          </w:p>
        </w:tc>
      </w:tr>
    </w:tbl>
    <w:p w:rsidR="004F2E99" w:rsidRPr="0060702E" w:rsidRDefault="004F2E99"/>
    <w:p w:rsidR="004F2E99" w:rsidRPr="0060702E" w:rsidRDefault="004F2E99"/>
    <w:p w:rsidR="004F2E99" w:rsidRPr="0060702E" w:rsidRDefault="004F2E99" w:rsidP="004F2E99">
      <w:pPr>
        <w:pStyle w:val="Heading6"/>
      </w:pPr>
      <w:bookmarkStart w:id="76" w:name="_Toc398738972"/>
      <w:r w:rsidRPr="0060702E">
        <w:t>4.  Participation by members of the Union and stakeholders in the work of the UPOV bodies</w:t>
      </w:r>
      <w:bookmarkEnd w:id="76"/>
    </w:p>
    <w:p w:rsidR="004F2E99" w:rsidRPr="0060702E" w:rsidRDefault="004F2E99" w:rsidP="004F2E99"/>
    <w:p w:rsidR="004F2E99" w:rsidRPr="0060702E" w:rsidRDefault="004F2E99" w:rsidP="004F2E99">
      <w:pPr>
        <w:pStyle w:val="Heading8"/>
      </w:pPr>
      <w:bookmarkStart w:id="77" w:name="_Toc398738973"/>
      <w:r w:rsidRPr="0060702E">
        <w:t>(a)  Participation in the Administrative and Legal Committee</w:t>
      </w:r>
      <w:bookmarkEnd w:id="77"/>
    </w:p>
    <w:p w:rsidR="004F2E99" w:rsidRPr="0060702E" w:rsidRDefault="004F2E99" w:rsidP="004F2E99">
      <w:pPr>
        <w:rPr>
          <w:sz w:val="18"/>
        </w:rPr>
      </w:pPr>
      <w:r w:rsidRPr="0060702E">
        <w:rPr>
          <w:sz w:val="18"/>
        </w:rPr>
        <w:t>(</w:t>
      </w:r>
      <w:proofErr w:type="gramStart"/>
      <w:r w:rsidRPr="0060702E">
        <w:rPr>
          <w:sz w:val="18"/>
        </w:rPr>
        <w:t>see</w:t>
      </w:r>
      <w:proofErr w:type="gramEnd"/>
      <w:r w:rsidRPr="0060702E">
        <w:rPr>
          <w:sz w:val="18"/>
        </w:rPr>
        <w:t xml:space="preserve"> Figure 13)</w:t>
      </w:r>
    </w:p>
    <w:p w:rsidR="004F2E99" w:rsidRPr="0060702E" w:rsidRDefault="004F2E99" w:rsidP="004F2E99">
      <w:pPr>
        <w:rPr>
          <w:b/>
          <w:sz w:val="18"/>
          <w:szCs w:val="18"/>
        </w:rPr>
      </w:pPr>
    </w:p>
    <w:p w:rsidR="004F2E99" w:rsidRPr="0060702E" w:rsidRDefault="004F2E99" w:rsidP="004F2E99">
      <w:pPr>
        <w:pStyle w:val="Heading9"/>
        <w:rPr>
          <w:b w:val="0"/>
        </w:rPr>
      </w:pPr>
      <w:bookmarkStart w:id="78" w:name="_Toc398738974"/>
      <w:proofErr w:type="gramStart"/>
      <w:r w:rsidRPr="0060702E">
        <w:t>Figure 13</w:t>
      </w:r>
      <w:r w:rsidR="007526B9" w:rsidRPr="0060702E">
        <w:t>.</w:t>
      </w:r>
      <w:proofErr w:type="gramEnd"/>
      <w:r w:rsidR="007526B9" w:rsidRPr="0060702E">
        <w:t xml:space="preserve"> </w:t>
      </w:r>
      <w:r w:rsidRPr="0060702E">
        <w:t xml:space="preserve"> Number of Participating Members and Observer States/Organization</w:t>
      </w:r>
      <w:r w:rsidR="006B5DCD" w:rsidRPr="0060702E">
        <w:t>s</w:t>
      </w:r>
      <w:r w:rsidRPr="0060702E">
        <w:t xml:space="preserve"> in the CAJ</w:t>
      </w:r>
      <w:bookmarkEnd w:id="78"/>
    </w:p>
    <w:p w:rsidR="004F2E99" w:rsidRPr="0060702E" w:rsidRDefault="004F2E99" w:rsidP="004F2E99">
      <w:pPr>
        <w:jc w:val="center"/>
        <w:rPr>
          <w:rFonts w:eastAsiaTheme="minorEastAsia"/>
          <w:b/>
          <w:bCs/>
          <w:noProof/>
          <w:sz w:val="18"/>
          <w:szCs w:val="22"/>
        </w:rPr>
      </w:pPr>
      <w:r w:rsidRPr="0060702E">
        <w:rPr>
          <w:noProof/>
        </w:rPr>
        <w:drawing>
          <wp:inline distT="0" distB="0" distL="0" distR="0" wp14:anchorId="2FA0F846" wp14:editId="4D616155">
            <wp:extent cx="4600575" cy="3371851"/>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F2E99" w:rsidRPr="0060702E" w:rsidRDefault="004F2E99" w:rsidP="004F2E99">
      <w:pPr>
        <w:widowControl w:val="0"/>
        <w:rPr>
          <w:rFonts w:eastAsiaTheme="minorEastAsia"/>
          <w:b/>
          <w:bCs/>
          <w:noProof/>
          <w:sz w:val="18"/>
          <w:szCs w:val="22"/>
        </w:rPr>
      </w:pPr>
    </w:p>
    <w:p w:rsidR="004F2E99" w:rsidRPr="0060702E" w:rsidRDefault="004F2E99"/>
    <w:p w:rsidR="004F2E99" w:rsidRPr="0060702E" w:rsidRDefault="004F2E99" w:rsidP="004F2E99">
      <w:pPr>
        <w:pStyle w:val="Heading8"/>
        <w:keepNext/>
        <w:widowControl w:val="0"/>
      </w:pPr>
      <w:bookmarkStart w:id="79" w:name="_Toc398738975"/>
      <w:r w:rsidRPr="0060702E">
        <w:t>(b)  Participation in the Technical Committee</w:t>
      </w:r>
      <w:bookmarkEnd w:id="79"/>
    </w:p>
    <w:p w:rsidR="004F2E99" w:rsidRPr="0060702E" w:rsidRDefault="004F2E99" w:rsidP="004F2E99">
      <w:pPr>
        <w:keepNext/>
        <w:widowControl w:val="0"/>
        <w:rPr>
          <w:rFonts w:eastAsiaTheme="minorEastAsia"/>
          <w:b/>
          <w:bCs/>
          <w:noProof/>
          <w:sz w:val="18"/>
          <w:szCs w:val="22"/>
        </w:rPr>
      </w:pPr>
      <w:r w:rsidRPr="0060702E">
        <w:rPr>
          <w:sz w:val="18"/>
        </w:rPr>
        <w:t>(</w:t>
      </w:r>
      <w:proofErr w:type="gramStart"/>
      <w:r w:rsidRPr="0060702E">
        <w:rPr>
          <w:sz w:val="18"/>
        </w:rPr>
        <w:t>see</w:t>
      </w:r>
      <w:proofErr w:type="gramEnd"/>
      <w:r w:rsidRPr="0060702E">
        <w:rPr>
          <w:sz w:val="18"/>
        </w:rPr>
        <w:t xml:space="preserve"> Figure 14)</w:t>
      </w:r>
    </w:p>
    <w:p w:rsidR="004F2E99" w:rsidRPr="0060702E" w:rsidRDefault="004F2E99" w:rsidP="004F2E99">
      <w:pPr>
        <w:keepNext/>
        <w:widowControl w:val="0"/>
        <w:rPr>
          <w:rFonts w:eastAsiaTheme="minorEastAsia"/>
          <w:b/>
          <w:bCs/>
          <w:noProof/>
          <w:sz w:val="18"/>
          <w:szCs w:val="22"/>
        </w:rPr>
      </w:pPr>
    </w:p>
    <w:p w:rsidR="004F2E99" w:rsidRPr="0060702E" w:rsidRDefault="004F2E99" w:rsidP="004F2E99">
      <w:pPr>
        <w:pStyle w:val="Heading9"/>
        <w:widowControl w:val="0"/>
      </w:pPr>
      <w:bookmarkStart w:id="80" w:name="_Toc398738976"/>
      <w:proofErr w:type="gramStart"/>
      <w:r w:rsidRPr="0060702E">
        <w:t>Figure 14</w:t>
      </w:r>
      <w:r w:rsidR="007526B9" w:rsidRPr="0060702E">
        <w:t>.</w:t>
      </w:r>
      <w:proofErr w:type="gramEnd"/>
      <w:r w:rsidR="007526B9" w:rsidRPr="0060702E">
        <w:t xml:space="preserve"> </w:t>
      </w:r>
      <w:r w:rsidRPr="0060702E">
        <w:t xml:space="preserve"> Number of Participating Members and Observer States/Organization</w:t>
      </w:r>
      <w:r w:rsidR="006B5DCD" w:rsidRPr="0060702E">
        <w:t>s</w:t>
      </w:r>
      <w:r w:rsidRPr="0060702E">
        <w:t xml:space="preserve"> in the TC</w:t>
      </w:r>
      <w:bookmarkEnd w:id="80"/>
    </w:p>
    <w:p w:rsidR="004F2E99" w:rsidRPr="0060702E" w:rsidRDefault="004F2E99" w:rsidP="004F2E99">
      <w:pPr>
        <w:jc w:val="center"/>
      </w:pPr>
      <w:r w:rsidRPr="0060702E">
        <w:rPr>
          <w:noProof/>
        </w:rPr>
        <w:drawing>
          <wp:inline distT="0" distB="0" distL="0" distR="0" wp14:anchorId="2BDFD3CB" wp14:editId="44CCEB63">
            <wp:extent cx="4552950" cy="3114675"/>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F2E99" w:rsidRPr="0060702E" w:rsidRDefault="004F2E99" w:rsidP="004F2E99">
      <w:pPr>
        <w:rPr>
          <w:rFonts w:eastAsiaTheme="minorEastAsia"/>
          <w:b/>
          <w:bCs/>
          <w:noProof/>
          <w:sz w:val="18"/>
          <w:szCs w:val="22"/>
        </w:rPr>
      </w:pPr>
    </w:p>
    <w:p w:rsidR="004F2E99" w:rsidRPr="0060702E" w:rsidRDefault="004F2E99" w:rsidP="004F2E99">
      <w:pPr>
        <w:rPr>
          <w:rFonts w:eastAsiaTheme="minorEastAsia"/>
          <w:b/>
          <w:bCs/>
          <w:noProof/>
          <w:sz w:val="18"/>
          <w:szCs w:val="22"/>
        </w:rPr>
      </w:pPr>
    </w:p>
    <w:p w:rsidR="004F2E99" w:rsidRPr="0060702E" w:rsidRDefault="004F2E99" w:rsidP="004F2E99">
      <w:pPr>
        <w:pStyle w:val="Heading8"/>
      </w:pPr>
      <w:bookmarkStart w:id="81" w:name="_Toc398738977"/>
      <w:r w:rsidRPr="0060702E">
        <w:t>(c)  Participation in Technical Working Party Sessions</w:t>
      </w:r>
      <w:bookmarkEnd w:id="81"/>
    </w:p>
    <w:p w:rsidR="004F2E99" w:rsidRPr="0060702E" w:rsidRDefault="004F2E99" w:rsidP="004F2E99">
      <w:pPr>
        <w:rPr>
          <w:sz w:val="18"/>
        </w:rPr>
      </w:pPr>
      <w:r w:rsidRPr="0060702E">
        <w:rPr>
          <w:sz w:val="18"/>
        </w:rPr>
        <w:t>(</w:t>
      </w:r>
      <w:proofErr w:type="gramStart"/>
      <w:r w:rsidRPr="0060702E">
        <w:rPr>
          <w:sz w:val="18"/>
        </w:rPr>
        <w:t>see</w:t>
      </w:r>
      <w:proofErr w:type="gramEnd"/>
      <w:r w:rsidRPr="0060702E">
        <w:rPr>
          <w:sz w:val="18"/>
        </w:rPr>
        <w:t xml:space="preserve"> Figure 15)</w:t>
      </w:r>
    </w:p>
    <w:p w:rsidR="004F2E99" w:rsidRPr="0060702E" w:rsidRDefault="004F2E99" w:rsidP="004F2E99">
      <w:pPr>
        <w:rPr>
          <w:rFonts w:eastAsiaTheme="minorEastAsia"/>
          <w:b/>
          <w:bCs/>
          <w:noProof/>
          <w:sz w:val="18"/>
          <w:szCs w:val="22"/>
        </w:rPr>
      </w:pPr>
    </w:p>
    <w:p w:rsidR="004F2E99" w:rsidRPr="0060702E" w:rsidRDefault="004F2E99" w:rsidP="004F2E99">
      <w:pPr>
        <w:pStyle w:val="Heading9"/>
        <w:spacing w:after="0"/>
        <w:rPr>
          <w:b w:val="0"/>
        </w:rPr>
      </w:pPr>
      <w:bookmarkStart w:id="82" w:name="_Toc398738978"/>
      <w:proofErr w:type="gramStart"/>
      <w:r w:rsidRPr="0060702E">
        <w:t>Figure 15</w:t>
      </w:r>
      <w:r w:rsidR="007526B9" w:rsidRPr="0060702E">
        <w:t>.</w:t>
      </w:r>
      <w:proofErr w:type="gramEnd"/>
      <w:r w:rsidR="007526B9" w:rsidRPr="0060702E">
        <w:t xml:space="preserve"> </w:t>
      </w:r>
      <w:r w:rsidRPr="0060702E">
        <w:t xml:space="preserve"> Number of Participating Members and Observer States/Organization</w:t>
      </w:r>
      <w:r w:rsidR="006B5DCD" w:rsidRPr="0060702E">
        <w:t>s</w:t>
      </w:r>
      <w:r w:rsidRPr="0060702E">
        <w:t xml:space="preserve"> in the TWPs</w:t>
      </w:r>
      <w:bookmarkEnd w:id="82"/>
    </w:p>
    <w:p w:rsidR="004F2E99" w:rsidRPr="0060702E" w:rsidRDefault="004F2E99"/>
    <w:p w:rsidR="004F2E99" w:rsidRPr="0060702E" w:rsidRDefault="004F2E99" w:rsidP="00DC2968">
      <w:pPr>
        <w:jc w:val="center"/>
      </w:pPr>
      <w:r w:rsidRPr="0060702E">
        <w:rPr>
          <w:noProof/>
        </w:rPr>
        <w:drawing>
          <wp:inline distT="0" distB="0" distL="0" distR="0" wp14:anchorId="046F0A3D" wp14:editId="32E86E66">
            <wp:extent cx="4464000" cy="2993366"/>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F2E99" w:rsidRPr="0060702E" w:rsidRDefault="004F2E99"/>
    <w:p w:rsidR="004F2E99" w:rsidRPr="0060702E" w:rsidRDefault="004F2E99"/>
    <w:p w:rsidR="004F2E99" w:rsidRPr="0060702E" w:rsidRDefault="004F2E99" w:rsidP="004F2E99">
      <w:pPr>
        <w:jc w:val="left"/>
        <w:rPr>
          <w:rFonts w:eastAsiaTheme="minorEastAsia"/>
          <w:b/>
          <w:bCs/>
          <w:noProof/>
          <w:sz w:val="18"/>
          <w:szCs w:val="22"/>
        </w:rPr>
      </w:pPr>
    </w:p>
    <w:p w:rsidR="004F2E99" w:rsidRPr="0060702E" w:rsidRDefault="004F2E99" w:rsidP="004F2E99">
      <w:pPr>
        <w:pStyle w:val="Heading8"/>
        <w:keepNext/>
        <w:keepLines/>
        <w:widowControl w:val="0"/>
      </w:pPr>
      <w:bookmarkStart w:id="83" w:name="_Toc398738979"/>
      <w:r w:rsidRPr="0060702E">
        <w:t>(d)  Participation in Preparatory Workshops for the Technical Working Party Sessions</w:t>
      </w:r>
      <w:bookmarkEnd w:id="83"/>
    </w:p>
    <w:p w:rsidR="004F2E99" w:rsidRPr="0060702E" w:rsidRDefault="004F2E99" w:rsidP="004F2E99">
      <w:pPr>
        <w:keepNext/>
        <w:keepLines/>
        <w:widowControl w:val="0"/>
        <w:jc w:val="left"/>
        <w:rPr>
          <w:sz w:val="18"/>
        </w:rPr>
      </w:pPr>
      <w:r w:rsidRPr="0060702E">
        <w:rPr>
          <w:sz w:val="18"/>
        </w:rPr>
        <w:t>(</w:t>
      </w:r>
      <w:proofErr w:type="gramStart"/>
      <w:r w:rsidRPr="0060702E">
        <w:rPr>
          <w:sz w:val="18"/>
        </w:rPr>
        <w:t>see</w:t>
      </w:r>
      <w:proofErr w:type="gramEnd"/>
      <w:r w:rsidRPr="0060702E">
        <w:rPr>
          <w:sz w:val="18"/>
        </w:rPr>
        <w:t xml:space="preserve"> Figure 16)</w:t>
      </w:r>
    </w:p>
    <w:p w:rsidR="004F2E99" w:rsidRPr="0060702E" w:rsidRDefault="004F2E99" w:rsidP="004F2E99">
      <w:pPr>
        <w:keepNext/>
        <w:keepLines/>
        <w:widowControl w:val="0"/>
        <w:jc w:val="left"/>
      </w:pPr>
    </w:p>
    <w:p w:rsidR="00F70E80" w:rsidRPr="0060702E" w:rsidRDefault="004F2E99" w:rsidP="004F2E99">
      <w:pPr>
        <w:pStyle w:val="Heading9"/>
      </w:pPr>
      <w:bookmarkStart w:id="84" w:name="_Toc398738980"/>
      <w:proofErr w:type="gramStart"/>
      <w:r w:rsidRPr="0060702E">
        <w:t>Figure 16</w:t>
      </w:r>
      <w:r w:rsidR="007526B9" w:rsidRPr="0060702E">
        <w:t>.</w:t>
      </w:r>
      <w:bookmarkEnd w:id="84"/>
      <w:proofErr w:type="gramEnd"/>
      <w:r w:rsidR="007526B9" w:rsidRPr="0060702E">
        <w:t xml:space="preserve"> </w:t>
      </w:r>
      <w:r w:rsidRPr="0060702E">
        <w:t xml:space="preserve"> </w:t>
      </w:r>
    </w:p>
    <w:p w:rsidR="004F2E99" w:rsidRPr="0060702E" w:rsidRDefault="00F70E80" w:rsidP="004F2E99">
      <w:pPr>
        <w:pStyle w:val="Heading9"/>
      </w:pPr>
      <w:bookmarkStart w:id="85" w:name="_Toc398738981"/>
      <w:r w:rsidRPr="0060702E">
        <w:t>(</w:t>
      </w:r>
      <w:proofErr w:type="spellStart"/>
      <w:r w:rsidRPr="0060702E">
        <w:t>i</w:t>
      </w:r>
      <w:proofErr w:type="spellEnd"/>
      <w:r w:rsidRPr="0060702E">
        <w:t xml:space="preserve">) </w:t>
      </w:r>
      <w:r w:rsidR="007526B9" w:rsidRPr="0060702E">
        <w:t xml:space="preserve"> </w:t>
      </w:r>
      <w:r w:rsidR="004F2E99" w:rsidRPr="0060702E">
        <w:t xml:space="preserve">Number of </w:t>
      </w:r>
      <w:r w:rsidR="00782AA2" w:rsidRPr="0060702E">
        <w:t>individual participants in the Preparatory Workshops: members and observers</w:t>
      </w:r>
      <w:bookmarkEnd w:id="85"/>
    </w:p>
    <w:p w:rsidR="00F70E80" w:rsidRPr="0060702E" w:rsidRDefault="0018607F" w:rsidP="00221A28">
      <w:pPr>
        <w:jc w:val="center"/>
      </w:pPr>
      <w:r w:rsidRPr="0060702E">
        <w:rPr>
          <w:noProof/>
        </w:rPr>
        <w:drawing>
          <wp:inline distT="0" distB="0" distL="0" distR="0" wp14:anchorId="19E0074A" wp14:editId="42845941">
            <wp:extent cx="5591175" cy="28194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21A28" w:rsidRPr="0060702E" w:rsidRDefault="00221A28" w:rsidP="00221A28">
      <w:pPr>
        <w:jc w:val="center"/>
      </w:pPr>
    </w:p>
    <w:p w:rsidR="00F70E80" w:rsidRPr="0060702E" w:rsidRDefault="00F70E80" w:rsidP="00AC1EC8">
      <w:pPr>
        <w:pStyle w:val="Heading9"/>
      </w:pPr>
      <w:bookmarkStart w:id="86" w:name="_Toc398738982"/>
      <w:r w:rsidRPr="0060702E">
        <w:t xml:space="preserve">(ii) </w:t>
      </w:r>
      <w:r w:rsidR="007526B9" w:rsidRPr="0060702E">
        <w:t xml:space="preserve"> </w:t>
      </w:r>
      <w:r w:rsidRPr="0060702E">
        <w:t xml:space="preserve">Number of </w:t>
      </w:r>
      <w:r w:rsidR="00D56822" w:rsidRPr="0060702E">
        <w:t>i</w:t>
      </w:r>
      <w:r w:rsidRPr="0060702E">
        <w:t xml:space="preserve">ndividual </w:t>
      </w:r>
      <w:r w:rsidR="00D56822" w:rsidRPr="0060702E">
        <w:t>p</w:t>
      </w:r>
      <w:r w:rsidRPr="0060702E">
        <w:t>articipants in the Preparatory Workshops</w:t>
      </w:r>
      <w:r w:rsidR="00782AA2" w:rsidRPr="0060702E">
        <w:t xml:space="preserve"> by Technical Working Party</w:t>
      </w:r>
      <w:bookmarkEnd w:id="86"/>
    </w:p>
    <w:p w:rsidR="004F2E99" w:rsidRPr="0060702E" w:rsidRDefault="004F2E99" w:rsidP="004F2E99">
      <w:pPr>
        <w:jc w:val="left"/>
        <w:rPr>
          <w:rFonts w:eastAsiaTheme="minorEastAsia"/>
          <w:b/>
          <w:bCs/>
          <w:noProof/>
          <w:sz w:val="18"/>
          <w:szCs w:val="22"/>
        </w:rPr>
      </w:pPr>
    </w:p>
    <w:p w:rsidR="004F2E99" w:rsidRPr="0060702E" w:rsidRDefault="0018607F" w:rsidP="004F2E99">
      <w:pPr>
        <w:jc w:val="center"/>
        <w:rPr>
          <w:rFonts w:eastAsiaTheme="minorEastAsia"/>
          <w:b/>
          <w:bCs/>
          <w:noProof/>
          <w:sz w:val="18"/>
          <w:szCs w:val="22"/>
        </w:rPr>
      </w:pPr>
      <w:r w:rsidRPr="0060702E">
        <w:rPr>
          <w:noProof/>
        </w:rPr>
        <w:drawing>
          <wp:inline distT="0" distB="0" distL="0" distR="0" wp14:anchorId="6A60F55E" wp14:editId="24B2006D">
            <wp:extent cx="4552950" cy="2788444"/>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F2E99" w:rsidRPr="0060702E" w:rsidRDefault="004F2E99" w:rsidP="004F2E99">
      <w:pPr>
        <w:jc w:val="center"/>
        <w:rPr>
          <w:rFonts w:eastAsiaTheme="minorEastAsia"/>
          <w:b/>
          <w:bCs/>
          <w:noProof/>
          <w:sz w:val="18"/>
          <w:szCs w:val="22"/>
        </w:rPr>
      </w:pPr>
    </w:p>
    <w:p w:rsidR="004F2E99" w:rsidRPr="0060702E" w:rsidRDefault="004F2E99" w:rsidP="004F2E99">
      <w:pPr>
        <w:jc w:val="center"/>
        <w:rPr>
          <w:rFonts w:eastAsiaTheme="minorEastAsia"/>
          <w:b/>
          <w:bCs/>
          <w:noProof/>
          <w:sz w:val="18"/>
          <w:szCs w:val="22"/>
        </w:rPr>
      </w:pPr>
    </w:p>
    <w:p w:rsidR="004F2E99" w:rsidRPr="0060702E" w:rsidRDefault="004F2E99" w:rsidP="004F2E99">
      <w:pPr>
        <w:pStyle w:val="Heading8"/>
      </w:pPr>
      <w:bookmarkStart w:id="87" w:name="_Toc393899330"/>
      <w:bookmarkStart w:id="88" w:name="_Toc398738983"/>
      <w:r w:rsidRPr="0060702E">
        <w:t xml:space="preserve">(e)  </w:t>
      </w:r>
      <w:r w:rsidR="004853CA" w:rsidRPr="0060702E">
        <w:t>M</w:t>
      </w:r>
      <w:r w:rsidRPr="0060702E">
        <w:t>easures to improve the effectiveness of the TC, TWPs and Preparatory Workshops</w:t>
      </w:r>
      <w:bookmarkEnd w:id="87"/>
      <w:bookmarkEnd w:id="88"/>
      <w:r w:rsidRPr="0060702E">
        <w:t xml:space="preserve"> </w:t>
      </w:r>
    </w:p>
    <w:p w:rsidR="004F2E99" w:rsidRPr="0060702E" w:rsidRDefault="004F2E99" w:rsidP="00073796">
      <w:pPr>
        <w:rPr>
          <w:sz w:val="18"/>
          <w:szCs w:val="18"/>
        </w:rPr>
      </w:pPr>
      <w:r w:rsidRPr="0060702E">
        <w:rPr>
          <w:sz w:val="18"/>
          <w:szCs w:val="18"/>
        </w:rPr>
        <w:t xml:space="preserve">The TC, at its forty-ninth session, received presentations by the Office of the Union on a survey of participants in the TWO, at its forty-fifth session </w:t>
      </w:r>
      <w:r w:rsidR="004853CA" w:rsidRPr="0060702E">
        <w:rPr>
          <w:sz w:val="18"/>
          <w:szCs w:val="18"/>
        </w:rPr>
        <w:t>(</w:t>
      </w:r>
      <w:r w:rsidRPr="0060702E">
        <w:rPr>
          <w:sz w:val="18"/>
          <w:szCs w:val="18"/>
        </w:rPr>
        <w:t xml:space="preserve">held in </w:t>
      </w:r>
      <w:r w:rsidR="004853CA" w:rsidRPr="0060702E">
        <w:rPr>
          <w:sz w:val="18"/>
          <w:szCs w:val="18"/>
        </w:rPr>
        <w:t>2012)</w:t>
      </w:r>
      <w:r w:rsidRPr="0060702E">
        <w:rPr>
          <w:sz w:val="18"/>
          <w:szCs w:val="18"/>
        </w:rPr>
        <w:t xml:space="preserve">, and in the TWF, at its forty-third session, </w:t>
      </w:r>
      <w:r w:rsidR="004853CA" w:rsidRPr="0060702E">
        <w:rPr>
          <w:sz w:val="18"/>
          <w:szCs w:val="18"/>
        </w:rPr>
        <w:t>(</w:t>
      </w:r>
      <w:r w:rsidRPr="0060702E">
        <w:rPr>
          <w:sz w:val="18"/>
          <w:szCs w:val="18"/>
        </w:rPr>
        <w:t xml:space="preserve">held in </w:t>
      </w:r>
      <w:r w:rsidR="004853CA" w:rsidRPr="0060702E">
        <w:rPr>
          <w:sz w:val="18"/>
          <w:szCs w:val="18"/>
        </w:rPr>
        <w:t>2012)</w:t>
      </w:r>
      <w:r w:rsidRPr="0060702E">
        <w:rPr>
          <w:sz w:val="18"/>
          <w:szCs w:val="18"/>
        </w:rPr>
        <w:t xml:space="preserve">, and an analysis of participation in the TC and the </w:t>
      </w:r>
      <w:proofErr w:type="spellStart"/>
      <w:r w:rsidRPr="0060702E">
        <w:rPr>
          <w:sz w:val="18"/>
          <w:szCs w:val="18"/>
        </w:rPr>
        <w:t>TWPs.</w:t>
      </w:r>
      <w:proofErr w:type="spellEnd"/>
    </w:p>
    <w:p w:rsidR="004F2E99" w:rsidRPr="0060702E" w:rsidRDefault="004F2E99" w:rsidP="004F2E99">
      <w:pPr>
        <w:jc w:val="left"/>
        <w:rPr>
          <w:sz w:val="18"/>
          <w:szCs w:val="18"/>
        </w:rPr>
      </w:pPr>
    </w:p>
    <w:p w:rsidR="004F2E99" w:rsidRPr="0060702E" w:rsidRDefault="004F2E99" w:rsidP="004F2E99">
      <w:pPr>
        <w:jc w:val="left"/>
        <w:rPr>
          <w:sz w:val="18"/>
          <w:szCs w:val="18"/>
        </w:rPr>
      </w:pPr>
    </w:p>
    <w:p w:rsidR="004F2E99" w:rsidRPr="0060702E" w:rsidRDefault="004F2E99" w:rsidP="00453788">
      <w:pPr>
        <w:pStyle w:val="Heading6"/>
        <w:keepNext/>
        <w:keepLines/>
        <w:widowControl w:val="0"/>
      </w:pPr>
      <w:bookmarkStart w:id="89" w:name="_Toc398738984"/>
      <w:r w:rsidRPr="0060702E">
        <w:t>5.  UPOV documents and materials in additional languages</w:t>
      </w:r>
      <w:bookmarkEnd w:id="89"/>
    </w:p>
    <w:p w:rsidR="004F2E99" w:rsidRPr="0060702E" w:rsidRDefault="004F2E99" w:rsidP="00453788">
      <w:pPr>
        <w:keepNext/>
        <w:keepLines/>
        <w:widowControl w:val="0"/>
        <w:jc w:val="left"/>
      </w:pPr>
    </w:p>
    <w:p w:rsidR="004F2E99" w:rsidRPr="0060702E" w:rsidRDefault="004F2E99" w:rsidP="00453788">
      <w:pPr>
        <w:pStyle w:val="Heading8"/>
        <w:keepNext/>
        <w:keepLines/>
        <w:widowControl w:val="0"/>
        <w:rPr>
          <w:szCs w:val="18"/>
        </w:rPr>
      </w:pPr>
      <w:bookmarkStart w:id="90" w:name="_Toc398738985"/>
      <w:r w:rsidRPr="0060702E">
        <w:rPr>
          <w:szCs w:val="18"/>
        </w:rPr>
        <w:t>(a)  Availability of UPOV documents and materials in languages other than the UPOV languages (English, French, German and Spanish)</w:t>
      </w:r>
      <w:bookmarkEnd w:id="90"/>
    </w:p>
    <w:p w:rsidR="004F2E99" w:rsidRPr="0060702E" w:rsidRDefault="004F2E99" w:rsidP="004F2E99">
      <w:pPr>
        <w:pStyle w:val="ListParagraph"/>
        <w:numPr>
          <w:ilvl w:val="0"/>
          <w:numId w:val="23"/>
        </w:numPr>
        <w:jc w:val="left"/>
        <w:rPr>
          <w:rFonts w:eastAsiaTheme="minorEastAsia"/>
          <w:b/>
          <w:bCs/>
          <w:noProof/>
          <w:sz w:val="18"/>
          <w:szCs w:val="22"/>
        </w:rPr>
      </w:pPr>
      <w:r w:rsidRPr="0060702E">
        <w:rPr>
          <w:sz w:val="18"/>
          <w:szCs w:val="18"/>
        </w:rPr>
        <w:t>The 1991 Act of the UPOV Convention was translated into Khmer and Serbian languages (the translations will be verified before publication on the UPOV website).</w:t>
      </w:r>
    </w:p>
    <w:p w:rsidR="004F2E99" w:rsidRPr="0060702E" w:rsidRDefault="004F2E99" w:rsidP="004F2E99">
      <w:pPr>
        <w:jc w:val="left"/>
        <w:rPr>
          <w:rFonts w:eastAsiaTheme="minorEastAsia"/>
          <w:b/>
          <w:bCs/>
          <w:noProof/>
          <w:sz w:val="18"/>
          <w:szCs w:val="22"/>
        </w:rPr>
      </w:pPr>
    </w:p>
    <w:p w:rsidR="004F2E99" w:rsidRPr="0060702E" w:rsidRDefault="004F2E99" w:rsidP="00674F91">
      <w:pPr>
        <w:jc w:val="center"/>
        <w:rPr>
          <w:rFonts w:eastAsia="Calibri" w:cs="Arial"/>
          <w:sz w:val="18"/>
          <w:szCs w:val="18"/>
        </w:rPr>
      </w:pPr>
      <w:r w:rsidRPr="0060702E">
        <w:rPr>
          <w:rFonts w:eastAsia="Calibri" w:cs="Arial"/>
          <w:sz w:val="18"/>
          <w:szCs w:val="18"/>
        </w:rPr>
        <w:t xml:space="preserve">Web </w:t>
      </w:r>
      <w:proofErr w:type="spellStart"/>
      <w:r w:rsidRPr="0060702E">
        <w:rPr>
          <w:rFonts w:eastAsia="Calibri" w:cs="Arial"/>
          <w:sz w:val="18"/>
          <w:szCs w:val="18"/>
        </w:rPr>
        <w:t>pageviews</w:t>
      </w:r>
      <w:proofErr w:type="spellEnd"/>
      <w:r w:rsidRPr="0060702E">
        <w:rPr>
          <w:rFonts w:eastAsia="Calibri" w:cs="Arial"/>
          <w:sz w:val="18"/>
          <w:szCs w:val="18"/>
        </w:rPr>
        <w:t xml:space="preserve"> for languages other than English, French, German and Spanish of the UPOV site in 2013</w:t>
      </w:r>
    </w:p>
    <w:p w:rsidR="004F2E99" w:rsidRPr="0060702E" w:rsidRDefault="004F2E99" w:rsidP="004F2E99">
      <w:pPr>
        <w:jc w:val="left"/>
        <w:rPr>
          <w:rFonts w:eastAsia="Calibri" w:cs="Arial"/>
          <w:sz w:val="18"/>
          <w:szCs w:val="18"/>
        </w:rPr>
      </w:pPr>
    </w:p>
    <w:tbl>
      <w:tblPr>
        <w:tblW w:w="0" w:type="auto"/>
        <w:jc w:val="center"/>
        <w:tblLayout w:type="fixed"/>
        <w:tblLook w:val="0000" w:firstRow="0" w:lastRow="0" w:firstColumn="0" w:lastColumn="0" w:noHBand="0" w:noVBand="0"/>
      </w:tblPr>
      <w:tblGrid>
        <w:gridCol w:w="1696"/>
        <w:gridCol w:w="1710"/>
      </w:tblGrid>
      <w:tr w:rsidR="004F2E99" w:rsidRPr="0060702E" w:rsidTr="00D805DF">
        <w:trPr>
          <w:trHeight w:val="142"/>
          <w:jc w:val="center"/>
        </w:trPr>
        <w:tc>
          <w:tcPr>
            <w:tcW w:w="1696" w:type="dxa"/>
          </w:tcPr>
          <w:p w:rsidR="004F2E99" w:rsidRPr="0060702E" w:rsidRDefault="004F2E99" w:rsidP="00D805DF">
            <w:pPr>
              <w:autoSpaceDE w:val="0"/>
              <w:autoSpaceDN w:val="0"/>
              <w:adjustRightInd w:val="0"/>
              <w:jc w:val="left"/>
              <w:rPr>
                <w:rFonts w:cs="Arial"/>
                <w:color w:val="000000"/>
                <w:sz w:val="18"/>
                <w:szCs w:val="18"/>
              </w:rPr>
            </w:pPr>
            <w:r w:rsidRPr="0060702E">
              <w:rPr>
                <w:rFonts w:cs="Arial"/>
                <w:color w:val="000000"/>
                <w:sz w:val="18"/>
                <w:szCs w:val="18"/>
              </w:rPr>
              <w:t xml:space="preserve">Language </w:t>
            </w:r>
          </w:p>
        </w:tc>
        <w:tc>
          <w:tcPr>
            <w:tcW w:w="1710" w:type="dxa"/>
          </w:tcPr>
          <w:p w:rsidR="004F2E99" w:rsidRPr="0060702E" w:rsidRDefault="004F2E99" w:rsidP="00D805DF">
            <w:pPr>
              <w:tabs>
                <w:tab w:val="decimal" w:pos="797"/>
              </w:tabs>
              <w:autoSpaceDE w:val="0"/>
              <w:autoSpaceDN w:val="0"/>
              <w:adjustRightInd w:val="0"/>
              <w:jc w:val="left"/>
              <w:rPr>
                <w:rFonts w:cs="Arial"/>
                <w:color w:val="000000"/>
                <w:sz w:val="18"/>
                <w:szCs w:val="18"/>
              </w:rPr>
            </w:pPr>
            <w:proofErr w:type="spellStart"/>
            <w:r w:rsidRPr="0060702E">
              <w:rPr>
                <w:rFonts w:cs="Arial"/>
                <w:color w:val="000000"/>
                <w:sz w:val="18"/>
                <w:szCs w:val="18"/>
              </w:rPr>
              <w:t>Pageviews</w:t>
            </w:r>
            <w:proofErr w:type="spellEnd"/>
          </w:p>
          <w:p w:rsidR="004F2E99" w:rsidRPr="0060702E" w:rsidRDefault="004F2E99" w:rsidP="00D805DF">
            <w:pPr>
              <w:tabs>
                <w:tab w:val="decimal" w:pos="797"/>
              </w:tabs>
              <w:autoSpaceDE w:val="0"/>
              <w:autoSpaceDN w:val="0"/>
              <w:adjustRightInd w:val="0"/>
              <w:jc w:val="left"/>
              <w:rPr>
                <w:rFonts w:cs="Arial"/>
                <w:color w:val="000000"/>
                <w:sz w:val="18"/>
                <w:szCs w:val="18"/>
              </w:rPr>
            </w:pPr>
          </w:p>
        </w:tc>
      </w:tr>
      <w:tr w:rsidR="004F2E99" w:rsidRPr="0060702E" w:rsidTr="00D805DF">
        <w:trPr>
          <w:trHeight w:val="142"/>
          <w:jc w:val="center"/>
        </w:trPr>
        <w:tc>
          <w:tcPr>
            <w:tcW w:w="1696" w:type="dxa"/>
          </w:tcPr>
          <w:p w:rsidR="004F2E99" w:rsidRPr="0060702E" w:rsidRDefault="004F2E99" w:rsidP="00D805DF">
            <w:pPr>
              <w:autoSpaceDE w:val="0"/>
              <w:autoSpaceDN w:val="0"/>
              <w:adjustRightInd w:val="0"/>
              <w:jc w:val="left"/>
              <w:rPr>
                <w:rFonts w:cs="Arial"/>
                <w:color w:val="000000"/>
                <w:sz w:val="18"/>
                <w:szCs w:val="18"/>
              </w:rPr>
            </w:pPr>
            <w:r w:rsidRPr="0060702E">
              <w:rPr>
                <w:rFonts w:cs="Arial"/>
                <w:color w:val="000000"/>
                <w:sz w:val="18"/>
                <w:szCs w:val="18"/>
              </w:rPr>
              <w:t>Russian</w:t>
            </w:r>
          </w:p>
        </w:tc>
        <w:tc>
          <w:tcPr>
            <w:tcW w:w="1710" w:type="dxa"/>
          </w:tcPr>
          <w:p w:rsidR="004F2E99" w:rsidRPr="0060702E" w:rsidRDefault="004F2E99" w:rsidP="00D805DF">
            <w:pPr>
              <w:tabs>
                <w:tab w:val="decimal" w:pos="797"/>
              </w:tabs>
              <w:autoSpaceDE w:val="0"/>
              <w:autoSpaceDN w:val="0"/>
              <w:adjustRightInd w:val="0"/>
              <w:jc w:val="left"/>
              <w:rPr>
                <w:rFonts w:cs="Arial"/>
                <w:color w:val="000000"/>
                <w:sz w:val="18"/>
                <w:szCs w:val="18"/>
              </w:rPr>
            </w:pPr>
            <w:r w:rsidRPr="0060702E">
              <w:rPr>
                <w:rFonts w:cs="Arial"/>
                <w:color w:val="000000"/>
                <w:sz w:val="18"/>
                <w:szCs w:val="18"/>
              </w:rPr>
              <w:t>586</w:t>
            </w:r>
          </w:p>
        </w:tc>
      </w:tr>
      <w:tr w:rsidR="004F2E99" w:rsidRPr="0060702E" w:rsidTr="00D805DF">
        <w:trPr>
          <w:trHeight w:val="142"/>
          <w:jc w:val="center"/>
        </w:trPr>
        <w:tc>
          <w:tcPr>
            <w:tcW w:w="1696" w:type="dxa"/>
          </w:tcPr>
          <w:p w:rsidR="004F2E99" w:rsidRPr="0060702E" w:rsidRDefault="004F2E99" w:rsidP="00D805DF">
            <w:pPr>
              <w:autoSpaceDE w:val="0"/>
              <w:autoSpaceDN w:val="0"/>
              <w:adjustRightInd w:val="0"/>
              <w:jc w:val="left"/>
              <w:rPr>
                <w:rFonts w:cs="Arial"/>
                <w:color w:val="000000"/>
                <w:sz w:val="18"/>
                <w:szCs w:val="18"/>
              </w:rPr>
            </w:pPr>
            <w:r w:rsidRPr="0060702E">
              <w:rPr>
                <w:rFonts w:cs="Arial"/>
                <w:color w:val="000000"/>
                <w:sz w:val="18"/>
                <w:szCs w:val="18"/>
              </w:rPr>
              <w:t>Chinese</w:t>
            </w:r>
          </w:p>
        </w:tc>
        <w:tc>
          <w:tcPr>
            <w:tcW w:w="1710" w:type="dxa"/>
          </w:tcPr>
          <w:p w:rsidR="004F2E99" w:rsidRPr="0060702E" w:rsidRDefault="004F2E99" w:rsidP="00D805DF">
            <w:pPr>
              <w:tabs>
                <w:tab w:val="decimal" w:pos="797"/>
              </w:tabs>
              <w:autoSpaceDE w:val="0"/>
              <w:autoSpaceDN w:val="0"/>
              <w:adjustRightInd w:val="0"/>
              <w:jc w:val="left"/>
              <w:rPr>
                <w:rFonts w:cs="Arial"/>
                <w:color w:val="000000"/>
                <w:sz w:val="18"/>
                <w:szCs w:val="18"/>
              </w:rPr>
            </w:pPr>
            <w:r w:rsidRPr="0060702E">
              <w:rPr>
                <w:rFonts w:cs="Arial"/>
                <w:color w:val="000000"/>
                <w:sz w:val="18"/>
                <w:szCs w:val="18"/>
              </w:rPr>
              <w:t>304</w:t>
            </w:r>
          </w:p>
        </w:tc>
      </w:tr>
      <w:tr w:rsidR="004F2E99" w:rsidRPr="0060702E" w:rsidTr="00D805DF">
        <w:trPr>
          <w:trHeight w:val="142"/>
          <w:jc w:val="center"/>
        </w:trPr>
        <w:tc>
          <w:tcPr>
            <w:tcW w:w="1696" w:type="dxa"/>
          </w:tcPr>
          <w:p w:rsidR="004F2E99" w:rsidRPr="0060702E" w:rsidRDefault="004F2E99" w:rsidP="004F2E99">
            <w:pPr>
              <w:widowControl w:val="0"/>
              <w:autoSpaceDE w:val="0"/>
              <w:autoSpaceDN w:val="0"/>
              <w:adjustRightInd w:val="0"/>
              <w:jc w:val="left"/>
              <w:rPr>
                <w:rFonts w:cs="Arial"/>
                <w:color w:val="000000"/>
                <w:sz w:val="18"/>
                <w:szCs w:val="18"/>
              </w:rPr>
            </w:pPr>
            <w:r w:rsidRPr="0060702E">
              <w:rPr>
                <w:rFonts w:cs="Arial"/>
                <w:color w:val="000000"/>
                <w:sz w:val="18"/>
                <w:szCs w:val="18"/>
              </w:rPr>
              <w:t>Arabic</w:t>
            </w:r>
          </w:p>
        </w:tc>
        <w:tc>
          <w:tcPr>
            <w:tcW w:w="1710" w:type="dxa"/>
          </w:tcPr>
          <w:p w:rsidR="004F2E99" w:rsidRPr="0060702E" w:rsidRDefault="004F2E99" w:rsidP="004F2E99">
            <w:pPr>
              <w:widowControl w:val="0"/>
              <w:tabs>
                <w:tab w:val="decimal" w:pos="797"/>
              </w:tabs>
              <w:autoSpaceDE w:val="0"/>
              <w:autoSpaceDN w:val="0"/>
              <w:adjustRightInd w:val="0"/>
              <w:jc w:val="left"/>
              <w:rPr>
                <w:rFonts w:cs="Arial"/>
                <w:color w:val="000000"/>
                <w:sz w:val="18"/>
                <w:szCs w:val="18"/>
              </w:rPr>
            </w:pPr>
            <w:r w:rsidRPr="0060702E">
              <w:rPr>
                <w:rFonts w:cs="Arial"/>
                <w:color w:val="000000"/>
                <w:sz w:val="18"/>
                <w:szCs w:val="18"/>
              </w:rPr>
              <w:t>273</w:t>
            </w:r>
          </w:p>
        </w:tc>
      </w:tr>
      <w:tr w:rsidR="004F2E99" w:rsidRPr="0060702E" w:rsidTr="00D805DF">
        <w:trPr>
          <w:trHeight w:val="142"/>
          <w:jc w:val="center"/>
        </w:trPr>
        <w:tc>
          <w:tcPr>
            <w:tcW w:w="1696" w:type="dxa"/>
          </w:tcPr>
          <w:p w:rsidR="004F2E99" w:rsidRPr="0060702E" w:rsidRDefault="004F2E99" w:rsidP="004F2E99">
            <w:pPr>
              <w:widowControl w:val="0"/>
              <w:autoSpaceDE w:val="0"/>
              <w:autoSpaceDN w:val="0"/>
              <w:adjustRightInd w:val="0"/>
              <w:jc w:val="left"/>
              <w:rPr>
                <w:rFonts w:cs="Arial"/>
                <w:color w:val="000000"/>
                <w:sz w:val="18"/>
                <w:szCs w:val="18"/>
              </w:rPr>
            </w:pPr>
            <w:r w:rsidRPr="0060702E">
              <w:rPr>
                <w:rFonts w:cs="Arial"/>
                <w:color w:val="000000"/>
                <w:sz w:val="18"/>
                <w:szCs w:val="18"/>
              </w:rPr>
              <w:t>Khmer</w:t>
            </w:r>
          </w:p>
        </w:tc>
        <w:tc>
          <w:tcPr>
            <w:tcW w:w="1710" w:type="dxa"/>
          </w:tcPr>
          <w:p w:rsidR="004F2E99" w:rsidRPr="0060702E" w:rsidRDefault="004F2E99" w:rsidP="004F2E99">
            <w:pPr>
              <w:widowControl w:val="0"/>
              <w:tabs>
                <w:tab w:val="decimal" w:pos="797"/>
              </w:tabs>
              <w:autoSpaceDE w:val="0"/>
              <w:autoSpaceDN w:val="0"/>
              <w:adjustRightInd w:val="0"/>
              <w:jc w:val="left"/>
              <w:rPr>
                <w:rFonts w:cs="Arial"/>
                <w:color w:val="000000"/>
                <w:sz w:val="18"/>
                <w:szCs w:val="18"/>
              </w:rPr>
            </w:pPr>
            <w:r w:rsidRPr="0060702E">
              <w:rPr>
                <w:rFonts w:cs="Arial"/>
                <w:color w:val="000000"/>
                <w:sz w:val="18"/>
                <w:szCs w:val="18"/>
              </w:rPr>
              <w:t>64</w:t>
            </w:r>
          </w:p>
        </w:tc>
      </w:tr>
    </w:tbl>
    <w:p w:rsidR="004F2E99" w:rsidRPr="0060702E" w:rsidRDefault="004F2E99" w:rsidP="004F2E99">
      <w:pPr>
        <w:pStyle w:val="Heading6"/>
        <w:widowControl w:val="0"/>
      </w:pPr>
      <w:bookmarkStart w:id="91" w:name="_Toc336339195"/>
    </w:p>
    <w:p w:rsidR="004F2E99" w:rsidRPr="0060702E" w:rsidRDefault="004F2E99" w:rsidP="004F2E99">
      <w:pPr>
        <w:pStyle w:val="Heading6"/>
        <w:widowControl w:val="0"/>
      </w:pPr>
    </w:p>
    <w:p w:rsidR="004F2E99" w:rsidRPr="0060702E" w:rsidRDefault="004F2E99" w:rsidP="004F2E99">
      <w:pPr>
        <w:pStyle w:val="Heading6"/>
        <w:widowControl w:val="0"/>
      </w:pPr>
    </w:p>
    <w:p w:rsidR="004F2E99" w:rsidRPr="0060702E" w:rsidRDefault="004F2E99" w:rsidP="004F2E99">
      <w:pPr>
        <w:pStyle w:val="Heading6"/>
        <w:widowControl w:val="0"/>
        <w:rPr>
          <w:rFonts w:eastAsiaTheme="minorEastAsia"/>
          <w:b/>
          <w:noProof/>
        </w:rPr>
      </w:pPr>
      <w:bookmarkStart w:id="92" w:name="_Toc398738986"/>
      <w:r w:rsidRPr="0060702E">
        <w:t>6.  Facilitating applications for plant breeders’ rights</w:t>
      </w:r>
      <w:bookmarkEnd w:id="91"/>
      <w:bookmarkEnd w:id="92"/>
    </w:p>
    <w:p w:rsidR="004F2E99" w:rsidRPr="0060702E" w:rsidRDefault="004F2E99" w:rsidP="004F2E99">
      <w:pPr>
        <w:widowControl w:val="0"/>
        <w:jc w:val="left"/>
        <w:rPr>
          <w:rFonts w:eastAsiaTheme="minorEastAsia"/>
          <w:b/>
          <w:bCs/>
          <w:noProof/>
          <w:sz w:val="18"/>
          <w:szCs w:val="22"/>
        </w:rPr>
      </w:pPr>
    </w:p>
    <w:p w:rsidR="004F2E99" w:rsidRPr="0060702E" w:rsidRDefault="004F2E99" w:rsidP="004F2E99">
      <w:pPr>
        <w:pStyle w:val="Heading8"/>
        <w:widowControl w:val="0"/>
        <w:spacing w:after="0"/>
        <w:rPr>
          <w:szCs w:val="18"/>
        </w:rPr>
      </w:pPr>
      <w:bookmarkStart w:id="93" w:name="_Toc336339243"/>
      <w:bookmarkStart w:id="94" w:name="_Toc398738987"/>
      <w:r w:rsidRPr="0060702E">
        <w:rPr>
          <w:szCs w:val="18"/>
        </w:rPr>
        <w:t>(a)  Number of applications for plant breeders’ rights</w:t>
      </w:r>
      <w:bookmarkEnd w:id="93"/>
      <w:bookmarkEnd w:id="94"/>
    </w:p>
    <w:p w:rsidR="004F2E99" w:rsidRPr="0060702E" w:rsidRDefault="004F2E99" w:rsidP="004F2E99">
      <w:pPr>
        <w:widowControl w:val="0"/>
        <w:rPr>
          <w:sz w:val="18"/>
          <w:szCs w:val="18"/>
        </w:rPr>
      </w:pPr>
      <w:r w:rsidRPr="0060702E">
        <w:rPr>
          <w:sz w:val="18"/>
          <w:szCs w:val="18"/>
        </w:rPr>
        <w:t>(</w:t>
      </w:r>
      <w:proofErr w:type="gramStart"/>
      <w:r w:rsidRPr="0060702E">
        <w:rPr>
          <w:sz w:val="18"/>
          <w:szCs w:val="18"/>
        </w:rPr>
        <w:t>see</w:t>
      </w:r>
      <w:proofErr w:type="gramEnd"/>
      <w:r w:rsidRPr="0060702E">
        <w:rPr>
          <w:sz w:val="18"/>
          <w:szCs w:val="18"/>
        </w:rPr>
        <w:t xml:space="preserve"> Figures 17 and 19)</w:t>
      </w:r>
    </w:p>
    <w:p w:rsidR="004F2E99" w:rsidRPr="0060702E" w:rsidRDefault="004F2E99" w:rsidP="004F2E99">
      <w:pPr>
        <w:widowControl w:val="0"/>
        <w:rPr>
          <w:sz w:val="18"/>
          <w:szCs w:val="18"/>
        </w:rPr>
      </w:pPr>
    </w:p>
    <w:p w:rsidR="004F2E99" w:rsidRPr="0060702E" w:rsidRDefault="004F2E99" w:rsidP="004F2E99">
      <w:pPr>
        <w:pStyle w:val="Heading8"/>
        <w:widowControl w:val="0"/>
        <w:spacing w:after="0"/>
        <w:rPr>
          <w:szCs w:val="18"/>
        </w:rPr>
      </w:pPr>
      <w:bookmarkStart w:id="95" w:name="_Toc398738988"/>
      <w:r w:rsidRPr="0060702E">
        <w:rPr>
          <w:szCs w:val="18"/>
        </w:rPr>
        <w:t>(b)  Number of titles granted</w:t>
      </w:r>
      <w:bookmarkEnd w:id="95"/>
    </w:p>
    <w:p w:rsidR="004F2E99" w:rsidRPr="0060702E" w:rsidRDefault="004F2E99" w:rsidP="004F2E99">
      <w:pPr>
        <w:widowControl w:val="0"/>
        <w:rPr>
          <w:sz w:val="18"/>
          <w:szCs w:val="18"/>
        </w:rPr>
      </w:pPr>
      <w:r w:rsidRPr="0060702E">
        <w:rPr>
          <w:sz w:val="18"/>
          <w:szCs w:val="18"/>
        </w:rPr>
        <w:t>(</w:t>
      </w:r>
      <w:proofErr w:type="gramStart"/>
      <w:r w:rsidRPr="0060702E">
        <w:rPr>
          <w:sz w:val="18"/>
          <w:szCs w:val="18"/>
        </w:rPr>
        <w:t>see</w:t>
      </w:r>
      <w:proofErr w:type="gramEnd"/>
      <w:r w:rsidRPr="0060702E">
        <w:rPr>
          <w:sz w:val="18"/>
          <w:szCs w:val="18"/>
        </w:rPr>
        <w:t xml:space="preserve"> Figure 20)</w:t>
      </w:r>
    </w:p>
    <w:p w:rsidR="004F2E99" w:rsidRPr="0060702E" w:rsidRDefault="004F2E99" w:rsidP="004F2E99">
      <w:pPr>
        <w:widowControl w:val="0"/>
        <w:rPr>
          <w:sz w:val="18"/>
          <w:szCs w:val="18"/>
        </w:rPr>
      </w:pPr>
    </w:p>
    <w:p w:rsidR="004F2E99" w:rsidRPr="0060702E" w:rsidRDefault="004F2E99" w:rsidP="004F2E99">
      <w:pPr>
        <w:pStyle w:val="Heading8"/>
        <w:widowControl w:val="0"/>
        <w:spacing w:after="0"/>
        <w:rPr>
          <w:szCs w:val="18"/>
        </w:rPr>
      </w:pPr>
      <w:bookmarkStart w:id="96" w:name="_Toc398738989"/>
      <w:r w:rsidRPr="0060702E">
        <w:rPr>
          <w:szCs w:val="18"/>
        </w:rPr>
        <w:t>(c)  Number of titles in force</w:t>
      </w:r>
      <w:bookmarkEnd w:id="96"/>
    </w:p>
    <w:p w:rsidR="004F2E99" w:rsidRPr="0060702E" w:rsidRDefault="004F2E99" w:rsidP="004F2E99">
      <w:pPr>
        <w:widowControl w:val="0"/>
        <w:jc w:val="left"/>
        <w:rPr>
          <w:sz w:val="18"/>
          <w:szCs w:val="18"/>
        </w:rPr>
      </w:pPr>
      <w:r w:rsidRPr="0060702E">
        <w:rPr>
          <w:sz w:val="18"/>
          <w:szCs w:val="18"/>
        </w:rPr>
        <w:t>(</w:t>
      </w:r>
      <w:proofErr w:type="gramStart"/>
      <w:r w:rsidRPr="0060702E">
        <w:rPr>
          <w:sz w:val="18"/>
          <w:szCs w:val="18"/>
        </w:rPr>
        <w:t>see</w:t>
      </w:r>
      <w:proofErr w:type="gramEnd"/>
      <w:r w:rsidRPr="0060702E">
        <w:rPr>
          <w:sz w:val="18"/>
          <w:szCs w:val="18"/>
        </w:rPr>
        <w:t xml:space="preserve"> Figure 18)</w:t>
      </w:r>
    </w:p>
    <w:p w:rsidR="004F2E99" w:rsidRPr="0060702E" w:rsidRDefault="004F2E99" w:rsidP="004F2E99">
      <w:pPr>
        <w:widowControl w:val="0"/>
        <w:jc w:val="left"/>
        <w:rPr>
          <w:rFonts w:eastAsiaTheme="minorEastAsia"/>
          <w:b/>
          <w:bCs/>
          <w:noProof/>
          <w:sz w:val="18"/>
          <w:szCs w:val="22"/>
        </w:rPr>
      </w:pPr>
    </w:p>
    <w:tbl>
      <w:tblPr>
        <w:tblW w:w="9889" w:type="dxa"/>
        <w:tblLayout w:type="fixed"/>
        <w:tblLook w:val="0000" w:firstRow="0" w:lastRow="0" w:firstColumn="0" w:lastColumn="0" w:noHBand="0" w:noVBand="0"/>
      </w:tblPr>
      <w:tblGrid>
        <w:gridCol w:w="4518"/>
        <w:gridCol w:w="5371"/>
      </w:tblGrid>
      <w:tr w:rsidR="004F2E99" w:rsidRPr="0060702E" w:rsidTr="00F96328">
        <w:trPr>
          <w:trHeight w:val="3852"/>
        </w:trPr>
        <w:tc>
          <w:tcPr>
            <w:tcW w:w="4518" w:type="dxa"/>
          </w:tcPr>
          <w:p w:rsidR="00F96328" w:rsidRPr="0060702E" w:rsidRDefault="004F2E99" w:rsidP="00877DBA">
            <w:pPr>
              <w:pStyle w:val="Heading9"/>
            </w:pPr>
            <w:bookmarkStart w:id="97" w:name="_Toc398738990"/>
            <w:proofErr w:type="gramStart"/>
            <w:r w:rsidRPr="0060702E">
              <w:t>Figure 17</w:t>
            </w:r>
            <w:r w:rsidR="007526B9" w:rsidRPr="0060702E">
              <w:t>.</w:t>
            </w:r>
            <w:proofErr w:type="gramEnd"/>
            <w:r w:rsidR="007526B9" w:rsidRPr="0060702E">
              <w:t xml:space="preserve"> </w:t>
            </w:r>
            <w:r w:rsidRPr="0060702E">
              <w:t xml:space="preserve"> Applications for Plant Breeders’ Rights</w:t>
            </w:r>
            <w:bookmarkEnd w:id="97"/>
          </w:p>
          <w:p w:rsidR="004F2E99" w:rsidRPr="0060702E" w:rsidRDefault="004F2E99" w:rsidP="00877DBA">
            <w:r w:rsidRPr="0060702E">
              <w:rPr>
                <w:noProof/>
              </w:rPr>
              <w:drawing>
                <wp:inline distT="0" distB="0" distL="0" distR="0" wp14:anchorId="5BC710F1" wp14:editId="7EE1C1FE">
                  <wp:extent cx="3420000" cy="21240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5371" w:type="dxa"/>
          </w:tcPr>
          <w:p w:rsidR="00F96328" w:rsidRPr="0060702E" w:rsidRDefault="004F2E99" w:rsidP="00877DBA">
            <w:pPr>
              <w:pStyle w:val="Heading9"/>
            </w:pPr>
            <w:bookmarkStart w:id="98" w:name="_Toc398738991"/>
            <w:proofErr w:type="gramStart"/>
            <w:r w:rsidRPr="0060702E">
              <w:t>Figure 18</w:t>
            </w:r>
            <w:r w:rsidR="007526B9" w:rsidRPr="0060702E">
              <w:t>.</w:t>
            </w:r>
            <w:proofErr w:type="gramEnd"/>
            <w:r w:rsidR="007526B9" w:rsidRPr="0060702E">
              <w:t xml:space="preserve"> </w:t>
            </w:r>
            <w:r w:rsidRPr="0060702E">
              <w:t xml:space="preserve"> Plant Breeders’ Rights Titles in Force</w:t>
            </w:r>
            <w:bookmarkEnd w:id="98"/>
          </w:p>
          <w:p w:rsidR="004F2E99" w:rsidRPr="0060702E" w:rsidRDefault="004F2E99" w:rsidP="00877DBA">
            <w:pPr>
              <w:rPr>
                <w:sz w:val="18"/>
                <w:szCs w:val="18"/>
              </w:rPr>
            </w:pPr>
            <w:r w:rsidRPr="0060702E">
              <w:rPr>
                <w:noProof/>
              </w:rPr>
              <w:drawing>
                <wp:inline distT="0" distB="0" distL="0" distR="0" wp14:anchorId="35DC2250" wp14:editId="591D2643">
                  <wp:extent cx="2952000" cy="2124000"/>
                  <wp:effectExtent l="0" t="0" r="1270" b="0"/>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4F2E99" w:rsidRPr="0060702E" w:rsidTr="00F96328">
        <w:trPr>
          <w:trHeight w:val="3680"/>
        </w:trPr>
        <w:tc>
          <w:tcPr>
            <w:tcW w:w="4518" w:type="dxa"/>
            <w:shd w:val="clear" w:color="auto" w:fill="auto"/>
          </w:tcPr>
          <w:p w:rsidR="00877DBA" w:rsidRPr="0060702E" w:rsidRDefault="004F2E99" w:rsidP="00877DBA">
            <w:pPr>
              <w:jc w:val="center"/>
              <w:rPr>
                <w:rStyle w:val="Heading9Char"/>
              </w:rPr>
            </w:pPr>
            <w:bookmarkStart w:id="99" w:name="_Toc398738992"/>
            <w:r w:rsidRPr="0060702E">
              <w:rPr>
                <w:rStyle w:val="Heading9Char"/>
              </w:rPr>
              <w:t>Figure 19</w:t>
            </w:r>
            <w:r w:rsidR="007526B9" w:rsidRPr="0060702E">
              <w:rPr>
                <w:rStyle w:val="Heading9Char"/>
              </w:rPr>
              <w:t xml:space="preserve">. </w:t>
            </w:r>
            <w:r w:rsidRPr="0060702E">
              <w:rPr>
                <w:rStyle w:val="Heading9Char"/>
              </w:rPr>
              <w:t xml:space="preserve"> Applications for Plant Breeders’ Rights</w:t>
            </w:r>
            <w:r w:rsidR="00877DBA" w:rsidRPr="0060702E">
              <w:rPr>
                <w:rStyle w:val="Heading9Char"/>
              </w:rPr>
              <w:t xml:space="preserve"> </w:t>
            </w:r>
            <w:r w:rsidRPr="0060702E">
              <w:rPr>
                <w:rStyle w:val="Heading9Char"/>
              </w:rPr>
              <w:t>by Resident/Non-Resident</w:t>
            </w:r>
            <w:bookmarkEnd w:id="99"/>
          </w:p>
          <w:p w:rsidR="004F2E99" w:rsidRPr="0060702E" w:rsidRDefault="004F2E99" w:rsidP="00877DBA">
            <w:pPr>
              <w:jc w:val="center"/>
            </w:pPr>
            <w:r w:rsidRPr="0060702E">
              <w:rPr>
                <w:noProof/>
              </w:rPr>
              <w:drawing>
                <wp:inline distT="0" distB="0" distL="0" distR="0" wp14:anchorId="4E51B1F4" wp14:editId="2F24C0C6">
                  <wp:extent cx="2772000" cy="2052000"/>
                  <wp:effectExtent l="0" t="0" r="0" b="571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5371" w:type="dxa"/>
            <w:shd w:val="clear" w:color="auto" w:fill="auto"/>
          </w:tcPr>
          <w:p w:rsidR="00877DBA" w:rsidRPr="0060702E" w:rsidRDefault="004F2E99" w:rsidP="00877DBA">
            <w:pPr>
              <w:jc w:val="center"/>
              <w:rPr>
                <w:rStyle w:val="Heading9Char"/>
              </w:rPr>
            </w:pPr>
            <w:bookmarkStart w:id="100" w:name="_Toc398738993"/>
            <w:r w:rsidRPr="0060702E">
              <w:rPr>
                <w:rStyle w:val="Heading9Char"/>
              </w:rPr>
              <w:t>Figure 20</w:t>
            </w:r>
            <w:r w:rsidR="007526B9" w:rsidRPr="0060702E">
              <w:rPr>
                <w:rStyle w:val="Heading9Char"/>
              </w:rPr>
              <w:t xml:space="preserve">. </w:t>
            </w:r>
            <w:r w:rsidRPr="0060702E">
              <w:rPr>
                <w:rStyle w:val="Heading9Char"/>
              </w:rPr>
              <w:t xml:space="preserve"> Plant Breeders’ Rights Titles Granted by Resident/Non-Resident</w:t>
            </w:r>
            <w:bookmarkEnd w:id="100"/>
          </w:p>
          <w:p w:rsidR="004F2E99" w:rsidRPr="0060702E" w:rsidRDefault="004F2E99" w:rsidP="00877DBA">
            <w:pPr>
              <w:jc w:val="center"/>
              <w:rPr>
                <w:sz w:val="18"/>
                <w:szCs w:val="18"/>
              </w:rPr>
            </w:pPr>
            <w:r w:rsidRPr="0060702E">
              <w:rPr>
                <w:noProof/>
              </w:rPr>
              <w:drawing>
                <wp:inline distT="0" distB="0" distL="0" distR="0" wp14:anchorId="30042B52" wp14:editId="2AFEB5E4">
                  <wp:extent cx="3168000" cy="2095500"/>
                  <wp:effectExtent l="0" t="0" r="0" b="0"/>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rsidR="004F2E99" w:rsidRPr="0060702E" w:rsidRDefault="004F2E99" w:rsidP="004F2E99">
      <w:pPr>
        <w:widowControl w:val="0"/>
        <w:jc w:val="left"/>
        <w:rPr>
          <w:rFonts w:eastAsiaTheme="minorEastAsia"/>
          <w:b/>
          <w:bCs/>
          <w:noProof/>
          <w:sz w:val="18"/>
          <w:szCs w:val="22"/>
        </w:rPr>
      </w:pPr>
    </w:p>
    <w:p w:rsidR="004F2E99" w:rsidRPr="0060702E" w:rsidRDefault="004F2E99" w:rsidP="00877DBA">
      <w:pPr>
        <w:pStyle w:val="Heading8"/>
        <w:keepNext/>
        <w:keepLines/>
        <w:widowControl w:val="0"/>
        <w:rPr>
          <w:szCs w:val="18"/>
        </w:rPr>
      </w:pPr>
      <w:bookmarkStart w:id="101" w:name="_Toc398738994"/>
      <w:r w:rsidRPr="0060702E">
        <w:rPr>
          <w:szCs w:val="18"/>
        </w:rPr>
        <w:t>(d)  Number of genera/species protected by members of the Union</w:t>
      </w:r>
      <w:bookmarkEnd w:id="101"/>
    </w:p>
    <w:p w:rsidR="004F2E99" w:rsidRPr="0060702E" w:rsidRDefault="004F2E99" w:rsidP="00877DBA">
      <w:pPr>
        <w:keepNext/>
        <w:keepLines/>
        <w:widowControl w:val="0"/>
        <w:rPr>
          <w:sz w:val="18"/>
        </w:rPr>
      </w:pPr>
      <w:r w:rsidRPr="0060702E">
        <w:rPr>
          <w:sz w:val="18"/>
        </w:rPr>
        <w:t>(</w:t>
      </w:r>
      <w:proofErr w:type="gramStart"/>
      <w:r w:rsidRPr="0060702E">
        <w:rPr>
          <w:sz w:val="18"/>
        </w:rPr>
        <w:t>see</w:t>
      </w:r>
      <w:proofErr w:type="gramEnd"/>
      <w:r w:rsidRPr="0060702E">
        <w:rPr>
          <w:sz w:val="18"/>
        </w:rPr>
        <w:t xml:space="preserve"> Figures 21 and 22)</w:t>
      </w:r>
    </w:p>
    <w:p w:rsidR="004F2E99" w:rsidRPr="0060702E" w:rsidRDefault="004F2E99" w:rsidP="004F2E99">
      <w:pPr>
        <w:widowControl w:val="0"/>
        <w:rPr>
          <w:sz w:val="18"/>
          <w:szCs w:val="18"/>
        </w:rPr>
      </w:pPr>
    </w:p>
    <w:p w:rsidR="004F2E99" w:rsidRPr="0060702E" w:rsidRDefault="004F2E99" w:rsidP="004F2E99">
      <w:pPr>
        <w:pStyle w:val="Heading9"/>
        <w:keepNext w:val="0"/>
        <w:widowControl w:val="0"/>
      </w:pPr>
      <w:bookmarkStart w:id="102" w:name="_Toc398738995"/>
      <w:proofErr w:type="gramStart"/>
      <w:r w:rsidRPr="0060702E">
        <w:t>Figure 21</w:t>
      </w:r>
      <w:r w:rsidR="007526B9" w:rsidRPr="0060702E">
        <w:t>.</w:t>
      </w:r>
      <w:proofErr w:type="gramEnd"/>
      <w:r w:rsidR="007526B9" w:rsidRPr="0060702E">
        <w:t xml:space="preserve"> </w:t>
      </w:r>
      <w:r w:rsidRPr="0060702E">
        <w:t xml:space="preserve"> Protection to plant genera and species</w:t>
      </w:r>
      <w:r w:rsidR="009855CA" w:rsidRPr="0060702E">
        <w:t xml:space="preserve"> in 2013</w:t>
      </w:r>
      <w:bookmarkEnd w:id="102"/>
    </w:p>
    <w:p w:rsidR="004F2E99" w:rsidRPr="0060702E" w:rsidRDefault="004F2E99" w:rsidP="004F2E99">
      <w:pPr>
        <w:widowControl w:val="0"/>
        <w:rPr>
          <w:sz w:val="18"/>
          <w:szCs w:val="18"/>
        </w:rPr>
      </w:pPr>
      <w:r w:rsidRPr="0060702E">
        <w:rPr>
          <w:noProof/>
          <w:sz w:val="18"/>
          <w:szCs w:val="18"/>
        </w:rPr>
        <w:drawing>
          <wp:inline distT="0" distB="0" distL="0" distR="0" wp14:anchorId="0894C226" wp14:editId="4DE8E8DF">
            <wp:extent cx="6115685" cy="30988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figure_22_protection.png"/>
                    <pic:cNvPicPr/>
                  </pic:nvPicPr>
                  <pic:blipFill>
                    <a:blip r:embed="rId35">
                      <a:extLst>
                        <a:ext uri="{28A0092B-C50C-407E-A947-70E740481C1C}">
                          <a14:useLocalDpi xmlns:a14="http://schemas.microsoft.com/office/drawing/2010/main" val="0"/>
                        </a:ext>
                      </a:extLst>
                    </a:blip>
                    <a:stretch>
                      <a:fillRect/>
                    </a:stretch>
                  </pic:blipFill>
                  <pic:spPr>
                    <a:xfrm>
                      <a:off x="0" y="0"/>
                      <a:ext cx="6115685" cy="3098800"/>
                    </a:xfrm>
                    <a:prstGeom prst="rect">
                      <a:avLst/>
                    </a:prstGeom>
                  </pic:spPr>
                </pic:pic>
              </a:graphicData>
            </a:graphic>
          </wp:inline>
        </w:drawing>
      </w:r>
    </w:p>
    <w:p w:rsidR="004F2E99" w:rsidRPr="0060702E" w:rsidRDefault="004F2E99" w:rsidP="004F2E99">
      <w:pPr>
        <w:widowControl w:val="0"/>
        <w:rPr>
          <w:sz w:val="18"/>
          <w:szCs w:val="18"/>
        </w:rPr>
      </w:pPr>
    </w:p>
    <w:p w:rsidR="004F2E99" w:rsidRPr="0060702E" w:rsidRDefault="004F2E99" w:rsidP="004F2E99">
      <w:pPr>
        <w:widowControl w:val="0"/>
        <w:spacing w:after="60"/>
        <w:ind w:left="529"/>
        <w:jc w:val="left"/>
        <w:rPr>
          <w:sz w:val="16"/>
          <w:szCs w:val="16"/>
        </w:rPr>
      </w:pPr>
      <w:r w:rsidRPr="0060702E">
        <w:rPr>
          <w:noProof/>
        </w:rPr>
        <w:drawing>
          <wp:inline distT="0" distB="0" distL="0" distR="0" wp14:anchorId="7B3A8E45" wp14:editId="1070F66A">
            <wp:extent cx="114300" cy="106134"/>
            <wp:effectExtent l="19050" t="19050" r="19050"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15784" cy="107512"/>
                    </a:xfrm>
                    <a:prstGeom prst="rect">
                      <a:avLst/>
                    </a:prstGeom>
                    <a:ln>
                      <a:solidFill>
                        <a:schemeClr val="tx1"/>
                      </a:solidFill>
                    </a:ln>
                  </pic:spPr>
                </pic:pic>
              </a:graphicData>
            </a:graphic>
          </wp:inline>
        </w:drawing>
      </w:r>
      <w:r w:rsidRPr="0060702E">
        <w:rPr>
          <w:sz w:val="16"/>
          <w:szCs w:val="16"/>
        </w:rPr>
        <w:tab/>
        <w:t>Members of the Union offering protection for all plant genera and species</w:t>
      </w:r>
    </w:p>
    <w:p w:rsidR="004F2E99" w:rsidRPr="0060702E" w:rsidRDefault="004F2E99" w:rsidP="004F2E99">
      <w:pPr>
        <w:widowControl w:val="0"/>
        <w:ind w:left="533"/>
        <w:jc w:val="left"/>
        <w:rPr>
          <w:sz w:val="16"/>
          <w:szCs w:val="16"/>
        </w:rPr>
      </w:pPr>
      <w:r w:rsidRPr="0060702E">
        <w:rPr>
          <w:noProof/>
        </w:rPr>
        <w:drawing>
          <wp:inline distT="0" distB="0" distL="0" distR="0" wp14:anchorId="58A9F209" wp14:editId="0AB71F96">
            <wp:extent cx="114300" cy="10477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w="9525" cmpd="sng">
                      <a:solidFill>
                        <a:srgbClr val="000000"/>
                      </a:solidFill>
                      <a:miter lim="800000"/>
                      <a:headEnd/>
                      <a:tailEnd/>
                    </a:ln>
                    <a:effectLst/>
                  </pic:spPr>
                </pic:pic>
              </a:graphicData>
            </a:graphic>
          </wp:inline>
        </w:drawing>
      </w:r>
      <w:r w:rsidRPr="0060702E">
        <w:rPr>
          <w:sz w:val="16"/>
          <w:szCs w:val="16"/>
        </w:rPr>
        <w:tab/>
        <w:t>Members of the Union offering protection for a limited number of plant genera and species</w:t>
      </w:r>
    </w:p>
    <w:p w:rsidR="004F2E99" w:rsidRPr="00674F91" w:rsidRDefault="004F2E99" w:rsidP="00674F91">
      <w:pPr>
        <w:widowControl w:val="0"/>
        <w:ind w:left="529"/>
        <w:jc w:val="center"/>
        <w:rPr>
          <w:sz w:val="18"/>
          <w:szCs w:val="16"/>
        </w:rPr>
      </w:pPr>
    </w:p>
    <w:p w:rsidR="00674F91" w:rsidRDefault="00674F91" w:rsidP="00674F91">
      <w:pPr>
        <w:widowControl w:val="0"/>
        <w:ind w:left="529"/>
        <w:jc w:val="center"/>
        <w:rPr>
          <w:sz w:val="18"/>
          <w:szCs w:val="16"/>
        </w:rPr>
      </w:pPr>
    </w:p>
    <w:p w:rsidR="00674F91" w:rsidRPr="00674F91" w:rsidRDefault="00674F91" w:rsidP="00674F91">
      <w:pPr>
        <w:widowControl w:val="0"/>
        <w:ind w:left="529"/>
        <w:jc w:val="center"/>
        <w:rPr>
          <w:sz w:val="18"/>
          <w:szCs w:val="16"/>
        </w:rPr>
      </w:pPr>
    </w:p>
    <w:p w:rsidR="004F2E99" w:rsidRPr="0060702E" w:rsidRDefault="004F2E99" w:rsidP="004F2E99">
      <w:pPr>
        <w:pStyle w:val="Heading9"/>
      </w:pPr>
      <w:bookmarkStart w:id="103" w:name="_Toc398738996"/>
      <w:proofErr w:type="gramStart"/>
      <w:r w:rsidRPr="0060702E">
        <w:t>Figure 22</w:t>
      </w:r>
      <w:r w:rsidR="007526B9" w:rsidRPr="0060702E">
        <w:t>.</w:t>
      </w:r>
      <w:proofErr w:type="gramEnd"/>
      <w:r w:rsidR="007526B9" w:rsidRPr="0060702E">
        <w:t xml:space="preserve"> </w:t>
      </w:r>
      <w:r w:rsidRPr="0060702E">
        <w:t xml:space="preserve"> </w:t>
      </w:r>
      <w:r w:rsidR="003822F8" w:rsidRPr="0060702E">
        <w:t xml:space="preserve">Evolution of </w:t>
      </w:r>
      <w:r w:rsidR="003074F9" w:rsidRPr="0060702E">
        <w:t xml:space="preserve">offering </w:t>
      </w:r>
      <w:r w:rsidR="003552BF" w:rsidRPr="0060702E">
        <w:rPr>
          <w:color w:val="000000"/>
          <w:szCs w:val="18"/>
        </w:rPr>
        <w:t>p</w:t>
      </w:r>
      <w:r w:rsidRPr="0060702E">
        <w:rPr>
          <w:color w:val="000000"/>
          <w:szCs w:val="18"/>
        </w:rPr>
        <w:t xml:space="preserve">rotection </w:t>
      </w:r>
      <w:r w:rsidR="00941AA7" w:rsidRPr="0060702E">
        <w:rPr>
          <w:color w:val="000000"/>
          <w:szCs w:val="18"/>
        </w:rPr>
        <w:t>to</w:t>
      </w:r>
      <w:r w:rsidRPr="0060702E">
        <w:rPr>
          <w:color w:val="000000"/>
          <w:szCs w:val="18"/>
        </w:rPr>
        <w:t xml:space="preserve"> plant genera and species</w:t>
      </w:r>
      <w:bookmarkEnd w:id="103"/>
    </w:p>
    <w:p w:rsidR="004F2E99" w:rsidRPr="0060702E" w:rsidRDefault="004F2E99" w:rsidP="004F2E99">
      <w:pPr>
        <w:spacing w:before="60" w:after="120"/>
        <w:ind w:left="425" w:hanging="425"/>
        <w:jc w:val="center"/>
        <w:rPr>
          <w:color w:val="000000"/>
          <w:sz w:val="18"/>
          <w:szCs w:val="18"/>
        </w:rPr>
      </w:pPr>
      <w:r w:rsidRPr="0060702E">
        <w:rPr>
          <w:noProof/>
        </w:rPr>
        <w:drawing>
          <wp:inline distT="0" distB="0" distL="0" distR="0" wp14:anchorId="2E436894" wp14:editId="6B0FBA3F">
            <wp:extent cx="6057900" cy="347662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F2E99" w:rsidRPr="0060702E" w:rsidRDefault="004F2E99" w:rsidP="00674F91"/>
    <w:p w:rsidR="004F2E99" w:rsidRPr="0060702E" w:rsidRDefault="004F2E99" w:rsidP="00674F91"/>
    <w:p w:rsidR="004F2E99" w:rsidRPr="0060702E" w:rsidRDefault="004F2E99" w:rsidP="00674F91">
      <w:pPr>
        <w:pStyle w:val="Heading8"/>
        <w:keepNext/>
        <w:rPr>
          <w:szCs w:val="18"/>
        </w:rPr>
      </w:pPr>
      <w:bookmarkStart w:id="104" w:name="_Toc398738997"/>
      <w:r w:rsidRPr="0060702E">
        <w:rPr>
          <w:szCs w:val="18"/>
        </w:rPr>
        <w:t>(e)  Number of genera/species for which varieties have been protected</w:t>
      </w:r>
      <w:bookmarkEnd w:id="104"/>
    </w:p>
    <w:p w:rsidR="004F2E99" w:rsidRDefault="004F2E99" w:rsidP="00674F91">
      <w:pPr>
        <w:rPr>
          <w:sz w:val="18"/>
          <w:szCs w:val="18"/>
        </w:rPr>
      </w:pPr>
      <w:r w:rsidRPr="0060702E">
        <w:rPr>
          <w:sz w:val="18"/>
          <w:szCs w:val="18"/>
        </w:rPr>
        <w:t>See Figure 7 “Plant Genera/Species with Cooperation Agreements, Practical Experience and</w:t>
      </w:r>
      <w:r w:rsidR="00674F91">
        <w:rPr>
          <w:sz w:val="18"/>
          <w:szCs w:val="18"/>
        </w:rPr>
        <w:t xml:space="preserve"> </w:t>
      </w:r>
      <w:r w:rsidRPr="0060702E">
        <w:rPr>
          <w:sz w:val="18"/>
          <w:szCs w:val="18"/>
        </w:rPr>
        <w:t>Plant Breeders’ Rights Entries in Plant Variety Database”</w:t>
      </w:r>
    </w:p>
    <w:p w:rsidR="00674F91" w:rsidRDefault="00674F91" w:rsidP="00674F91">
      <w:pPr>
        <w:rPr>
          <w:sz w:val="18"/>
          <w:szCs w:val="18"/>
        </w:rPr>
      </w:pPr>
    </w:p>
    <w:p w:rsidR="00674F91" w:rsidRPr="0060702E" w:rsidRDefault="00674F91" w:rsidP="00674F91">
      <w:pPr>
        <w:rPr>
          <w:color w:val="000000"/>
          <w:sz w:val="18"/>
          <w:szCs w:val="18"/>
        </w:rPr>
      </w:pPr>
    </w:p>
    <w:p w:rsidR="004F2E99" w:rsidRPr="0060702E" w:rsidRDefault="004F2E99" w:rsidP="004F2E99">
      <w:pPr>
        <w:pStyle w:val="Heading8"/>
        <w:rPr>
          <w:szCs w:val="18"/>
        </w:rPr>
      </w:pPr>
      <w:bookmarkStart w:id="105" w:name="_Toc398738998"/>
      <w:r w:rsidRPr="0060702E">
        <w:rPr>
          <w:szCs w:val="18"/>
        </w:rPr>
        <w:t>(f)  Use by members of the Union of standard UPOV references in application forms</w:t>
      </w:r>
      <w:bookmarkEnd w:id="105"/>
    </w:p>
    <w:p w:rsidR="004F2E99" w:rsidRDefault="004F2E99" w:rsidP="004F2E99">
      <w:pPr>
        <w:autoSpaceDE w:val="0"/>
        <w:autoSpaceDN w:val="0"/>
        <w:adjustRightInd w:val="0"/>
        <w:rPr>
          <w:rFonts w:ascii="ArialMT" w:hAnsi="ArialMT" w:cs="ArialMT"/>
          <w:sz w:val="18"/>
          <w:szCs w:val="18"/>
        </w:rPr>
      </w:pPr>
      <w:r w:rsidRPr="0060702E">
        <w:rPr>
          <w:sz w:val="18"/>
          <w:szCs w:val="18"/>
        </w:rPr>
        <w:t xml:space="preserve">In 2012, 13 members of the Union </w:t>
      </w:r>
      <w:r w:rsidRPr="0060702E">
        <w:rPr>
          <w:rFonts w:ascii="ArialMT" w:hAnsi="ArialMT" w:cs="ArialMT"/>
          <w:sz w:val="18"/>
          <w:szCs w:val="18"/>
        </w:rPr>
        <w:t>indicated that the standard references of the UPOV Model Application Form were included in their application forms</w:t>
      </w:r>
      <w:r w:rsidR="00224931" w:rsidRPr="0060702E">
        <w:rPr>
          <w:rFonts w:ascii="ArialMT" w:hAnsi="ArialMT" w:cs="ArialMT"/>
          <w:sz w:val="18"/>
          <w:szCs w:val="18"/>
        </w:rPr>
        <w:t>.</w:t>
      </w:r>
    </w:p>
    <w:p w:rsidR="00674F91" w:rsidRPr="0060702E" w:rsidRDefault="00674F91" w:rsidP="004F2E99">
      <w:pPr>
        <w:autoSpaceDE w:val="0"/>
        <w:autoSpaceDN w:val="0"/>
        <w:adjustRightInd w:val="0"/>
        <w:rPr>
          <w:rFonts w:ascii="ArialMT" w:hAnsi="ArialMT" w:cs="ArialMT"/>
          <w:sz w:val="18"/>
          <w:szCs w:val="18"/>
        </w:rPr>
      </w:pPr>
    </w:p>
    <w:p w:rsidR="004F2E99" w:rsidRPr="0060702E" w:rsidRDefault="004F2E99" w:rsidP="004F2E99">
      <w:pPr>
        <w:autoSpaceDE w:val="0"/>
        <w:autoSpaceDN w:val="0"/>
        <w:adjustRightInd w:val="0"/>
        <w:rPr>
          <w:sz w:val="18"/>
          <w:szCs w:val="18"/>
        </w:rPr>
      </w:pPr>
    </w:p>
    <w:p w:rsidR="004F2E99" w:rsidRPr="0060702E" w:rsidRDefault="004F2E99" w:rsidP="004F2E99">
      <w:pPr>
        <w:pStyle w:val="Heading8"/>
        <w:rPr>
          <w:szCs w:val="18"/>
        </w:rPr>
      </w:pPr>
      <w:bookmarkStart w:id="106" w:name="_Toc398738999"/>
      <w:r w:rsidRPr="0060702E">
        <w:rPr>
          <w:szCs w:val="18"/>
        </w:rPr>
        <w:t>(g)  Use of linear blank forms corresponding to the “UPOV Model Form for the Application for Plant Breeders’ Rights”</w:t>
      </w:r>
      <w:bookmarkEnd w:id="106"/>
    </w:p>
    <w:p w:rsidR="004F2E99" w:rsidRPr="0060702E" w:rsidRDefault="004F2E99" w:rsidP="004F2E99">
      <w:pPr>
        <w:rPr>
          <w:sz w:val="18"/>
          <w:szCs w:val="18"/>
        </w:rPr>
      </w:pPr>
      <w:r w:rsidRPr="0060702E">
        <w:rPr>
          <w:sz w:val="18"/>
          <w:szCs w:val="18"/>
        </w:rPr>
        <w:t>In 2012, the CAJ endorsed the development of a prototype electronic form for interested members of the Union and agreed on the form content, status, data format, languages, and the crop/species.  The following members of the Union, including the continued participation of the European Union, indicated their interest to be participating members of the Union in the prototype: Australia, Brazil, Canada, Colombia, Dominican Republic, Mexico, New Zealand, Paraguay, Republic of Korea, United States of America and Viet Nam.  Other partners were the CPVO, ISF, CIOPORA, WIPO Internet Services Section, WIPO Standards Section and WIPO Global Database Service.</w:t>
      </w:r>
    </w:p>
    <w:p w:rsidR="004F2E99" w:rsidRPr="0060702E" w:rsidRDefault="004F2E99" w:rsidP="004F2E99">
      <w:pPr>
        <w:rPr>
          <w:sz w:val="18"/>
          <w:szCs w:val="18"/>
        </w:rPr>
      </w:pPr>
    </w:p>
    <w:p w:rsidR="004F2E99" w:rsidRPr="0060702E" w:rsidRDefault="004F2E99" w:rsidP="004F2E99">
      <w:pPr>
        <w:rPr>
          <w:sz w:val="18"/>
          <w:szCs w:val="18"/>
        </w:rPr>
      </w:pPr>
      <w:r w:rsidRPr="0060702E">
        <w:rPr>
          <w:sz w:val="18"/>
          <w:szCs w:val="18"/>
        </w:rPr>
        <w:t>The UPOV electronic form is planned to enable data to be transferred to participating members of the Union in Word, Excel, PDF or XML format. The participating members of the Union would decide in which format(s) to accept data.  In the case of XML format, a standard format is planned to be developed, based on WIPO standard ST.96.</w:t>
      </w:r>
    </w:p>
    <w:p w:rsidR="004F2E99" w:rsidRPr="0060702E" w:rsidRDefault="004F2E99" w:rsidP="004F2E99">
      <w:pPr>
        <w:rPr>
          <w:sz w:val="18"/>
          <w:szCs w:val="18"/>
        </w:rPr>
      </w:pPr>
    </w:p>
    <w:p w:rsidR="004F2E99" w:rsidRPr="00674F91" w:rsidRDefault="004F2E99" w:rsidP="00674F91">
      <w:pPr>
        <w:rPr>
          <w:color w:val="000000"/>
          <w:sz w:val="18"/>
        </w:rPr>
      </w:pPr>
      <w:r w:rsidRPr="00674F91">
        <w:rPr>
          <w:sz w:val="18"/>
        </w:rPr>
        <w:t>In 2013, an illustrative “mock-up” of parts of the prototype electronic form was presented.  It was agreed that the prototype would be developed in English only and the Technical Questionnaire would be for Lettuce (</w:t>
      </w:r>
      <w:proofErr w:type="spellStart"/>
      <w:r w:rsidRPr="00674F91">
        <w:rPr>
          <w:i/>
          <w:sz w:val="18"/>
        </w:rPr>
        <w:t>Lactuca</w:t>
      </w:r>
      <w:proofErr w:type="spellEnd"/>
      <w:r w:rsidRPr="00674F91">
        <w:rPr>
          <w:i/>
          <w:sz w:val="18"/>
        </w:rPr>
        <w:t> sativa</w:t>
      </w:r>
      <w:r w:rsidRPr="00674F91">
        <w:rPr>
          <w:sz w:val="18"/>
        </w:rPr>
        <w:t> L.).  Argentina, Japan and Switzerland requested to participate in the development of the prototype.</w:t>
      </w:r>
    </w:p>
    <w:p w:rsidR="004F2E99" w:rsidRDefault="004F2E99" w:rsidP="00674F91"/>
    <w:p w:rsidR="00674F91" w:rsidRPr="0060702E" w:rsidRDefault="00674F91" w:rsidP="00674F91"/>
    <w:p w:rsidR="004F2E99" w:rsidRPr="0060702E" w:rsidRDefault="004F2E99" w:rsidP="004F2E99">
      <w:pPr>
        <w:pStyle w:val="Heading6"/>
      </w:pPr>
      <w:bookmarkStart w:id="107" w:name="_Toc398739000"/>
      <w:r w:rsidRPr="0060702E">
        <w:t>7.  Provision of information on the UPOV Convention for stakeholders (breeders, farmers, growers, seed-merchants, etc.)</w:t>
      </w:r>
      <w:bookmarkEnd w:id="107"/>
    </w:p>
    <w:p w:rsidR="004F2E99" w:rsidRPr="0060702E" w:rsidRDefault="004F2E99" w:rsidP="004F2E99"/>
    <w:p w:rsidR="004F2E99" w:rsidRPr="0060702E" w:rsidRDefault="004F2E99" w:rsidP="004F2E99">
      <w:pPr>
        <w:pStyle w:val="Heading8"/>
        <w:rPr>
          <w:szCs w:val="18"/>
        </w:rPr>
      </w:pPr>
      <w:bookmarkStart w:id="108" w:name="_Toc398739001"/>
      <w:r w:rsidRPr="0060702E">
        <w:rPr>
          <w:szCs w:val="18"/>
        </w:rPr>
        <w:t>(a)  Stakeholder-orientated information on the UPOV website</w:t>
      </w:r>
      <w:bookmarkEnd w:id="108"/>
    </w:p>
    <w:p w:rsidR="004F2E99" w:rsidRPr="0060702E" w:rsidRDefault="004F2E99" w:rsidP="004F2E99">
      <w:pPr>
        <w:rPr>
          <w:sz w:val="18"/>
          <w:szCs w:val="18"/>
        </w:rPr>
      </w:pPr>
      <w:r w:rsidRPr="0060702E">
        <w:rPr>
          <w:sz w:val="18"/>
          <w:szCs w:val="18"/>
        </w:rPr>
        <w:t xml:space="preserve">The following material was produced in 2012-2013: </w:t>
      </w:r>
    </w:p>
    <w:p w:rsidR="004F2E99" w:rsidRPr="0060702E" w:rsidRDefault="004F2E99" w:rsidP="004F2E99">
      <w:pPr>
        <w:rPr>
          <w:sz w:val="18"/>
          <w:szCs w:val="18"/>
        </w:rPr>
      </w:pPr>
    </w:p>
    <w:p w:rsidR="004F2E99" w:rsidRPr="0060702E" w:rsidRDefault="004F2E99" w:rsidP="004F2E99">
      <w:pPr>
        <w:pStyle w:val="ListParagraph"/>
        <w:numPr>
          <w:ilvl w:val="0"/>
          <w:numId w:val="8"/>
        </w:numPr>
        <w:spacing w:after="120"/>
        <w:ind w:hanging="357"/>
        <w:contextualSpacing w:val="0"/>
        <w:rPr>
          <w:sz w:val="18"/>
          <w:szCs w:val="18"/>
        </w:rPr>
      </w:pPr>
      <w:r w:rsidRPr="0060702E">
        <w:rPr>
          <w:sz w:val="18"/>
          <w:szCs w:val="18"/>
        </w:rPr>
        <w:t>Symposium on the Benefits of Plant Variety Protection for Farmers and Growers</w:t>
      </w:r>
    </w:p>
    <w:p w:rsidR="004F2E99" w:rsidRPr="0060702E" w:rsidRDefault="004F2E99" w:rsidP="004F2E99">
      <w:pPr>
        <w:pStyle w:val="ListParagraph"/>
        <w:numPr>
          <w:ilvl w:val="1"/>
          <w:numId w:val="9"/>
        </w:numPr>
        <w:spacing w:after="120"/>
        <w:contextualSpacing w:val="0"/>
        <w:jc w:val="left"/>
        <w:rPr>
          <w:sz w:val="18"/>
          <w:szCs w:val="18"/>
        </w:rPr>
      </w:pPr>
      <w:r w:rsidRPr="0060702E">
        <w:rPr>
          <w:sz w:val="18"/>
          <w:szCs w:val="18"/>
        </w:rPr>
        <w:t xml:space="preserve">presentations and closing remarks posted on the UPOV website at: </w:t>
      </w:r>
      <w:hyperlink r:id="rId39" w:history="1">
        <w:r w:rsidRPr="0060702E">
          <w:rPr>
            <w:rStyle w:val="Hyperlink"/>
            <w:sz w:val="18"/>
            <w:szCs w:val="18"/>
          </w:rPr>
          <w:t>http://www.upov.int/meetings/en/details.jsp?meeting_id=26104</w:t>
        </w:r>
      </w:hyperlink>
      <w:r w:rsidRPr="0060702E">
        <w:rPr>
          <w:sz w:val="18"/>
          <w:szCs w:val="18"/>
        </w:rPr>
        <w:t xml:space="preserve"> </w:t>
      </w:r>
    </w:p>
    <w:p w:rsidR="004F2E99" w:rsidRPr="0060702E" w:rsidRDefault="004F2E99" w:rsidP="004F2E99">
      <w:pPr>
        <w:pStyle w:val="ListParagraph"/>
        <w:numPr>
          <w:ilvl w:val="0"/>
          <w:numId w:val="8"/>
        </w:numPr>
        <w:spacing w:after="120"/>
        <w:contextualSpacing w:val="0"/>
        <w:rPr>
          <w:sz w:val="18"/>
          <w:szCs w:val="18"/>
        </w:rPr>
      </w:pPr>
      <w:r w:rsidRPr="0060702E">
        <w:rPr>
          <w:sz w:val="18"/>
          <w:szCs w:val="18"/>
        </w:rPr>
        <w:t xml:space="preserve">UPOV Trilogy Box Set (in English only), also available on the UPOV website at </w:t>
      </w:r>
      <w:hyperlink r:id="rId40" w:history="1">
        <w:r w:rsidRPr="0060702E">
          <w:rPr>
            <w:rStyle w:val="Hyperlink"/>
            <w:sz w:val="18"/>
            <w:szCs w:val="18"/>
          </w:rPr>
          <w:t>http://www.upov.int/about/en/benefits_upov_system.html</w:t>
        </w:r>
      </w:hyperlink>
      <w:r w:rsidRPr="0060702E">
        <w:rPr>
          <w:sz w:val="18"/>
          <w:szCs w:val="18"/>
        </w:rPr>
        <w:t>, containing the following publications:</w:t>
      </w:r>
    </w:p>
    <w:p w:rsidR="004F2E99" w:rsidRPr="0060702E" w:rsidRDefault="004F2E99" w:rsidP="004F2E99">
      <w:pPr>
        <w:pStyle w:val="ListParagraph"/>
        <w:numPr>
          <w:ilvl w:val="1"/>
          <w:numId w:val="9"/>
        </w:numPr>
        <w:spacing w:after="120"/>
        <w:contextualSpacing w:val="0"/>
        <w:rPr>
          <w:sz w:val="18"/>
          <w:szCs w:val="18"/>
        </w:rPr>
      </w:pPr>
      <w:r w:rsidRPr="0060702E">
        <w:rPr>
          <w:sz w:val="18"/>
          <w:szCs w:val="18"/>
        </w:rPr>
        <w:t>Executive Summary (UPOV Publication 357.1E)</w:t>
      </w:r>
    </w:p>
    <w:p w:rsidR="004F2E99" w:rsidRPr="0060702E" w:rsidRDefault="004F2E99" w:rsidP="004F2E99">
      <w:pPr>
        <w:pStyle w:val="ListParagraph"/>
        <w:numPr>
          <w:ilvl w:val="1"/>
          <w:numId w:val="9"/>
        </w:numPr>
        <w:spacing w:after="120"/>
        <w:contextualSpacing w:val="0"/>
        <w:rPr>
          <w:sz w:val="18"/>
          <w:szCs w:val="18"/>
        </w:rPr>
      </w:pPr>
      <w:r w:rsidRPr="0060702E">
        <w:rPr>
          <w:sz w:val="18"/>
          <w:szCs w:val="18"/>
        </w:rPr>
        <w:t>Symposium on Plant Breeding for the Future (UPOV Publication 357.2E)</w:t>
      </w:r>
    </w:p>
    <w:p w:rsidR="004F2E99" w:rsidRPr="0060702E" w:rsidRDefault="004F2E99" w:rsidP="004F2E99">
      <w:pPr>
        <w:pStyle w:val="ListParagraph"/>
        <w:numPr>
          <w:ilvl w:val="1"/>
          <w:numId w:val="9"/>
        </w:numPr>
        <w:spacing w:after="120"/>
        <w:contextualSpacing w:val="0"/>
        <w:rPr>
          <w:sz w:val="18"/>
          <w:szCs w:val="18"/>
        </w:rPr>
      </w:pPr>
      <w:r w:rsidRPr="0060702E">
        <w:rPr>
          <w:sz w:val="18"/>
          <w:szCs w:val="18"/>
        </w:rPr>
        <w:t>Seminar on Plant Variety Protection and Technology Transfer:  the Benefits of Public-Private Partnership (UPOV Publication 357.3E)</w:t>
      </w:r>
    </w:p>
    <w:p w:rsidR="004F2E99" w:rsidRPr="0060702E" w:rsidRDefault="004F2E99" w:rsidP="004F2E99">
      <w:pPr>
        <w:pStyle w:val="ListParagraph"/>
        <w:numPr>
          <w:ilvl w:val="1"/>
          <w:numId w:val="9"/>
        </w:numPr>
        <w:spacing w:after="120"/>
        <w:contextualSpacing w:val="0"/>
        <w:rPr>
          <w:sz w:val="18"/>
          <w:szCs w:val="18"/>
        </w:rPr>
      </w:pPr>
      <w:r w:rsidRPr="0060702E">
        <w:rPr>
          <w:sz w:val="18"/>
          <w:szCs w:val="18"/>
        </w:rPr>
        <w:t>Symposium on the Benefits of Plant Variety Protection for Farmers and Growers (UPOV Publication 357.4E)</w:t>
      </w:r>
    </w:p>
    <w:p w:rsidR="004F2E99" w:rsidRPr="0060702E" w:rsidRDefault="004F2E99" w:rsidP="004F2E99">
      <w:pPr>
        <w:pStyle w:val="ListParagraph"/>
        <w:numPr>
          <w:ilvl w:val="0"/>
          <w:numId w:val="8"/>
        </w:numPr>
        <w:spacing w:after="120"/>
        <w:contextualSpacing w:val="0"/>
        <w:rPr>
          <w:sz w:val="18"/>
          <w:szCs w:val="18"/>
        </w:rPr>
      </w:pPr>
      <w:r w:rsidRPr="0060702E">
        <w:rPr>
          <w:sz w:val="18"/>
          <w:szCs w:val="18"/>
        </w:rPr>
        <w:t>Seminar on Essentially Derived Varieties:</w:t>
      </w:r>
    </w:p>
    <w:p w:rsidR="004F2E99" w:rsidRPr="0060702E" w:rsidRDefault="004F2E99" w:rsidP="004F2E99">
      <w:pPr>
        <w:pStyle w:val="ListParagraph"/>
        <w:numPr>
          <w:ilvl w:val="1"/>
          <w:numId w:val="9"/>
        </w:numPr>
        <w:spacing w:after="120"/>
        <w:contextualSpacing w:val="0"/>
        <w:jc w:val="left"/>
        <w:rPr>
          <w:sz w:val="18"/>
          <w:szCs w:val="18"/>
        </w:rPr>
      </w:pPr>
      <w:r w:rsidRPr="0060702E">
        <w:rPr>
          <w:sz w:val="18"/>
          <w:szCs w:val="18"/>
        </w:rPr>
        <w:t>materials and video posted on the UPOV website at:</w:t>
      </w:r>
      <w:r w:rsidRPr="0060702E">
        <w:rPr>
          <w:sz w:val="18"/>
          <w:szCs w:val="18"/>
        </w:rPr>
        <w:br/>
      </w:r>
      <w:hyperlink r:id="rId41" w:history="1">
        <w:r w:rsidRPr="0060702E">
          <w:rPr>
            <w:rStyle w:val="Hyperlink"/>
            <w:sz w:val="18"/>
            <w:szCs w:val="18"/>
          </w:rPr>
          <w:t>http://www.upov.int/meetings/en/details.jsp?meeting_id=29782</w:t>
        </w:r>
      </w:hyperlink>
    </w:p>
    <w:p w:rsidR="004F2E99" w:rsidRPr="00674F91" w:rsidRDefault="004F2E99" w:rsidP="00674F91">
      <w:pPr>
        <w:rPr>
          <w:sz w:val="18"/>
        </w:rPr>
      </w:pPr>
    </w:p>
    <w:p w:rsidR="004F2E99" w:rsidRPr="00674F91" w:rsidRDefault="004F2E99" w:rsidP="00674F91">
      <w:pPr>
        <w:rPr>
          <w:sz w:val="18"/>
        </w:rPr>
      </w:pPr>
    </w:p>
    <w:p w:rsidR="004F2E99" w:rsidRPr="00674F91" w:rsidRDefault="004F2E99" w:rsidP="00674F91">
      <w:pPr>
        <w:rPr>
          <w:sz w:val="18"/>
        </w:rPr>
      </w:pPr>
    </w:p>
    <w:p w:rsidR="002D6F42" w:rsidRPr="00674F91" w:rsidRDefault="002D6F42" w:rsidP="00674F91">
      <w:pPr>
        <w:rPr>
          <w:sz w:val="18"/>
        </w:rPr>
      </w:pPr>
    </w:p>
    <w:p w:rsidR="004F2E99" w:rsidRPr="0060702E" w:rsidRDefault="004F2E99">
      <w:pPr>
        <w:jc w:val="left"/>
      </w:pPr>
      <w:r w:rsidRPr="0060702E">
        <w:br w:type="page"/>
      </w:r>
    </w:p>
    <w:p w:rsidR="00920A93" w:rsidRPr="0060702E" w:rsidRDefault="00920A93" w:rsidP="00CE77F1">
      <w:pPr>
        <w:pStyle w:val="Heading4"/>
      </w:pPr>
      <w:bookmarkStart w:id="109" w:name="_Toc336339204"/>
      <w:bookmarkStart w:id="110" w:name="_Toc398739002"/>
      <w:r w:rsidRPr="0060702E">
        <w:t>2.3</w:t>
      </w:r>
      <w:r w:rsidRPr="0060702E">
        <w:tab/>
        <w:t>Sub-Program UV.3:  </w:t>
      </w:r>
      <w:bookmarkEnd w:id="109"/>
      <w:r w:rsidRPr="0060702E">
        <w:t>Assistance in the Introduction and Implementation of the UPOV System</w:t>
      </w:r>
      <w:bookmarkEnd w:id="110"/>
    </w:p>
    <w:p w:rsidR="00920A93" w:rsidRPr="0060702E" w:rsidRDefault="00920A93" w:rsidP="00920A93">
      <w:pPr>
        <w:rPr>
          <w:sz w:val="18"/>
          <w:szCs w:val="18"/>
        </w:rPr>
      </w:pPr>
    </w:p>
    <w:p w:rsidR="00920A93" w:rsidRPr="0060702E" w:rsidRDefault="00920A93" w:rsidP="00920A93">
      <w:pPr>
        <w:rPr>
          <w:sz w:val="18"/>
          <w:szCs w:val="18"/>
        </w:rPr>
      </w:pPr>
      <w:r w:rsidRPr="0060702E">
        <w:rPr>
          <w:sz w:val="18"/>
          <w:szCs w:val="18"/>
        </w:rPr>
        <w:t xml:space="preserve">UPOV has assisted a number of States in the implementation of plant variety protection based on the UPOV Convention and has provided advice to governments in the preparation of legislation.  Cooperation with members of the Union, particularly with regard to training courses, has provided substantial benefits for outreach.  The use of the distance learning course “Introduction to the UPOV System of Plant Variety Protection under the UPOV Convention” and training of trainers have been of increasing importance in providing assistance to a wide range of experts.  </w:t>
      </w:r>
    </w:p>
    <w:p w:rsidR="002D6F42" w:rsidRPr="0060702E" w:rsidRDefault="002D6F42" w:rsidP="002D6F42">
      <w:pPr>
        <w:rPr>
          <w:sz w:val="18"/>
          <w:szCs w:val="18"/>
        </w:rPr>
      </w:pPr>
    </w:p>
    <w:p w:rsidR="00BA6FF2" w:rsidRPr="0060702E" w:rsidRDefault="00BA6FF2" w:rsidP="00BA6FF2">
      <w:pPr>
        <w:pStyle w:val="Heading5"/>
      </w:pPr>
      <w:bookmarkStart w:id="111" w:name="_Toc398739003"/>
      <w:bookmarkStart w:id="112" w:name="_Toc336339205"/>
      <w:r w:rsidRPr="0060702E">
        <w:t>Objectives</w:t>
      </w:r>
      <w:bookmarkEnd w:id="111"/>
    </w:p>
    <w:p w:rsidR="00BA6FF2" w:rsidRPr="0060702E" w:rsidRDefault="00BA6FF2" w:rsidP="00BA6FF2"/>
    <w:bookmarkEnd w:id="112"/>
    <w:p w:rsidR="00BA6FF2" w:rsidRPr="0060702E" w:rsidRDefault="00BA6FF2" w:rsidP="00BA6FF2">
      <w:pPr>
        <w:keepNext/>
        <w:keepLines/>
        <w:widowControl w:val="0"/>
        <w:numPr>
          <w:ilvl w:val="0"/>
          <w:numId w:val="1"/>
        </w:numPr>
        <w:jc w:val="left"/>
        <w:rPr>
          <w:spacing w:val="-1"/>
          <w:sz w:val="18"/>
          <w:szCs w:val="18"/>
        </w:rPr>
      </w:pPr>
      <w:r w:rsidRPr="0060702E">
        <w:rPr>
          <w:spacing w:val="-1"/>
          <w:sz w:val="18"/>
          <w:szCs w:val="18"/>
        </w:rPr>
        <w:t>To raise awareness of the role of plant variety protection according to the UPOV Convention.</w:t>
      </w:r>
    </w:p>
    <w:p w:rsidR="00BA6FF2" w:rsidRPr="0060702E" w:rsidRDefault="00BA6FF2" w:rsidP="00BA6FF2">
      <w:pPr>
        <w:keepNext/>
        <w:keepLines/>
        <w:widowControl w:val="0"/>
        <w:numPr>
          <w:ilvl w:val="0"/>
          <w:numId w:val="1"/>
        </w:numPr>
        <w:jc w:val="left"/>
        <w:rPr>
          <w:sz w:val="18"/>
          <w:szCs w:val="18"/>
        </w:rPr>
      </w:pPr>
      <w:r w:rsidRPr="0060702E">
        <w:rPr>
          <w:sz w:val="18"/>
          <w:szCs w:val="18"/>
        </w:rPr>
        <w:t>To assist States and organizations, particularly governments of developing countries and countries in transition to a market economy, in the development of legislation in accordance with the 1991 Act of the UPOV Convention.</w:t>
      </w:r>
    </w:p>
    <w:p w:rsidR="00BA6FF2" w:rsidRPr="0060702E" w:rsidRDefault="00BA6FF2" w:rsidP="00BA6FF2">
      <w:pPr>
        <w:keepNext/>
        <w:keepLines/>
        <w:widowControl w:val="0"/>
        <w:numPr>
          <w:ilvl w:val="0"/>
          <w:numId w:val="1"/>
        </w:numPr>
        <w:jc w:val="left"/>
        <w:rPr>
          <w:sz w:val="18"/>
          <w:szCs w:val="18"/>
        </w:rPr>
      </w:pPr>
      <w:r w:rsidRPr="0060702E">
        <w:rPr>
          <w:sz w:val="18"/>
          <w:szCs w:val="18"/>
        </w:rPr>
        <w:t>To assist States and organizations in their accession to the 1991 Act of the UPOV Convention.</w:t>
      </w:r>
    </w:p>
    <w:p w:rsidR="00BA6FF2" w:rsidRPr="0060702E" w:rsidRDefault="00BA6FF2" w:rsidP="00BA6FF2">
      <w:pPr>
        <w:keepNext/>
        <w:keepLines/>
        <w:widowControl w:val="0"/>
        <w:numPr>
          <w:ilvl w:val="0"/>
          <w:numId w:val="1"/>
        </w:numPr>
        <w:jc w:val="left"/>
        <w:rPr>
          <w:sz w:val="18"/>
          <w:szCs w:val="18"/>
        </w:rPr>
      </w:pPr>
      <w:r w:rsidRPr="0060702E">
        <w:rPr>
          <w:sz w:val="18"/>
          <w:szCs w:val="18"/>
        </w:rPr>
        <w:t>To assist States and organizations in implementing an effective plant variety protection system in accordance with the 1991 Act of the UPOV Convention.</w:t>
      </w:r>
    </w:p>
    <w:p w:rsidR="002D6F42" w:rsidRPr="0060702E" w:rsidRDefault="002D6F42" w:rsidP="002D6F42">
      <w:pPr>
        <w:rPr>
          <w:sz w:val="18"/>
          <w:szCs w:val="18"/>
        </w:rPr>
      </w:pPr>
    </w:p>
    <w:p w:rsidR="00BA6FF2" w:rsidRPr="0060702E" w:rsidRDefault="00BA6FF2" w:rsidP="00BA6FF2">
      <w:pPr>
        <w:pStyle w:val="Heading5"/>
      </w:pPr>
      <w:bookmarkStart w:id="113" w:name="_Toc336331205"/>
      <w:bookmarkStart w:id="114" w:name="_Toc336339207"/>
      <w:bookmarkStart w:id="115" w:name="_Toc398739004"/>
      <w:r w:rsidRPr="0060702E">
        <w:t>Results Achieved:  Selected Performance Indicators</w:t>
      </w:r>
      <w:bookmarkEnd w:id="113"/>
      <w:bookmarkEnd w:id="114"/>
      <w:bookmarkEnd w:id="115"/>
    </w:p>
    <w:p w:rsidR="00BA6FF2" w:rsidRPr="0060702E" w:rsidRDefault="00BA6FF2" w:rsidP="00BA6FF2">
      <w:pPr>
        <w:keepNext/>
        <w:keepLines/>
        <w:widowControl w:val="0"/>
        <w:jc w:val="left"/>
      </w:pPr>
    </w:p>
    <w:p w:rsidR="00BA6FF2" w:rsidRPr="0060702E" w:rsidRDefault="00BA6FF2" w:rsidP="00BA6FF2">
      <w:pPr>
        <w:pStyle w:val="Heading6"/>
      </w:pPr>
      <w:bookmarkStart w:id="116" w:name="_Toc398739005"/>
      <w:r w:rsidRPr="0060702E">
        <w:t>1.  Raising awareness of the role of plant variety protection in accordance with the UPOV Convention</w:t>
      </w:r>
      <w:bookmarkEnd w:id="116"/>
    </w:p>
    <w:p w:rsidR="00BA6FF2" w:rsidRPr="0060702E" w:rsidRDefault="00BA6FF2" w:rsidP="00BA6FF2"/>
    <w:p w:rsidR="00BA6FF2" w:rsidRPr="0060702E" w:rsidRDefault="00BA6FF2" w:rsidP="00BA6FF2">
      <w:pPr>
        <w:pStyle w:val="Heading8"/>
        <w:rPr>
          <w:szCs w:val="18"/>
        </w:rPr>
      </w:pPr>
      <w:bookmarkStart w:id="117" w:name="_Toc398739006"/>
      <w:r w:rsidRPr="0060702E">
        <w:rPr>
          <w:szCs w:val="18"/>
        </w:rPr>
        <w:t>(a)  Publications on the role of plant variety protection, including material on UPOV website</w:t>
      </w:r>
      <w:bookmarkEnd w:id="117"/>
    </w:p>
    <w:p w:rsidR="00BA6FF2" w:rsidRPr="0060702E" w:rsidRDefault="00BA6FF2" w:rsidP="00BA6FF2">
      <w:pPr>
        <w:rPr>
          <w:sz w:val="18"/>
          <w:szCs w:val="18"/>
        </w:rPr>
      </w:pPr>
      <w:r w:rsidRPr="0060702E">
        <w:rPr>
          <w:sz w:val="18"/>
          <w:szCs w:val="18"/>
        </w:rPr>
        <w:t>See section 2.2 “Sub-Program UV.2”, expected result “7. Provision of information on the UPOV Convention for stakeholders”, “</w:t>
      </w:r>
      <w:proofErr w:type="gramStart"/>
      <w:r w:rsidRPr="0060702E">
        <w:rPr>
          <w:sz w:val="18"/>
          <w:szCs w:val="18"/>
        </w:rPr>
        <w:t>(a) Stakeholder</w:t>
      </w:r>
      <w:proofErr w:type="gramEnd"/>
      <w:r w:rsidRPr="0060702E">
        <w:rPr>
          <w:sz w:val="18"/>
          <w:szCs w:val="18"/>
        </w:rPr>
        <w:t>-orientated information on the UPOV website”</w:t>
      </w:r>
    </w:p>
    <w:p w:rsidR="00BA6FF2" w:rsidRPr="0060702E" w:rsidRDefault="00BA6FF2" w:rsidP="00BA6FF2">
      <w:pPr>
        <w:rPr>
          <w:sz w:val="18"/>
          <w:szCs w:val="18"/>
        </w:rPr>
      </w:pPr>
    </w:p>
    <w:p w:rsidR="00BA6FF2" w:rsidRPr="0060702E" w:rsidRDefault="00BA6FF2" w:rsidP="00BA6FF2">
      <w:pPr>
        <w:pStyle w:val="Heading8"/>
      </w:pPr>
      <w:bookmarkStart w:id="118" w:name="_Toc398739007"/>
      <w:r w:rsidRPr="0060702E">
        <w:t>(b)  States and organizations provided with information at UPOV activities</w:t>
      </w:r>
      <w:bookmarkEnd w:id="118"/>
    </w:p>
    <w:p w:rsidR="00BA6FF2" w:rsidRPr="0060702E" w:rsidRDefault="00BA6FF2" w:rsidP="009C17E4">
      <w:pPr>
        <w:keepNext/>
        <w:rPr>
          <w:sz w:val="18"/>
          <w:szCs w:val="18"/>
        </w:rPr>
      </w:pPr>
      <w:r w:rsidRPr="0060702E">
        <w:rPr>
          <w:sz w:val="18"/>
          <w:szCs w:val="18"/>
        </w:rPr>
        <w:t>States provided with information at UPOV activities:</w:t>
      </w:r>
    </w:p>
    <w:p w:rsidR="00BA6FF2" w:rsidRPr="0060702E" w:rsidRDefault="00BA6FF2" w:rsidP="009C17E4">
      <w:pPr>
        <w:keepNext/>
        <w:rPr>
          <w:sz w:val="18"/>
          <w:szCs w:val="18"/>
        </w:rPr>
      </w:pPr>
    </w:p>
    <w:p w:rsidR="00B8071C" w:rsidRPr="0060702E" w:rsidRDefault="00BA6FF2" w:rsidP="009C17E4">
      <w:pPr>
        <w:ind w:left="567"/>
        <w:rPr>
          <w:sz w:val="18"/>
          <w:szCs w:val="18"/>
        </w:rPr>
      </w:pPr>
      <w:r w:rsidRPr="0060702E">
        <w:rPr>
          <w:sz w:val="18"/>
          <w:szCs w:val="18"/>
        </w:rPr>
        <w:t>Afghanistan, Antigua and Barbuda, Argentina, Austria, Bahamas, Barbados, Belgium, Bolivia (</w:t>
      </w:r>
      <w:proofErr w:type="spellStart"/>
      <w:r w:rsidRPr="0060702E">
        <w:rPr>
          <w:sz w:val="18"/>
          <w:szCs w:val="18"/>
        </w:rPr>
        <w:t>Plurinational</w:t>
      </w:r>
      <w:proofErr w:type="spellEnd"/>
      <w:r w:rsidRPr="0060702E">
        <w:rPr>
          <w:sz w:val="18"/>
          <w:szCs w:val="18"/>
        </w:rPr>
        <w:t xml:space="preserve"> State of), Botswana, Brazil, Brunei Darussalam, Cambodia, Canada, Chile, China, Colombia, Costa Rica, Croatia, Cuba, Czech Republic, Dominican Republic, Ecuador, El Salvador, Estonia, Finland, France, Gambia, Germany, Ghana, Grenada, Guatemala, Guyana, Honduras, Hungary, India, Indonesia, Ireland, Israel, Italy, Jamaica, Japan, Kenya, Lao People’s Democratic Republic, Latvia, Lesotho, Liberia, Lithuania, Malawi, Malaysia, Maldives, Mexico, Morocco, Mozambique, Myanmar, Namibia, Netherlands, New Zealand, Nicaragua, Norway, Oman, Pakistan, Panama, Paraguay, Peru, Philippines, Poland, Republic of Korea, Republic of Moldova, Romania, Russian Federation, Rwanda, Saint Kitts and Nevis, Saint Lucia, Saint Vincent and the Grenadines, Sierra Leone, Singapore, Slovakia, Somalia, South Africa, Spain, Sri Lanka, Swaziland, Switzerland, Thailand, Trinidad and Tobago, Tunisia, Uganda, United Kingdom, United Republic of Tanzania, United States of America, Uruguay, Viet Nam, Zambia, Zimbabwe (see Figure 23)</w:t>
      </w:r>
    </w:p>
    <w:p w:rsidR="00B8071C" w:rsidRPr="0060702E" w:rsidRDefault="00B8071C" w:rsidP="00B8071C">
      <w:pPr>
        <w:rPr>
          <w:sz w:val="18"/>
          <w:szCs w:val="18"/>
        </w:rPr>
      </w:pPr>
    </w:p>
    <w:p w:rsidR="00BA6FF2" w:rsidRPr="0060702E" w:rsidRDefault="00BA6FF2" w:rsidP="00B8071C">
      <w:pPr>
        <w:pStyle w:val="Heading9"/>
      </w:pPr>
      <w:bookmarkStart w:id="119" w:name="_Toc398739008"/>
      <w:proofErr w:type="gramStart"/>
      <w:r w:rsidRPr="0060702E">
        <w:t>Figure 23</w:t>
      </w:r>
      <w:r w:rsidR="00D84E23" w:rsidRPr="0060702E">
        <w:t>.</w:t>
      </w:r>
      <w:proofErr w:type="gramEnd"/>
      <w:r w:rsidR="00D84E23" w:rsidRPr="0060702E">
        <w:t xml:space="preserve"> </w:t>
      </w:r>
      <w:r w:rsidRPr="0060702E">
        <w:t xml:space="preserve"> States provided with information at UPOV activities</w:t>
      </w:r>
      <w:bookmarkEnd w:id="119"/>
    </w:p>
    <w:p w:rsidR="00B8071C" w:rsidRPr="0060702E" w:rsidRDefault="00B8071C" w:rsidP="00B8071C">
      <w:pPr>
        <w:jc w:val="center"/>
        <w:rPr>
          <w:sz w:val="18"/>
          <w:szCs w:val="18"/>
        </w:rPr>
      </w:pPr>
      <w:r w:rsidRPr="0060702E">
        <w:rPr>
          <w:noProof/>
        </w:rPr>
        <w:drawing>
          <wp:inline distT="0" distB="0" distL="0" distR="0" wp14:anchorId="556903D6" wp14:editId="38C519CF">
            <wp:extent cx="4788000" cy="242606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information_at_UPOV_activities.png"/>
                    <pic:cNvPicPr/>
                  </pic:nvPicPr>
                  <pic:blipFill>
                    <a:blip r:embed="rId42">
                      <a:extLst>
                        <a:ext uri="{28A0092B-C50C-407E-A947-70E740481C1C}">
                          <a14:useLocalDpi xmlns:a14="http://schemas.microsoft.com/office/drawing/2010/main" val="0"/>
                        </a:ext>
                      </a:extLst>
                    </a:blip>
                    <a:stretch>
                      <a:fillRect/>
                    </a:stretch>
                  </pic:blipFill>
                  <pic:spPr>
                    <a:xfrm>
                      <a:off x="0" y="0"/>
                      <a:ext cx="4788000" cy="2426066"/>
                    </a:xfrm>
                    <a:prstGeom prst="rect">
                      <a:avLst/>
                    </a:prstGeom>
                  </pic:spPr>
                </pic:pic>
              </a:graphicData>
            </a:graphic>
          </wp:inline>
        </w:drawing>
      </w:r>
    </w:p>
    <w:p w:rsidR="00B8071C" w:rsidRPr="0060702E" w:rsidRDefault="00B8071C" w:rsidP="00B8071C">
      <w:pPr>
        <w:rPr>
          <w:sz w:val="18"/>
          <w:szCs w:val="18"/>
        </w:rPr>
      </w:pPr>
    </w:p>
    <w:p w:rsidR="00B8071C" w:rsidRPr="0060702E" w:rsidRDefault="00B8071C" w:rsidP="00B8071C">
      <w:pPr>
        <w:keepNext/>
        <w:keepLines/>
        <w:widowControl w:val="0"/>
        <w:jc w:val="center"/>
        <w:rPr>
          <w:sz w:val="18"/>
          <w:szCs w:val="18"/>
        </w:rPr>
      </w:pPr>
      <w:r w:rsidRPr="0060702E">
        <w:rPr>
          <w:noProof/>
          <w:sz w:val="16"/>
          <w:szCs w:val="16"/>
        </w:rPr>
        <w:drawing>
          <wp:inline distT="0" distB="0" distL="0" distR="0" wp14:anchorId="7C7BF7B5" wp14:editId="3ADACEF8">
            <wp:extent cx="115200" cy="115200"/>
            <wp:effectExtent l="19050" t="19050" r="18415"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15200" cy="115200"/>
                    </a:xfrm>
                    <a:prstGeom prst="rect">
                      <a:avLst/>
                    </a:prstGeom>
                    <a:ln>
                      <a:solidFill>
                        <a:schemeClr val="tx1"/>
                      </a:solidFill>
                    </a:ln>
                  </pic:spPr>
                </pic:pic>
              </a:graphicData>
            </a:graphic>
          </wp:inline>
        </w:drawing>
      </w:r>
      <w:r w:rsidRPr="0060702E">
        <w:rPr>
          <w:sz w:val="16"/>
          <w:szCs w:val="16"/>
        </w:rPr>
        <w:t>Members of the Union</w:t>
      </w:r>
      <w:r w:rsidRPr="0060702E">
        <w:rPr>
          <w:sz w:val="16"/>
          <w:szCs w:val="16"/>
        </w:rPr>
        <w:tab/>
      </w:r>
      <w:r w:rsidRPr="0060702E">
        <w:rPr>
          <w:noProof/>
          <w:sz w:val="16"/>
          <w:szCs w:val="16"/>
        </w:rPr>
        <w:drawing>
          <wp:inline distT="0" distB="0" distL="0" distR="0" wp14:anchorId="7742CF71" wp14:editId="591D099A">
            <wp:extent cx="122400" cy="115200"/>
            <wp:effectExtent l="19050" t="19050" r="11430"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22400" cy="115200"/>
                    </a:xfrm>
                    <a:prstGeom prst="rect">
                      <a:avLst/>
                    </a:prstGeom>
                    <a:ln>
                      <a:solidFill>
                        <a:schemeClr val="tx1"/>
                      </a:solidFill>
                    </a:ln>
                  </pic:spPr>
                </pic:pic>
              </a:graphicData>
            </a:graphic>
          </wp:inline>
        </w:drawing>
      </w:r>
      <w:r w:rsidRPr="0060702E">
        <w:rPr>
          <w:sz w:val="16"/>
          <w:szCs w:val="16"/>
        </w:rPr>
        <w:t xml:space="preserve">  Non-members of the Union</w:t>
      </w:r>
    </w:p>
    <w:p w:rsidR="00B8071C" w:rsidRPr="0060702E" w:rsidRDefault="00B8071C" w:rsidP="00B8071C">
      <w:pPr>
        <w:rPr>
          <w:sz w:val="18"/>
          <w:szCs w:val="18"/>
        </w:rPr>
      </w:pPr>
    </w:p>
    <w:p w:rsidR="00BA6FF2" w:rsidRPr="0060702E" w:rsidRDefault="00BA6FF2" w:rsidP="009C17E4">
      <w:pPr>
        <w:keepNext/>
        <w:rPr>
          <w:sz w:val="18"/>
          <w:szCs w:val="18"/>
        </w:rPr>
      </w:pPr>
      <w:r w:rsidRPr="0060702E">
        <w:rPr>
          <w:sz w:val="18"/>
          <w:szCs w:val="18"/>
        </w:rPr>
        <w:t>Intergovernmental organizations provided with information at UPOV activities:</w:t>
      </w:r>
    </w:p>
    <w:p w:rsidR="00D67C1F" w:rsidRPr="0060702E" w:rsidRDefault="00D67C1F" w:rsidP="009C17E4">
      <w:pPr>
        <w:keepNext/>
        <w:rPr>
          <w:sz w:val="18"/>
          <w:szCs w:val="18"/>
        </w:rPr>
      </w:pPr>
    </w:p>
    <w:p w:rsidR="00BA6FF2" w:rsidRPr="0060702E" w:rsidRDefault="00BA6FF2" w:rsidP="009C17E4">
      <w:pPr>
        <w:ind w:left="567"/>
        <w:rPr>
          <w:sz w:val="18"/>
          <w:szCs w:val="18"/>
        </w:rPr>
      </w:pPr>
      <w:r w:rsidRPr="0060702E">
        <w:rPr>
          <w:sz w:val="18"/>
          <w:szCs w:val="18"/>
        </w:rPr>
        <w:t>ARIPO, European Union, IDLO</w:t>
      </w:r>
    </w:p>
    <w:p w:rsidR="00BA6FF2" w:rsidRPr="0060702E" w:rsidRDefault="00BA6FF2" w:rsidP="00B8071C">
      <w:pPr>
        <w:keepNext/>
        <w:rPr>
          <w:sz w:val="18"/>
          <w:szCs w:val="18"/>
        </w:rPr>
      </w:pPr>
    </w:p>
    <w:p w:rsidR="00BA6FF2" w:rsidRPr="0060702E" w:rsidRDefault="00BA6FF2" w:rsidP="009C17E4">
      <w:pPr>
        <w:keepNext/>
        <w:rPr>
          <w:sz w:val="18"/>
          <w:szCs w:val="18"/>
        </w:rPr>
      </w:pPr>
      <w:r w:rsidRPr="0060702E">
        <w:rPr>
          <w:sz w:val="18"/>
          <w:szCs w:val="18"/>
        </w:rPr>
        <w:t>Non-governmental organizations provided with information at UPOV activities:</w:t>
      </w:r>
    </w:p>
    <w:p w:rsidR="00D67C1F" w:rsidRPr="0060702E" w:rsidRDefault="00D67C1F" w:rsidP="009C17E4">
      <w:pPr>
        <w:keepNext/>
        <w:rPr>
          <w:sz w:val="18"/>
          <w:szCs w:val="18"/>
        </w:rPr>
      </w:pPr>
    </w:p>
    <w:p w:rsidR="00BA6FF2" w:rsidRPr="0060702E" w:rsidRDefault="00BA6FF2" w:rsidP="009C17E4">
      <w:pPr>
        <w:ind w:left="567"/>
        <w:rPr>
          <w:sz w:val="18"/>
          <w:szCs w:val="18"/>
        </w:rPr>
      </w:pPr>
      <w:r w:rsidRPr="0060702E">
        <w:rPr>
          <w:sz w:val="18"/>
          <w:szCs w:val="18"/>
        </w:rPr>
        <w:t>AOHE, APBREBES, APSA, ASTA, Berne Declaration, CIAT, CIOPORA, ESA</w:t>
      </w:r>
    </w:p>
    <w:p w:rsidR="00BA6FF2" w:rsidRPr="0060702E" w:rsidRDefault="00BA6FF2" w:rsidP="00B8071C">
      <w:pPr>
        <w:rPr>
          <w:sz w:val="18"/>
          <w:szCs w:val="18"/>
        </w:rPr>
      </w:pPr>
    </w:p>
    <w:p w:rsidR="00BA6FF2" w:rsidRPr="0060702E" w:rsidRDefault="00BA6FF2" w:rsidP="009C17E4">
      <w:pPr>
        <w:keepNext/>
        <w:rPr>
          <w:sz w:val="18"/>
          <w:szCs w:val="18"/>
        </w:rPr>
      </w:pPr>
      <w:r w:rsidRPr="0060702E">
        <w:rPr>
          <w:sz w:val="18"/>
          <w:szCs w:val="18"/>
        </w:rPr>
        <w:t>Location of UPOV activities:</w:t>
      </w:r>
    </w:p>
    <w:p w:rsidR="00BA6FF2" w:rsidRPr="0060702E" w:rsidRDefault="00BA6FF2" w:rsidP="009C17E4">
      <w:pPr>
        <w:keepNext/>
        <w:rPr>
          <w:sz w:val="18"/>
          <w:szCs w:val="18"/>
        </w:rPr>
      </w:pPr>
    </w:p>
    <w:p w:rsidR="00BA6FF2" w:rsidRPr="0060702E" w:rsidRDefault="00BA6FF2" w:rsidP="009C17E4">
      <w:pPr>
        <w:ind w:left="567"/>
        <w:rPr>
          <w:color w:val="000000"/>
          <w:sz w:val="18"/>
          <w:szCs w:val="18"/>
        </w:rPr>
      </w:pPr>
      <w:r w:rsidRPr="0060702E">
        <w:rPr>
          <w:color w:val="000000"/>
          <w:sz w:val="18"/>
          <w:szCs w:val="18"/>
        </w:rPr>
        <w:t xml:space="preserve">Argentina, Cambodia, China, Ecuador, Japan, </w:t>
      </w:r>
      <w:r w:rsidRPr="0060702E">
        <w:rPr>
          <w:sz w:val="18"/>
          <w:szCs w:val="18"/>
        </w:rPr>
        <w:t xml:space="preserve">Lao People’s Democratic Republic, </w:t>
      </w:r>
      <w:r w:rsidRPr="0060702E">
        <w:rPr>
          <w:color w:val="000000"/>
          <w:sz w:val="18"/>
          <w:szCs w:val="18"/>
        </w:rPr>
        <w:t xml:space="preserve">Malawi, Malaysia, Oman, Peru, Sri Lanka, Switzerland, Thailand, Trinidad and Tobago, United States of America, Uruguay, Zimbabwe </w:t>
      </w:r>
      <w:r w:rsidR="009C17E4">
        <w:rPr>
          <w:color w:val="000000"/>
          <w:sz w:val="18"/>
          <w:szCs w:val="18"/>
        </w:rPr>
        <w:br/>
      </w:r>
      <w:r w:rsidRPr="0060702E">
        <w:rPr>
          <w:color w:val="000000"/>
          <w:sz w:val="18"/>
          <w:szCs w:val="18"/>
        </w:rPr>
        <w:t>(see Figure 24)</w:t>
      </w:r>
    </w:p>
    <w:p w:rsidR="00BA6FF2" w:rsidRPr="0060702E" w:rsidRDefault="00BA6FF2" w:rsidP="00B8071C">
      <w:pPr>
        <w:rPr>
          <w:color w:val="000000"/>
          <w:sz w:val="18"/>
          <w:szCs w:val="18"/>
        </w:rPr>
      </w:pPr>
    </w:p>
    <w:p w:rsidR="00BA6FF2" w:rsidRPr="0060702E" w:rsidRDefault="00BA6FF2" w:rsidP="0034381C">
      <w:pPr>
        <w:pStyle w:val="Heading9"/>
      </w:pPr>
      <w:bookmarkStart w:id="120" w:name="_Toc398739009"/>
      <w:proofErr w:type="gramStart"/>
      <w:r w:rsidRPr="0060702E">
        <w:t>Figure 24</w:t>
      </w:r>
      <w:r w:rsidR="00D84E23" w:rsidRPr="0060702E">
        <w:t>.</w:t>
      </w:r>
      <w:proofErr w:type="gramEnd"/>
      <w:r w:rsidR="00D84E23" w:rsidRPr="0060702E">
        <w:t xml:space="preserve"> </w:t>
      </w:r>
      <w:r w:rsidRPr="0060702E">
        <w:t xml:space="preserve"> Location of UPOV activities</w:t>
      </w:r>
      <w:bookmarkEnd w:id="120"/>
    </w:p>
    <w:p w:rsidR="00BA6FF2" w:rsidRPr="0060702E" w:rsidRDefault="00BA6FF2" w:rsidP="00BA6FF2">
      <w:pPr>
        <w:keepNext/>
        <w:keepLines/>
        <w:widowControl w:val="0"/>
        <w:jc w:val="center"/>
        <w:rPr>
          <w:sz w:val="18"/>
          <w:szCs w:val="18"/>
        </w:rPr>
      </w:pPr>
      <w:r w:rsidRPr="0060702E">
        <w:rPr>
          <w:noProof/>
        </w:rPr>
        <w:drawing>
          <wp:inline distT="0" distB="0" distL="0" distR="0" wp14:anchorId="4A0633D5" wp14:editId="6AFF58E1">
            <wp:extent cx="4788000" cy="242606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location_of_UPOV_activities.png"/>
                    <pic:cNvPicPr/>
                  </pic:nvPicPr>
                  <pic:blipFill>
                    <a:blip r:embed="rId45">
                      <a:extLst>
                        <a:ext uri="{28A0092B-C50C-407E-A947-70E740481C1C}">
                          <a14:useLocalDpi xmlns:a14="http://schemas.microsoft.com/office/drawing/2010/main" val="0"/>
                        </a:ext>
                      </a:extLst>
                    </a:blip>
                    <a:stretch>
                      <a:fillRect/>
                    </a:stretch>
                  </pic:blipFill>
                  <pic:spPr>
                    <a:xfrm>
                      <a:off x="0" y="0"/>
                      <a:ext cx="4788000" cy="2426061"/>
                    </a:xfrm>
                    <a:prstGeom prst="rect">
                      <a:avLst/>
                    </a:prstGeom>
                    <a:ln>
                      <a:noFill/>
                    </a:ln>
                  </pic:spPr>
                </pic:pic>
              </a:graphicData>
            </a:graphic>
          </wp:inline>
        </w:drawing>
      </w:r>
    </w:p>
    <w:p w:rsidR="00BA6FF2" w:rsidRPr="0060702E" w:rsidRDefault="00BA6FF2" w:rsidP="00BA6FF2">
      <w:pPr>
        <w:keepNext/>
        <w:keepLines/>
        <w:widowControl w:val="0"/>
        <w:jc w:val="center"/>
        <w:rPr>
          <w:sz w:val="18"/>
          <w:szCs w:val="18"/>
        </w:rPr>
      </w:pPr>
    </w:p>
    <w:p w:rsidR="00D67C1F" w:rsidRPr="0060702E" w:rsidRDefault="00D67C1F" w:rsidP="00BA6FF2">
      <w:pPr>
        <w:keepNext/>
        <w:keepLines/>
        <w:widowControl w:val="0"/>
        <w:jc w:val="center"/>
        <w:rPr>
          <w:sz w:val="18"/>
          <w:szCs w:val="18"/>
        </w:rPr>
      </w:pPr>
    </w:p>
    <w:p w:rsidR="00BA6FF2" w:rsidRPr="0060702E" w:rsidRDefault="00BA6FF2" w:rsidP="00BA6FF2">
      <w:pPr>
        <w:pStyle w:val="Heading8"/>
        <w:rPr>
          <w:szCs w:val="18"/>
        </w:rPr>
      </w:pPr>
      <w:bookmarkStart w:id="121" w:name="_Toc398739010"/>
      <w:r w:rsidRPr="0060702E">
        <w:rPr>
          <w:szCs w:val="18"/>
        </w:rPr>
        <w:t>(c)  States and organizations that contacted the Office of the Union for assistance in the development of legislation on plant variety protection</w:t>
      </w:r>
      <w:bookmarkEnd w:id="121"/>
    </w:p>
    <w:p w:rsidR="00BA6FF2" w:rsidRPr="0060702E" w:rsidRDefault="00BA6FF2" w:rsidP="00BA6FF2">
      <w:pPr>
        <w:pStyle w:val="BodyText"/>
        <w:rPr>
          <w:sz w:val="18"/>
          <w:szCs w:val="18"/>
        </w:rPr>
      </w:pPr>
      <w:r w:rsidRPr="0060702E">
        <w:rPr>
          <w:sz w:val="18"/>
          <w:szCs w:val="18"/>
        </w:rPr>
        <w:t>Members of the Union:  Azerbaijan, Canada, Colombia, Nicaragua, Panama, Singapore and South Africa</w:t>
      </w:r>
    </w:p>
    <w:p w:rsidR="00BA6FF2" w:rsidRPr="0060702E" w:rsidRDefault="00BA6FF2" w:rsidP="00BA6FF2">
      <w:pPr>
        <w:rPr>
          <w:sz w:val="18"/>
          <w:szCs w:val="18"/>
        </w:rPr>
      </w:pPr>
    </w:p>
    <w:p w:rsidR="00BA6FF2" w:rsidRPr="0060702E" w:rsidRDefault="00BA6FF2" w:rsidP="00994C4D">
      <w:pPr>
        <w:tabs>
          <w:tab w:val="left" w:pos="2410"/>
        </w:tabs>
        <w:rPr>
          <w:sz w:val="18"/>
          <w:szCs w:val="18"/>
        </w:rPr>
      </w:pPr>
      <w:r w:rsidRPr="0060702E">
        <w:rPr>
          <w:sz w:val="18"/>
          <w:szCs w:val="18"/>
        </w:rPr>
        <w:t>Non-members of the Union:  ARIPO, Bahamas, Bahrain, Bosnia and Herzegovina, Botswana, Brunei Darussalam, Egypt, Ghana, Honduras, Lao People's Democratic Republic, Malaysia, Myanmar, Namibia, Pakistan, Philippines, Rwanda, Saint Kitts and Nevis, Seychelles, Thailand, United Arab Emirates, United Republic of Tanzania and Zimbabwe (see Figure 25)</w:t>
      </w:r>
    </w:p>
    <w:p w:rsidR="00BA6FF2" w:rsidRDefault="00BA6FF2" w:rsidP="00BA6FF2">
      <w:pPr>
        <w:rPr>
          <w:color w:val="000000"/>
          <w:sz w:val="18"/>
          <w:szCs w:val="18"/>
        </w:rPr>
      </w:pPr>
    </w:p>
    <w:p w:rsidR="009C17E4" w:rsidRPr="0060702E" w:rsidRDefault="009C17E4" w:rsidP="00BA6FF2">
      <w:pPr>
        <w:rPr>
          <w:color w:val="000000"/>
          <w:sz w:val="18"/>
          <w:szCs w:val="18"/>
        </w:rPr>
      </w:pPr>
    </w:p>
    <w:p w:rsidR="00BA6FF2" w:rsidRPr="0060702E" w:rsidRDefault="00BA6FF2" w:rsidP="00BA6FF2">
      <w:pPr>
        <w:pStyle w:val="Heading8"/>
        <w:rPr>
          <w:szCs w:val="18"/>
        </w:rPr>
      </w:pPr>
      <w:bookmarkStart w:id="122" w:name="_Toc398739011"/>
      <w:r w:rsidRPr="0060702E">
        <w:rPr>
          <w:szCs w:val="18"/>
        </w:rPr>
        <w:t>(d)  States and organizations that initiated with the Council of UPOV the procedure for becoming members of the Union</w:t>
      </w:r>
      <w:bookmarkEnd w:id="122"/>
    </w:p>
    <w:p w:rsidR="007A13B4" w:rsidRPr="0060702E" w:rsidRDefault="00BA6FF2" w:rsidP="007A13B4">
      <w:pPr>
        <w:rPr>
          <w:rFonts w:cs="Arial"/>
          <w:snapToGrid w:val="0"/>
          <w:color w:val="000000"/>
          <w:sz w:val="18"/>
          <w:szCs w:val="24"/>
        </w:rPr>
      </w:pPr>
      <w:r w:rsidRPr="0060702E">
        <w:rPr>
          <w:sz w:val="18"/>
          <w:szCs w:val="18"/>
        </w:rPr>
        <w:t xml:space="preserve">Ghana, </w:t>
      </w:r>
      <w:r w:rsidRPr="0060702E">
        <w:rPr>
          <w:rFonts w:cs="Arial"/>
          <w:snapToGrid w:val="0"/>
          <w:color w:val="000000"/>
          <w:sz w:val="18"/>
          <w:szCs w:val="24"/>
        </w:rPr>
        <w:t>United Republic of Tanzania</w:t>
      </w:r>
    </w:p>
    <w:p w:rsidR="007A13B4" w:rsidRPr="0060702E" w:rsidRDefault="007A13B4" w:rsidP="007A13B4">
      <w:pPr>
        <w:rPr>
          <w:rFonts w:cs="Arial"/>
          <w:snapToGrid w:val="0"/>
          <w:color w:val="000000"/>
          <w:sz w:val="18"/>
          <w:szCs w:val="24"/>
        </w:rPr>
      </w:pPr>
    </w:p>
    <w:p w:rsidR="007A13B4" w:rsidRPr="0060702E" w:rsidRDefault="007A13B4" w:rsidP="007A13B4">
      <w:pPr>
        <w:pStyle w:val="Heading9"/>
        <w:rPr>
          <w:rFonts w:cs="Arial"/>
          <w:snapToGrid w:val="0"/>
          <w:color w:val="000000"/>
          <w:szCs w:val="24"/>
        </w:rPr>
      </w:pPr>
      <w:bookmarkStart w:id="123" w:name="_Toc398739012"/>
      <w:proofErr w:type="gramStart"/>
      <w:r w:rsidRPr="0060702E">
        <w:rPr>
          <w:rFonts w:cs="Arial"/>
          <w:snapToGrid w:val="0"/>
          <w:color w:val="000000"/>
          <w:szCs w:val="24"/>
        </w:rPr>
        <w:t>F</w:t>
      </w:r>
      <w:r w:rsidRPr="0060702E">
        <w:t>igure 25.</w:t>
      </w:r>
      <w:proofErr w:type="gramEnd"/>
      <w:r w:rsidRPr="0060702E">
        <w:t xml:space="preserve">  States and organizations that contacted the Office of the Union for assistance in the development of legislation on plant variety protection and States and organizations that initiated with the Council of UPOV the procedure for becoming members of the Union</w:t>
      </w:r>
      <w:bookmarkEnd w:id="123"/>
    </w:p>
    <w:p w:rsidR="007A13B4" w:rsidRPr="0060702E" w:rsidRDefault="007A13B4" w:rsidP="007A13B4">
      <w:pPr>
        <w:jc w:val="center"/>
        <w:rPr>
          <w:rFonts w:cs="Arial"/>
          <w:snapToGrid w:val="0"/>
          <w:color w:val="000000"/>
          <w:sz w:val="18"/>
          <w:szCs w:val="24"/>
        </w:rPr>
      </w:pPr>
      <w:r w:rsidRPr="0060702E">
        <w:rPr>
          <w:noProof/>
        </w:rPr>
        <w:drawing>
          <wp:inline distT="0" distB="0" distL="0" distR="0" wp14:anchorId="61019C28" wp14:editId="15D0A471">
            <wp:extent cx="4788000" cy="2448734"/>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788000" cy="2448734"/>
                    </a:xfrm>
                    <a:prstGeom prst="rect">
                      <a:avLst/>
                    </a:prstGeom>
                  </pic:spPr>
                </pic:pic>
              </a:graphicData>
            </a:graphic>
          </wp:inline>
        </w:drawing>
      </w:r>
    </w:p>
    <w:p w:rsidR="00D67C1F" w:rsidRPr="0060702E" w:rsidRDefault="00D67C1F" w:rsidP="007A13B4">
      <w:pPr>
        <w:jc w:val="center"/>
        <w:rPr>
          <w:rFonts w:cs="Arial"/>
          <w:snapToGrid w:val="0"/>
          <w:color w:val="000000"/>
          <w:sz w:val="18"/>
          <w:szCs w:val="24"/>
        </w:rPr>
      </w:pPr>
    </w:p>
    <w:p w:rsidR="00316E90" w:rsidRPr="0060702E" w:rsidRDefault="00316E90" w:rsidP="00316E90">
      <w:pPr>
        <w:ind w:left="812" w:right="741" w:hanging="425"/>
        <w:jc w:val="left"/>
        <w:rPr>
          <w:sz w:val="16"/>
          <w:szCs w:val="16"/>
        </w:rPr>
      </w:pPr>
      <w:r w:rsidRPr="0060702E">
        <w:rPr>
          <w:noProof/>
          <w:sz w:val="16"/>
          <w:szCs w:val="16"/>
        </w:rPr>
        <w:drawing>
          <wp:inline distT="0" distB="0" distL="0" distR="0" wp14:anchorId="00414AD6" wp14:editId="63E0A7AA">
            <wp:extent cx="115200" cy="115200"/>
            <wp:effectExtent l="19050" t="19050" r="18415" b="1841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15200" cy="115200"/>
                    </a:xfrm>
                    <a:prstGeom prst="rect">
                      <a:avLst/>
                    </a:prstGeom>
                    <a:ln>
                      <a:solidFill>
                        <a:schemeClr val="tx1"/>
                      </a:solidFill>
                    </a:ln>
                  </pic:spPr>
                </pic:pic>
              </a:graphicData>
            </a:graphic>
          </wp:inline>
        </w:drawing>
      </w:r>
      <w:r w:rsidRPr="0060702E">
        <w:rPr>
          <w:sz w:val="16"/>
          <w:szCs w:val="16"/>
        </w:rPr>
        <w:tab/>
        <w:t xml:space="preserve">States and organizations that initiated with the Council of UPOV the procedure for becoming members of the Union </w:t>
      </w:r>
    </w:p>
    <w:p w:rsidR="00316E90" w:rsidRPr="0060702E" w:rsidRDefault="00316E90" w:rsidP="00316E90">
      <w:pPr>
        <w:ind w:left="812" w:right="741" w:hanging="425"/>
        <w:jc w:val="left"/>
        <w:rPr>
          <w:sz w:val="16"/>
          <w:szCs w:val="16"/>
        </w:rPr>
      </w:pPr>
      <w:r w:rsidRPr="0060702E">
        <w:rPr>
          <w:noProof/>
          <w:sz w:val="16"/>
          <w:szCs w:val="16"/>
        </w:rPr>
        <w:drawing>
          <wp:inline distT="0" distB="0" distL="0" distR="0" wp14:anchorId="3C8D203E" wp14:editId="0D1AB994">
            <wp:extent cx="122400" cy="115200"/>
            <wp:effectExtent l="19050" t="19050" r="11430" b="1841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22400" cy="115200"/>
                    </a:xfrm>
                    <a:prstGeom prst="rect">
                      <a:avLst/>
                    </a:prstGeom>
                    <a:ln>
                      <a:solidFill>
                        <a:schemeClr val="tx1"/>
                      </a:solidFill>
                    </a:ln>
                  </pic:spPr>
                </pic:pic>
              </a:graphicData>
            </a:graphic>
          </wp:inline>
        </w:drawing>
      </w:r>
      <w:r w:rsidRPr="0060702E">
        <w:rPr>
          <w:sz w:val="16"/>
          <w:szCs w:val="16"/>
        </w:rPr>
        <w:tab/>
        <w:t>States and organizations that contacted the Office of the Union for assistance in the development of legislation on plant variety protection</w:t>
      </w:r>
    </w:p>
    <w:p w:rsidR="00A26C02" w:rsidRPr="0060702E" w:rsidRDefault="00A26C02" w:rsidP="007A13B4">
      <w:pPr>
        <w:jc w:val="center"/>
        <w:rPr>
          <w:sz w:val="18"/>
          <w:szCs w:val="18"/>
        </w:rPr>
      </w:pPr>
    </w:p>
    <w:p w:rsidR="00122004" w:rsidRPr="0060702E" w:rsidRDefault="00122004" w:rsidP="007A13B4">
      <w:pPr>
        <w:jc w:val="center"/>
        <w:rPr>
          <w:sz w:val="18"/>
          <w:szCs w:val="18"/>
        </w:rPr>
      </w:pPr>
    </w:p>
    <w:p w:rsidR="007A13B4" w:rsidRPr="0060702E" w:rsidRDefault="00BA6FF2" w:rsidP="007A13B4">
      <w:pPr>
        <w:pStyle w:val="Heading8"/>
        <w:rPr>
          <w:szCs w:val="18"/>
        </w:rPr>
      </w:pPr>
      <w:bookmarkStart w:id="124" w:name="_Toc398739013"/>
      <w:r w:rsidRPr="0060702E">
        <w:rPr>
          <w:szCs w:val="18"/>
        </w:rPr>
        <w:t>(e)  Participation in UPOV awareness-raising activities, or activities involving UPOV staff or UPOV trainers on behalf of UPOV staff</w:t>
      </w:r>
      <w:bookmarkEnd w:id="124"/>
      <w:r w:rsidRPr="0060702E">
        <w:rPr>
          <w:szCs w:val="18"/>
        </w:rPr>
        <w:t xml:space="preserve"> </w:t>
      </w:r>
    </w:p>
    <w:p w:rsidR="007A13B4" w:rsidRDefault="00BA6FF2" w:rsidP="009D74AE">
      <w:pPr>
        <w:ind w:left="426" w:hanging="426"/>
        <w:rPr>
          <w:sz w:val="18"/>
        </w:rPr>
      </w:pPr>
      <w:r w:rsidRPr="009D74AE">
        <w:rPr>
          <w:sz w:val="18"/>
        </w:rPr>
        <w:t>(</w:t>
      </w:r>
      <w:proofErr w:type="spellStart"/>
      <w:r w:rsidR="00240C00" w:rsidRPr="009D74AE">
        <w:rPr>
          <w:sz w:val="18"/>
        </w:rPr>
        <w:t>i</w:t>
      </w:r>
      <w:proofErr w:type="spellEnd"/>
      <w:r w:rsidRPr="009D74AE">
        <w:rPr>
          <w:sz w:val="18"/>
        </w:rPr>
        <w:t>)</w:t>
      </w:r>
      <w:r w:rsidR="009D74AE">
        <w:rPr>
          <w:sz w:val="18"/>
        </w:rPr>
        <w:tab/>
        <w:t>A</w:t>
      </w:r>
      <w:r w:rsidRPr="009D74AE">
        <w:rPr>
          <w:sz w:val="18"/>
        </w:rPr>
        <w:t>ctivities organized by, or with, UPOV:   see (b) above</w:t>
      </w:r>
    </w:p>
    <w:p w:rsidR="009D74AE" w:rsidRPr="009D74AE" w:rsidRDefault="009D74AE" w:rsidP="009D74AE">
      <w:pPr>
        <w:ind w:left="426" w:hanging="426"/>
        <w:rPr>
          <w:sz w:val="18"/>
        </w:rPr>
      </w:pPr>
    </w:p>
    <w:p w:rsidR="00BA6FF2" w:rsidRPr="009D74AE" w:rsidRDefault="00BA6FF2" w:rsidP="009D74AE">
      <w:pPr>
        <w:ind w:left="426" w:hanging="426"/>
        <w:rPr>
          <w:sz w:val="18"/>
        </w:rPr>
      </w:pPr>
      <w:r w:rsidRPr="009D74AE">
        <w:rPr>
          <w:sz w:val="18"/>
        </w:rPr>
        <w:t>(</w:t>
      </w:r>
      <w:r w:rsidR="00240C00" w:rsidRPr="009D74AE">
        <w:rPr>
          <w:sz w:val="18"/>
        </w:rPr>
        <w:t>ii</w:t>
      </w:r>
      <w:r w:rsidR="009D74AE">
        <w:rPr>
          <w:sz w:val="18"/>
        </w:rPr>
        <w:t>)</w:t>
      </w:r>
      <w:r w:rsidR="009D74AE">
        <w:rPr>
          <w:sz w:val="18"/>
        </w:rPr>
        <w:tab/>
      </w:r>
      <w:r w:rsidR="009D74AE" w:rsidRPr="009D74AE">
        <w:rPr>
          <w:sz w:val="18"/>
        </w:rPr>
        <w:t>A</w:t>
      </w:r>
      <w:r w:rsidRPr="009D74AE">
        <w:rPr>
          <w:sz w:val="18"/>
        </w:rPr>
        <w:t xml:space="preserve">ctivities/meetings in which UPOV participated:   see Figure 26 </w:t>
      </w:r>
    </w:p>
    <w:p w:rsidR="009D74AE" w:rsidRDefault="009D74AE" w:rsidP="00240C00">
      <w:pPr>
        <w:jc w:val="left"/>
        <w:rPr>
          <w:color w:val="000000"/>
          <w:sz w:val="18"/>
          <w:szCs w:val="18"/>
        </w:rPr>
      </w:pPr>
    </w:p>
    <w:p w:rsidR="009D74AE" w:rsidRDefault="009D74AE" w:rsidP="00240C00">
      <w:pPr>
        <w:jc w:val="left"/>
        <w:rPr>
          <w:color w:val="000000"/>
          <w:sz w:val="18"/>
          <w:szCs w:val="18"/>
        </w:rPr>
      </w:pPr>
    </w:p>
    <w:p w:rsidR="00BA6FF2" w:rsidRPr="0060702E" w:rsidRDefault="00BA6FF2" w:rsidP="00240C00">
      <w:pPr>
        <w:jc w:val="left"/>
        <w:rPr>
          <w:sz w:val="18"/>
          <w:szCs w:val="18"/>
        </w:rPr>
      </w:pPr>
      <w:r w:rsidRPr="0060702E">
        <w:rPr>
          <w:color w:val="000000"/>
          <w:sz w:val="18"/>
          <w:szCs w:val="18"/>
        </w:rPr>
        <w:t>Location of activities/meetings where UPOV made presentations:</w:t>
      </w:r>
    </w:p>
    <w:p w:rsidR="00BA6FF2" w:rsidRPr="0060702E" w:rsidRDefault="00BA6FF2" w:rsidP="00BA6FF2">
      <w:pPr>
        <w:rPr>
          <w:sz w:val="18"/>
          <w:szCs w:val="18"/>
        </w:rPr>
      </w:pPr>
    </w:p>
    <w:p w:rsidR="00BA6FF2" w:rsidRPr="0060702E" w:rsidRDefault="00BA6FF2" w:rsidP="00073796">
      <w:pPr>
        <w:ind w:left="567"/>
        <w:rPr>
          <w:sz w:val="18"/>
          <w:szCs w:val="18"/>
        </w:rPr>
      </w:pPr>
      <w:r w:rsidRPr="0060702E">
        <w:rPr>
          <w:sz w:val="18"/>
          <w:szCs w:val="18"/>
        </w:rPr>
        <w:t>Australia, Azerbaijan, Belgium, Bolivia (</w:t>
      </w:r>
      <w:proofErr w:type="spellStart"/>
      <w:r w:rsidRPr="0060702E">
        <w:rPr>
          <w:sz w:val="18"/>
          <w:szCs w:val="18"/>
        </w:rPr>
        <w:t>Plurinational</w:t>
      </w:r>
      <w:proofErr w:type="spellEnd"/>
      <w:r w:rsidRPr="0060702E">
        <w:rPr>
          <w:sz w:val="18"/>
          <w:szCs w:val="18"/>
        </w:rPr>
        <w:t xml:space="preserve"> State of), Brazil, Brunei Darussalam, China, Côte d’Ivoire, Equatorial Guinea, France, Germany, Greece, Indonesia, Italy, Japan, Jordan, Mauritius, Mozambique, Myanmar, Netherlands, Oman, Poland, Republic of Korea, Serbia, Sri Lanka, Sweden, Switzerland, Turkey, Uganda, United Republic of Tanzania, United States of America, Uruguay, Zambia</w:t>
      </w:r>
    </w:p>
    <w:p w:rsidR="00BA6FF2" w:rsidRPr="0060702E" w:rsidRDefault="00BA6FF2" w:rsidP="00BA6FF2">
      <w:pPr>
        <w:rPr>
          <w:sz w:val="18"/>
          <w:szCs w:val="18"/>
        </w:rPr>
      </w:pPr>
    </w:p>
    <w:p w:rsidR="007A13B4" w:rsidRPr="0060702E" w:rsidRDefault="007A13B4" w:rsidP="007A13B4">
      <w:pPr>
        <w:pStyle w:val="Heading9"/>
      </w:pPr>
      <w:bookmarkStart w:id="125" w:name="_Toc398739014"/>
      <w:proofErr w:type="gramStart"/>
      <w:r w:rsidRPr="0060702E">
        <w:t>Figure 26.</w:t>
      </w:r>
      <w:proofErr w:type="gramEnd"/>
      <w:r w:rsidRPr="0060702E">
        <w:t xml:space="preserve">  Location of activities/meetings where UPOV made presentations</w:t>
      </w:r>
      <w:bookmarkEnd w:id="125"/>
    </w:p>
    <w:p w:rsidR="007A13B4" w:rsidRPr="0060702E" w:rsidRDefault="007A13B4" w:rsidP="007A13B4">
      <w:pPr>
        <w:jc w:val="center"/>
        <w:rPr>
          <w:sz w:val="18"/>
          <w:szCs w:val="18"/>
        </w:rPr>
      </w:pPr>
      <w:r w:rsidRPr="0060702E">
        <w:rPr>
          <w:noProof/>
        </w:rPr>
        <w:drawing>
          <wp:inline distT="0" distB="0" distL="0" distR="0" wp14:anchorId="554E0814" wp14:editId="2D98D2A4">
            <wp:extent cx="4788000" cy="24260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location_activities_where_UPOV_participated.png"/>
                    <pic:cNvPicPr/>
                  </pic:nvPicPr>
                  <pic:blipFill>
                    <a:blip r:embed="rId49">
                      <a:extLst>
                        <a:ext uri="{28A0092B-C50C-407E-A947-70E740481C1C}">
                          <a14:useLocalDpi xmlns:a14="http://schemas.microsoft.com/office/drawing/2010/main" val="0"/>
                        </a:ext>
                      </a:extLst>
                    </a:blip>
                    <a:stretch>
                      <a:fillRect/>
                    </a:stretch>
                  </pic:blipFill>
                  <pic:spPr>
                    <a:xfrm>
                      <a:off x="0" y="0"/>
                      <a:ext cx="4788000" cy="2426071"/>
                    </a:xfrm>
                    <a:prstGeom prst="rect">
                      <a:avLst/>
                    </a:prstGeom>
                    <a:ln>
                      <a:noFill/>
                    </a:ln>
                  </pic:spPr>
                </pic:pic>
              </a:graphicData>
            </a:graphic>
          </wp:inline>
        </w:drawing>
      </w:r>
    </w:p>
    <w:p w:rsidR="007A13B4" w:rsidRPr="0060702E" w:rsidRDefault="007A13B4" w:rsidP="007A13B4">
      <w:pPr>
        <w:jc w:val="center"/>
        <w:rPr>
          <w:sz w:val="18"/>
          <w:szCs w:val="18"/>
        </w:rPr>
      </w:pPr>
    </w:p>
    <w:p w:rsidR="00FA0073" w:rsidRPr="0060702E" w:rsidRDefault="00FA0073" w:rsidP="007A13B4">
      <w:pPr>
        <w:jc w:val="center"/>
        <w:rPr>
          <w:sz w:val="18"/>
          <w:szCs w:val="18"/>
        </w:rPr>
      </w:pPr>
    </w:p>
    <w:p w:rsidR="00BA6FF2" w:rsidRPr="0060702E" w:rsidRDefault="00BA6FF2" w:rsidP="007A13B4">
      <w:pPr>
        <w:pStyle w:val="Heading6"/>
        <w:keepNext/>
        <w:keepLines/>
      </w:pPr>
      <w:bookmarkStart w:id="126" w:name="_Toc398739015"/>
      <w:r w:rsidRPr="0060702E">
        <w:t>2.  Assistance in drafting legislation on plant variety protection in accordance with the 1991 Act of the UPOV Convention</w:t>
      </w:r>
      <w:bookmarkEnd w:id="126"/>
    </w:p>
    <w:p w:rsidR="00BA6FF2" w:rsidRPr="0060702E" w:rsidRDefault="00BA6FF2" w:rsidP="007A13B4">
      <w:pPr>
        <w:keepNext/>
        <w:keepLines/>
        <w:widowControl w:val="0"/>
        <w:jc w:val="left"/>
      </w:pPr>
    </w:p>
    <w:p w:rsidR="00BA6FF2" w:rsidRPr="0060702E" w:rsidRDefault="00BA6FF2" w:rsidP="007A13B4">
      <w:pPr>
        <w:pStyle w:val="Heading8"/>
        <w:keepNext/>
        <w:keepLines/>
      </w:pPr>
      <w:bookmarkStart w:id="127" w:name="_Toc336339209"/>
      <w:bookmarkStart w:id="128" w:name="_Toc398739016"/>
      <w:r w:rsidRPr="0060702E">
        <w:t>(a)  States and organizations provided with comments on laws</w:t>
      </w:r>
      <w:bookmarkEnd w:id="127"/>
      <w:r w:rsidR="009F6FBA" w:rsidRPr="0060702E">
        <w:rPr>
          <w:rStyle w:val="FootnoteReference"/>
        </w:rPr>
        <w:footnoteReference w:id="3"/>
      </w:r>
      <w:bookmarkEnd w:id="128"/>
    </w:p>
    <w:p w:rsidR="00BA6FF2" w:rsidRPr="0060702E" w:rsidRDefault="005B0DC2" w:rsidP="00BA6FF2">
      <w:pPr>
        <w:tabs>
          <w:tab w:val="left" w:pos="2410"/>
        </w:tabs>
        <w:jc w:val="left"/>
        <w:rPr>
          <w:sz w:val="18"/>
          <w:szCs w:val="18"/>
        </w:rPr>
      </w:pPr>
      <w:r w:rsidRPr="0060702E">
        <w:rPr>
          <w:sz w:val="18"/>
          <w:szCs w:val="18"/>
        </w:rPr>
        <w:t xml:space="preserve">Members of the Union:  </w:t>
      </w:r>
      <w:r w:rsidR="00BA6FF2" w:rsidRPr="0060702E">
        <w:rPr>
          <w:sz w:val="18"/>
          <w:szCs w:val="18"/>
        </w:rPr>
        <w:t xml:space="preserve">Nicaragua, </w:t>
      </w:r>
      <w:r w:rsidRPr="0060702E">
        <w:rPr>
          <w:sz w:val="18"/>
          <w:szCs w:val="18"/>
        </w:rPr>
        <w:t>Panama</w:t>
      </w:r>
      <w:r w:rsidR="00471669" w:rsidRPr="0060702E">
        <w:rPr>
          <w:sz w:val="18"/>
          <w:szCs w:val="18"/>
        </w:rPr>
        <w:t xml:space="preserve"> and </w:t>
      </w:r>
      <w:r w:rsidR="00BA6FF2" w:rsidRPr="0060702E">
        <w:rPr>
          <w:sz w:val="18"/>
          <w:szCs w:val="18"/>
        </w:rPr>
        <w:t>Singapore.</w:t>
      </w:r>
    </w:p>
    <w:p w:rsidR="00BA6FF2" w:rsidRPr="0060702E" w:rsidRDefault="00BA6FF2" w:rsidP="00BA6FF2">
      <w:pPr>
        <w:tabs>
          <w:tab w:val="left" w:pos="2410"/>
        </w:tabs>
        <w:jc w:val="left"/>
        <w:rPr>
          <w:sz w:val="18"/>
          <w:szCs w:val="18"/>
        </w:rPr>
      </w:pPr>
    </w:p>
    <w:p w:rsidR="00BA6FF2" w:rsidRPr="0060702E" w:rsidRDefault="00BA6FF2" w:rsidP="00BA6FF2">
      <w:pPr>
        <w:tabs>
          <w:tab w:val="left" w:pos="2410"/>
        </w:tabs>
        <w:jc w:val="left"/>
        <w:rPr>
          <w:sz w:val="18"/>
          <w:szCs w:val="18"/>
        </w:rPr>
      </w:pPr>
      <w:r w:rsidRPr="0060702E">
        <w:rPr>
          <w:sz w:val="18"/>
          <w:szCs w:val="18"/>
        </w:rPr>
        <w:t>Non-members of the Union:  ARIPO, Bosnia and Herzegovina, Botswana, Brunei Darussalam, Egypt, Ghana, Honduras, Lao People's Democratic Republic, Malaysia, Myanmar, Namibia, Pakistan, Rwanda, Thailand, United Arab Emirates, United Republic of Tanzania and Zimbabwe.</w:t>
      </w:r>
    </w:p>
    <w:p w:rsidR="00BA6FF2" w:rsidRPr="0060702E" w:rsidRDefault="00BA6FF2" w:rsidP="00BA6FF2">
      <w:pPr>
        <w:tabs>
          <w:tab w:val="left" w:pos="2410"/>
        </w:tabs>
        <w:jc w:val="left"/>
        <w:rPr>
          <w:sz w:val="18"/>
          <w:szCs w:val="18"/>
        </w:rPr>
      </w:pPr>
      <w:r w:rsidRPr="0060702E">
        <w:rPr>
          <w:sz w:val="18"/>
          <w:szCs w:val="18"/>
        </w:rPr>
        <w:t>(</w:t>
      </w:r>
      <w:proofErr w:type="gramStart"/>
      <w:r w:rsidRPr="0060702E">
        <w:rPr>
          <w:sz w:val="18"/>
          <w:szCs w:val="18"/>
        </w:rPr>
        <w:t>see</w:t>
      </w:r>
      <w:proofErr w:type="gramEnd"/>
      <w:r w:rsidRPr="0060702E">
        <w:rPr>
          <w:sz w:val="18"/>
          <w:szCs w:val="18"/>
        </w:rPr>
        <w:t xml:space="preserve"> Figure 28)</w:t>
      </w:r>
    </w:p>
    <w:p w:rsidR="00BA6FF2" w:rsidRDefault="00BA6FF2" w:rsidP="00BA6FF2">
      <w:pPr>
        <w:tabs>
          <w:tab w:val="left" w:pos="2410"/>
        </w:tabs>
        <w:jc w:val="left"/>
        <w:rPr>
          <w:i/>
          <w:color w:val="000000"/>
          <w:sz w:val="18"/>
          <w:szCs w:val="18"/>
        </w:rPr>
      </w:pPr>
    </w:p>
    <w:p w:rsidR="009C17E4" w:rsidRPr="0060702E" w:rsidRDefault="009C17E4" w:rsidP="00BA6FF2">
      <w:pPr>
        <w:tabs>
          <w:tab w:val="left" w:pos="2410"/>
        </w:tabs>
        <w:jc w:val="left"/>
        <w:rPr>
          <w:i/>
          <w:color w:val="000000"/>
          <w:sz w:val="18"/>
          <w:szCs w:val="18"/>
        </w:rPr>
      </w:pPr>
    </w:p>
    <w:p w:rsidR="00BA6FF2" w:rsidRPr="0060702E" w:rsidRDefault="00BA6FF2" w:rsidP="00BA6FF2">
      <w:pPr>
        <w:pStyle w:val="Heading8"/>
      </w:pPr>
      <w:bookmarkStart w:id="129" w:name="_Toc398739017"/>
      <w:r w:rsidRPr="0060702E">
        <w:t>(b)  States and organizations which received a positive advice from the Council of UPOV</w:t>
      </w:r>
      <w:bookmarkEnd w:id="129"/>
    </w:p>
    <w:p w:rsidR="00BA6FF2" w:rsidRPr="0060702E" w:rsidRDefault="00BA6FF2" w:rsidP="00BA6FF2">
      <w:pPr>
        <w:tabs>
          <w:tab w:val="left" w:pos="2410"/>
        </w:tabs>
        <w:jc w:val="left"/>
        <w:rPr>
          <w:sz w:val="18"/>
          <w:szCs w:val="18"/>
        </w:rPr>
      </w:pPr>
      <w:proofErr w:type="gramStart"/>
      <w:r w:rsidRPr="0060702E">
        <w:rPr>
          <w:sz w:val="18"/>
          <w:szCs w:val="18"/>
        </w:rPr>
        <w:t>Ghana,</w:t>
      </w:r>
      <w:proofErr w:type="gramEnd"/>
      <w:r w:rsidRPr="0060702E">
        <w:rPr>
          <w:sz w:val="18"/>
          <w:szCs w:val="18"/>
        </w:rPr>
        <w:t xml:space="preserve"> </w:t>
      </w:r>
      <w:r w:rsidRPr="0060702E">
        <w:rPr>
          <w:rFonts w:cs="Arial"/>
          <w:snapToGrid w:val="0"/>
          <w:color w:val="000000"/>
          <w:sz w:val="18"/>
          <w:szCs w:val="18"/>
        </w:rPr>
        <w:t>United Republic of Tanzania</w:t>
      </w:r>
      <w:r w:rsidRPr="0060702E">
        <w:rPr>
          <w:sz w:val="18"/>
          <w:szCs w:val="18"/>
        </w:rPr>
        <w:t xml:space="preserve"> (</w:t>
      </w:r>
      <w:r w:rsidRPr="0060702E">
        <w:rPr>
          <w:rFonts w:cs="Arial"/>
          <w:sz w:val="18"/>
          <w:szCs w:val="18"/>
        </w:rPr>
        <w:t xml:space="preserve">Plant Breeders’ Rights Bill </w:t>
      </w:r>
      <w:r w:rsidRPr="0060702E">
        <w:rPr>
          <w:sz w:val="18"/>
          <w:szCs w:val="18"/>
        </w:rPr>
        <w:t xml:space="preserve">for Mainland Tanzania and </w:t>
      </w:r>
      <w:r w:rsidRPr="0060702E">
        <w:rPr>
          <w:rFonts w:cs="Arial"/>
          <w:sz w:val="18"/>
          <w:szCs w:val="18"/>
        </w:rPr>
        <w:t xml:space="preserve">Plant Breeders’ Rights Bill </w:t>
      </w:r>
      <w:r w:rsidRPr="0060702E">
        <w:rPr>
          <w:sz w:val="18"/>
          <w:szCs w:val="18"/>
        </w:rPr>
        <w:t>for Zanzibar).</w:t>
      </w:r>
    </w:p>
    <w:p w:rsidR="00BA6FF2" w:rsidRPr="0060702E" w:rsidRDefault="00BA6FF2" w:rsidP="00BA6FF2">
      <w:pPr>
        <w:keepNext/>
        <w:keepLines/>
        <w:widowControl w:val="0"/>
        <w:jc w:val="left"/>
        <w:rPr>
          <w:sz w:val="18"/>
          <w:szCs w:val="18"/>
        </w:rPr>
      </w:pPr>
      <w:r w:rsidRPr="0060702E">
        <w:rPr>
          <w:sz w:val="18"/>
          <w:szCs w:val="18"/>
        </w:rPr>
        <w:t>(</w:t>
      </w:r>
      <w:proofErr w:type="gramStart"/>
      <w:r w:rsidRPr="0060702E">
        <w:rPr>
          <w:sz w:val="18"/>
          <w:szCs w:val="18"/>
        </w:rPr>
        <w:t>see</w:t>
      </w:r>
      <w:proofErr w:type="gramEnd"/>
      <w:r w:rsidRPr="0060702E">
        <w:rPr>
          <w:sz w:val="18"/>
          <w:szCs w:val="18"/>
        </w:rPr>
        <w:t xml:space="preserve"> Figure 29)</w:t>
      </w:r>
    </w:p>
    <w:p w:rsidR="00BA6FF2" w:rsidRDefault="00BA6FF2" w:rsidP="00BA6FF2">
      <w:pPr>
        <w:keepNext/>
        <w:keepLines/>
        <w:widowControl w:val="0"/>
        <w:jc w:val="left"/>
        <w:rPr>
          <w:sz w:val="18"/>
          <w:szCs w:val="18"/>
        </w:rPr>
      </w:pPr>
    </w:p>
    <w:p w:rsidR="009C17E4" w:rsidRPr="0060702E" w:rsidRDefault="009C17E4" w:rsidP="00BA6FF2">
      <w:pPr>
        <w:keepNext/>
        <w:keepLines/>
        <w:widowControl w:val="0"/>
        <w:jc w:val="left"/>
        <w:rPr>
          <w:sz w:val="18"/>
          <w:szCs w:val="18"/>
        </w:rPr>
      </w:pPr>
    </w:p>
    <w:p w:rsidR="00BA6FF2" w:rsidRPr="0060702E" w:rsidRDefault="00BA6FF2" w:rsidP="00BA6FF2">
      <w:pPr>
        <w:pStyle w:val="Heading8"/>
      </w:pPr>
      <w:bookmarkStart w:id="130" w:name="_Toc398739018"/>
      <w:r w:rsidRPr="0060702E">
        <w:t>(c)  Meetings with government officials</w:t>
      </w:r>
      <w:r w:rsidR="00C82CDF" w:rsidRPr="0060702E">
        <w:rPr>
          <w:rStyle w:val="FootnoteReference"/>
        </w:rPr>
        <w:footnoteReference w:id="4"/>
      </w:r>
      <w:bookmarkEnd w:id="130"/>
    </w:p>
    <w:p w:rsidR="00BA6FF2" w:rsidRPr="0060702E" w:rsidRDefault="00BA6FF2" w:rsidP="00BA6FF2">
      <w:pPr>
        <w:pStyle w:val="BodyText"/>
        <w:rPr>
          <w:sz w:val="18"/>
          <w:szCs w:val="18"/>
        </w:rPr>
      </w:pPr>
      <w:r w:rsidRPr="0060702E">
        <w:rPr>
          <w:sz w:val="18"/>
          <w:szCs w:val="18"/>
        </w:rPr>
        <w:t xml:space="preserve">Members of the Union: </w:t>
      </w:r>
      <w:r w:rsidR="009E0368" w:rsidRPr="0060702E">
        <w:rPr>
          <w:sz w:val="18"/>
          <w:szCs w:val="18"/>
        </w:rPr>
        <w:t xml:space="preserve">Azerbaijan, </w:t>
      </w:r>
      <w:r w:rsidR="005B0DC2" w:rsidRPr="0060702E">
        <w:rPr>
          <w:sz w:val="18"/>
          <w:szCs w:val="18"/>
        </w:rPr>
        <w:t>Canada, Col</w:t>
      </w:r>
      <w:r w:rsidR="00471669" w:rsidRPr="0060702E">
        <w:rPr>
          <w:sz w:val="18"/>
          <w:szCs w:val="18"/>
        </w:rPr>
        <w:t>o</w:t>
      </w:r>
      <w:r w:rsidR="005B0DC2" w:rsidRPr="0060702E">
        <w:rPr>
          <w:sz w:val="18"/>
          <w:szCs w:val="18"/>
        </w:rPr>
        <w:t xml:space="preserve">mbia, </w:t>
      </w:r>
      <w:r w:rsidRPr="0060702E">
        <w:rPr>
          <w:sz w:val="18"/>
          <w:szCs w:val="18"/>
        </w:rPr>
        <w:t>Nicaragua, Singapore and South Africa.</w:t>
      </w:r>
    </w:p>
    <w:p w:rsidR="00BA6FF2" w:rsidRPr="0060702E" w:rsidRDefault="00BA6FF2" w:rsidP="00BA6FF2">
      <w:pPr>
        <w:rPr>
          <w:sz w:val="18"/>
          <w:szCs w:val="18"/>
        </w:rPr>
      </w:pPr>
    </w:p>
    <w:p w:rsidR="00BA6FF2" w:rsidRPr="0060702E" w:rsidRDefault="00BA6FF2" w:rsidP="00BA6FF2">
      <w:pPr>
        <w:tabs>
          <w:tab w:val="left" w:pos="2410"/>
        </w:tabs>
        <w:jc w:val="left"/>
        <w:rPr>
          <w:sz w:val="18"/>
          <w:szCs w:val="18"/>
        </w:rPr>
      </w:pPr>
      <w:r w:rsidRPr="0060702E">
        <w:rPr>
          <w:sz w:val="18"/>
          <w:szCs w:val="18"/>
        </w:rPr>
        <w:t>Non-members of the Union:  ARIPO, Bahamas, Bahrain, Bosnia and Herzegovina, Botswana, Brunei Darussalam, Equatorial Guinea, Ghana, Lao People's Democratic Republic, Malaysia, Myanmar, Namibia, Pakistan, Philippines, Rwanda, Saint Kitts and Nevis, Seychelles, Thailand, United Republic of Tanzania and Zimbabwe.</w:t>
      </w:r>
    </w:p>
    <w:p w:rsidR="00BA6FF2" w:rsidRPr="0060702E" w:rsidRDefault="00BA6FF2" w:rsidP="00BA6FF2">
      <w:pPr>
        <w:tabs>
          <w:tab w:val="left" w:pos="2410"/>
        </w:tabs>
        <w:jc w:val="left"/>
        <w:rPr>
          <w:sz w:val="18"/>
          <w:szCs w:val="18"/>
        </w:rPr>
      </w:pPr>
      <w:r w:rsidRPr="0060702E">
        <w:rPr>
          <w:sz w:val="18"/>
          <w:szCs w:val="18"/>
        </w:rPr>
        <w:t>(</w:t>
      </w:r>
      <w:proofErr w:type="gramStart"/>
      <w:r w:rsidRPr="0060702E">
        <w:rPr>
          <w:sz w:val="18"/>
          <w:szCs w:val="18"/>
        </w:rPr>
        <w:t>see</w:t>
      </w:r>
      <w:proofErr w:type="gramEnd"/>
      <w:r w:rsidRPr="0060702E">
        <w:rPr>
          <w:sz w:val="18"/>
          <w:szCs w:val="18"/>
        </w:rPr>
        <w:t xml:space="preserve"> Figure 27)</w:t>
      </w:r>
    </w:p>
    <w:p w:rsidR="00122004" w:rsidRPr="0060702E" w:rsidRDefault="00122004" w:rsidP="00BA6FF2">
      <w:pPr>
        <w:tabs>
          <w:tab w:val="left" w:pos="2410"/>
        </w:tabs>
        <w:jc w:val="left"/>
        <w:rPr>
          <w:sz w:val="18"/>
          <w:szCs w:val="18"/>
        </w:rPr>
      </w:pPr>
    </w:p>
    <w:p w:rsidR="00BA6FF2" w:rsidRPr="0060702E" w:rsidRDefault="00BA6FF2" w:rsidP="0034381C">
      <w:pPr>
        <w:pStyle w:val="Heading9"/>
      </w:pPr>
      <w:bookmarkStart w:id="131" w:name="_Toc398739019"/>
      <w:proofErr w:type="gramStart"/>
      <w:r w:rsidRPr="0060702E">
        <w:t>Figure 27</w:t>
      </w:r>
      <w:r w:rsidR="00D84E23" w:rsidRPr="0060702E">
        <w:t>.</w:t>
      </w:r>
      <w:proofErr w:type="gramEnd"/>
      <w:r w:rsidR="00D84E23" w:rsidRPr="0060702E">
        <w:t xml:space="preserve"> </w:t>
      </w:r>
      <w:r w:rsidRPr="0060702E">
        <w:t xml:space="preserve"> Assistance provided in drafting legislation on plant variety protection</w:t>
      </w:r>
      <w:bookmarkEnd w:id="131"/>
    </w:p>
    <w:p w:rsidR="00BA6FF2" w:rsidRPr="0060702E" w:rsidRDefault="00BA6FF2" w:rsidP="00BA6FF2">
      <w:pPr>
        <w:keepNext/>
        <w:keepLines/>
        <w:widowControl w:val="0"/>
        <w:jc w:val="center"/>
        <w:rPr>
          <w:sz w:val="18"/>
          <w:szCs w:val="18"/>
        </w:rPr>
      </w:pPr>
    </w:p>
    <w:p w:rsidR="00BA6FF2" w:rsidRPr="0060702E" w:rsidRDefault="00BA6FF2" w:rsidP="00BA6FF2">
      <w:pPr>
        <w:keepNext/>
        <w:keepLines/>
        <w:widowControl w:val="0"/>
        <w:jc w:val="center"/>
        <w:rPr>
          <w:sz w:val="18"/>
          <w:szCs w:val="18"/>
        </w:rPr>
      </w:pPr>
      <w:r w:rsidRPr="0060702E">
        <w:rPr>
          <w:noProof/>
        </w:rPr>
        <w:drawing>
          <wp:inline distT="0" distB="0" distL="0" distR="0" wp14:anchorId="5AD59C38" wp14:editId="4FD6E47D">
            <wp:extent cx="5754918" cy="2916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comments_positive advice_meetings.png"/>
                    <pic:cNvPicPr/>
                  </pic:nvPicPr>
                  <pic:blipFill>
                    <a:blip r:embed="rId50">
                      <a:extLst>
                        <a:ext uri="{28A0092B-C50C-407E-A947-70E740481C1C}">
                          <a14:useLocalDpi xmlns:a14="http://schemas.microsoft.com/office/drawing/2010/main" val="0"/>
                        </a:ext>
                      </a:extLst>
                    </a:blip>
                    <a:stretch>
                      <a:fillRect/>
                    </a:stretch>
                  </pic:blipFill>
                  <pic:spPr>
                    <a:xfrm>
                      <a:off x="0" y="0"/>
                      <a:ext cx="5754918" cy="2916000"/>
                    </a:xfrm>
                    <a:prstGeom prst="rect">
                      <a:avLst/>
                    </a:prstGeom>
                    <a:ln>
                      <a:noFill/>
                    </a:ln>
                  </pic:spPr>
                </pic:pic>
              </a:graphicData>
            </a:graphic>
          </wp:inline>
        </w:drawing>
      </w:r>
    </w:p>
    <w:p w:rsidR="00BA6FF2" w:rsidRPr="0060702E" w:rsidRDefault="00BA6FF2" w:rsidP="00BA6FF2">
      <w:pPr>
        <w:keepNext/>
        <w:keepLines/>
        <w:widowControl w:val="0"/>
        <w:jc w:val="center"/>
        <w:rPr>
          <w:sz w:val="18"/>
          <w:szCs w:val="18"/>
        </w:rPr>
      </w:pPr>
    </w:p>
    <w:p w:rsidR="00BA6FF2" w:rsidRPr="0060702E" w:rsidRDefault="00BA6FF2" w:rsidP="00BA6FF2">
      <w:pPr>
        <w:jc w:val="center"/>
        <w:rPr>
          <w:sz w:val="16"/>
          <w:szCs w:val="16"/>
        </w:rPr>
      </w:pPr>
    </w:p>
    <w:p w:rsidR="00BA6FF2" w:rsidRPr="0060702E" w:rsidRDefault="00BA6FF2" w:rsidP="00BA6FF2">
      <w:pPr>
        <w:ind w:left="851" w:hanging="567"/>
        <w:jc w:val="left"/>
        <w:rPr>
          <w:sz w:val="16"/>
          <w:szCs w:val="16"/>
        </w:rPr>
      </w:pPr>
      <w:r w:rsidRPr="0060702E">
        <w:rPr>
          <w:noProof/>
        </w:rPr>
        <w:drawing>
          <wp:inline distT="0" distB="0" distL="0" distR="0" wp14:anchorId="02086894" wp14:editId="17A0AF17">
            <wp:extent cx="122400" cy="115200"/>
            <wp:effectExtent l="19050" t="19050" r="11430" b="1841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22400" cy="115200"/>
                    </a:xfrm>
                    <a:prstGeom prst="rect">
                      <a:avLst/>
                    </a:prstGeom>
                    <a:ln>
                      <a:solidFill>
                        <a:schemeClr val="tx1"/>
                      </a:solidFill>
                    </a:ln>
                  </pic:spPr>
                </pic:pic>
              </a:graphicData>
            </a:graphic>
          </wp:inline>
        </w:drawing>
      </w:r>
      <w:r w:rsidRPr="0060702E">
        <w:rPr>
          <w:sz w:val="16"/>
          <w:szCs w:val="16"/>
        </w:rPr>
        <w:tab/>
        <w:t>States and organizations which received a positive advice from the Council of UPOV</w:t>
      </w:r>
    </w:p>
    <w:p w:rsidR="00BA6FF2" w:rsidRPr="0060702E" w:rsidRDefault="00BA6FF2" w:rsidP="00BA6FF2">
      <w:pPr>
        <w:ind w:left="851" w:hanging="567"/>
        <w:jc w:val="left"/>
        <w:rPr>
          <w:sz w:val="16"/>
          <w:szCs w:val="16"/>
        </w:rPr>
      </w:pPr>
      <w:r w:rsidRPr="0060702E">
        <w:rPr>
          <w:noProof/>
        </w:rPr>
        <w:drawing>
          <wp:inline distT="0" distB="0" distL="0" distR="0" wp14:anchorId="0A69B71D" wp14:editId="14A28F08">
            <wp:extent cx="115200" cy="115200"/>
            <wp:effectExtent l="19050" t="19050" r="18415" b="184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15200" cy="115200"/>
                    </a:xfrm>
                    <a:prstGeom prst="rect">
                      <a:avLst/>
                    </a:prstGeom>
                    <a:ln>
                      <a:solidFill>
                        <a:schemeClr val="tx1"/>
                      </a:solidFill>
                    </a:ln>
                  </pic:spPr>
                </pic:pic>
              </a:graphicData>
            </a:graphic>
          </wp:inline>
        </w:drawing>
      </w:r>
      <w:r w:rsidRPr="0060702E">
        <w:rPr>
          <w:sz w:val="16"/>
          <w:szCs w:val="16"/>
        </w:rPr>
        <w:tab/>
        <w:t>States and organizations provided with comments on laws</w:t>
      </w:r>
    </w:p>
    <w:p w:rsidR="00BA6FF2" w:rsidRPr="0060702E" w:rsidRDefault="00BA6FF2" w:rsidP="00BA6FF2">
      <w:pPr>
        <w:ind w:left="851" w:hanging="567"/>
        <w:jc w:val="left"/>
        <w:rPr>
          <w:sz w:val="16"/>
          <w:szCs w:val="16"/>
        </w:rPr>
      </w:pPr>
      <w:r w:rsidRPr="0060702E">
        <w:rPr>
          <w:noProof/>
        </w:rPr>
        <w:drawing>
          <wp:inline distT="0" distB="0" distL="0" distR="0" wp14:anchorId="3B55E1ED" wp14:editId="68C90787">
            <wp:extent cx="126000" cy="115200"/>
            <wp:effectExtent l="19050" t="19050" r="26670" b="184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26000" cy="115200"/>
                    </a:xfrm>
                    <a:prstGeom prst="rect">
                      <a:avLst/>
                    </a:prstGeom>
                    <a:ln>
                      <a:solidFill>
                        <a:schemeClr val="tx1"/>
                      </a:solidFill>
                    </a:ln>
                  </pic:spPr>
                </pic:pic>
              </a:graphicData>
            </a:graphic>
          </wp:inline>
        </w:drawing>
      </w:r>
      <w:r w:rsidRPr="0060702E">
        <w:rPr>
          <w:sz w:val="16"/>
          <w:szCs w:val="16"/>
        </w:rPr>
        <w:tab/>
        <w:t>Meetings with government officials</w:t>
      </w:r>
    </w:p>
    <w:p w:rsidR="00BA6FF2" w:rsidRPr="0060702E" w:rsidRDefault="00BA6FF2" w:rsidP="00BA6FF2">
      <w:pPr>
        <w:keepNext/>
        <w:keepLines/>
        <w:widowControl w:val="0"/>
        <w:jc w:val="left"/>
        <w:rPr>
          <w:sz w:val="18"/>
          <w:szCs w:val="18"/>
        </w:rPr>
      </w:pPr>
    </w:p>
    <w:p w:rsidR="00BA6FF2" w:rsidRPr="0060702E" w:rsidRDefault="00BA6FF2" w:rsidP="00BA6FF2">
      <w:pPr>
        <w:pStyle w:val="Heading6"/>
      </w:pPr>
    </w:p>
    <w:p w:rsidR="00040036" w:rsidRPr="0060702E" w:rsidRDefault="00040036" w:rsidP="00040036"/>
    <w:p w:rsidR="00BA6FF2" w:rsidRPr="0060702E" w:rsidRDefault="00BA6FF2" w:rsidP="00122004">
      <w:pPr>
        <w:pStyle w:val="Heading6"/>
        <w:keepNext/>
        <w:keepLines/>
      </w:pPr>
      <w:bookmarkStart w:id="132" w:name="_Toc398739020"/>
      <w:r w:rsidRPr="0060702E">
        <w:t>3.  Assistance to States and organizations in the accession to the 1991 Act of the UPOV Convention</w:t>
      </w:r>
      <w:bookmarkEnd w:id="132"/>
    </w:p>
    <w:p w:rsidR="00BA6FF2" w:rsidRPr="0060702E" w:rsidRDefault="00BA6FF2" w:rsidP="00122004">
      <w:pPr>
        <w:keepNext/>
        <w:keepLines/>
        <w:widowControl w:val="0"/>
        <w:jc w:val="left"/>
        <w:rPr>
          <w:sz w:val="18"/>
          <w:szCs w:val="18"/>
        </w:rPr>
      </w:pPr>
    </w:p>
    <w:p w:rsidR="00BA6FF2" w:rsidRPr="0060702E" w:rsidRDefault="00BA6FF2" w:rsidP="00122004">
      <w:pPr>
        <w:pStyle w:val="Heading8"/>
        <w:keepNext/>
        <w:keepLines/>
      </w:pPr>
      <w:bookmarkStart w:id="133" w:name="_Toc398739021"/>
      <w:r w:rsidRPr="0060702E">
        <w:t>(a)  States that acceded to or ratified the 1991 Act of the UPOV Convention</w:t>
      </w:r>
      <w:bookmarkEnd w:id="133"/>
    </w:p>
    <w:p w:rsidR="00BA6FF2" w:rsidRPr="0060702E" w:rsidRDefault="00BA6FF2" w:rsidP="00122004">
      <w:pPr>
        <w:keepNext/>
        <w:keepLines/>
        <w:tabs>
          <w:tab w:val="left" w:pos="2410"/>
        </w:tabs>
        <w:jc w:val="left"/>
        <w:rPr>
          <w:sz w:val="18"/>
          <w:szCs w:val="18"/>
        </w:rPr>
      </w:pPr>
      <w:r w:rsidRPr="0060702E">
        <w:rPr>
          <w:sz w:val="18"/>
          <w:szCs w:val="18"/>
        </w:rPr>
        <w:t>France, Ireland, Panama</w:t>
      </w:r>
    </w:p>
    <w:p w:rsidR="00BA6FF2" w:rsidRPr="0060702E" w:rsidRDefault="00BA6FF2" w:rsidP="00122004">
      <w:pPr>
        <w:keepNext/>
        <w:keepLines/>
        <w:tabs>
          <w:tab w:val="left" w:pos="2410"/>
        </w:tabs>
        <w:jc w:val="left"/>
        <w:rPr>
          <w:color w:val="000000"/>
          <w:sz w:val="18"/>
          <w:szCs w:val="18"/>
        </w:rPr>
      </w:pPr>
      <w:r w:rsidRPr="0060702E">
        <w:rPr>
          <w:color w:val="000000"/>
          <w:sz w:val="18"/>
          <w:szCs w:val="18"/>
        </w:rPr>
        <w:t>(</w:t>
      </w:r>
      <w:proofErr w:type="gramStart"/>
      <w:r w:rsidRPr="0060702E">
        <w:rPr>
          <w:color w:val="000000"/>
          <w:sz w:val="18"/>
          <w:szCs w:val="18"/>
        </w:rPr>
        <w:t>see</w:t>
      </w:r>
      <w:proofErr w:type="gramEnd"/>
      <w:r w:rsidRPr="0060702E">
        <w:rPr>
          <w:color w:val="000000"/>
          <w:sz w:val="18"/>
          <w:szCs w:val="18"/>
        </w:rPr>
        <w:t xml:space="preserve"> Figure 31)</w:t>
      </w:r>
    </w:p>
    <w:p w:rsidR="00BA6FF2" w:rsidRDefault="00BA6FF2" w:rsidP="00BA6FF2">
      <w:pPr>
        <w:tabs>
          <w:tab w:val="left" w:pos="2410"/>
        </w:tabs>
        <w:jc w:val="left"/>
        <w:rPr>
          <w:color w:val="000000"/>
          <w:sz w:val="18"/>
          <w:szCs w:val="18"/>
        </w:rPr>
      </w:pPr>
    </w:p>
    <w:p w:rsidR="009C17E4" w:rsidRPr="0060702E" w:rsidRDefault="009C17E4" w:rsidP="00BA6FF2">
      <w:pPr>
        <w:tabs>
          <w:tab w:val="left" w:pos="2410"/>
        </w:tabs>
        <w:jc w:val="left"/>
        <w:rPr>
          <w:color w:val="000000"/>
          <w:sz w:val="18"/>
          <w:szCs w:val="18"/>
        </w:rPr>
      </w:pPr>
    </w:p>
    <w:p w:rsidR="00BA6FF2" w:rsidRPr="0060702E" w:rsidRDefault="00BA6FF2" w:rsidP="00BA6FF2">
      <w:pPr>
        <w:pStyle w:val="Heading8"/>
      </w:pPr>
      <w:bookmarkStart w:id="134" w:name="_Toc398739022"/>
      <w:r w:rsidRPr="0060702E">
        <w:t>(b)  States and organizations that became members of the Union</w:t>
      </w:r>
      <w:bookmarkEnd w:id="134"/>
    </w:p>
    <w:p w:rsidR="00BA6FF2" w:rsidRPr="0060702E" w:rsidRDefault="00BA6FF2" w:rsidP="00BA6FF2">
      <w:pPr>
        <w:tabs>
          <w:tab w:val="left" w:pos="2410"/>
        </w:tabs>
        <w:jc w:val="left"/>
        <w:rPr>
          <w:sz w:val="18"/>
          <w:szCs w:val="18"/>
        </w:rPr>
      </w:pPr>
      <w:r w:rsidRPr="0060702E">
        <w:rPr>
          <w:sz w:val="18"/>
          <w:szCs w:val="18"/>
        </w:rPr>
        <w:t>Serbia</w:t>
      </w:r>
    </w:p>
    <w:p w:rsidR="00BA6FF2" w:rsidRPr="0060702E" w:rsidRDefault="00BA6FF2" w:rsidP="00BA6FF2">
      <w:pPr>
        <w:keepNext/>
        <w:keepLines/>
        <w:widowControl w:val="0"/>
        <w:jc w:val="left"/>
        <w:rPr>
          <w:sz w:val="18"/>
          <w:szCs w:val="18"/>
        </w:rPr>
      </w:pPr>
      <w:r w:rsidRPr="0060702E">
        <w:rPr>
          <w:sz w:val="18"/>
          <w:szCs w:val="18"/>
        </w:rPr>
        <w:t>(</w:t>
      </w:r>
      <w:proofErr w:type="gramStart"/>
      <w:r w:rsidRPr="0060702E">
        <w:rPr>
          <w:sz w:val="18"/>
          <w:szCs w:val="18"/>
        </w:rPr>
        <w:t>see</w:t>
      </w:r>
      <w:proofErr w:type="gramEnd"/>
      <w:r w:rsidRPr="0060702E">
        <w:rPr>
          <w:sz w:val="18"/>
          <w:szCs w:val="18"/>
        </w:rPr>
        <w:t xml:space="preserve"> Figure 30)</w:t>
      </w:r>
    </w:p>
    <w:p w:rsidR="00BA6FF2" w:rsidRPr="0060702E" w:rsidRDefault="00BA6FF2" w:rsidP="002D6F42">
      <w:pPr>
        <w:rPr>
          <w:sz w:val="18"/>
          <w:szCs w:val="18"/>
        </w:rPr>
      </w:pPr>
    </w:p>
    <w:tbl>
      <w:tblPr>
        <w:tblW w:w="9889" w:type="dxa"/>
        <w:tblLayout w:type="fixed"/>
        <w:tblLook w:val="0000" w:firstRow="0" w:lastRow="0" w:firstColumn="0" w:lastColumn="0" w:noHBand="0" w:noVBand="0"/>
      </w:tblPr>
      <w:tblGrid>
        <w:gridCol w:w="4944"/>
        <w:gridCol w:w="4945"/>
      </w:tblGrid>
      <w:tr w:rsidR="00BA6FF2" w:rsidRPr="0060702E" w:rsidTr="000B5061">
        <w:tc>
          <w:tcPr>
            <w:tcW w:w="4944" w:type="dxa"/>
          </w:tcPr>
          <w:p w:rsidR="00BA6FF2" w:rsidRPr="0060702E" w:rsidRDefault="00BA6FF2" w:rsidP="00D805DF">
            <w:pPr>
              <w:pStyle w:val="Heading9"/>
              <w:spacing w:after="0"/>
              <w:rPr>
                <w:b w:val="0"/>
              </w:rPr>
            </w:pPr>
            <w:bookmarkStart w:id="135" w:name="_Toc398739023"/>
            <w:proofErr w:type="gramStart"/>
            <w:r w:rsidRPr="0060702E">
              <w:t>Figure 28</w:t>
            </w:r>
            <w:r w:rsidR="00D84E23" w:rsidRPr="0060702E">
              <w:t>.</w:t>
            </w:r>
            <w:proofErr w:type="gramEnd"/>
            <w:r w:rsidR="00D84E23" w:rsidRPr="0060702E">
              <w:t xml:space="preserve"> </w:t>
            </w:r>
            <w:r w:rsidRPr="0060702E">
              <w:t xml:space="preserve"> States/Organizations provided with comments on laws</w:t>
            </w:r>
            <w:bookmarkEnd w:id="135"/>
          </w:p>
          <w:p w:rsidR="00BA6FF2" w:rsidRPr="0060702E" w:rsidRDefault="00BA6FF2" w:rsidP="00D805DF">
            <w:pPr>
              <w:rPr>
                <w:sz w:val="18"/>
                <w:szCs w:val="18"/>
              </w:rPr>
            </w:pPr>
          </w:p>
          <w:p w:rsidR="00BA6FF2" w:rsidRPr="0060702E" w:rsidRDefault="000B5061" w:rsidP="00D805DF">
            <w:pPr>
              <w:rPr>
                <w:sz w:val="18"/>
                <w:szCs w:val="18"/>
              </w:rPr>
            </w:pPr>
            <w:r w:rsidRPr="0060702E">
              <w:rPr>
                <w:noProof/>
              </w:rPr>
              <w:drawing>
                <wp:inline distT="0" distB="0" distL="0" distR="0" wp14:anchorId="0332BC5C" wp14:editId="4C70C1A1">
                  <wp:extent cx="2933700" cy="25146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A6FF2" w:rsidRPr="0060702E" w:rsidRDefault="00BA6FF2" w:rsidP="00D805DF">
            <w:pPr>
              <w:rPr>
                <w:sz w:val="18"/>
                <w:szCs w:val="18"/>
              </w:rPr>
            </w:pPr>
          </w:p>
          <w:p w:rsidR="00BA6FF2" w:rsidRPr="0060702E" w:rsidRDefault="00BA6FF2" w:rsidP="00D805DF">
            <w:pPr>
              <w:rPr>
                <w:sz w:val="18"/>
                <w:szCs w:val="18"/>
              </w:rPr>
            </w:pPr>
          </w:p>
        </w:tc>
        <w:tc>
          <w:tcPr>
            <w:tcW w:w="4945" w:type="dxa"/>
          </w:tcPr>
          <w:p w:rsidR="00BA6FF2" w:rsidRPr="0060702E" w:rsidRDefault="00BA6FF2" w:rsidP="00D805DF">
            <w:pPr>
              <w:pStyle w:val="Heading9"/>
              <w:rPr>
                <w:szCs w:val="18"/>
              </w:rPr>
            </w:pPr>
            <w:bookmarkStart w:id="136" w:name="_Toc398739024"/>
            <w:proofErr w:type="gramStart"/>
            <w:r w:rsidRPr="0060702E">
              <w:t>Figure 29</w:t>
            </w:r>
            <w:r w:rsidR="00D84E23" w:rsidRPr="0060702E">
              <w:t>.</w:t>
            </w:r>
            <w:proofErr w:type="gramEnd"/>
            <w:r w:rsidR="00D84E23" w:rsidRPr="0060702E">
              <w:t xml:space="preserve"> </w:t>
            </w:r>
            <w:r w:rsidRPr="0060702E">
              <w:t xml:space="preserve"> States/Organizations which received positive advice from the Council</w:t>
            </w:r>
            <w:bookmarkEnd w:id="136"/>
          </w:p>
          <w:p w:rsidR="00BA6FF2" w:rsidRPr="0060702E" w:rsidRDefault="00BA6FF2" w:rsidP="00D805DF">
            <w:pPr>
              <w:rPr>
                <w:sz w:val="18"/>
                <w:szCs w:val="18"/>
              </w:rPr>
            </w:pPr>
            <w:r w:rsidRPr="0060702E">
              <w:rPr>
                <w:noProof/>
              </w:rPr>
              <w:drawing>
                <wp:inline distT="0" distB="0" distL="0" distR="0" wp14:anchorId="1CC11DC7" wp14:editId="37A00F12">
                  <wp:extent cx="2952750" cy="249555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BA6FF2" w:rsidRPr="0060702E" w:rsidTr="00322B6C">
        <w:tc>
          <w:tcPr>
            <w:tcW w:w="4944" w:type="dxa"/>
          </w:tcPr>
          <w:p w:rsidR="00BA6FF2" w:rsidRPr="0060702E" w:rsidRDefault="00D84E23" w:rsidP="00D805DF">
            <w:pPr>
              <w:pStyle w:val="Heading9"/>
              <w:spacing w:after="0"/>
            </w:pPr>
            <w:bookmarkStart w:id="137" w:name="_Toc398739025"/>
            <w:proofErr w:type="gramStart"/>
            <w:r w:rsidRPr="0060702E">
              <w:t>Figure 30.</w:t>
            </w:r>
            <w:proofErr w:type="gramEnd"/>
            <w:r w:rsidRPr="0060702E">
              <w:t xml:space="preserve"> </w:t>
            </w:r>
            <w:r w:rsidR="00BA6FF2" w:rsidRPr="0060702E">
              <w:t xml:space="preserve"> </w:t>
            </w:r>
            <w:r w:rsidR="00BA6FF2" w:rsidRPr="0060702E">
              <w:rPr>
                <w:color w:val="000000"/>
                <w:szCs w:val="18"/>
              </w:rPr>
              <w:t>New members of the Union</w:t>
            </w:r>
            <w:bookmarkEnd w:id="137"/>
          </w:p>
          <w:p w:rsidR="00BA6FF2" w:rsidRPr="0060702E" w:rsidRDefault="00BA6FF2" w:rsidP="00D805DF">
            <w:r w:rsidRPr="0060702E">
              <w:rPr>
                <w:noProof/>
              </w:rPr>
              <w:drawing>
                <wp:inline distT="0" distB="0" distL="0" distR="0" wp14:anchorId="126EECB9" wp14:editId="447C3E1D">
                  <wp:extent cx="2933700" cy="27813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4945" w:type="dxa"/>
          </w:tcPr>
          <w:p w:rsidR="00BA6FF2" w:rsidRPr="0060702E" w:rsidRDefault="00D84E23" w:rsidP="00D805DF">
            <w:pPr>
              <w:pStyle w:val="Heading9"/>
            </w:pPr>
            <w:bookmarkStart w:id="138" w:name="_Toc398739026"/>
            <w:proofErr w:type="gramStart"/>
            <w:r w:rsidRPr="0060702E">
              <w:t>Figure 31.</w:t>
            </w:r>
            <w:proofErr w:type="gramEnd"/>
            <w:r w:rsidRPr="0060702E">
              <w:t xml:space="preserve"> </w:t>
            </w:r>
            <w:r w:rsidR="00BA6FF2" w:rsidRPr="0060702E">
              <w:t xml:space="preserve"> </w:t>
            </w:r>
            <w:r w:rsidR="00BA6FF2" w:rsidRPr="0060702E">
              <w:rPr>
                <w:color w:val="000000"/>
                <w:szCs w:val="18"/>
              </w:rPr>
              <w:t>Accession to/ratification of the 1991 Act</w:t>
            </w:r>
            <w:bookmarkEnd w:id="138"/>
          </w:p>
          <w:p w:rsidR="00BA6FF2" w:rsidRPr="0060702E" w:rsidRDefault="00322B6C" w:rsidP="00D805DF">
            <w:r w:rsidRPr="0060702E">
              <w:rPr>
                <w:noProof/>
              </w:rPr>
              <w:drawing>
                <wp:inline distT="0" distB="0" distL="0" distR="0" wp14:anchorId="6D67AE42" wp14:editId="3D94FE02">
                  <wp:extent cx="3019425" cy="2581275"/>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bl>
    <w:p w:rsidR="00BA6FF2" w:rsidRPr="0060702E" w:rsidRDefault="00BA6FF2" w:rsidP="002D6F42">
      <w:pPr>
        <w:rPr>
          <w:sz w:val="18"/>
          <w:szCs w:val="18"/>
        </w:rPr>
      </w:pPr>
    </w:p>
    <w:p w:rsidR="00040036" w:rsidRPr="0060702E" w:rsidRDefault="00040036" w:rsidP="002D6F42">
      <w:pPr>
        <w:rPr>
          <w:sz w:val="18"/>
          <w:szCs w:val="18"/>
        </w:rPr>
      </w:pPr>
    </w:p>
    <w:p w:rsidR="00040036" w:rsidRPr="0060702E" w:rsidRDefault="00040036">
      <w:pPr>
        <w:jc w:val="left"/>
        <w:rPr>
          <w:bCs/>
          <w:caps/>
          <w:sz w:val="18"/>
          <w:szCs w:val="22"/>
        </w:rPr>
      </w:pPr>
      <w:r w:rsidRPr="0060702E">
        <w:br w:type="page"/>
      </w:r>
    </w:p>
    <w:p w:rsidR="00BA6FF2" w:rsidRPr="0060702E" w:rsidRDefault="00BA6FF2" w:rsidP="00BA6FF2">
      <w:pPr>
        <w:pStyle w:val="Heading6"/>
      </w:pPr>
      <w:bookmarkStart w:id="139" w:name="_Toc398739027"/>
      <w:r w:rsidRPr="0060702E">
        <w:t>4.  Assistance in implementing an effective plant variety rights system in accordance with the 1991 Act of the UPOV Convention</w:t>
      </w:r>
      <w:bookmarkEnd w:id="139"/>
    </w:p>
    <w:p w:rsidR="00BA6FF2" w:rsidRPr="0060702E" w:rsidRDefault="00BA6FF2" w:rsidP="00BA6FF2"/>
    <w:p w:rsidR="00BA6FF2" w:rsidRPr="0060702E" w:rsidRDefault="00BA6FF2" w:rsidP="00BA6FF2">
      <w:pPr>
        <w:pStyle w:val="Heading8"/>
      </w:pPr>
      <w:bookmarkStart w:id="140" w:name="_Toc398739028"/>
      <w:r w:rsidRPr="0060702E">
        <w:t>(a)  Participation in distance learning courses</w:t>
      </w:r>
      <w:bookmarkEnd w:id="140"/>
    </w:p>
    <w:p w:rsidR="00BA6FF2" w:rsidRPr="0060702E" w:rsidRDefault="00BA6FF2" w:rsidP="00BA6FF2">
      <w:pPr>
        <w:tabs>
          <w:tab w:val="left" w:pos="2410"/>
        </w:tabs>
        <w:jc w:val="left"/>
        <w:rPr>
          <w:sz w:val="18"/>
          <w:szCs w:val="18"/>
        </w:rPr>
      </w:pPr>
      <w:r w:rsidRPr="0060702E">
        <w:rPr>
          <w:color w:val="000000"/>
          <w:sz w:val="18"/>
          <w:szCs w:val="18"/>
        </w:rPr>
        <w:t xml:space="preserve">UPOV DL-205 </w:t>
      </w:r>
      <w:r w:rsidRPr="0060702E">
        <w:rPr>
          <w:sz w:val="18"/>
          <w:szCs w:val="18"/>
        </w:rPr>
        <w:t>“Introduction to the UPOV System of Plant Variety Protection under the UPOV Convention”</w:t>
      </w:r>
    </w:p>
    <w:p w:rsidR="00BA6FF2" w:rsidRPr="0060702E" w:rsidRDefault="00BA6FF2" w:rsidP="00BA6FF2">
      <w:pPr>
        <w:tabs>
          <w:tab w:val="left" w:pos="2410"/>
        </w:tabs>
        <w:jc w:val="left"/>
        <w:rPr>
          <w:sz w:val="18"/>
          <w:szCs w:val="18"/>
        </w:rPr>
      </w:pPr>
    </w:p>
    <w:p w:rsidR="00BA6FF2" w:rsidRPr="0060702E" w:rsidRDefault="00752AA8" w:rsidP="00BA6FF2">
      <w:pPr>
        <w:jc w:val="center"/>
        <w:rPr>
          <w:sz w:val="18"/>
          <w:szCs w:val="18"/>
        </w:rPr>
      </w:pPr>
      <w:r w:rsidRPr="0060702E">
        <w:rPr>
          <w:sz w:val="18"/>
          <w:szCs w:val="18"/>
        </w:rPr>
        <w:t>N</w:t>
      </w:r>
      <w:r w:rsidR="00BA6FF2" w:rsidRPr="0060702E">
        <w:rPr>
          <w:sz w:val="18"/>
          <w:szCs w:val="18"/>
        </w:rPr>
        <w:t>umber of participants in regular DL-205 session</w:t>
      </w:r>
      <w:r w:rsidRPr="0060702E">
        <w:rPr>
          <w:sz w:val="18"/>
          <w:szCs w:val="18"/>
        </w:rPr>
        <w:t>s</w:t>
      </w:r>
      <w:r w:rsidR="00BA6FF2" w:rsidRPr="0060702E">
        <w:rPr>
          <w:sz w:val="18"/>
          <w:szCs w:val="18"/>
        </w:rPr>
        <w:t xml:space="preserve"> in 2012 and 2013</w:t>
      </w:r>
    </w:p>
    <w:p w:rsidR="00BA6FF2" w:rsidRPr="0060702E" w:rsidRDefault="00BA6FF2" w:rsidP="00BA6FF2">
      <w:pPr>
        <w:tabs>
          <w:tab w:val="left" w:pos="2410"/>
        </w:tabs>
        <w:jc w:val="left"/>
        <w:rPr>
          <w:sz w:val="18"/>
          <w:szCs w:val="18"/>
        </w:rPr>
      </w:pPr>
    </w:p>
    <w:tbl>
      <w:tblPr>
        <w:tblW w:w="953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4A0" w:firstRow="1" w:lastRow="0" w:firstColumn="1" w:lastColumn="0" w:noHBand="0" w:noVBand="1"/>
      </w:tblPr>
      <w:tblGrid>
        <w:gridCol w:w="8000"/>
        <w:gridCol w:w="1530"/>
      </w:tblGrid>
      <w:tr w:rsidR="00BA6FF2" w:rsidRPr="0060702E" w:rsidTr="00873FF9">
        <w:tc>
          <w:tcPr>
            <w:tcW w:w="8000" w:type="dxa"/>
            <w:shd w:val="clear" w:color="auto" w:fill="D9D9D9"/>
            <w:tcMar>
              <w:top w:w="0" w:type="dxa"/>
              <w:left w:w="108" w:type="dxa"/>
              <w:bottom w:w="0" w:type="dxa"/>
              <w:right w:w="108" w:type="dxa"/>
            </w:tcMar>
            <w:vAlign w:val="center"/>
            <w:hideMark/>
          </w:tcPr>
          <w:p w:rsidR="00BA6FF2" w:rsidRPr="0060702E" w:rsidRDefault="00BA6FF2" w:rsidP="00D805DF">
            <w:pPr>
              <w:spacing w:before="40" w:after="40" w:line="276" w:lineRule="auto"/>
              <w:rPr>
                <w:rFonts w:eastAsiaTheme="minorHAnsi" w:cs="Arial"/>
                <w:sz w:val="18"/>
                <w:szCs w:val="18"/>
              </w:rPr>
            </w:pPr>
            <w:r w:rsidRPr="0060702E">
              <w:rPr>
                <w:rFonts w:cs="Arial"/>
                <w:sz w:val="18"/>
                <w:szCs w:val="18"/>
              </w:rPr>
              <w:t>Category</w:t>
            </w:r>
          </w:p>
        </w:tc>
        <w:tc>
          <w:tcPr>
            <w:tcW w:w="1530" w:type="dxa"/>
            <w:shd w:val="clear" w:color="auto" w:fill="D9D9D9"/>
            <w:tcMar>
              <w:top w:w="0" w:type="dxa"/>
              <w:left w:w="108" w:type="dxa"/>
              <w:bottom w:w="0" w:type="dxa"/>
              <w:right w:w="108" w:type="dxa"/>
            </w:tcMar>
            <w:vAlign w:val="center"/>
            <w:hideMark/>
          </w:tcPr>
          <w:p w:rsidR="00BA6FF2" w:rsidRPr="0060702E" w:rsidRDefault="00BA6FF2" w:rsidP="00D805DF">
            <w:pPr>
              <w:spacing w:before="40" w:after="40" w:line="276" w:lineRule="auto"/>
              <w:jc w:val="center"/>
              <w:rPr>
                <w:rFonts w:eastAsiaTheme="minorHAnsi" w:cs="Arial"/>
                <w:sz w:val="18"/>
                <w:szCs w:val="18"/>
              </w:rPr>
            </w:pPr>
            <w:r w:rsidRPr="0060702E">
              <w:rPr>
                <w:rFonts w:cs="Arial"/>
                <w:sz w:val="18"/>
                <w:szCs w:val="18"/>
              </w:rPr>
              <w:t>Number of students</w:t>
            </w:r>
          </w:p>
        </w:tc>
      </w:tr>
      <w:tr w:rsidR="00BA6FF2" w:rsidRPr="0060702E" w:rsidTr="00873FF9">
        <w:tc>
          <w:tcPr>
            <w:tcW w:w="8000" w:type="dxa"/>
            <w:tcMar>
              <w:top w:w="0" w:type="dxa"/>
              <w:left w:w="108" w:type="dxa"/>
              <w:bottom w:w="0" w:type="dxa"/>
              <w:right w:w="108" w:type="dxa"/>
            </w:tcMar>
            <w:hideMark/>
          </w:tcPr>
          <w:p w:rsidR="00BA6FF2" w:rsidRPr="0060702E" w:rsidRDefault="00BA6FF2" w:rsidP="00D805DF">
            <w:pPr>
              <w:spacing w:before="40" w:after="40" w:line="276" w:lineRule="auto"/>
              <w:rPr>
                <w:rFonts w:eastAsiaTheme="minorHAnsi" w:cs="Arial"/>
                <w:sz w:val="18"/>
                <w:szCs w:val="18"/>
              </w:rPr>
            </w:pPr>
            <w:r w:rsidRPr="0060702E">
              <w:rPr>
                <w:rFonts w:cs="Arial"/>
                <w:sz w:val="18"/>
                <w:szCs w:val="18"/>
              </w:rPr>
              <w:t>Category 1:  Government officials of members of the Union nominated by the relevant representative to the UPOV Council</w:t>
            </w:r>
          </w:p>
        </w:tc>
        <w:tc>
          <w:tcPr>
            <w:tcW w:w="1530" w:type="dxa"/>
            <w:tcMar>
              <w:top w:w="0" w:type="dxa"/>
              <w:left w:w="108" w:type="dxa"/>
              <w:bottom w:w="0" w:type="dxa"/>
              <w:right w:w="108" w:type="dxa"/>
            </w:tcMar>
            <w:vAlign w:val="bottom"/>
            <w:hideMark/>
          </w:tcPr>
          <w:p w:rsidR="00BA6FF2" w:rsidRPr="0060702E" w:rsidRDefault="00BA6FF2" w:rsidP="00D805DF">
            <w:pPr>
              <w:spacing w:before="40" w:after="40" w:line="276" w:lineRule="auto"/>
              <w:ind w:right="206"/>
              <w:jc w:val="right"/>
              <w:rPr>
                <w:rFonts w:eastAsiaTheme="minorHAnsi" w:cs="Arial"/>
                <w:sz w:val="18"/>
                <w:szCs w:val="18"/>
              </w:rPr>
            </w:pPr>
            <w:r w:rsidRPr="0060702E">
              <w:rPr>
                <w:rFonts w:cs="Arial"/>
                <w:sz w:val="18"/>
                <w:szCs w:val="18"/>
              </w:rPr>
              <w:t>579</w:t>
            </w:r>
          </w:p>
        </w:tc>
      </w:tr>
      <w:tr w:rsidR="00BA6FF2" w:rsidRPr="0060702E" w:rsidTr="00873FF9">
        <w:tc>
          <w:tcPr>
            <w:tcW w:w="8000" w:type="dxa"/>
            <w:tcMar>
              <w:top w:w="0" w:type="dxa"/>
              <w:left w:w="108" w:type="dxa"/>
              <w:bottom w:w="0" w:type="dxa"/>
              <w:right w:w="108" w:type="dxa"/>
            </w:tcMar>
            <w:hideMark/>
          </w:tcPr>
          <w:p w:rsidR="00BA6FF2" w:rsidRPr="0060702E" w:rsidRDefault="00BA6FF2" w:rsidP="00D805DF">
            <w:pPr>
              <w:spacing w:before="40" w:after="40" w:line="276" w:lineRule="auto"/>
              <w:rPr>
                <w:rFonts w:eastAsiaTheme="minorHAnsi" w:cs="Arial"/>
                <w:sz w:val="18"/>
                <w:szCs w:val="18"/>
              </w:rPr>
            </w:pPr>
            <w:r w:rsidRPr="0060702E">
              <w:rPr>
                <w:rFonts w:cs="Arial"/>
                <w:sz w:val="18"/>
                <w:szCs w:val="18"/>
              </w:rPr>
              <w:t xml:space="preserve">Category 2:  Officials of observer States / intergovernmental organizations nominated by the relevant representative to the UPOV Council </w:t>
            </w:r>
          </w:p>
        </w:tc>
        <w:tc>
          <w:tcPr>
            <w:tcW w:w="1530" w:type="dxa"/>
            <w:tcMar>
              <w:top w:w="0" w:type="dxa"/>
              <w:left w:w="108" w:type="dxa"/>
              <w:bottom w:w="0" w:type="dxa"/>
              <w:right w:w="108" w:type="dxa"/>
            </w:tcMar>
            <w:vAlign w:val="bottom"/>
            <w:hideMark/>
          </w:tcPr>
          <w:p w:rsidR="00BA6FF2" w:rsidRPr="0060702E" w:rsidRDefault="00BA6FF2" w:rsidP="00D805DF">
            <w:pPr>
              <w:spacing w:before="40" w:after="40" w:line="276" w:lineRule="auto"/>
              <w:ind w:right="206"/>
              <w:jc w:val="right"/>
              <w:rPr>
                <w:rFonts w:eastAsiaTheme="minorHAnsi" w:cs="Arial"/>
                <w:sz w:val="18"/>
                <w:szCs w:val="18"/>
              </w:rPr>
            </w:pPr>
            <w:r w:rsidRPr="0060702E">
              <w:rPr>
                <w:rFonts w:cs="Arial"/>
                <w:sz w:val="18"/>
                <w:szCs w:val="18"/>
              </w:rPr>
              <w:t>24</w:t>
            </w:r>
          </w:p>
        </w:tc>
      </w:tr>
      <w:tr w:rsidR="00BA6FF2" w:rsidRPr="0060702E" w:rsidTr="00873FF9">
        <w:tc>
          <w:tcPr>
            <w:tcW w:w="8000" w:type="dxa"/>
            <w:tcMar>
              <w:top w:w="0" w:type="dxa"/>
              <w:left w:w="108" w:type="dxa"/>
              <w:bottom w:w="0" w:type="dxa"/>
              <w:right w:w="108" w:type="dxa"/>
            </w:tcMar>
            <w:hideMark/>
          </w:tcPr>
          <w:p w:rsidR="00BA6FF2" w:rsidRPr="0060702E" w:rsidRDefault="00BA6FF2" w:rsidP="00D805DF">
            <w:pPr>
              <w:spacing w:before="40" w:after="40" w:line="276" w:lineRule="auto"/>
              <w:rPr>
                <w:rFonts w:eastAsiaTheme="minorHAnsi" w:cs="Arial"/>
                <w:sz w:val="18"/>
                <w:szCs w:val="18"/>
              </w:rPr>
            </w:pPr>
            <w:r w:rsidRPr="0060702E">
              <w:rPr>
                <w:rFonts w:cs="Arial"/>
                <w:sz w:val="18"/>
                <w:szCs w:val="18"/>
              </w:rPr>
              <w:t>Category 3:  Others</w:t>
            </w:r>
          </w:p>
        </w:tc>
        <w:tc>
          <w:tcPr>
            <w:tcW w:w="1530" w:type="dxa"/>
            <w:tcMar>
              <w:top w:w="0" w:type="dxa"/>
              <w:left w:w="108" w:type="dxa"/>
              <w:bottom w:w="0" w:type="dxa"/>
              <w:right w:w="108" w:type="dxa"/>
            </w:tcMar>
            <w:vAlign w:val="bottom"/>
            <w:hideMark/>
          </w:tcPr>
          <w:p w:rsidR="00BA6FF2" w:rsidRPr="0060702E" w:rsidRDefault="00BA6FF2" w:rsidP="00D805DF">
            <w:pPr>
              <w:spacing w:before="40" w:after="40" w:line="276" w:lineRule="auto"/>
              <w:ind w:right="206"/>
              <w:jc w:val="right"/>
              <w:rPr>
                <w:rFonts w:eastAsiaTheme="minorHAnsi" w:cs="Arial"/>
                <w:sz w:val="18"/>
                <w:szCs w:val="18"/>
              </w:rPr>
            </w:pPr>
            <w:r w:rsidRPr="0060702E">
              <w:rPr>
                <w:rFonts w:cs="Arial"/>
                <w:sz w:val="18"/>
                <w:szCs w:val="18"/>
              </w:rPr>
              <w:t>36</w:t>
            </w:r>
          </w:p>
        </w:tc>
      </w:tr>
      <w:tr w:rsidR="00BA6FF2" w:rsidRPr="0060702E" w:rsidTr="00873FF9">
        <w:tc>
          <w:tcPr>
            <w:tcW w:w="8000" w:type="dxa"/>
            <w:tcMar>
              <w:top w:w="0" w:type="dxa"/>
              <w:left w:w="108" w:type="dxa"/>
              <w:bottom w:w="0" w:type="dxa"/>
              <w:right w:w="108" w:type="dxa"/>
            </w:tcMar>
            <w:hideMark/>
          </w:tcPr>
          <w:p w:rsidR="00BA6FF2" w:rsidRPr="0060702E" w:rsidRDefault="00BA6FF2" w:rsidP="00D805DF">
            <w:pPr>
              <w:spacing w:before="40" w:after="40" w:line="276" w:lineRule="auto"/>
              <w:rPr>
                <w:rFonts w:eastAsiaTheme="minorHAnsi" w:cs="Arial"/>
                <w:sz w:val="18"/>
                <w:szCs w:val="18"/>
              </w:rPr>
            </w:pPr>
            <w:r w:rsidRPr="0060702E">
              <w:rPr>
                <w:rFonts w:cs="Arial"/>
                <w:sz w:val="18"/>
                <w:szCs w:val="18"/>
              </w:rPr>
              <w:t>Category 4:  Discretionary waiving of fee for selected students</w:t>
            </w:r>
          </w:p>
        </w:tc>
        <w:tc>
          <w:tcPr>
            <w:tcW w:w="1530" w:type="dxa"/>
            <w:tcMar>
              <w:top w:w="0" w:type="dxa"/>
              <w:left w:w="108" w:type="dxa"/>
              <w:bottom w:w="0" w:type="dxa"/>
              <w:right w:w="108" w:type="dxa"/>
            </w:tcMar>
            <w:vAlign w:val="bottom"/>
            <w:hideMark/>
          </w:tcPr>
          <w:p w:rsidR="00BA6FF2" w:rsidRPr="0060702E" w:rsidRDefault="00BA6FF2" w:rsidP="00D805DF">
            <w:pPr>
              <w:spacing w:before="40" w:after="40" w:line="276" w:lineRule="auto"/>
              <w:ind w:right="206"/>
              <w:jc w:val="right"/>
              <w:rPr>
                <w:rFonts w:eastAsiaTheme="minorHAnsi" w:cs="Arial"/>
                <w:sz w:val="18"/>
                <w:szCs w:val="18"/>
              </w:rPr>
            </w:pPr>
            <w:r w:rsidRPr="0060702E">
              <w:rPr>
                <w:rFonts w:cs="Arial"/>
                <w:sz w:val="18"/>
                <w:szCs w:val="18"/>
              </w:rPr>
              <w:t>9</w:t>
            </w:r>
          </w:p>
        </w:tc>
      </w:tr>
      <w:tr w:rsidR="00BA6FF2" w:rsidRPr="0060702E" w:rsidTr="00873FF9">
        <w:tc>
          <w:tcPr>
            <w:tcW w:w="8000" w:type="dxa"/>
            <w:tcMar>
              <w:top w:w="0" w:type="dxa"/>
              <w:left w:w="108" w:type="dxa"/>
              <w:bottom w:w="0" w:type="dxa"/>
              <w:right w:w="108" w:type="dxa"/>
            </w:tcMar>
            <w:hideMark/>
          </w:tcPr>
          <w:p w:rsidR="00BA6FF2" w:rsidRPr="0060702E" w:rsidRDefault="00BA6FF2" w:rsidP="00D805DF">
            <w:pPr>
              <w:spacing w:before="40" w:after="40" w:line="276" w:lineRule="auto"/>
              <w:ind w:right="318"/>
              <w:jc w:val="right"/>
              <w:rPr>
                <w:rFonts w:eastAsiaTheme="minorHAnsi" w:cs="Arial"/>
                <w:sz w:val="18"/>
                <w:szCs w:val="18"/>
              </w:rPr>
            </w:pPr>
            <w:r w:rsidRPr="0060702E">
              <w:rPr>
                <w:rFonts w:cs="Arial"/>
                <w:sz w:val="18"/>
                <w:szCs w:val="18"/>
              </w:rPr>
              <w:t>Total:</w:t>
            </w:r>
          </w:p>
        </w:tc>
        <w:tc>
          <w:tcPr>
            <w:tcW w:w="1530" w:type="dxa"/>
            <w:tcMar>
              <w:top w:w="0" w:type="dxa"/>
              <w:left w:w="108" w:type="dxa"/>
              <w:bottom w:w="0" w:type="dxa"/>
              <w:right w:w="108" w:type="dxa"/>
            </w:tcMar>
            <w:vAlign w:val="bottom"/>
            <w:hideMark/>
          </w:tcPr>
          <w:p w:rsidR="00BA6FF2" w:rsidRPr="0060702E" w:rsidRDefault="00BA6FF2" w:rsidP="00D805DF">
            <w:pPr>
              <w:spacing w:before="40" w:after="40" w:line="276" w:lineRule="auto"/>
              <w:ind w:right="206"/>
              <w:jc w:val="right"/>
              <w:rPr>
                <w:rFonts w:eastAsiaTheme="minorHAnsi" w:cs="Arial"/>
                <w:sz w:val="18"/>
                <w:szCs w:val="18"/>
              </w:rPr>
            </w:pPr>
            <w:r w:rsidRPr="0060702E">
              <w:rPr>
                <w:rFonts w:cs="Arial"/>
                <w:sz w:val="18"/>
                <w:szCs w:val="18"/>
              </w:rPr>
              <w:t>648</w:t>
            </w:r>
          </w:p>
        </w:tc>
      </w:tr>
    </w:tbl>
    <w:p w:rsidR="00BA6FF2" w:rsidRPr="0060702E" w:rsidRDefault="00BA6FF2" w:rsidP="00BA6FF2">
      <w:pPr>
        <w:tabs>
          <w:tab w:val="left" w:pos="2410"/>
        </w:tabs>
        <w:jc w:val="left"/>
        <w:rPr>
          <w:sz w:val="18"/>
          <w:szCs w:val="18"/>
        </w:rPr>
      </w:pPr>
    </w:p>
    <w:p w:rsidR="00BA6FF2" w:rsidRPr="0060702E" w:rsidRDefault="00BA6FF2" w:rsidP="00BA6FF2">
      <w:pPr>
        <w:rPr>
          <w:sz w:val="18"/>
          <w:szCs w:val="18"/>
        </w:rPr>
      </w:pPr>
    </w:p>
    <w:p w:rsidR="00BA6FF2" w:rsidRPr="0060702E" w:rsidRDefault="00BA6FF2" w:rsidP="00BA6FF2">
      <w:pPr>
        <w:jc w:val="center"/>
        <w:rPr>
          <w:rFonts w:cs="Arial"/>
          <w:sz w:val="18"/>
          <w:szCs w:val="18"/>
        </w:rPr>
      </w:pPr>
      <w:r w:rsidRPr="0060702E">
        <w:rPr>
          <w:rFonts w:cs="Arial"/>
          <w:sz w:val="18"/>
          <w:szCs w:val="18"/>
        </w:rPr>
        <w:t>List of States from which there were participants in the regular DL-205 sessions</w:t>
      </w:r>
      <w:r w:rsidR="00752AA8" w:rsidRPr="0060702E">
        <w:rPr>
          <w:rFonts w:cs="Arial"/>
          <w:sz w:val="18"/>
          <w:szCs w:val="18"/>
        </w:rPr>
        <w:t xml:space="preserve"> </w:t>
      </w:r>
      <w:r w:rsidRPr="0060702E">
        <w:rPr>
          <w:rFonts w:cs="Arial"/>
          <w:sz w:val="18"/>
          <w:szCs w:val="18"/>
        </w:rPr>
        <w:t>in 2012 and 2013:</w:t>
      </w:r>
    </w:p>
    <w:p w:rsidR="00BA6FF2" w:rsidRPr="0060702E" w:rsidRDefault="00BA6FF2" w:rsidP="00BA6FF2">
      <w:pPr>
        <w:jc w:val="center"/>
        <w:rPr>
          <w:rFonts w:cs="Arial"/>
          <w:sz w:val="18"/>
          <w:szCs w:val="18"/>
        </w:rPr>
      </w:pPr>
    </w:p>
    <w:p w:rsidR="00BA6FF2" w:rsidRPr="0060702E" w:rsidRDefault="00BA6FF2" w:rsidP="00BA6FF2">
      <w:pPr>
        <w:rPr>
          <w:rFonts w:eastAsia="MS Mincho" w:cs="Arial"/>
          <w:sz w:val="18"/>
          <w:szCs w:val="18"/>
          <w:lang w:eastAsia="ja-JP"/>
        </w:rPr>
      </w:pPr>
      <w:r w:rsidRPr="0060702E">
        <w:rPr>
          <w:rFonts w:eastAsia="MS Mincho"/>
          <w:sz w:val="18"/>
          <w:szCs w:val="18"/>
        </w:rPr>
        <w:t xml:space="preserve">Algeria, Argentina, Australia, Austria, Belgium, Bolivia, Brazil, Bulgaria, Cambodia, Canada, Chile, China, Colombia, Costa Rica, Côte d’Ivoire, Croatia, Ecuador, Egypt, Estonia, Finland, France, Germany, Greece, Honduras, Hungary, India, Indonesia, Iran (Islamic Republic of), Israel, Italy, Japan, Kenya, Lao People's Democratic Republic, Latvia, Lebanon, Lithuania, Mexico, Morocco, Netherlands, New Zealand, Nicaragua, Nigeria, Norway, Oman, Pakistan, Paraguay, Peru, Philippines, Poland, Republic of Korea, Republic of Moldova, Russian Federation, Serbia, Singapore, Slovakia, South Africa, Spain, Sri Lanka, Sweden, Switzerland, Thailand, Tunisia, Turkey, Ukraine, United Kingdom, United Republic of Tanzania, United States of America, Uruguay, Viet Nam, Zimbabwe </w:t>
      </w:r>
      <w:r w:rsidRPr="0060702E">
        <w:rPr>
          <w:rFonts w:eastAsia="MS Mincho" w:cs="Arial"/>
          <w:sz w:val="18"/>
          <w:szCs w:val="18"/>
          <w:lang w:eastAsia="ja-JP"/>
        </w:rPr>
        <w:t>(total: 70 States).</w:t>
      </w:r>
    </w:p>
    <w:p w:rsidR="00BA6FF2" w:rsidRPr="0060702E" w:rsidRDefault="00BA6FF2" w:rsidP="00BA6FF2">
      <w:pPr>
        <w:rPr>
          <w:noProof/>
          <w:u w:val="single"/>
        </w:rPr>
      </w:pPr>
      <w:r w:rsidRPr="0060702E">
        <w:rPr>
          <w:rFonts w:eastAsia="MS Mincho" w:cs="Arial"/>
          <w:sz w:val="18"/>
          <w:szCs w:val="18"/>
          <w:lang w:eastAsia="ja-JP"/>
        </w:rPr>
        <w:t>(</w:t>
      </w:r>
      <w:proofErr w:type="gramStart"/>
      <w:r w:rsidRPr="0060702E">
        <w:rPr>
          <w:rFonts w:eastAsia="MS Mincho" w:cs="Arial"/>
          <w:sz w:val="18"/>
          <w:szCs w:val="18"/>
          <w:lang w:eastAsia="ja-JP"/>
        </w:rPr>
        <w:t>see</w:t>
      </w:r>
      <w:proofErr w:type="gramEnd"/>
      <w:r w:rsidRPr="0060702E">
        <w:rPr>
          <w:rFonts w:eastAsia="MS Mincho" w:cs="Arial"/>
          <w:sz w:val="18"/>
          <w:szCs w:val="18"/>
          <w:lang w:eastAsia="ja-JP"/>
        </w:rPr>
        <w:t xml:space="preserve"> Figures 32 to 34)</w:t>
      </w:r>
    </w:p>
    <w:p w:rsidR="00BA6FF2" w:rsidRPr="0060702E" w:rsidRDefault="00BA6FF2" w:rsidP="00BA6FF2">
      <w:pPr>
        <w:rPr>
          <w:rFonts w:eastAsia="MS Mincho" w:cs="Arial"/>
          <w:sz w:val="18"/>
          <w:szCs w:val="18"/>
          <w:lang w:eastAsia="ja-JP"/>
        </w:rPr>
      </w:pPr>
    </w:p>
    <w:p w:rsidR="00BA6FF2" w:rsidRPr="0060702E" w:rsidRDefault="00BA6FF2" w:rsidP="00BA6FF2">
      <w:pPr>
        <w:rPr>
          <w:rFonts w:eastAsia="MS Mincho" w:cs="Arial"/>
          <w:sz w:val="18"/>
          <w:szCs w:val="18"/>
          <w:lang w:eastAsia="ja-JP"/>
        </w:rPr>
      </w:pPr>
    </w:p>
    <w:p w:rsidR="00BA6FF2" w:rsidRPr="0060702E" w:rsidRDefault="00BA6FF2" w:rsidP="00BA6FF2">
      <w:pPr>
        <w:pStyle w:val="Heading9"/>
      </w:pPr>
      <w:bookmarkStart w:id="141" w:name="_Toc398739029"/>
      <w:proofErr w:type="gramStart"/>
      <w:r w:rsidRPr="0060702E">
        <w:t>Figure 32</w:t>
      </w:r>
      <w:r w:rsidR="00D84E23" w:rsidRPr="0060702E">
        <w:t>.</w:t>
      </w:r>
      <w:proofErr w:type="gramEnd"/>
      <w:r w:rsidR="00D84E23" w:rsidRPr="0060702E">
        <w:t xml:space="preserve"> </w:t>
      </w:r>
      <w:r w:rsidRPr="0060702E">
        <w:t xml:space="preserve"> UPOV DL-205 Course:  2012 and 2013 participation</w:t>
      </w:r>
      <w:bookmarkEnd w:id="141"/>
    </w:p>
    <w:p w:rsidR="00BA6FF2" w:rsidRPr="0060702E" w:rsidRDefault="00BA6FF2" w:rsidP="00BA6FF2"/>
    <w:p w:rsidR="00BA6FF2" w:rsidRPr="0060702E" w:rsidRDefault="00BA6FF2" w:rsidP="00BA6FF2">
      <w:pPr>
        <w:jc w:val="center"/>
      </w:pPr>
      <w:r w:rsidRPr="0060702E">
        <w:rPr>
          <w:noProof/>
          <w:sz w:val="18"/>
          <w:szCs w:val="18"/>
        </w:rPr>
        <w:drawing>
          <wp:inline distT="0" distB="0" distL="0" distR="0" wp14:anchorId="17E15916" wp14:editId="3B2369F9">
            <wp:extent cx="5827446" cy="2952750"/>
            <wp:effectExtent l="0" t="0" r="190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distance_learning_2012_2013.png"/>
                    <pic:cNvPicPr/>
                  </pic:nvPicPr>
                  <pic:blipFill>
                    <a:blip r:embed="rId58">
                      <a:extLst>
                        <a:ext uri="{28A0092B-C50C-407E-A947-70E740481C1C}">
                          <a14:useLocalDpi xmlns:a14="http://schemas.microsoft.com/office/drawing/2010/main" val="0"/>
                        </a:ext>
                      </a:extLst>
                    </a:blip>
                    <a:stretch>
                      <a:fillRect/>
                    </a:stretch>
                  </pic:blipFill>
                  <pic:spPr>
                    <a:xfrm>
                      <a:off x="0" y="0"/>
                      <a:ext cx="5840551" cy="2959390"/>
                    </a:xfrm>
                    <a:prstGeom prst="rect">
                      <a:avLst/>
                    </a:prstGeom>
                  </pic:spPr>
                </pic:pic>
              </a:graphicData>
            </a:graphic>
          </wp:inline>
        </w:drawing>
      </w:r>
    </w:p>
    <w:p w:rsidR="00BA6FF2" w:rsidRPr="0060702E" w:rsidRDefault="00BA6FF2" w:rsidP="00BA6FF2">
      <w:pPr>
        <w:jc w:val="center"/>
      </w:pPr>
    </w:p>
    <w:p w:rsidR="00BA6FF2" w:rsidRPr="0060702E" w:rsidRDefault="00BA6FF2" w:rsidP="00BA6FF2">
      <w:pPr>
        <w:jc w:val="center"/>
      </w:pPr>
      <w:r w:rsidRPr="0060702E">
        <w:rPr>
          <w:noProof/>
        </w:rPr>
        <w:drawing>
          <wp:inline distT="0" distB="0" distL="0" distR="0" wp14:anchorId="58A54C26" wp14:editId="58672DB6">
            <wp:extent cx="122400" cy="115200"/>
            <wp:effectExtent l="19050" t="19050" r="11430" b="184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22400" cy="115200"/>
                    </a:xfrm>
                    <a:prstGeom prst="rect">
                      <a:avLst/>
                    </a:prstGeom>
                    <a:ln>
                      <a:solidFill>
                        <a:schemeClr val="tx1"/>
                      </a:solidFill>
                    </a:ln>
                  </pic:spPr>
                </pic:pic>
              </a:graphicData>
            </a:graphic>
          </wp:inline>
        </w:drawing>
      </w:r>
      <w:r w:rsidRPr="0060702E">
        <w:rPr>
          <w:sz w:val="16"/>
          <w:szCs w:val="16"/>
        </w:rPr>
        <w:tab/>
        <w:t>Members of the Union</w:t>
      </w:r>
      <w:r w:rsidRPr="0060702E">
        <w:rPr>
          <w:sz w:val="16"/>
          <w:szCs w:val="16"/>
        </w:rPr>
        <w:tab/>
      </w:r>
      <w:r w:rsidRPr="0060702E">
        <w:rPr>
          <w:sz w:val="16"/>
          <w:szCs w:val="16"/>
        </w:rPr>
        <w:tab/>
      </w:r>
      <w:r w:rsidRPr="0060702E">
        <w:rPr>
          <w:noProof/>
        </w:rPr>
        <w:drawing>
          <wp:inline distT="0" distB="0" distL="0" distR="0" wp14:anchorId="09518C24" wp14:editId="1879FF92">
            <wp:extent cx="122400" cy="115200"/>
            <wp:effectExtent l="19050" t="19050" r="11430" b="184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22400" cy="115200"/>
                    </a:xfrm>
                    <a:prstGeom prst="rect">
                      <a:avLst/>
                    </a:prstGeom>
                    <a:ln>
                      <a:solidFill>
                        <a:schemeClr val="tx1"/>
                      </a:solidFill>
                    </a:ln>
                  </pic:spPr>
                </pic:pic>
              </a:graphicData>
            </a:graphic>
          </wp:inline>
        </w:drawing>
      </w:r>
      <w:r w:rsidRPr="0060702E">
        <w:rPr>
          <w:sz w:val="16"/>
          <w:szCs w:val="16"/>
        </w:rPr>
        <w:tab/>
        <w:t>Non-members of the Union</w:t>
      </w:r>
    </w:p>
    <w:p w:rsidR="00BA6FF2" w:rsidRPr="0060702E" w:rsidRDefault="00BA6FF2" w:rsidP="00BA6FF2">
      <w:pPr>
        <w:jc w:val="center"/>
      </w:pPr>
    </w:p>
    <w:p w:rsidR="009C17E4" w:rsidRDefault="009C17E4">
      <w:pPr>
        <w:jc w:val="left"/>
        <w:rPr>
          <w:rFonts w:cs="Arial"/>
          <w:sz w:val="18"/>
          <w:szCs w:val="18"/>
        </w:rPr>
      </w:pPr>
      <w:r>
        <w:rPr>
          <w:rFonts w:cs="Arial"/>
          <w:sz w:val="18"/>
          <w:szCs w:val="18"/>
        </w:rPr>
        <w:br w:type="page"/>
      </w:r>
    </w:p>
    <w:p w:rsidR="00BA6FF2" w:rsidRPr="0060702E" w:rsidRDefault="00BA6FF2" w:rsidP="00BA6FF2">
      <w:pPr>
        <w:jc w:val="center"/>
        <w:rPr>
          <w:rFonts w:cs="Arial"/>
          <w:sz w:val="18"/>
          <w:szCs w:val="18"/>
        </w:rPr>
      </w:pPr>
      <w:r w:rsidRPr="0060702E">
        <w:rPr>
          <w:rFonts w:cs="Arial"/>
          <w:sz w:val="18"/>
          <w:szCs w:val="18"/>
        </w:rPr>
        <w:t>Total number of participants by category in regular DL-205 sessions since 2006</w:t>
      </w:r>
    </w:p>
    <w:p w:rsidR="00BA6FF2" w:rsidRPr="0060702E" w:rsidRDefault="00BA6FF2" w:rsidP="00BA6FF2">
      <w:pPr>
        <w:jc w:val="center"/>
        <w:rPr>
          <w:rFonts w:cs="Arial"/>
          <w:sz w:val="18"/>
          <w:szCs w:val="18"/>
        </w:rPr>
      </w:pPr>
    </w:p>
    <w:tbl>
      <w:tblPr>
        <w:tblStyle w:val="TableGrid"/>
        <w:tblW w:w="9445" w:type="dxa"/>
        <w:tblLayout w:type="fixed"/>
        <w:tblLook w:val="01E0" w:firstRow="1" w:lastRow="1" w:firstColumn="1" w:lastColumn="1" w:noHBand="0" w:noVBand="0"/>
      </w:tblPr>
      <w:tblGrid>
        <w:gridCol w:w="8005"/>
        <w:gridCol w:w="1440"/>
      </w:tblGrid>
      <w:tr w:rsidR="00BA6FF2" w:rsidRPr="0060702E" w:rsidTr="00D805DF">
        <w:tc>
          <w:tcPr>
            <w:tcW w:w="8005" w:type="dxa"/>
            <w:shd w:val="clear" w:color="auto" w:fill="D9D9D9"/>
            <w:vAlign w:val="center"/>
          </w:tcPr>
          <w:p w:rsidR="00BA6FF2" w:rsidRPr="0060702E" w:rsidRDefault="00BA6FF2" w:rsidP="00D805DF">
            <w:pPr>
              <w:spacing w:before="40" w:after="40"/>
              <w:jc w:val="left"/>
              <w:rPr>
                <w:rFonts w:eastAsia="MS Mincho"/>
                <w:sz w:val="18"/>
                <w:szCs w:val="18"/>
              </w:rPr>
            </w:pPr>
            <w:bookmarkStart w:id="142" w:name="_Toc336339220"/>
            <w:r w:rsidRPr="0060702E">
              <w:rPr>
                <w:rFonts w:eastAsia="MS Mincho"/>
                <w:sz w:val="18"/>
                <w:szCs w:val="18"/>
              </w:rPr>
              <w:t>Category</w:t>
            </w:r>
            <w:bookmarkEnd w:id="142"/>
          </w:p>
        </w:tc>
        <w:tc>
          <w:tcPr>
            <w:tcW w:w="1440" w:type="dxa"/>
            <w:shd w:val="clear" w:color="auto" w:fill="D9D9D9"/>
            <w:vAlign w:val="center"/>
          </w:tcPr>
          <w:p w:rsidR="00BA6FF2" w:rsidRPr="0060702E" w:rsidRDefault="00BA6FF2" w:rsidP="00D805DF">
            <w:pPr>
              <w:spacing w:before="40" w:after="40"/>
              <w:jc w:val="center"/>
              <w:rPr>
                <w:sz w:val="18"/>
                <w:szCs w:val="18"/>
              </w:rPr>
            </w:pPr>
            <w:r w:rsidRPr="0060702E">
              <w:rPr>
                <w:sz w:val="18"/>
                <w:szCs w:val="18"/>
              </w:rPr>
              <w:t>Number of students</w:t>
            </w:r>
          </w:p>
        </w:tc>
      </w:tr>
      <w:tr w:rsidR="00BA6FF2" w:rsidRPr="0060702E" w:rsidTr="00D805DF">
        <w:tc>
          <w:tcPr>
            <w:tcW w:w="8005" w:type="dxa"/>
          </w:tcPr>
          <w:p w:rsidR="00BA6FF2" w:rsidRPr="0060702E" w:rsidRDefault="00BA6FF2" w:rsidP="00D805DF">
            <w:pPr>
              <w:spacing w:before="40" w:after="40"/>
              <w:jc w:val="left"/>
              <w:rPr>
                <w:sz w:val="18"/>
                <w:szCs w:val="18"/>
              </w:rPr>
            </w:pPr>
            <w:r w:rsidRPr="0060702E">
              <w:rPr>
                <w:rFonts w:eastAsia="MS Mincho"/>
                <w:sz w:val="18"/>
                <w:szCs w:val="18"/>
              </w:rPr>
              <w:t>Category 1:  Government officials of members of the Union nominated by the relevant representative to the UPOV Council</w:t>
            </w:r>
          </w:p>
        </w:tc>
        <w:tc>
          <w:tcPr>
            <w:tcW w:w="1440" w:type="dxa"/>
            <w:vAlign w:val="bottom"/>
          </w:tcPr>
          <w:p w:rsidR="00BA6FF2" w:rsidRPr="0060702E" w:rsidRDefault="00BA6FF2" w:rsidP="00D805DF">
            <w:pPr>
              <w:spacing w:before="40" w:after="40"/>
              <w:ind w:right="206"/>
              <w:jc w:val="right"/>
              <w:rPr>
                <w:sz w:val="18"/>
                <w:szCs w:val="18"/>
              </w:rPr>
            </w:pPr>
            <w:r w:rsidRPr="0060702E">
              <w:rPr>
                <w:sz w:val="18"/>
                <w:szCs w:val="18"/>
              </w:rPr>
              <w:t>2,157</w:t>
            </w:r>
          </w:p>
        </w:tc>
      </w:tr>
      <w:tr w:rsidR="00BA6FF2" w:rsidRPr="0060702E" w:rsidTr="00D805DF">
        <w:tc>
          <w:tcPr>
            <w:tcW w:w="8005" w:type="dxa"/>
          </w:tcPr>
          <w:p w:rsidR="00BA6FF2" w:rsidRPr="0060702E" w:rsidRDefault="00BA6FF2" w:rsidP="00D805DF">
            <w:pPr>
              <w:spacing w:before="40" w:after="40"/>
              <w:jc w:val="left"/>
              <w:rPr>
                <w:sz w:val="18"/>
                <w:szCs w:val="18"/>
              </w:rPr>
            </w:pPr>
            <w:r w:rsidRPr="0060702E">
              <w:rPr>
                <w:rFonts w:eastAsia="MS Mincho"/>
                <w:sz w:val="18"/>
                <w:szCs w:val="18"/>
              </w:rPr>
              <w:t xml:space="preserve">Category 2:  Officials of observer States / intergovernmental organizations nominated by the relevant representative to the UPOV Council </w:t>
            </w:r>
          </w:p>
        </w:tc>
        <w:tc>
          <w:tcPr>
            <w:tcW w:w="1440" w:type="dxa"/>
            <w:vAlign w:val="bottom"/>
          </w:tcPr>
          <w:p w:rsidR="00BA6FF2" w:rsidRPr="0060702E" w:rsidRDefault="00BA6FF2" w:rsidP="00D805DF">
            <w:pPr>
              <w:spacing w:before="40" w:after="40"/>
              <w:ind w:right="206"/>
              <w:jc w:val="right"/>
              <w:rPr>
                <w:sz w:val="18"/>
                <w:szCs w:val="18"/>
              </w:rPr>
            </w:pPr>
            <w:r w:rsidRPr="0060702E">
              <w:rPr>
                <w:sz w:val="18"/>
                <w:szCs w:val="18"/>
              </w:rPr>
              <w:t>138</w:t>
            </w:r>
          </w:p>
        </w:tc>
      </w:tr>
      <w:tr w:rsidR="00BA6FF2" w:rsidRPr="0060702E" w:rsidTr="00D805DF">
        <w:tc>
          <w:tcPr>
            <w:tcW w:w="8005" w:type="dxa"/>
          </w:tcPr>
          <w:p w:rsidR="00BA6FF2" w:rsidRPr="0060702E" w:rsidRDefault="00BA6FF2" w:rsidP="00D805DF">
            <w:pPr>
              <w:spacing w:before="40" w:after="40"/>
              <w:jc w:val="left"/>
              <w:rPr>
                <w:sz w:val="18"/>
                <w:szCs w:val="18"/>
              </w:rPr>
            </w:pPr>
            <w:r w:rsidRPr="0060702E">
              <w:rPr>
                <w:rFonts w:eastAsia="MS Mincho"/>
                <w:sz w:val="18"/>
                <w:szCs w:val="18"/>
              </w:rPr>
              <w:t>Category 3:  Others</w:t>
            </w:r>
          </w:p>
        </w:tc>
        <w:tc>
          <w:tcPr>
            <w:tcW w:w="1440" w:type="dxa"/>
            <w:vAlign w:val="bottom"/>
          </w:tcPr>
          <w:p w:rsidR="00BA6FF2" w:rsidRPr="0060702E" w:rsidRDefault="00BA6FF2" w:rsidP="00D805DF">
            <w:pPr>
              <w:spacing w:before="40" w:after="40"/>
              <w:ind w:right="206"/>
              <w:jc w:val="right"/>
              <w:rPr>
                <w:sz w:val="18"/>
                <w:szCs w:val="18"/>
              </w:rPr>
            </w:pPr>
            <w:r w:rsidRPr="0060702E">
              <w:rPr>
                <w:sz w:val="18"/>
                <w:szCs w:val="18"/>
              </w:rPr>
              <w:t>180</w:t>
            </w:r>
          </w:p>
        </w:tc>
      </w:tr>
      <w:tr w:rsidR="00BA6FF2" w:rsidRPr="0060702E" w:rsidTr="00D805DF">
        <w:tc>
          <w:tcPr>
            <w:tcW w:w="8005" w:type="dxa"/>
          </w:tcPr>
          <w:p w:rsidR="00BA6FF2" w:rsidRPr="0060702E" w:rsidRDefault="00BA6FF2" w:rsidP="00D805DF">
            <w:pPr>
              <w:spacing w:before="40" w:after="40"/>
              <w:jc w:val="left"/>
              <w:rPr>
                <w:sz w:val="18"/>
                <w:szCs w:val="18"/>
              </w:rPr>
            </w:pPr>
            <w:r w:rsidRPr="0060702E">
              <w:rPr>
                <w:rFonts w:eastAsia="MS Mincho"/>
                <w:sz w:val="18"/>
                <w:szCs w:val="18"/>
              </w:rPr>
              <w:t xml:space="preserve">Category 4:  </w:t>
            </w:r>
            <w:r w:rsidRPr="0060702E">
              <w:rPr>
                <w:sz w:val="18"/>
                <w:szCs w:val="18"/>
              </w:rPr>
              <w:t>Discretionary waiving of fee for selected students</w:t>
            </w:r>
          </w:p>
        </w:tc>
        <w:tc>
          <w:tcPr>
            <w:tcW w:w="1440" w:type="dxa"/>
            <w:vAlign w:val="bottom"/>
          </w:tcPr>
          <w:p w:rsidR="00BA6FF2" w:rsidRPr="0060702E" w:rsidRDefault="00BA6FF2" w:rsidP="00D805DF">
            <w:pPr>
              <w:spacing w:before="40" w:after="40"/>
              <w:ind w:right="206"/>
              <w:jc w:val="right"/>
              <w:rPr>
                <w:sz w:val="18"/>
                <w:szCs w:val="18"/>
              </w:rPr>
            </w:pPr>
            <w:r w:rsidRPr="0060702E">
              <w:rPr>
                <w:sz w:val="18"/>
                <w:szCs w:val="18"/>
              </w:rPr>
              <w:t>13</w:t>
            </w:r>
          </w:p>
        </w:tc>
      </w:tr>
      <w:tr w:rsidR="00BA6FF2" w:rsidRPr="0060702E" w:rsidTr="00D805DF">
        <w:tc>
          <w:tcPr>
            <w:tcW w:w="8005" w:type="dxa"/>
          </w:tcPr>
          <w:p w:rsidR="00BA6FF2" w:rsidRPr="0060702E" w:rsidRDefault="00BA6FF2" w:rsidP="00D805DF">
            <w:pPr>
              <w:spacing w:before="40" w:after="40"/>
              <w:ind w:right="318"/>
              <w:jc w:val="right"/>
              <w:rPr>
                <w:rFonts w:eastAsia="MS Mincho"/>
                <w:sz w:val="18"/>
                <w:szCs w:val="18"/>
              </w:rPr>
            </w:pPr>
            <w:bookmarkStart w:id="143" w:name="_Toc336339221"/>
            <w:r w:rsidRPr="0060702E">
              <w:rPr>
                <w:rFonts w:eastAsia="MS Mincho"/>
                <w:sz w:val="18"/>
                <w:szCs w:val="18"/>
              </w:rPr>
              <w:t>Total:</w:t>
            </w:r>
            <w:bookmarkEnd w:id="143"/>
          </w:p>
        </w:tc>
        <w:tc>
          <w:tcPr>
            <w:tcW w:w="1440" w:type="dxa"/>
            <w:vAlign w:val="bottom"/>
          </w:tcPr>
          <w:p w:rsidR="00BA6FF2" w:rsidRPr="0060702E" w:rsidRDefault="00BA6FF2" w:rsidP="00D805DF">
            <w:pPr>
              <w:spacing w:before="40" w:after="40"/>
              <w:ind w:right="206"/>
              <w:jc w:val="right"/>
              <w:rPr>
                <w:sz w:val="18"/>
                <w:szCs w:val="18"/>
              </w:rPr>
            </w:pPr>
            <w:r w:rsidRPr="0060702E">
              <w:rPr>
                <w:sz w:val="18"/>
                <w:szCs w:val="18"/>
              </w:rPr>
              <w:t>2,488</w:t>
            </w:r>
          </w:p>
        </w:tc>
      </w:tr>
    </w:tbl>
    <w:p w:rsidR="00BA6FF2" w:rsidRDefault="00BA6FF2" w:rsidP="00BA6FF2">
      <w:pPr>
        <w:jc w:val="center"/>
        <w:rPr>
          <w:rFonts w:cs="Arial"/>
          <w:sz w:val="18"/>
          <w:szCs w:val="18"/>
        </w:rPr>
      </w:pPr>
    </w:p>
    <w:p w:rsidR="009C17E4" w:rsidRPr="0060702E" w:rsidRDefault="009C17E4" w:rsidP="00BA6FF2">
      <w:pPr>
        <w:jc w:val="center"/>
        <w:rPr>
          <w:rFonts w:cs="Arial"/>
          <w:sz w:val="18"/>
          <w:szCs w:val="18"/>
        </w:rPr>
      </w:pPr>
    </w:p>
    <w:tbl>
      <w:tblPr>
        <w:tblW w:w="9889" w:type="dxa"/>
        <w:tblLayout w:type="fixed"/>
        <w:tblLook w:val="0000" w:firstRow="0" w:lastRow="0" w:firstColumn="0" w:lastColumn="0" w:noHBand="0" w:noVBand="0"/>
      </w:tblPr>
      <w:tblGrid>
        <w:gridCol w:w="4944"/>
        <w:gridCol w:w="4945"/>
      </w:tblGrid>
      <w:tr w:rsidR="00BA6FF2" w:rsidRPr="0060702E" w:rsidTr="00D805DF">
        <w:tc>
          <w:tcPr>
            <w:tcW w:w="4944" w:type="dxa"/>
          </w:tcPr>
          <w:p w:rsidR="00BA6FF2" w:rsidRPr="0060702E" w:rsidRDefault="00BA6FF2" w:rsidP="00D805DF">
            <w:pPr>
              <w:pStyle w:val="Heading9"/>
              <w:keepLines/>
              <w:spacing w:after="0"/>
            </w:pPr>
            <w:bookmarkStart w:id="144" w:name="_Toc398739030"/>
            <w:proofErr w:type="gramStart"/>
            <w:r w:rsidRPr="0060702E">
              <w:t>Figure 33</w:t>
            </w:r>
            <w:r w:rsidR="00873FF9" w:rsidRPr="0060702E">
              <w:t>.</w:t>
            </w:r>
            <w:proofErr w:type="gramEnd"/>
            <w:r w:rsidR="00873FF9" w:rsidRPr="0060702E">
              <w:t xml:space="preserve">  P</w:t>
            </w:r>
            <w:r w:rsidRPr="0060702E">
              <w:t xml:space="preserve">articipants in the main sessions of the </w:t>
            </w:r>
            <w:r w:rsidR="00040036" w:rsidRPr="0060702E">
              <w:br/>
            </w:r>
            <w:r w:rsidRPr="0060702E">
              <w:t xml:space="preserve">DL-205 Course </w:t>
            </w:r>
            <w:r w:rsidRPr="0060702E">
              <w:br/>
              <w:t>by registration category</w:t>
            </w:r>
            <w:bookmarkEnd w:id="144"/>
          </w:p>
          <w:p w:rsidR="00BA6FF2" w:rsidRPr="0060702E" w:rsidRDefault="00BA6FF2" w:rsidP="00D805DF">
            <w:pPr>
              <w:keepNext/>
              <w:keepLines/>
            </w:pPr>
          </w:p>
          <w:p w:rsidR="00BA6FF2" w:rsidRPr="0060702E" w:rsidRDefault="00BA6FF2" w:rsidP="00D805DF">
            <w:pPr>
              <w:keepNext/>
              <w:keepLines/>
            </w:pPr>
            <w:r w:rsidRPr="0060702E">
              <w:rPr>
                <w:noProof/>
              </w:rPr>
              <w:drawing>
                <wp:inline distT="0" distB="0" distL="0" distR="0" wp14:anchorId="1B4E4A40" wp14:editId="2583344C">
                  <wp:extent cx="2952750" cy="253365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BA6FF2" w:rsidRPr="0060702E" w:rsidRDefault="00BA6FF2" w:rsidP="00D805DF">
            <w:pPr>
              <w:keepNext/>
              <w:keepLines/>
            </w:pPr>
          </w:p>
        </w:tc>
        <w:tc>
          <w:tcPr>
            <w:tcW w:w="4945" w:type="dxa"/>
          </w:tcPr>
          <w:p w:rsidR="00BA6FF2" w:rsidRPr="0060702E" w:rsidRDefault="00BA6FF2" w:rsidP="00D805DF">
            <w:pPr>
              <w:pStyle w:val="Heading9"/>
              <w:keepLines/>
            </w:pPr>
            <w:bookmarkStart w:id="145" w:name="_Toc398739031"/>
            <w:proofErr w:type="gramStart"/>
            <w:r w:rsidRPr="0060702E">
              <w:t>Figure 34.</w:t>
            </w:r>
            <w:proofErr w:type="gramEnd"/>
            <w:r w:rsidRPr="0060702E">
              <w:t xml:space="preserve">  </w:t>
            </w:r>
            <w:r w:rsidR="00873FF9" w:rsidRPr="0060702E">
              <w:t>P</w:t>
            </w:r>
            <w:r w:rsidRPr="0060702E">
              <w:t xml:space="preserve">articipants in the main sessions of the </w:t>
            </w:r>
            <w:r w:rsidR="00040036" w:rsidRPr="0060702E">
              <w:br/>
            </w:r>
            <w:r w:rsidRPr="0060702E">
              <w:t xml:space="preserve">DL-205 Course </w:t>
            </w:r>
            <w:r w:rsidRPr="0060702E">
              <w:br/>
              <w:t>by language</w:t>
            </w:r>
            <w:bookmarkEnd w:id="145"/>
          </w:p>
          <w:p w:rsidR="00BA6FF2" w:rsidRPr="0060702E" w:rsidRDefault="00BA6FF2" w:rsidP="00D805DF">
            <w:pPr>
              <w:keepNext/>
              <w:keepLines/>
            </w:pPr>
            <w:r w:rsidRPr="0060702E">
              <w:rPr>
                <w:noProof/>
              </w:rPr>
              <w:drawing>
                <wp:inline distT="0" distB="0" distL="0" distR="0" wp14:anchorId="357A002E" wp14:editId="2465C3DF">
                  <wp:extent cx="3076575" cy="253365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bl>
    <w:p w:rsidR="00BA6FF2" w:rsidRPr="0060702E" w:rsidRDefault="00BA6FF2" w:rsidP="002D6F42">
      <w:pPr>
        <w:rPr>
          <w:sz w:val="18"/>
          <w:szCs w:val="18"/>
        </w:rPr>
      </w:pPr>
    </w:p>
    <w:p w:rsidR="00BA6FF2" w:rsidRPr="0060702E" w:rsidRDefault="00BA6FF2" w:rsidP="002D6F42">
      <w:pPr>
        <w:rPr>
          <w:sz w:val="18"/>
          <w:szCs w:val="18"/>
        </w:rPr>
      </w:pPr>
    </w:p>
    <w:p w:rsidR="00BA6FF2" w:rsidRPr="0060702E" w:rsidRDefault="00BA6FF2" w:rsidP="00D24022">
      <w:pPr>
        <w:keepNext/>
        <w:jc w:val="center"/>
        <w:rPr>
          <w:rFonts w:cs="Arial"/>
          <w:sz w:val="18"/>
          <w:szCs w:val="18"/>
        </w:rPr>
      </w:pPr>
      <w:r w:rsidRPr="0060702E">
        <w:rPr>
          <w:rFonts w:cs="Arial"/>
          <w:sz w:val="18"/>
          <w:szCs w:val="18"/>
        </w:rPr>
        <w:t>Special sessions of DL-205 in 2012 and 2013</w:t>
      </w:r>
    </w:p>
    <w:p w:rsidR="00BA6FF2" w:rsidRPr="0060702E" w:rsidRDefault="00BA6FF2" w:rsidP="00BA6FF2">
      <w:pPr>
        <w:rPr>
          <w:rFonts w:cs="Arial"/>
          <w:sz w:val="18"/>
          <w:szCs w:val="18"/>
        </w:rPr>
      </w:pPr>
    </w:p>
    <w:tbl>
      <w:tblPr>
        <w:tblW w:w="97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117"/>
        <w:gridCol w:w="6348"/>
        <w:gridCol w:w="1170"/>
        <w:gridCol w:w="1080"/>
      </w:tblGrid>
      <w:tr w:rsidR="00BA6FF2" w:rsidRPr="0060702E" w:rsidTr="0083250C">
        <w:tc>
          <w:tcPr>
            <w:tcW w:w="1117" w:type="dxa"/>
            <w:shd w:val="solid" w:color="C0C0C0" w:fill="D9D9D9"/>
            <w:tcMar>
              <w:left w:w="57" w:type="dxa"/>
              <w:right w:w="57" w:type="dxa"/>
            </w:tcMar>
            <w:vAlign w:val="bottom"/>
          </w:tcPr>
          <w:p w:rsidR="00BA6FF2" w:rsidRPr="0060702E" w:rsidRDefault="00BA6FF2" w:rsidP="00D805DF">
            <w:pPr>
              <w:autoSpaceDE w:val="0"/>
              <w:autoSpaceDN w:val="0"/>
              <w:adjustRightInd w:val="0"/>
              <w:spacing w:before="40" w:after="40"/>
              <w:jc w:val="left"/>
              <w:rPr>
                <w:rFonts w:eastAsia="MS Mincho" w:cs="Arial"/>
                <w:color w:val="000000"/>
                <w:sz w:val="18"/>
                <w:szCs w:val="18"/>
                <w:lang w:eastAsia="ja-JP"/>
              </w:rPr>
            </w:pPr>
            <w:r w:rsidRPr="0060702E">
              <w:rPr>
                <w:rFonts w:eastAsia="MS Mincho" w:cs="Arial"/>
                <w:color w:val="000000"/>
                <w:sz w:val="18"/>
                <w:szCs w:val="18"/>
                <w:lang w:eastAsia="ja-JP"/>
              </w:rPr>
              <w:t>Month/</w:t>
            </w:r>
            <w:r w:rsidRPr="0060702E">
              <w:rPr>
                <w:rFonts w:eastAsia="MS Mincho" w:cs="Arial"/>
                <w:color w:val="000000"/>
                <w:sz w:val="18"/>
                <w:szCs w:val="18"/>
                <w:lang w:eastAsia="ja-JP"/>
              </w:rPr>
              <w:br/>
              <w:t>Year</w:t>
            </w:r>
          </w:p>
        </w:tc>
        <w:tc>
          <w:tcPr>
            <w:tcW w:w="6348" w:type="dxa"/>
            <w:shd w:val="solid" w:color="C0C0C0" w:fill="D9D9D9"/>
            <w:tcMar>
              <w:left w:w="57" w:type="dxa"/>
              <w:right w:w="57" w:type="dxa"/>
            </w:tcMar>
            <w:vAlign w:val="bottom"/>
          </w:tcPr>
          <w:p w:rsidR="00BA6FF2" w:rsidRPr="0060702E" w:rsidRDefault="00BA6FF2" w:rsidP="00D805DF">
            <w:pPr>
              <w:autoSpaceDE w:val="0"/>
              <w:autoSpaceDN w:val="0"/>
              <w:adjustRightInd w:val="0"/>
              <w:spacing w:before="40" w:after="40"/>
              <w:jc w:val="left"/>
              <w:rPr>
                <w:rFonts w:eastAsia="MS Mincho" w:cs="Arial"/>
                <w:color w:val="000000"/>
                <w:sz w:val="18"/>
                <w:szCs w:val="18"/>
                <w:lang w:eastAsia="ja-JP"/>
              </w:rPr>
            </w:pPr>
            <w:r w:rsidRPr="0060702E">
              <w:rPr>
                <w:rFonts w:eastAsia="MS Mincho" w:cs="Arial"/>
                <w:color w:val="000000"/>
                <w:sz w:val="18"/>
                <w:szCs w:val="18"/>
                <w:lang w:eastAsia="ja-JP"/>
              </w:rPr>
              <w:t>Name of Course</w:t>
            </w:r>
          </w:p>
        </w:tc>
        <w:tc>
          <w:tcPr>
            <w:tcW w:w="1170" w:type="dxa"/>
            <w:shd w:val="solid" w:color="C0C0C0" w:fill="D9D9D9"/>
            <w:tcMar>
              <w:left w:w="57" w:type="dxa"/>
              <w:right w:w="57" w:type="dxa"/>
            </w:tcMar>
            <w:vAlign w:val="bottom"/>
          </w:tcPr>
          <w:p w:rsidR="00BA6FF2" w:rsidRPr="0060702E" w:rsidRDefault="00BA6FF2" w:rsidP="00D805DF">
            <w:pPr>
              <w:autoSpaceDE w:val="0"/>
              <w:autoSpaceDN w:val="0"/>
              <w:adjustRightInd w:val="0"/>
              <w:spacing w:before="40" w:after="40"/>
              <w:jc w:val="left"/>
              <w:rPr>
                <w:rFonts w:eastAsia="MS Mincho" w:cs="Arial"/>
                <w:color w:val="000000"/>
                <w:sz w:val="18"/>
                <w:szCs w:val="18"/>
                <w:lang w:eastAsia="ja-JP"/>
              </w:rPr>
            </w:pPr>
            <w:r w:rsidRPr="0060702E">
              <w:rPr>
                <w:rFonts w:eastAsia="MS Mincho" w:cs="Arial"/>
                <w:color w:val="000000"/>
                <w:sz w:val="18"/>
                <w:szCs w:val="18"/>
                <w:lang w:eastAsia="ja-JP"/>
              </w:rPr>
              <w:t>Language</w:t>
            </w:r>
          </w:p>
        </w:tc>
        <w:tc>
          <w:tcPr>
            <w:tcW w:w="1080" w:type="dxa"/>
            <w:shd w:val="solid" w:color="C0C0C0" w:fill="D9D9D9"/>
            <w:tcMar>
              <w:left w:w="57" w:type="dxa"/>
              <w:right w:w="57" w:type="dxa"/>
            </w:tcMar>
            <w:vAlign w:val="bottom"/>
          </w:tcPr>
          <w:p w:rsidR="00BA6FF2" w:rsidRPr="0060702E" w:rsidRDefault="00BA6FF2" w:rsidP="00D805DF">
            <w:pPr>
              <w:autoSpaceDE w:val="0"/>
              <w:autoSpaceDN w:val="0"/>
              <w:adjustRightInd w:val="0"/>
              <w:spacing w:before="40" w:after="40"/>
              <w:jc w:val="center"/>
              <w:rPr>
                <w:rFonts w:eastAsia="MS Mincho" w:cs="Arial"/>
                <w:color w:val="000000"/>
                <w:sz w:val="18"/>
                <w:szCs w:val="18"/>
                <w:lang w:eastAsia="ja-JP"/>
              </w:rPr>
            </w:pPr>
            <w:r w:rsidRPr="0060702E">
              <w:rPr>
                <w:rFonts w:eastAsia="MS Mincho" w:cs="Arial"/>
                <w:color w:val="000000"/>
                <w:sz w:val="18"/>
                <w:szCs w:val="18"/>
                <w:lang w:eastAsia="ja-JP"/>
              </w:rPr>
              <w:t>N</w:t>
            </w:r>
            <w:r w:rsidR="00873FF9" w:rsidRPr="0060702E">
              <w:rPr>
                <w:rFonts w:eastAsia="MS Mincho" w:cs="Arial"/>
                <w:color w:val="000000"/>
                <w:sz w:val="18"/>
                <w:szCs w:val="18"/>
                <w:lang w:eastAsia="ja-JP"/>
              </w:rPr>
              <w:t>umbe</w:t>
            </w:r>
            <w:r w:rsidRPr="0060702E">
              <w:rPr>
                <w:rFonts w:eastAsia="MS Mincho" w:cs="Arial"/>
                <w:color w:val="000000"/>
                <w:sz w:val="18"/>
                <w:szCs w:val="18"/>
                <w:lang w:eastAsia="ja-JP"/>
              </w:rPr>
              <w:t>r. of participants</w:t>
            </w:r>
          </w:p>
        </w:tc>
      </w:tr>
      <w:tr w:rsidR="00BA6FF2" w:rsidRPr="0060702E" w:rsidTr="0083250C">
        <w:tc>
          <w:tcPr>
            <w:tcW w:w="1117" w:type="dxa"/>
            <w:tcMar>
              <w:left w:w="57" w:type="dxa"/>
              <w:right w:w="57" w:type="dxa"/>
            </w:tcMar>
          </w:tcPr>
          <w:p w:rsidR="00BA6FF2" w:rsidRPr="0060702E" w:rsidRDefault="00BA6FF2" w:rsidP="00D805DF">
            <w:pPr>
              <w:autoSpaceDE w:val="0"/>
              <w:autoSpaceDN w:val="0"/>
              <w:adjustRightInd w:val="0"/>
              <w:spacing w:before="40" w:after="40"/>
              <w:jc w:val="left"/>
              <w:rPr>
                <w:rFonts w:eastAsia="MS Mincho" w:cs="Arial"/>
                <w:color w:val="000000"/>
                <w:sz w:val="18"/>
                <w:szCs w:val="18"/>
                <w:lang w:eastAsia="ja-JP"/>
              </w:rPr>
            </w:pPr>
            <w:r w:rsidRPr="0060702E">
              <w:rPr>
                <w:rFonts w:eastAsia="MS Mincho" w:cs="Arial"/>
                <w:color w:val="000000"/>
                <w:sz w:val="18"/>
                <w:szCs w:val="18"/>
                <w:lang w:eastAsia="ja-JP"/>
              </w:rPr>
              <w:t>Feb. 2012</w:t>
            </w:r>
          </w:p>
        </w:tc>
        <w:tc>
          <w:tcPr>
            <w:tcW w:w="6348" w:type="dxa"/>
            <w:tcMar>
              <w:left w:w="57" w:type="dxa"/>
              <w:right w:w="57" w:type="dxa"/>
            </w:tcMar>
          </w:tcPr>
          <w:p w:rsidR="00BA6FF2" w:rsidRPr="0060702E" w:rsidRDefault="00BA6FF2" w:rsidP="00D805DF">
            <w:pPr>
              <w:autoSpaceDE w:val="0"/>
              <w:autoSpaceDN w:val="0"/>
              <w:adjustRightInd w:val="0"/>
              <w:spacing w:before="40" w:after="40"/>
              <w:jc w:val="left"/>
              <w:rPr>
                <w:rFonts w:eastAsia="MS Mincho" w:cs="Arial"/>
                <w:color w:val="000000"/>
                <w:sz w:val="18"/>
                <w:szCs w:val="18"/>
                <w:lang w:eastAsia="ja-JP"/>
              </w:rPr>
            </w:pPr>
            <w:r w:rsidRPr="0060702E">
              <w:rPr>
                <w:rFonts w:eastAsia="MS Mincho" w:cs="Arial"/>
                <w:color w:val="000000"/>
                <w:sz w:val="18"/>
                <w:szCs w:val="18"/>
                <w:lang w:eastAsia="ja-JP"/>
              </w:rPr>
              <w:t xml:space="preserve">WIPO “Master II en droit de la </w:t>
            </w:r>
            <w:proofErr w:type="spellStart"/>
            <w:r w:rsidRPr="0060702E">
              <w:rPr>
                <w:rFonts w:eastAsia="MS Mincho" w:cs="Arial"/>
                <w:color w:val="000000"/>
                <w:sz w:val="18"/>
                <w:szCs w:val="18"/>
                <w:lang w:eastAsia="ja-JP"/>
              </w:rPr>
              <w:t>propriété</w:t>
            </w:r>
            <w:proofErr w:type="spellEnd"/>
            <w:r w:rsidRPr="0060702E">
              <w:rPr>
                <w:rFonts w:eastAsia="MS Mincho" w:cs="Arial"/>
                <w:color w:val="000000"/>
                <w:sz w:val="18"/>
                <w:szCs w:val="18"/>
                <w:lang w:eastAsia="ja-JP"/>
              </w:rPr>
              <w:t xml:space="preserve"> </w:t>
            </w:r>
            <w:proofErr w:type="spellStart"/>
            <w:r w:rsidRPr="0060702E">
              <w:rPr>
                <w:rFonts w:eastAsia="MS Mincho" w:cs="Arial"/>
                <w:color w:val="000000"/>
                <w:sz w:val="18"/>
                <w:szCs w:val="18"/>
                <w:lang w:eastAsia="ja-JP"/>
              </w:rPr>
              <w:t>industrielle</w:t>
            </w:r>
            <w:proofErr w:type="spellEnd"/>
            <w:r w:rsidRPr="0060702E">
              <w:rPr>
                <w:rFonts w:eastAsia="MS Mincho" w:cs="Arial"/>
                <w:color w:val="000000"/>
                <w:sz w:val="18"/>
                <w:szCs w:val="18"/>
                <w:lang w:eastAsia="ja-JP"/>
              </w:rPr>
              <w:t>”</w:t>
            </w:r>
          </w:p>
        </w:tc>
        <w:tc>
          <w:tcPr>
            <w:tcW w:w="1170" w:type="dxa"/>
            <w:tcMar>
              <w:left w:w="57" w:type="dxa"/>
              <w:right w:w="57" w:type="dxa"/>
            </w:tcMar>
          </w:tcPr>
          <w:p w:rsidR="00BA6FF2" w:rsidRPr="0060702E" w:rsidRDefault="00BA6FF2" w:rsidP="00D805DF">
            <w:pPr>
              <w:autoSpaceDE w:val="0"/>
              <w:autoSpaceDN w:val="0"/>
              <w:adjustRightInd w:val="0"/>
              <w:spacing w:before="40" w:after="40"/>
              <w:jc w:val="left"/>
              <w:rPr>
                <w:rFonts w:eastAsia="MS Mincho" w:cs="Arial"/>
                <w:color w:val="000000"/>
                <w:sz w:val="18"/>
                <w:szCs w:val="18"/>
                <w:lang w:eastAsia="ja-JP"/>
              </w:rPr>
            </w:pPr>
            <w:r w:rsidRPr="0060702E">
              <w:rPr>
                <w:rFonts w:eastAsia="MS Mincho" w:cs="Arial"/>
                <w:color w:val="000000"/>
                <w:sz w:val="18"/>
                <w:szCs w:val="18"/>
                <w:lang w:eastAsia="ja-JP"/>
              </w:rPr>
              <w:t>FR</w:t>
            </w:r>
          </w:p>
        </w:tc>
        <w:tc>
          <w:tcPr>
            <w:tcW w:w="1080" w:type="dxa"/>
            <w:tcMar>
              <w:left w:w="57" w:type="dxa"/>
              <w:right w:w="57" w:type="dxa"/>
            </w:tcMar>
          </w:tcPr>
          <w:p w:rsidR="00BA6FF2" w:rsidRPr="0060702E" w:rsidRDefault="00BA6FF2" w:rsidP="00D805DF">
            <w:pPr>
              <w:autoSpaceDE w:val="0"/>
              <w:autoSpaceDN w:val="0"/>
              <w:adjustRightInd w:val="0"/>
              <w:spacing w:before="40" w:after="40"/>
              <w:jc w:val="center"/>
              <w:rPr>
                <w:rFonts w:eastAsia="MS Mincho" w:cs="Arial"/>
                <w:color w:val="000000"/>
                <w:sz w:val="18"/>
                <w:szCs w:val="18"/>
                <w:lang w:eastAsia="ja-JP"/>
              </w:rPr>
            </w:pPr>
            <w:r w:rsidRPr="0060702E">
              <w:rPr>
                <w:rFonts w:eastAsia="MS Mincho" w:cs="Arial"/>
                <w:color w:val="000000"/>
                <w:sz w:val="18"/>
                <w:szCs w:val="18"/>
                <w:lang w:eastAsia="ja-JP"/>
              </w:rPr>
              <w:t>20</w:t>
            </w:r>
          </w:p>
        </w:tc>
      </w:tr>
      <w:tr w:rsidR="00BA6FF2" w:rsidRPr="0060702E" w:rsidTr="0083250C">
        <w:tc>
          <w:tcPr>
            <w:tcW w:w="1117" w:type="dxa"/>
            <w:tcMar>
              <w:left w:w="57" w:type="dxa"/>
              <w:right w:w="57" w:type="dxa"/>
            </w:tcMar>
          </w:tcPr>
          <w:p w:rsidR="00BA6FF2" w:rsidRPr="0060702E" w:rsidRDefault="00BA6FF2" w:rsidP="00D805DF">
            <w:pPr>
              <w:autoSpaceDE w:val="0"/>
              <w:autoSpaceDN w:val="0"/>
              <w:adjustRightInd w:val="0"/>
              <w:spacing w:before="40" w:after="40"/>
              <w:jc w:val="left"/>
              <w:rPr>
                <w:rFonts w:eastAsia="MS Mincho" w:cs="Arial"/>
                <w:color w:val="000000"/>
                <w:sz w:val="18"/>
                <w:szCs w:val="18"/>
                <w:lang w:eastAsia="ja-JP"/>
              </w:rPr>
            </w:pPr>
            <w:r w:rsidRPr="0060702E">
              <w:rPr>
                <w:rFonts w:eastAsia="MS Mincho" w:cs="Arial"/>
                <w:color w:val="000000"/>
                <w:sz w:val="18"/>
                <w:szCs w:val="18"/>
                <w:lang w:eastAsia="ja-JP"/>
              </w:rPr>
              <w:t>April 2012</w:t>
            </w:r>
          </w:p>
        </w:tc>
        <w:tc>
          <w:tcPr>
            <w:tcW w:w="6348" w:type="dxa"/>
            <w:tcMar>
              <w:left w:w="57" w:type="dxa"/>
              <w:right w:w="57" w:type="dxa"/>
            </w:tcMar>
          </w:tcPr>
          <w:p w:rsidR="00BA6FF2" w:rsidRPr="0060702E" w:rsidRDefault="00BA6FF2" w:rsidP="00D805DF">
            <w:pPr>
              <w:autoSpaceDE w:val="0"/>
              <w:autoSpaceDN w:val="0"/>
              <w:adjustRightInd w:val="0"/>
              <w:spacing w:before="40" w:after="40"/>
              <w:jc w:val="left"/>
              <w:rPr>
                <w:rFonts w:eastAsia="MS Mincho" w:cs="Arial"/>
                <w:color w:val="000000"/>
                <w:sz w:val="18"/>
                <w:szCs w:val="18"/>
                <w:lang w:eastAsia="ja-JP"/>
              </w:rPr>
            </w:pPr>
            <w:r w:rsidRPr="0060702E">
              <w:rPr>
                <w:rFonts w:eastAsia="MS Mincho" w:cs="Arial"/>
                <w:color w:val="000000"/>
                <w:sz w:val="18"/>
                <w:szCs w:val="18"/>
                <w:lang w:eastAsia="ja-JP"/>
              </w:rPr>
              <w:t>USPTO/UPOV Training Course “Plant Variety Protection under the UPOV Convention” (United States of America)</w:t>
            </w:r>
          </w:p>
        </w:tc>
        <w:tc>
          <w:tcPr>
            <w:tcW w:w="1170" w:type="dxa"/>
            <w:tcMar>
              <w:left w:w="57" w:type="dxa"/>
              <w:right w:w="57" w:type="dxa"/>
            </w:tcMar>
          </w:tcPr>
          <w:p w:rsidR="00BA6FF2" w:rsidRPr="0060702E" w:rsidRDefault="00BA6FF2" w:rsidP="00D805DF">
            <w:pPr>
              <w:autoSpaceDE w:val="0"/>
              <w:autoSpaceDN w:val="0"/>
              <w:adjustRightInd w:val="0"/>
              <w:spacing w:before="40" w:after="40"/>
              <w:jc w:val="left"/>
              <w:rPr>
                <w:rFonts w:eastAsia="MS Mincho" w:cs="Arial"/>
                <w:color w:val="000000"/>
                <w:sz w:val="18"/>
                <w:szCs w:val="18"/>
                <w:lang w:eastAsia="ja-JP"/>
              </w:rPr>
            </w:pPr>
            <w:r w:rsidRPr="0060702E">
              <w:rPr>
                <w:rFonts w:eastAsia="MS Mincho" w:cs="Arial"/>
                <w:color w:val="000000"/>
                <w:sz w:val="18"/>
                <w:szCs w:val="18"/>
                <w:lang w:eastAsia="ja-JP"/>
              </w:rPr>
              <w:t>EN</w:t>
            </w:r>
          </w:p>
        </w:tc>
        <w:tc>
          <w:tcPr>
            <w:tcW w:w="1080" w:type="dxa"/>
            <w:tcMar>
              <w:left w:w="57" w:type="dxa"/>
              <w:right w:w="57" w:type="dxa"/>
            </w:tcMar>
          </w:tcPr>
          <w:p w:rsidR="00BA6FF2" w:rsidRPr="0060702E" w:rsidRDefault="00BA6FF2" w:rsidP="00D805DF">
            <w:pPr>
              <w:autoSpaceDE w:val="0"/>
              <w:autoSpaceDN w:val="0"/>
              <w:adjustRightInd w:val="0"/>
              <w:spacing w:before="40" w:after="40"/>
              <w:jc w:val="center"/>
              <w:rPr>
                <w:rFonts w:eastAsia="MS Mincho" w:cs="Arial"/>
                <w:color w:val="000000"/>
                <w:sz w:val="18"/>
                <w:szCs w:val="18"/>
                <w:lang w:eastAsia="ja-JP"/>
              </w:rPr>
            </w:pPr>
            <w:r w:rsidRPr="0060702E">
              <w:rPr>
                <w:rFonts w:eastAsia="MS Mincho" w:cs="Arial"/>
                <w:color w:val="000000"/>
                <w:sz w:val="18"/>
                <w:szCs w:val="18"/>
                <w:lang w:eastAsia="ja-JP"/>
              </w:rPr>
              <w:t>10</w:t>
            </w:r>
          </w:p>
        </w:tc>
      </w:tr>
      <w:tr w:rsidR="00BA6FF2" w:rsidRPr="0060702E" w:rsidTr="0083250C">
        <w:tc>
          <w:tcPr>
            <w:tcW w:w="1117" w:type="dxa"/>
            <w:tcMar>
              <w:left w:w="57" w:type="dxa"/>
              <w:right w:w="57" w:type="dxa"/>
            </w:tcMar>
          </w:tcPr>
          <w:p w:rsidR="00BA6FF2" w:rsidRPr="0060702E" w:rsidRDefault="00BA6FF2" w:rsidP="00D805DF">
            <w:pPr>
              <w:autoSpaceDE w:val="0"/>
              <w:autoSpaceDN w:val="0"/>
              <w:adjustRightInd w:val="0"/>
              <w:spacing w:before="40" w:after="40"/>
              <w:jc w:val="left"/>
              <w:rPr>
                <w:rFonts w:eastAsia="MS Mincho" w:cs="Arial"/>
                <w:color w:val="000000"/>
                <w:sz w:val="18"/>
                <w:szCs w:val="18"/>
                <w:lang w:eastAsia="ja-JP"/>
              </w:rPr>
            </w:pPr>
            <w:r w:rsidRPr="0060702E">
              <w:rPr>
                <w:rFonts w:eastAsia="MS Mincho" w:cs="Arial"/>
                <w:color w:val="000000"/>
                <w:sz w:val="18"/>
                <w:szCs w:val="18"/>
                <w:lang w:eastAsia="ja-JP"/>
              </w:rPr>
              <w:t>June 2012</w:t>
            </w:r>
          </w:p>
        </w:tc>
        <w:tc>
          <w:tcPr>
            <w:tcW w:w="6348" w:type="dxa"/>
            <w:tcMar>
              <w:left w:w="57" w:type="dxa"/>
              <w:right w:w="57" w:type="dxa"/>
            </w:tcMar>
          </w:tcPr>
          <w:p w:rsidR="00BA6FF2" w:rsidRPr="0060702E" w:rsidRDefault="00BA6FF2" w:rsidP="00D805DF">
            <w:pPr>
              <w:autoSpaceDE w:val="0"/>
              <w:autoSpaceDN w:val="0"/>
              <w:adjustRightInd w:val="0"/>
              <w:spacing w:before="40" w:after="40"/>
              <w:jc w:val="left"/>
              <w:rPr>
                <w:rFonts w:eastAsia="MS Mincho" w:cs="Arial"/>
                <w:color w:val="000000"/>
                <w:sz w:val="18"/>
                <w:szCs w:val="18"/>
                <w:lang w:eastAsia="ja-JP"/>
              </w:rPr>
            </w:pPr>
            <w:proofErr w:type="spellStart"/>
            <w:r w:rsidRPr="0060702E">
              <w:rPr>
                <w:rFonts w:eastAsia="MS Mincho" w:cs="Arial"/>
                <w:color w:val="000000"/>
                <w:sz w:val="18"/>
                <w:szCs w:val="18"/>
                <w:lang w:eastAsia="ja-JP"/>
              </w:rPr>
              <w:t>Naktuinbouw</w:t>
            </w:r>
            <w:proofErr w:type="spellEnd"/>
            <w:r w:rsidRPr="0060702E">
              <w:rPr>
                <w:rFonts w:eastAsia="MS Mincho" w:cs="Arial"/>
                <w:color w:val="000000"/>
                <w:sz w:val="18"/>
                <w:szCs w:val="18"/>
                <w:lang w:eastAsia="ja-JP"/>
              </w:rPr>
              <w:t xml:space="preserve"> International Course on Plant Variety Protection Course (Netherlands)</w:t>
            </w:r>
          </w:p>
        </w:tc>
        <w:tc>
          <w:tcPr>
            <w:tcW w:w="1170" w:type="dxa"/>
            <w:tcMar>
              <w:left w:w="57" w:type="dxa"/>
              <w:right w:w="57" w:type="dxa"/>
            </w:tcMar>
          </w:tcPr>
          <w:p w:rsidR="00BA6FF2" w:rsidRPr="0060702E" w:rsidRDefault="00BA6FF2" w:rsidP="00D805DF">
            <w:pPr>
              <w:autoSpaceDE w:val="0"/>
              <w:autoSpaceDN w:val="0"/>
              <w:adjustRightInd w:val="0"/>
              <w:spacing w:before="40" w:after="40"/>
              <w:jc w:val="left"/>
              <w:rPr>
                <w:rFonts w:eastAsia="MS Mincho" w:cs="Arial"/>
                <w:color w:val="000000"/>
                <w:sz w:val="18"/>
                <w:szCs w:val="18"/>
                <w:lang w:eastAsia="ja-JP"/>
              </w:rPr>
            </w:pPr>
            <w:r w:rsidRPr="0060702E">
              <w:rPr>
                <w:rFonts w:eastAsia="MS Mincho" w:cs="Arial"/>
                <w:color w:val="000000"/>
                <w:sz w:val="18"/>
                <w:szCs w:val="18"/>
                <w:lang w:eastAsia="ja-JP"/>
              </w:rPr>
              <w:t>EN</w:t>
            </w:r>
          </w:p>
        </w:tc>
        <w:tc>
          <w:tcPr>
            <w:tcW w:w="1080" w:type="dxa"/>
            <w:tcMar>
              <w:left w:w="57" w:type="dxa"/>
              <w:right w:w="57" w:type="dxa"/>
            </w:tcMar>
          </w:tcPr>
          <w:p w:rsidR="00BA6FF2" w:rsidRPr="0060702E" w:rsidRDefault="00BA6FF2" w:rsidP="00D805DF">
            <w:pPr>
              <w:autoSpaceDE w:val="0"/>
              <w:autoSpaceDN w:val="0"/>
              <w:adjustRightInd w:val="0"/>
              <w:spacing w:before="40" w:after="40"/>
              <w:jc w:val="center"/>
              <w:rPr>
                <w:rFonts w:eastAsia="MS Mincho" w:cs="Arial"/>
                <w:color w:val="000000"/>
                <w:sz w:val="18"/>
                <w:szCs w:val="18"/>
                <w:lang w:eastAsia="ja-JP"/>
              </w:rPr>
            </w:pPr>
            <w:r w:rsidRPr="0060702E">
              <w:rPr>
                <w:rFonts w:eastAsia="MS Mincho" w:cs="Arial"/>
                <w:color w:val="000000"/>
                <w:sz w:val="18"/>
                <w:szCs w:val="18"/>
                <w:lang w:eastAsia="ja-JP"/>
              </w:rPr>
              <w:t>18</w:t>
            </w:r>
          </w:p>
        </w:tc>
      </w:tr>
      <w:tr w:rsidR="00BA6FF2" w:rsidRPr="0060702E" w:rsidTr="0083250C">
        <w:tc>
          <w:tcPr>
            <w:tcW w:w="1117" w:type="dxa"/>
            <w:tcMar>
              <w:left w:w="57" w:type="dxa"/>
              <w:right w:w="57" w:type="dxa"/>
            </w:tcMar>
          </w:tcPr>
          <w:p w:rsidR="00BA6FF2" w:rsidRPr="0060702E" w:rsidRDefault="00BA6FF2" w:rsidP="00D805DF">
            <w:pPr>
              <w:autoSpaceDE w:val="0"/>
              <w:autoSpaceDN w:val="0"/>
              <w:adjustRightInd w:val="0"/>
              <w:spacing w:before="40" w:after="40"/>
              <w:jc w:val="left"/>
              <w:rPr>
                <w:rFonts w:eastAsia="MS Mincho" w:cs="Arial"/>
                <w:color w:val="000000"/>
                <w:sz w:val="18"/>
                <w:szCs w:val="18"/>
                <w:lang w:eastAsia="ja-JP"/>
              </w:rPr>
            </w:pPr>
            <w:r w:rsidRPr="0060702E">
              <w:rPr>
                <w:rFonts w:eastAsia="MS Mincho" w:cs="Arial"/>
                <w:color w:val="000000"/>
                <w:sz w:val="18"/>
                <w:szCs w:val="18"/>
                <w:lang w:eastAsia="ja-JP"/>
              </w:rPr>
              <w:t>July 2012</w:t>
            </w:r>
          </w:p>
        </w:tc>
        <w:tc>
          <w:tcPr>
            <w:tcW w:w="6348" w:type="dxa"/>
            <w:tcMar>
              <w:left w:w="57" w:type="dxa"/>
              <w:right w:w="57" w:type="dxa"/>
            </w:tcMar>
          </w:tcPr>
          <w:p w:rsidR="00BA6FF2" w:rsidRPr="0060702E" w:rsidRDefault="00BA6FF2" w:rsidP="00D805DF">
            <w:pPr>
              <w:autoSpaceDE w:val="0"/>
              <w:autoSpaceDN w:val="0"/>
              <w:adjustRightInd w:val="0"/>
              <w:spacing w:before="40" w:after="40"/>
              <w:jc w:val="left"/>
              <w:rPr>
                <w:rFonts w:eastAsia="MS Mincho" w:cs="Arial"/>
                <w:color w:val="000000"/>
                <w:sz w:val="18"/>
                <w:szCs w:val="18"/>
                <w:lang w:eastAsia="ja-JP"/>
              </w:rPr>
            </w:pPr>
            <w:r w:rsidRPr="0060702E">
              <w:rPr>
                <w:rFonts w:eastAsia="MS Mincho" w:cs="Arial"/>
                <w:color w:val="000000"/>
                <w:sz w:val="18"/>
                <w:szCs w:val="18"/>
                <w:lang w:eastAsia="ja-JP"/>
              </w:rPr>
              <w:t>KOICA Training Course on Plant Variety Protection (Republic of Korea)</w:t>
            </w:r>
          </w:p>
        </w:tc>
        <w:tc>
          <w:tcPr>
            <w:tcW w:w="1170" w:type="dxa"/>
            <w:tcMar>
              <w:left w:w="57" w:type="dxa"/>
              <w:right w:w="57" w:type="dxa"/>
            </w:tcMar>
          </w:tcPr>
          <w:p w:rsidR="00BA6FF2" w:rsidRPr="0060702E" w:rsidRDefault="00BA6FF2" w:rsidP="00D805DF">
            <w:pPr>
              <w:autoSpaceDE w:val="0"/>
              <w:autoSpaceDN w:val="0"/>
              <w:adjustRightInd w:val="0"/>
              <w:spacing w:before="40" w:after="40"/>
              <w:jc w:val="left"/>
              <w:rPr>
                <w:rFonts w:eastAsia="MS Mincho" w:cs="Arial"/>
                <w:color w:val="000000"/>
                <w:sz w:val="18"/>
                <w:szCs w:val="18"/>
                <w:lang w:eastAsia="ja-JP"/>
              </w:rPr>
            </w:pPr>
            <w:r w:rsidRPr="0060702E">
              <w:rPr>
                <w:rFonts w:eastAsia="MS Mincho" w:cs="Arial"/>
                <w:color w:val="000000"/>
                <w:sz w:val="18"/>
                <w:szCs w:val="18"/>
                <w:lang w:eastAsia="ja-JP"/>
              </w:rPr>
              <w:t>EN</w:t>
            </w:r>
          </w:p>
        </w:tc>
        <w:tc>
          <w:tcPr>
            <w:tcW w:w="1080" w:type="dxa"/>
            <w:tcMar>
              <w:left w:w="57" w:type="dxa"/>
              <w:right w:w="57" w:type="dxa"/>
            </w:tcMar>
          </w:tcPr>
          <w:p w:rsidR="00BA6FF2" w:rsidRPr="0060702E" w:rsidRDefault="00BA6FF2" w:rsidP="00D805DF">
            <w:pPr>
              <w:autoSpaceDE w:val="0"/>
              <w:autoSpaceDN w:val="0"/>
              <w:adjustRightInd w:val="0"/>
              <w:spacing w:before="40" w:after="40"/>
              <w:jc w:val="center"/>
              <w:rPr>
                <w:rFonts w:eastAsia="MS Mincho" w:cs="Arial"/>
                <w:color w:val="000000"/>
                <w:sz w:val="18"/>
                <w:szCs w:val="18"/>
                <w:lang w:eastAsia="ja-JP"/>
              </w:rPr>
            </w:pPr>
            <w:r w:rsidRPr="0060702E">
              <w:rPr>
                <w:rFonts w:eastAsia="MS Mincho" w:cs="Arial"/>
                <w:color w:val="000000"/>
                <w:sz w:val="18"/>
                <w:szCs w:val="18"/>
                <w:lang w:eastAsia="ja-JP"/>
              </w:rPr>
              <w:t>14</w:t>
            </w:r>
          </w:p>
        </w:tc>
      </w:tr>
      <w:tr w:rsidR="00BA6FF2" w:rsidRPr="0060702E" w:rsidTr="0083250C">
        <w:tc>
          <w:tcPr>
            <w:tcW w:w="1117" w:type="dxa"/>
            <w:shd w:val="clear" w:color="auto" w:fill="auto"/>
            <w:tcMar>
              <w:left w:w="57" w:type="dxa"/>
              <w:right w:w="57" w:type="dxa"/>
            </w:tcMar>
          </w:tcPr>
          <w:p w:rsidR="00BA6FF2" w:rsidRPr="0060702E" w:rsidRDefault="00BA6FF2" w:rsidP="00D805DF">
            <w:pPr>
              <w:autoSpaceDE w:val="0"/>
              <w:autoSpaceDN w:val="0"/>
              <w:adjustRightInd w:val="0"/>
              <w:spacing w:before="40" w:after="40"/>
              <w:jc w:val="left"/>
              <w:rPr>
                <w:rFonts w:eastAsia="MS Mincho" w:cs="Arial"/>
                <w:color w:val="000000"/>
                <w:sz w:val="18"/>
                <w:szCs w:val="18"/>
                <w:lang w:eastAsia="ja-JP"/>
              </w:rPr>
            </w:pPr>
            <w:r w:rsidRPr="0060702E">
              <w:rPr>
                <w:rFonts w:eastAsia="MS Mincho" w:cs="Arial"/>
                <w:color w:val="000000"/>
                <w:sz w:val="18"/>
                <w:szCs w:val="18"/>
                <w:lang w:eastAsia="ja-JP"/>
              </w:rPr>
              <w:t>Sept. 2012</w:t>
            </w:r>
          </w:p>
        </w:tc>
        <w:tc>
          <w:tcPr>
            <w:tcW w:w="6348" w:type="dxa"/>
            <w:shd w:val="clear" w:color="auto" w:fill="auto"/>
            <w:tcMar>
              <w:left w:w="57" w:type="dxa"/>
              <w:right w:w="57" w:type="dxa"/>
            </w:tcMar>
          </w:tcPr>
          <w:p w:rsidR="00BA6FF2" w:rsidRPr="0060702E" w:rsidRDefault="00BA6FF2" w:rsidP="00D805DF">
            <w:pPr>
              <w:autoSpaceDE w:val="0"/>
              <w:autoSpaceDN w:val="0"/>
              <w:adjustRightInd w:val="0"/>
              <w:spacing w:before="40" w:after="40"/>
              <w:jc w:val="left"/>
              <w:rPr>
                <w:rFonts w:eastAsia="MS Mincho" w:cs="Arial"/>
                <w:color w:val="000000"/>
                <w:sz w:val="18"/>
                <w:szCs w:val="18"/>
                <w:lang w:eastAsia="ja-JP"/>
              </w:rPr>
            </w:pPr>
            <w:r w:rsidRPr="0060702E">
              <w:rPr>
                <w:rFonts w:eastAsia="MS Mincho" w:cs="Arial"/>
                <w:color w:val="000000"/>
                <w:sz w:val="18"/>
                <w:szCs w:val="18"/>
                <w:lang w:eastAsia="ja-JP"/>
              </w:rPr>
              <w:t xml:space="preserve">JICA Training Course </w:t>
            </w:r>
            <w:r w:rsidRPr="0060702E">
              <w:rPr>
                <w:sz w:val="18"/>
                <w:szCs w:val="18"/>
              </w:rPr>
              <w:t>on “Internationally Harmonized Plant Variety Protection System” (Japan)</w:t>
            </w:r>
          </w:p>
        </w:tc>
        <w:tc>
          <w:tcPr>
            <w:tcW w:w="1170" w:type="dxa"/>
            <w:shd w:val="clear" w:color="auto" w:fill="auto"/>
            <w:tcMar>
              <w:left w:w="57" w:type="dxa"/>
              <w:right w:w="57" w:type="dxa"/>
            </w:tcMar>
          </w:tcPr>
          <w:p w:rsidR="00BA6FF2" w:rsidRPr="0060702E" w:rsidRDefault="00BA6FF2" w:rsidP="00D805DF">
            <w:pPr>
              <w:autoSpaceDE w:val="0"/>
              <w:autoSpaceDN w:val="0"/>
              <w:adjustRightInd w:val="0"/>
              <w:spacing w:before="40" w:after="40"/>
              <w:jc w:val="left"/>
              <w:rPr>
                <w:rFonts w:eastAsia="MS Mincho" w:cs="Arial"/>
                <w:color w:val="000000"/>
                <w:sz w:val="18"/>
                <w:szCs w:val="18"/>
                <w:lang w:eastAsia="ja-JP"/>
              </w:rPr>
            </w:pPr>
            <w:r w:rsidRPr="0060702E">
              <w:rPr>
                <w:rFonts w:eastAsia="MS Mincho" w:cs="Arial"/>
                <w:color w:val="000000"/>
                <w:sz w:val="18"/>
                <w:szCs w:val="18"/>
                <w:lang w:eastAsia="ja-JP"/>
              </w:rPr>
              <w:t>EN</w:t>
            </w:r>
          </w:p>
        </w:tc>
        <w:tc>
          <w:tcPr>
            <w:tcW w:w="1080" w:type="dxa"/>
            <w:shd w:val="clear" w:color="auto" w:fill="auto"/>
            <w:tcMar>
              <w:left w:w="57" w:type="dxa"/>
              <w:right w:w="57" w:type="dxa"/>
            </w:tcMar>
          </w:tcPr>
          <w:p w:rsidR="00BA6FF2" w:rsidRPr="0060702E" w:rsidRDefault="00BA6FF2" w:rsidP="00D805DF">
            <w:pPr>
              <w:autoSpaceDE w:val="0"/>
              <w:autoSpaceDN w:val="0"/>
              <w:adjustRightInd w:val="0"/>
              <w:spacing w:before="40" w:after="40"/>
              <w:jc w:val="center"/>
              <w:rPr>
                <w:rFonts w:eastAsia="MS Mincho" w:cs="Arial"/>
                <w:color w:val="000000"/>
                <w:sz w:val="18"/>
                <w:szCs w:val="18"/>
                <w:lang w:eastAsia="ja-JP"/>
              </w:rPr>
            </w:pPr>
            <w:r w:rsidRPr="0060702E">
              <w:rPr>
                <w:rFonts w:eastAsia="MS Mincho" w:cs="Arial"/>
                <w:color w:val="000000"/>
                <w:sz w:val="18"/>
                <w:szCs w:val="18"/>
                <w:lang w:eastAsia="ja-JP"/>
              </w:rPr>
              <w:t>9</w:t>
            </w:r>
          </w:p>
        </w:tc>
      </w:tr>
      <w:tr w:rsidR="00BA6FF2" w:rsidRPr="0060702E" w:rsidTr="0083250C">
        <w:tc>
          <w:tcPr>
            <w:tcW w:w="1117" w:type="dxa"/>
            <w:shd w:val="clear" w:color="auto" w:fill="auto"/>
            <w:tcMar>
              <w:left w:w="57" w:type="dxa"/>
              <w:right w:w="57" w:type="dxa"/>
            </w:tcMar>
          </w:tcPr>
          <w:p w:rsidR="00BA6FF2" w:rsidRPr="0060702E" w:rsidRDefault="00BA6FF2" w:rsidP="00D805DF">
            <w:pPr>
              <w:autoSpaceDE w:val="0"/>
              <w:autoSpaceDN w:val="0"/>
              <w:adjustRightInd w:val="0"/>
              <w:spacing w:before="40" w:after="40"/>
              <w:jc w:val="left"/>
              <w:rPr>
                <w:rFonts w:eastAsia="MS Mincho" w:cs="Arial"/>
                <w:color w:val="000000"/>
                <w:sz w:val="18"/>
                <w:szCs w:val="18"/>
                <w:lang w:eastAsia="ja-JP"/>
              </w:rPr>
            </w:pPr>
            <w:r w:rsidRPr="0060702E">
              <w:rPr>
                <w:rFonts w:eastAsia="MS Mincho" w:cs="Arial"/>
                <w:color w:val="000000"/>
                <w:sz w:val="18"/>
                <w:szCs w:val="18"/>
                <w:lang w:eastAsia="ja-JP"/>
              </w:rPr>
              <w:t>Dec. 2012</w:t>
            </w:r>
          </w:p>
        </w:tc>
        <w:tc>
          <w:tcPr>
            <w:tcW w:w="6348" w:type="dxa"/>
            <w:shd w:val="clear" w:color="auto" w:fill="auto"/>
            <w:tcMar>
              <w:left w:w="57" w:type="dxa"/>
              <w:right w:w="57" w:type="dxa"/>
            </w:tcMar>
          </w:tcPr>
          <w:p w:rsidR="00BA6FF2" w:rsidRPr="0060702E" w:rsidRDefault="00BA6FF2" w:rsidP="00D805DF">
            <w:pPr>
              <w:autoSpaceDE w:val="0"/>
              <w:autoSpaceDN w:val="0"/>
              <w:adjustRightInd w:val="0"/>
              <w:spacing w:before="40" w:after="40"/>
              <w:jc w:val="left"/>
              <w:rPr>
                <w:rFonts w:eastAsia="MS Mincho" w:cs="Arial"/>
                <w:color w:val="000000"/>
                <w:sz w:val="18"/>
                <w:szCs w:val="18"/>
                <w:lang w:eastAsia="ja-JP"/>
              </w:rPr>
            </w:pPr>
            <w:r w:rsidRPr="0060702E">
              <w:rPr>
                <w:rFonts w:eastAsia="MS Mincho" w:cs="Arial"/>
                <w:color w:val="000000"/>
                <w:sz w:val="18"/>
                <w:szCs w:val="18"/>
                <w:lang w:eastAsia="ja-JP"/>
              </w:rPr>
              <w:t xml:space="preserve">XI Training Course for </w:t>
            </w:r>
            <w:proofErr w:type="spellStart"/>
            <w:r w:rsidRPr="0060702E">
              <w:rPr>
                <w:rFonts w:eastAsia="MS Mincho" w:cs="Arial"/>
                <w:color w:val="000000"/>
                <w:sz w:val="18"/>
                <w:szCs w:val="18"/>
                <w:lang w:eastAsia="ja-JP"/>
              </w:rPr>
              <w:t>Ibero</w:t>
            </w:r>
            <w:proofErr w:type="spellEnd"/>
            <w:r w:rsidRPr="0060702E">
              <w:rPr>
                <w:rFonts w:eastAsia="MS Mincho" w:cs="Arial"/>
                <w:color w:val="000000"/>
                <w:sz w:val="18"/>
                <w:szCs w:val="18"/>
                <w:lang w:eastAsia="ja-JP"/>
              </w:rPr>
              <w:t>-American Countries on the Protection of New Varieties of Plants (Uruguay)</w:t>
            </w:r>
          </w:p>
        </w:tc>
        <w:tc>
          <w:tcPr>
            <w:tcW w:w="1170" w:type="dxa"/>
            <w:shd w:val="clear" w:color="auto" w:fill="auto"/>
            <w:tcMar>
              <w:left w:w="57" w:type="dxa"/>
              <w:right w:w="57" w:type="dxa"/>
            </w:tcMar>
          </w:tcPr>
          <w:p w:rsidR="00BA6FF2" w:rsidRPr="0060702E" w:rsidRDefault="00BA6FF2" w:rsidP="00D805DF">
            <w:pPr>
              <w:autoSpaceDE w:val="0"/>
              <w:autoSpaceDN w:val="0"/>
              <w:adjustRightInd w:val="0"/>
              <w:spacing w:before="40" w:after="40"/>
              <w:jc w:val="left"/>
              <w:rPr>
                <w:rFonts w:eastAsia="MS Mincho" w:cs="Arial"/>
                <w:color w:val="000000"/>
                <w:sz w:val="18"/>
                <w:szCs w:val="18"/>
                <w:lang w:eastAsia="ja-JP"/>
              </w:rPr>
            </w:pPr>
            <w:r w:rsidRPr="0060702E">
              <w:rPr>
                <w:rFonts w:eastAsia="MS Mincho" w:cs="Arial"/>
                <w:color w:val="000000"/>
                <w:sz w:val="18"/>
                <w:szCs w:val="18"/>
                <w:lang w:eastAsia="ja-JP"/>
              </w:rPr>
              <w:t>ES</w:t>
            </w:r>
          </w:p>
        </w:tc>
        <w:tc>
          <w:tcPr>
            <w:tcW w:w="1080" w:type="dxa"/>
            <w:shd w:val="clear" w:color="auto" w:fill="auto"/>
            <w:tcMar>
              <w:left w:w="57" w:type="dxa"/>
              <w:right w:w="57" w:type="dxa"/>
            </w:tcMar>
          </w:tcPr>
          <w:p w:rsidR="00BA6FF2" w:rsidRPr="0060702E" w:rsidRDefault="00BA6FF2" w:rsidP="00D805DF">
            <w:pPr>
              <w:autoSpaceDE w:val="0"/>
              <w:autoSpaceDN w:val="0"/>
              <w:adjustRightInd w:val="0"/>
              <w:spacing w:before="40" w:after="40"/>
              <w:jc w:val="center"/>
              <w:rPr>
                <w:rFonts w:eastAsia="MS Mincho" w:cs="Arial"/>
                <w:color w:val="000000"/>
                <w:sz w:val="18"/>
                <w:szCs w:val="18"/>
                <w:lang w:eastAsia="ja-JP"/>
              </w:rPr>
            </w:pPr>
            <w:r w:rsidRPr="0060702E">
              <w:rPr>
                <w:rFonts w:eastAsia="MS Mincho" w:cs="Arial"/>
                <w:color w:val="000000"/>
                <w:sz w:val="18"/>
                <w:szCs w:val="18"/>
                <w:lang w:eastAsia="ja-JP"/>
              </w:rPr>
              <w:t>12</w:t>
            </w:r>
          </w:p>
        </w:tc>
      </w:tr>
      <w:tr w:rsidR="00BA6FF2" w:rsidRPr="0060702E" w:rsidTr="0083250C">
        <w:tc>
          <w:tcPr>
            <w:tcW w:w="1117" w:type="dxa"/>
            <w:tcMar>
              <w:left w:w="57" w:type="dxa"/>
              <w:right w:w="57" w:type="dxa"/>
            </w:tcMar>
          </w:tcPr>
          <w:p w:rsidR="00BA6FF2" w:rsidRPr="0060702E" w:rsidRDefault="00BA6FF2" w:rsidP="00D805DF">
            <w:pPr>
              <w:autoSpaceDE w:val="0"/>
              <w:autoSpaceDN w:val="0"/>
              <w:adjustRightInd w:val="0"/>
              <w:spacing w:before="40" w:after="40"/>
              <w:jc w:val="left"/>
              <w:rPr>
                <w:rFonts w:eastAsia="MS Mincho" w:cs="Arial"/>
                <w:color w:val="000000"/>
                <w:sz w:val="18"/>
                <w:szCs w:val="18"/>
                <w:lang w:eastAsia="ja-JP"/>
              </w:rPr>
            </w:pPr>
            <w:r w:rsidRPr="0060702E">
              <w:rPr>
                <w:rFonts w:eastAsia="MS Mincho" w:cs="Arial"/>
                <w:color w:val="000000"/>
                <w:sz w:val="18"/>
                <w:szCs w:val="18"/>
                <w:lang w:eastAsia="ja-JP"/>
              </w:rPr>
              <w:t>June 2013</w:t>
            </w:r>
          </w:p>
        </w:tc>
        <w:tc>
          <w:tcPr>
            <w:tcW w:w="6348" w:type="dxa"/>
            <w:tcMar>
              <w:left w:w="57" w:type="dxa"/>
              <w:right w:w="57" w:type="dxa"/>
            </w:tcMar>
          </w:tcPr>
          <w:p w:rsidR="00BA6FF2" w:rsidRPr="0060702E" w:rsidRDefault="00BA6FF2" w:rsidP="00D805DF">
            <w:pPr>
              <w:autoSpaceDE w:val="0"/>
              <w:autoSpaceDN w:val="0"/>
              <w:adjustRightInd w:val="0"/>
              <w:spacing w:before="40" w:after="40"/>
              <w:jc w:val="left"/>
              <w:rPr>
                <w:rFonts w:eastAsia="MS Mincho" w:cs="Arial"/>
                <w:color w:val="000000"/>
                <w:sz w:val="18"/>
                <w:szCs w:val="18"/>
                <w:lang w:eastAsia="ja-JP"/>
              </w:rPr>
            </w:pPr>
            <w:proofErr w:type="spellStart"/>
            <w:r w:rsidRPr="0060702E">
              <w:rPr>
                <w:rFonts w:eastAsia="MS Mincho" w:cs="Arial"/>
                <w:color w:val="000000"/>
                <w:sz w:val="18"/>
                <w:szCs w:val="18"/>
                <w:lang w:eastAsia="ja-JP"/>
              </w:rPr>
              <w:t>Naktuinbouw</w:t>
            </w:r>
            <w:proofErr w:type="spellEnd"/>
            <w:r w:rsidRPr="0060702E">
              <w:rPr>
                <w:rFonts w:eastAsia="MS Mincho" w:cs="Arial"/>
                <w:color w:val="000000"/>
                <w:sz w:val="18"/>
                <w:szCs w:val="18"/>
                <w:lang w:eastAsia="ja-JP"/>
              </w:rPr>
              <w:t xml:space="preserve"> International Course on Plant Variety Protection Course (Netherlands)</w:t>
            </w:r>
          </w:p>
        </w:tc>
        <w:tc>
          <w:tcPr>
            <w:tcW w:w="1170" w:type="dxa"/>
            <w:tcMar>
              <w:left w:w="57" w:type="dxa"/>
              <w:right w:w="57" w:type="dxa"/>
            </w:tcMar>
          </w:tcPr>
          <w:p w:rsidR="00BA6FF2" w:rsidRPr="0060702E" w:rsidRDefault="00BA6FF2" w:rsidP="00D805DF">
            <w:pPr>
              <w:autoSpaceDE w:val="0"/>
              <w:autoSpaceDN w:val="0"/>
              <w:adjustRightInd w:val="0"/>
              <w:spacing w:before="40" w:after="40"/>
              <w:jc w:val="left"/>
              <w:rPr>
                <w:rFonts w:eastAsia="MS Mincho" w:cs="Arial"/>
                <w:color w:val="000000"/>
                <w:sz w:val="18"/>
                <w:szCs w:val="18"/>
                <w:lang w:eastAsia="ja-JP"/>
              </w:rPr>
            </w:pPr>
            <w:r w:rsidRPr="0060702E">
              <w:rPr>
                <w:rFonts w:eastAsia="MS Mincho" w:cs="Arial"/>
                <w:color w:val="000000"/>
                <w:sz w:val="18"/>
                <w:szCs w:val="18"/>
                <w:lang w:eastAsia="ja-JP"/>
              </w:rPr>
              <w:t>EN</w:t>
            </w:r>
          </w:p>
        </w:tc>
        <w:tc>
          <w:tcPr>
            <w:tcW w:w="1080" w:type="dxa"/>
            <w:tcMar>
              <w:left w:w="57" w:type="dxa"/>
              <w:right w:w="57" w:type="dxa"/>
            </w:tcMar>
          </w:tcPr>
          <w:p w:rsidR="00BA6FF2" w:rsidRPr="0060702E" w:rsidRDefault="00BA6FF2" w:rsidP="00D805DF">
            <w:pPr>
              <w:autoSpaceDE w:val="0"/>
              <w:autoSpaceDN w:val="0"/>
              <w:adjustRightInd w:val="0"/>
              <w:spacing w:before="40" w:after="40"/>
              <w:jc w:val="center"/>
              <w:rPr>
                <w:rFonts w:eastAsia="MS Mincho" w:cs="Arial"/>
                <w:color w:val="000000"/>
                <w:sz w:val="18"/>
                <w:szCs w:val="18"/>
                <w:lang w:eastAsia="ja-JP"/>
              </w:rPr>
            </w:pPr>
            <w:r w:rsidRPr="0060702E">
              <w:rPr>
                <w:rFonts w:eastAsia="MS Mincho" w:cs="Arial"/>
                <w:color w:val="000000"/>
                <w:sz w:val="18"/>
                <w:szCs w:val="18"/>
                <w:lang w:eastAsia="ja-JP"/>
              </w:rPr>
              <w:t>30</w:t>
            </w:r>
          </w:p>
        </w:tc>
      </w:tr>
      <w:tr w:rsidR="00BA6FF2" w:rsidRPr="0060702E" w:rsidTr="0083250C">
        <w:tc>
          <w:tcPr>
            <w:tcW w:w="1117" w:type="dxa"/>
            <w:tcMar>
              <w:left w:w="57" w:type="dxa"/>
              <w:right w:w="57" w:type="dxa"/>
            </w:tcMar>
          </w:tcPr>
          <w:p w:rsidR="00BA6FF2" w:rsidRPr="0060702E" w:rsidRDefault="00BA6FF2" w:rsidP="00D805DF">
            <w:pPr>
              <w:autoSpaceDE w:val="0"/>
              <w:autoSpaceDN w:val="0"/>
              <w:adjustRightInd w:val="0"/>
              <w:spacing w:before="40" w:after="40"/>
              <w:jc w:val="left"/>
              <w:rPr>
                <w:rFonts w:eastAsia="MS Mincho" w:cs="Arial"/>
                <w:color w:val="000000"/>
                <w:sz w:val="18"/>
                <w:szCs w:val="18"/>
                <w:lang w:eastAsia="ja-JP"/>
              </w:rPr>
            </w:pPr>
            <w:r w:rsidRPr="0060702E">
              <w:rPr>
                <w:rFonts w:eastAsia="MS Mincho" w:cs="Arial"/>
                <w:color w:val="000000"/>
                <w:sz w:val="18"/>
                <w:szCs w:val="18"/>
                <w:lang w:eastAsia="ja-JP"/>
              </w:rPr>
              <w:t>July 2013</w:t>
            </w:r>
          </w:p>
        </w:tc>
        <w:tc>
          <w:tcPr>
            <w:tcW w:w="6348" w:type="dxa"/>
            <w:tcMar>
              <w:left w:w="57" w:type="dxa"/>
              <w:right w:w="57" w:type="dxa"/>
            </w:tcMar>
          </w:tcPr>
          <w:p w:rsidR="00BA6FF2" w:rsidRPr="0060702E" w:rsidRDefault="00BA6FF2" w:rsidP="00D805DF">
            <w:pPr>
              <w:autoSpaceDE w:val="0"/>
              <w:autoSpaceDN w:val="0"/>
              <w:adjustRightInd w:val="0"/>
              <w:spacing w:before="40" w:after="40"/>
              <w:jc w:val="left"/>
              <w:rPr>
                <w:rFonts w:eastAsia="MS Mincho" w:cs="Arial"/>
                <w:color w:val="000000"/>
                <w:sz w:val="18"/>
                <w:szCs w:val="18"/>
                <w:lang w:eastAsia="ja-JP"/>
              </w:rPr>
            </w:pPr>
            <w:r w:rsidRPr="0060702E">
              <w:rPr>
                <w:rFonts w:eastAsia="MS Mincho" w:cs="Arial"/>
                <w:color w:val="000000"/>
                <w:sz w:val="18"/>
                <w:szCs w:val="18"/>
                <w:lang w:eastAsia="ja-JP"/>
              </w:rPr>
              <w:t>KOICA Training Course on Plant Variety Protection (Republic of Korea)</w:t>
            </w:r>
          </w:p>
        </w:tc>
        <w:tc>
          <w:tcPr>
            <w:tcW w:w="1170" w:type="dxa"/>
            <w:tcMar>
              <w:left w:w="57" w:type="dxa"/>
              <w:right w:w="57" w:type="dxa"/>
            </w:tcMar>
          </w:tcPr>
          <w:p w:rsidR="00BA6FF2" w:rsidRPr="0060702E" w:rsidRDefault="00BA6FF2" w:rsidP="00D805DF">
            <w:pPr>
              <w:autoSpaceDE w:val="0"/>
              <w:autoSpaceDN w:val="0"/>
              <w:adjustRightInd w:val="0"/>
              <w:spacing w:before="40" w:after="40"/>
              <w:jc w:val="left"/>
              <w:rPr>
                <w:rFonts w:eastAsia="MS Mincho" w:cs="Arial"/>
                <w:color w:val="000000"/>
                <w:sz w:val="18"/>
                <w:szCs w:val="18"/>
                <w:lang w:eastAsia="ja-JP"/>
              </w:rPr>
            </w:pPr>
            <w:r w:rsidRPr="0060702E">
              <w:rPr>
                <w:rFonts w:eastAsia="MS Mincho" w:cs="Arial"/>
                <w:color w:val="000000"/>
                <w:sz w:val="18"/>
                <w:szCs w:val="18"/>
                <w:lang w:eastAsia="ja-JP"/>
              </w:rPr>
              <w:t>EN</w:t>
            </w:r>
          </w:p>
        </w:tc>
        <w:tc>
          <w:tcPr>
            <w:tcW w:w="1080" w:type="dxa"/>
            <w:tcMar>
              <w:left w:w="57" w:type="dxa"/>
              <w:right w:w="57" w:type="dxa"/>
            </w:tcMar>
          </w:tcPr>
          <w:p w:rsidR="00BA6FF2" w:rsidRPr="0060702E" w:rsidRDefault="00BA6FF2" w:rsidP="00D805DF">
            <w:pPr>
              <w:autoSpaceDE w:val="0"/>
              <w:autoSpaceDN w:val="0"/>
              <w:adjustRightInd w:val="0"/>
              <w:spacing w:before="40" w:after="40"/>
              <w:jc w:val="center"/>
              <w:rPr>
                <w:rFonts w:eastAsia="MS Mincho" w:cs="Arial"/>
                <w:color w:val="000000"/>
                <w:sz w:val="18"/>
                <w:szCs w:val="18"/>
                <w:lang w:eastAsia="ja-JP"/>
              </w:rPr>
            </w:pPr>
            <w:r w:rsidRPr="0060702E">
              <w:rPr>
                <w:rFonts w:eastAsia="MS Mincho" w:cs="Arial"/>
                <w:color w:val="000000"/>
                <w:sz w:val="18"/>
                <w:szCs w:val="18"/>
                <w:lang w:eastAsia="ja-JP"/>
              </w:rPr>
              <w:t>12</w:t>
            </w:r>
          </w:p>
        </w:tc>
      </w:tr>
      <w:tr w:rsidR="00BA6FF2" w:rsidRPr="0060702E" w:rsidTr="0083250C">
        <w:tc>
          <w:tcPr>
            <w:tcW w:w="1117" w:type="dxa"/>
            <w:shd w:val="clear" w:color="auto" w:fill="auto"/>
            <w:tcMar>
              <w:left w:w="57" w:type="dxa"/>
              <w:right w:w="57" w:type="dxa"/>
            </w:tcMar>
          </w:tcPr>
          <w:p w:rsidR="00BA6FF2" w:rsidRPr="0060702E" w:rsidRDefault="00BA6FF2" w:rsidP="00D805DF">
            <w:pPr>
              <w:autoSpaceDE w:val="0"/>
              <w:autoSpaceDN w:val="0"/>
              <w:adjustRightInd w:val="0"/>
              <w:spacing w:before="40" w:after="40"/>
              <w:jc w:val="left"/>
              <w:rPr>
                <w:rFonts w:eastAsia="MS Mincho" w:cs="Arial"/>
                <w:color w:val="000000"/>
                <w:sz w:val="18"/>
                <w:szCs w:val="18"/>
                <w:lang w:eastAsia="ja-JP"/>
              </w:rPr>
            </w:pPr>
          </w:p>
        </w:tc>
        <w:tc>
          <w:tcPr>
            <w:tcW w:w="6348" w:type="dxa"/>
            <w:shd w:val="clear" w:color="auto" w:fill="auto"/>
            <w:tcMar>
              <w:left w:w="57" w:type="dxa"/>
              <w:right w:w="57" w:type="dxa"/>
            </w:tcMar>
          </w:tcPr>
          <w:p w:rsidR="00BA6FF2" w:rsidRPr="0060702E" w:rsidRDefault="00BA6FF2" w:rsidP="00D805DF">
            <w:pPr>
              <w:autoSpaceDE w:val="0"/>
              <w:autoSpaceDN w:val="0"/>
              <w:adjustRightInd w:val="0"/>
              <w:spacing w:before="40" w:after="40"/>
              <w:jc w:val="left"/>
              <w:rPr>
                <w:rFonts w:eastAsia="MS Mincho" w:cs="Arial"/>
                <w:color w:val="000000"/>
                <w:sz w:val="18"/>
                <w:szCs w:val="18"/>
                <w:lang w:eastAsia="ja-JP"/>
              </w:rPr>
            </w:pPr>
            <w:r w:rsidRPr="0060702E">
              <w:rPr>
                <w:rFonts w:eastAsia="MS Mincho" w:cs="Arial"/>
                <w:color w:val="000000"/>
                <w:sz w:val="18"/>
                <w:szCs w:val="18"/>
                <w:lang w:eastAsia="ja-JP"/>
              </w:rPr>
              <w:t xml:space="preserve">JICA Training Course </w:t>
            </w:r>
            <w:r w:rsidRPr="0060702E">
              <w:rPr>
                <w:sz w:val="18"/>
                <w:szCs w:val="18"/>
              </w:rPr>
              <w:t>on “Internationally Harmonized Plant Variety Protection System” (Japan)</w:t>
            </w:r>
          </w:p>
        </w:tc>
        <w:tc>
          <w:tcPr>
            <w:tcW w:w="1170" w:type="dxa"/>
            <w:shd w:val="clear" w:color="auto" w:fill="auto"/>
            <w:tcMar>
              <w:left w:w="57" w:type="dxa"/>
              <w:right w:w="57" w:type="dxa"/>
            </w:tcMar>
          </w:tcPr>
          <w:p w:rsidR="00BA6FF2" w:rsidRPr="0060702E" w:rsidRDefault="00BA6FF2" w:rsidP="00D805DF">
            <w:pPr>
              <w:autoSpaceDE w:val="0"/>
              <w:autoSpaceDN w:val="0"/>
              <w:adjustRightInd w:val="0"/>
              <w:spacing w:before="40" w:after="40"/>
              <w:jc w:val="left"/>
              <w:rPr>
                <w:rFonts w:eastAsia="MS Mincho" w:cs="Arial"/>
                <w:color w:val="000000"/>
                <w:sz w:val="18"/>
                <w:szCs w:val="18"/>
                <w:lang w:eastAsia="ja-JP"/>
              </w:rPr>
            </w:pPr>
            <w:r w:rsidRPr="0060702E">
              <w:rPr>
                <w:rFonts w:eastAsia="MS Mincho" w:cs="Arial"/>
                <w:color w:val="000000"/>
                <w:sz w:val="18"/>
                <w:szCs w:val="18"/>
                <w:lang w:eastAsia="ja-JP"/>
              </w:rPr>
              <w:t>EN</w:t>
            </w:r>
          </w:p>
        </w:tc>
        <w:tc>
          <w:tcPr>
            <w:tcW w:w="1080" w:type="dxa"/>
            <w:shd w:val="clear" w:color="auto" w:fill="auto"/>
            <w:tcMar>
              <w:left w:w="57" w:type="dxa"/>
              <w:right w:w="57" w:type="dxa"/>
            </w:tcMar>
          </w:tcPr>
          <w:p w:rsidR="00BA6FF2" w:rsidRPr="0060702E" w:rsidRDefault="00BA6FF2" w:rsidP="00D805DF">
            <w:pPr>
              <w:autoSpaceDE w:val="0"/>
              <w:autoSpaceDN w:val="0"/>
              <w:adjustRightInd w:val="0"/>
              <w:spacing w:before="40" w:after="40"/>
              <w:jc w:val="center"/>
              <w:rPr>
                <w:rFonts w:eastAsia="MS Mincho" w:cs="Arial"/>
                <w:color w:val="000000"/>
                <w:sz w:val="18"/>
                <w:szCs w:val="18"/>
                <w:lang w:eastAsia="ja-JP"/>
              </w:rPr>
            </w:pPr>
            <w:r w:rsidRPr="0060702E">
              <w:rPr>
                <w:rFonts w:eastAsia="MS Mincho" w:cs="Arial"/>
                <w:color w:val="000000"/>
                <w:sz w:val="18"/>
                <w:szCs w:val="18"/>
                <w:lang w:eastAsia="ja-JP"/>
              </w:rPr>
              <w:t>9</w:t>
            </w:r>
          </w:p>
        </w:tc>
      </w:tr>
      <w:tr w:rsidR="00BA6FF2" w:rsidRPr="0060702E" w:rsidTr="0083250C">
        <w:tc>
          <w:tcPr>
            <w:tcW w:w="1117" w:type="dxa"/>
            <w:shd w:val="clear" w:color="auto" w:fill="auto"/>
            <w:tcMar>
              <w:left w:w="57" w:type="dxa"/>
              <w:right w:w="57" w:type="dxa"/>
            </w:tcMar>
          </w:tcPr>
          <w:p w:rsidR="00BA6FF2" w:rsidRPr="0060702E" w:rsidRDefault="00BA6FF2" w:rsidP="00D805DF">
            <w:pPr>
              <w:autoSpaceDE w:val="0"/>
              <w:autoSpaceDN w:val="0"/>
              <w:adjustRightInd w:val="0"/>
              <w:spacing w:before="40" w:after="40"/>
              <w:jc w:val="left"/>
              <w:rPr>
                <w:rFonts w:eastAsia="MS Mincho" w:cs="Arial"/>
                <w:color w:val="000000"/>
                <w:sz w:val="18"/>
                <w:szCs w:val="18"/>
                <w:lang w:eastAsia="ja-JP"/>
              </w:rPr>
            </w:pPr>
            <w:r w:rsidRPr="0060702E">
              <w:rPr>
                <w:rFonts w:eastAsia="MS Mincho" w:cs="Arial"/>
                <w:color w:val="000000"/>
                <w:sz w:val="18"/>
                <w:szCs w:val="18"/>
                <w:lang w:eastAsia="ja-JP"/>
              </w:rPr>
              <w:t>October 2013</w:t>
            </w:r>
          </w:p>
        </w:tc>
        <w:tc>
          <w:tcPr>
            <w:tcW w:w="6348" w:type="dxa"/>
            <w:shd w:val="clear" w:color="auto" w:fill="auto"/>
            <w:tcMar>
              <w:left w:w="57" w:type="dxa"/>
              <w:right w:w="57" w:type="dxa"/>
            </w:tcMar>
          </w:tcPr>
          <w:p w:rsidR="00BA6FF2" w:rsidRPr="0060702E" w:rsidRDefault="00BA6FF2" w:rsidP="00D805DF">
            <w:pPr>
              <w:autoSpaceDE w:val="0"/>
              <w:autoSpaceDN w:val="0"/>
              <w:adjustRightInd w:val="0"/>
              <w:spacing w:before="40" w:after="40"/>
              <w:jc w:val="left"/>
              <w:rPr>
                <w:rFonts w:eastAsia="MS Mincho" w:cs="Arial"/>
                <w:color w:val="000000"/>
                <w:sz w:val="18"/>
                <w:szCs w:val="18"/>
                <w:lang w:eastAsia="ja-JP"/>
              </w:rPr>
            </w:pPr>
            <w:r w:rsidRPr="0060702E">
              <w:rPr>
                <w:rFonts w:eastAsia="MS Mincho" w:cs="Arial"/>
                <w:color w:val="000000"/>
                <w:sz w:val="18"/>
                <w:szCs w:val="18"/>
                <w:lang w:eastAsia="ja-JP"/>
              </w:rPr>
              <w:t xml:space="preserve">XII Training Course for </w:t>
            </w:r>
            <w:proofErr w:type="spellStart"/>
            <w:r w:rsidRPr="0060702E">
              <w:rPr>
                <w:rFonts w:eastAsia="MS Mincho" w:cs="Arial"/>
                <w:color w:val="000000"/>
                <w:sz w:val="18"/>
                <w:szCs w:val="18"/>
                <w:lang w:eastAsia="ja-JP"/>
              </w:rPr>
              <w:t>Ibero</w:t>
            </w:r>
            <w:proofErr w:type="spellEnd"/>
            <w:r w:rsidRPr="0060702E">
              <w:rPr>
                <w:rFonts w:eastAsia="MS Mincho" w:cs="Arial"/>
                <w:color w:val="000000"/>
                <w:sz w:val="18"/>
                <w:szCs w:val="18"/>
                <w:lang w:eastAsia="ja-JP"/>
              </w:rPr>
              <w:t>-American Countries on the Protection of New Varieties of Plants (Uruguay)</w:t>
            </w:r>
          </w:p>
        </w:tc>
        <w:tc>
          <w:tcPr>
            <w:tcW w:w="1170" w:type="dxa"/>
            <w:shd w:val="clear" w:color="auto" w:fill="auto"/>
            <w:tcMar>
              <w:left w:w="57" w:type="dxa"/>
              <w:right w:w="57" w:type="dxa"/>
            </w:tcMar>
          </w:tcPr>
          <w:p w:rsidR="00BA6FF2" w:rsidRPr="0060702E" w:rsidRDefault="00BA6FF2" w:rsidP="00D805DF">
            <w:pPr>
              <w:autoSpaceDE w:val="0"/>
              <w:autoSpaceDN w:val="0"/>
              <w:adjustRightInd w:val="0"/>
              <w:spacing w:before="40" w:after="40"/>
              <w:jc w:val="left"/>
              <w:rPr>
                <w:rFonts w:eastAsia="MS Mincho" w:cs="Arial"/>
                <w:color w:val="000000"/>
                <w:sz w:val="18"/>
                <w:szCs w:val="18"/>
                <w:lang w:eastAsia="ja-JP"/>
              </w:rPr>
            </w:pPr>
            <w:r w:rsidRPr="0060702E">
              <w:rPr>
                <w:rFonts w:eastAsia="MS Mincho" w:cs="Arial"/>
                <w:color w:val="000000"/>
                <w:sz w:val="18"/>
                <w:szCs w:val="18"/>
                <w:lang w:eastAsia="ja-JP"/>
              </w:rPr>
              <w:t>ES</w:t>
            </w:r>
          </w:p>
        </w:tc>
        <w:tc>
          <w:tcPr>
            <w:tcW w:w="1080" w:type="dxa"/>
            <w:shd w:val="clear" w:color="auto" w:fill="auto"/>
            <w:tcMar>
              <w:left w:w="57" w:type="dxa"/>
              <w:right w:w="57" w:type="dxa"/>
            </w:tcMar>
          </w:tcPr>
          <w:p w:rsidR="00BA6FF2" w:rsidRPr="0060702E" w:rsidRDefault="00BA6FF2" w:rsidP="00D805DF">
            <w:pPr>
              <w:autoSpaceDE w:val="0"/>
              <w:autoSpaceDN w:val="0"/>
              <w:adjustRightInd w:val="0"/>
              <w:spacing w:before="40" w:after="40"/>
              <w:jc w:val="center"/>
              <w:rPr>
                <w:rFonts w:eastAsia="MS Mincho" w:cs="Arial"/>
                <w:color w:val="000000"/>
                <w:sz w:val="18"/>
                <w:szCs w:val="18"/>
                <w:lang w:eastAsia="ja-JP"/>
              </w:rPr>
            </w:pPr>
            <w:r w:rsidRPr="0060702E">
              <w:rPr>
                <w:rFonts w:eastAsia="MS Mincho" w:cs="Arial"/>
                <w:color w:val="000000"/>
                <w:sz w:val="18"/>
                <w:szCs w:val="18"/>
                <w:lang w:eastAsia="ja-JP"/>
              </w:rPr>
              <w:t>11</w:t>
            </w:r>
          </w:p>
        </w:tc>
      </w:tr>
    </w:tbl>
    <w:p w:rsidR="00BA6FF2" w:rsidRPr="0060702E" w:rsidRDefault="00BA6FF2" w:rsidP="0083250C">
      <w:pPr>
        <w:pStyle w:val="Heading8"/>
        <w:keepNext/>
        <w:keepLines/>
        <w:widowControl w:val="0"/>
      </w:pPr>
      <w:bookmarkStart w:id="146" w:name="_Toc398739032"/>
      <w:r w:rsidRPr="0060702E">
        <w:t>(b)  Participation by observer States and organizations in the CAJ, TC, TWPs and the associated preparatory workshops</w:t>
      </w:r>
      <w:bookmarkEnd w:id="146"/>
    </w:p>
    <w:p w:rsidR="00BA6FF2" w:rsidRPr="0060702E" w:rsidRDefault="00BA6FF2" w:rsidP="0083250C">
      <w:pPr>
        <w:keepNext/>
        <w:keepLines/>
        <w:widowControl w:val="0"/>
        <w:jc w:val="left"/>
        <w:rPr>
          <w:sz w:val="18"/>
          <w:szCs w:val="18"/>
        </w:rPr>
      </w:pPr>
      <w:r w:rsidRPr="0060702E">
        <w:rPr>
          <w:sz w:val="18"/>
          <w:szCs w:val="18"/>
        </w:rPr>
        <w:t xml:space="preserve">See Sub-Program UV.2, </w:t>
      </w:r>
      <w:r w:rsidR="00873FF9" w:rsidRPr="0060702E">
        <w:rPr>
          <w:sz w:val="18"/>
          <w:szCs w:val="18"/>
        </w:rPr>
        <w:t xml:space="preserve">Section 2.2, </w:t>
      </w:r>
      <w:r w:rsidRPr="0060702E">
        <w:rPr>
          <w:sz w:val="18"/>
          <w:szCs w:val="18"/>
        </w:rPr>
        <w:t xml:space="preserve">performance indicator 4 “Participation by members of the Union and stakeholders in the work of the UPOV bodies”, sections (a) to (d) </w:t>
      </w:r>
    </w:p>
    <w:p w:rsidR="00BA6FF2" w:rsidRPr="0060702E" w:rsidRDefault="00BA6FF2" w:rsidP="00BA6FF2">
      <w:pPr>
        <w:jc w:val="left"/>
        <w:rPr>
          <w:sz w:val="18"/>
          <w:szCs w:val="18"/>
        </w:rPr>
      </w:pPr>
    </w:p>
    <w:p w:rsidR="00BA6FF2" w:rsidRPr="0060702E" w:rsidRDefault="00BA6FF2" w:rsidP="00BA6FF2">
      <w:pPr>
        <w:jc w:val="left"/>
        <w:rPr>
          <w:sz w:val="18"/>
          <w:szCs w:val="18"/>
        </w:rPr>
      </w:pPr>
    </w:p>
    <w:p w:rsidR="00BA6FF2" w:rsidRPr="0060702E" w:rsidRDefault="00BA6FF2" w:rsidP="00BA6FF2">
      <w:pPr>
        <w:pStyle w:val="Heading8"/>
        <w:rPr>
          <w:szCs w:val="18"/>
        </w:rPr>
      </w:pPr>
      <w:bookmarkStart w:id="147" w:name="_Toc393899363"/>
      <w:bookmarkStart w:id="148" w:name="_Toc398739033"/>
      <w:r w:rsidRPr="0060702E">
        <w:rPr>
          <w:szCs w:val="18"/>
        </w:rPr>
        <w:t>(c)  Participation in UPOV activities</w:t>
      </w:r>
      <w:bookmarkEnd w:id="147"/>
      <w:bookmarkEnd w:id="148"/>
    </w:p>
    <w:p w:rsidR="00BA6FF2" w:rsidRPr="0060702E" w:rsidRDefault="00BA6FF2" w:rsidP="00BA6FF2">
      <w:pPr>
        <w:jc w:val="left"/>
        <w:rPr>
          <w:sz w:val="18"/>
          <w:szCs w:val="18"/>
        </w:rPr>
      </w:pPr>
      <w:r w:rsidRPr="0060702E">
        <w:rPr>
          <w:sz w:val="18"/>
          <w:szCs w:val="18"/>
        </w:rPr>
        <w:t>See Sub-Program UV.3</w:t>
      </w:r>
      <w:r w:rsidR="00873FF9" w:rsidRPr="0060702E">
        <w:rPr>
          <w:sz w:val="18"/>
          <w:szCs w:val="18"/>
        </w:rPr>
        <w:t>, Section 2.3</w:t>
      </w:r>
      <w:r w:rsidRPr="0060702E">
        <w:rPr>
          <w:sz w:val="18"/>
          <w:szCs w:val="18"/>
        </w:rPr>
        <w:t>, performance indicator 1 “Raising awareness of the role of plant variety protection in accordance with the UPOV Convention”, section (b)</w:t>
      </w:r>
    </w:p>
    <w:p w:rsidR="00BA6FF2" w:rsidRPr="0060702E" w:rsidRDefault="00BA6FF2" w:rsidP="00BA6FF2">
      <w:pPr>
        <w:rPr>
          <w:sz w:val="18"/>
          <w:szCs w:val="18"/>
        </w:rPr>
      </w:pPr>
    </w:p>
    <w:p w:rsidR="00BA6FF2" w:rsidRPr="0060702E" w:rsidRDefault="00BA6FF2" w:rsidP="00BA6FF2">
      <w:pPr>
        <w:rPr>
          <w:sz w:val="18"/>
          <w:szCs w:val="18"/>
        </w:rPr>
      </w:pPr>
    </w:p>
    <w:p w:rsidR="00BA6FF2" w:rsidRPr="0060702E" w:rsidRDefault="00BA6FF2" w:rsidP="00BA6FF2">
      <w:pPr>
        <w:pStyle w:val="Heading8"/>
        <w:keepNext/>
      </w:pPr>
      <w:bookmarkStart w:id="149" w:name="_Toc398739034"/>
      <w:r w:rsidRPr="0060702E">
        <w:t>(d)  Participation in activities involving UPOV staff or UPOV trainers on behalf of UPOV staff</w:t>
      </w:r>
      <w:bookmarkEnd w:id="149"/>
    </w:p>
    <w:p w:rsidR="00BA6FF2" w:rsidRPr="0060702E" w:rsidRDefault="00BA6FF2" w:rsidP="00BA6FF2">
      <w:pPr>
        <w:jc w:val="left"/>
        <w:rPr>
          <w:sz w:val="18"/>
          <w:szCs w:val="18"/>
        </w:rPr>
      </w:pPr>
      <w:r w:rsidRPr="0060702E">
        <w:rPr>
          <w:sz w:val="18"/>
          <w:szCs w:val="18"/>
        </w:rPr>
        <w:t xml:space="preserve">See Sub-Program UV.3, </w:t>
      </w:r>
      <w:r w:rsidR="00873FF9" w:rsidRPr="0060702E">
        <w:rPr>
          <w:sz w:val="18"/>
          <w:szCs w:val="18"/>
        </w:rPr>
        <w:t xml:space="preserve">Section 2.3, </w:t>
      </w:r>
      <w:r w:rsidRPr="0060702E">
        <w:rPr>
          <w:sz w:val="18"/>
          <w:szCs w:val="18"/>
        </w:rPr>
        <w:t>performance indicator 1 “Raising awareness of the role of plant variety protection in accordance with the UPOV Convention”, section (e)</w:t>
      </w:r>
    </w:p>
    <w:p w:rsidR="00BA6FF2" w:rsidRPr="0060702E" w:rsidRDefault="00BA6FF2" w:rsidP="00BA6FF2"/>
    <w:p w:rsidR="00BA6FF2" w:rsidRPr="0060702E" w:rsidRDefault="00BA6FF2" w:rsidP="00BA6FF2"/>
    <w:p w:rsidR="00BA6FF2" w:rsidRPr="0060702E" w:rsidRDefault="00BA6FF2" w:rsidP="00BA6FF2">
      <w:pPr>
        <w:pStyle w:val="Heading8"/>
        <w:rPr>
          <w:b/>
          <w:szCs w:val="18"/>
        </w:rPr>
      </w:pPr>
      <w:bookmarkStart w:id="150" w:name="_Toc393899365"/>
      <w:bookmarkStart w:id="151" w:name="_Toc398739035"/>
      <w:r w:rsidRPr="0060702E">
        <w:rPr>
          <w:szCs w:val="18"/>
        </w:rPr>
        <w:t>(e)  Training provided by UPOV trainers in non-UPOV activities</w:t>
      </w:r>
      <w:bookmarkEnd w:id="150"/>
      <w:bookmarkEnd w:id="151"/>
    </w:p>
    <w:p w:rsidR="00BA6FF2" w:rsidRPr="0060702E" w:rsidRDefault="00BA6FF2" w:rsidP="007E4A41">
      <w:pPr>
        <w:ind w:left="1134"/>
        <w:rPr>
          <w:sz w:val="18"/>
        </w:rPr>
      </w:pPr>
      <w:r w:rsidRPr="0060702E">
        <w:rPr>
          <w:sz w:val="18"/>
        </w:rPr>
        <w:t>2012</w:t>
      </w:r>
    </w:p>
    <w:p w:rsidR="00BA6FF2" w:rsidRPr="0060702E" w:rsidRDefault="00BA6FF2" w:rsidP="00BA6FF2"/>
    <w:tbl>
      <w:tblPr>
        <w:tblStyle w:val="TableGrid1"/>
        <w:tblW w:w="74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3444"/>
        <w:gridCol w:w="3956"/>
      </w:tblGrid>
      <w:tr w:rsidR="00BA6FF2" w:rsidRPr="0060702E" w:rsidTr="00D805DF">
        <w:trPr>
          <w:trHeight w:val="433"/>
          <w:jc w:val="center"/>
        </w:trPr>
        <w:tc>
          <w:tcPr>
            <w:tcW w:w="3444" w:type="dxa"/>
            <w:vAlign w:val="center"/>
          </w:tcPr>
          <w:p w:rsidR="00BA6FF2" w:rsidRPr="0060702E" w:rsidRDefault="00BA6FF2" w:rsidP="00D805DF">
            <w:pPr>
              <w:spacing w:before="40" w:after="40"/>
              <w:jc w:val="left"/>
              <w:rPr>
                <w:sz w:val="18"/>
              </w:rPr>
            </w:pPr>
            <w:r w:rsidRPr="0060702E">
              <w:rPr>
                <w:sz w:val="18"/>
              </w:rPr>
              <w:t>Training Venue (State)</w:t>
            </w:r>
          </w:p>
          <w:p w:rsidR="00BA6FF2" w:rsidRPr="0060702E" w:rsidRDefault="00BA6FF2" w:rsidP="00D805DF">
            <w:pPr>
              <w:spacing w:before="40" w:after="40"/>
              <w:jc w:val="left"/>
              <w:rPr>
                <w:sz w:val="18"/>
              </w:rPr>
            </w:pPr>
          </w:p>
        </w:tc>
        <w:tc>
          <w:tcPr>
            <w:tcW w:w="3956" w:type="dxa"/>
            <w:vAlign w:val="center"/>
          </w:tcPr>
          <w:p w:rsidR="00BA6FF2" w:rsidRPr="0060702E" w:rsidRDefault="00BA6FF2" w:rsidP="00D805DF">
            <w:pPr>
              <w:spacing w:before="40" w:after="40"/>
              <w:jc w:val="center"/>
              <w:rPr>
                <w:sz w:val="18"/>
              </w:rPr>
            </w:pPr>
            <w:r w:rsidRPr="0060702E">
              <w:rPr>
                <w:sz w:val="18"/>
              </w:rPr>
              <w:t>Participants by State/Organization</w:t>
            </w:r>
          </w:p>
          <w:p w:rsidR="00BA6FF2" w:rsidRPr="0060702E" w:rsidRDefault="00BA6FF2" w:rsidP="00D805DF">
            <w:pPr>
              <w:spacing w:before="40" w:after="40"/>
              <w:rPr>
                <w:sz w:val="18"/>
              </w:rPr>
            </w:pPr>
          </w:p>
        </w:tc>
      </w:tr>
      <w:tr w:rsidR="00BA6FF2" w:rsidRPr="0060702E" w:rsidTr="00D805DF">
        <w:trPr>
          <w:jc w:val="center"/>
        </w:trPr>
        <w:tc>
          <w:tcPr>
            <w:tcW w:w="3444" w:type="dxa"/>
          </w:tcPr>
          <w:p w:rsidR="00BA6FF2" w:rsidRPr="0060702E" w:rsidRDefault="00BA6FF2" w:rsidP="00D805DF">
            <w:pPr>
              <w:spacing w:before="40" w:after="40"/>
              <w:jc w:val="left"/>
              <w:rPr>
                <w:sz w:val="18"/>
              </w:rPr>
            </w:pPr>
            <w:r w:rsidRPr="0060702E">
              <w:rPr>
                <w:sz w:val="18"/>
              </w:rPr>
              <w:t>Philippines</w:t>
            </w:r>
          </w:p>
          <w:p w:rsidR="00BA6FF2" w:rsidRPr="0060702E" w:rsidRDefault="00BA6FF2" w:rsidP="00D805DF">
            <w:pPr>
              <w:spacing w:before="40" w:after="40"/>
              <w:jc w:val="left"/>
              <w:rPr>
                <w:sz w:val="18"/>
              </w:rPr>
            </w:pPr>
          </w:p>
        </w:tc>
        <w:tc>
          <w:tcPr>
            <w:tcW w:w="3956" w:type="dxa"/>
          </w:tcPr>
          <w:p w:rsidR="00BA6FF2" w:rsidRPr="0060702E" w:rsidRDefault="00BA6FF2" w:rsidP="00D805DF">
            <w:pPr>
              <w:spacing w:before="40" w:after="40"/>
              <w:jc w:val="left"/>
              <w:rPr>
                <w:sz w:val="18"/>
              </w:rPr>
            </w:pPr>
            <w:r w:rsidRPr="0060702E">
              <w:rPr>
                <w:sz w:val="18"/>
              </w:rPr>
              <w:t>Philippines, International Rice Research Institute (IRRI)</w:t>
            </w:r>
          </w:p>
        </w:tc>
      </w:tr>
    </w:tbl>
    <w:p w:rsidR="00BA6FF2" w:rsidRPr="0060702E" w:rsidRDefault="00BA6FF2" w:rsidP="00BA6FF2"/>
    <w:p w:rsidR="00BA6FF2" w:rsidRPr="0060702E" w:rsidRDefault="00BA6FF2" w:rsidP="007E4A41">
      <w:pPr>
        <w:ind w:left="1134"/>
        <w:rPr>
          <w:sz w:val="18"/>
        </w:rPr>
      </w:pPr>
      <w:r w:rsidRPr="0060702E">
        <w:rPr>
          <w:sz w:val="18"/>
        </w:rPr>
        <w:t>2013</w:t>
      </w:r>
    </w:p>
    <w:p w:rsidR="00BA6FF2" w:rsidRPr="0060702E" w:rsidRDefault="00BA6FF2" w:rsidP="00BA6FF2">
      <w:pPr>
        <w:spacing w:before="40" w:after="40"/>
        <w:jc w:val="left"/>
      </w:pPr>
    </w:p>
    <w:tbl>
      <w:tblPr>
        <w:tblStyle w:val="TableGrid1"/>
        <w:tblW w:w="74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3444"/>
        <w:gridCol w:w="3956"/>
      </w:tblGrid>
      <w:tr w:rsidR="00BA6FF2" w:rsidRPr="0060702E" w:rsidTr="00D805DF">
        <w:trPr>
          <w:trHeight w:val="433"/>
          <w:jc w:val="center"/>
        </w:trPr>
        <w:tc>
          <w:tcPr>
            <w:tcW w:w="3444" w:type="dxa"/>
            <w:vAlign w:val="center"/>
          </w:tcPr>
          <w:p w:rsidR="00BA6FF2" w:rsidRPr="0060702E" w:rsidRDefault="00BA6FF2" w:rsidP="00D805DF">
            <w:pPr>
              <w:spacing w:before="40" w:after="40"/>
              <w:jc w:val="left"/>
              <w:rPr>
                <w:sz w:val="18"/>
              </w:rPr>
            </w:pPr>
            <w:r w:rsidRPr="0060702E">
              <w:rPr>
                <w:sz w:val="18"/>
              </w:rPr>
              <w:t>Training Venue (State)</w:t>
            </w:r>
          </w:p>
          <w:p w:rsidR="00BA6FF2" w:rsidRPr="0060702E" w:rsidRDefault="00BA6FF2" w:rsidP="00D805DF">
            <w:pPr>
              <w:spacing w:before="40" w:after="40"/>
              <w:jc w:val="left"/>
              <w:rPr>
                <w:sz w:val="18"/>
              </w:rPr>
            </w:pPr>
          </w:p>
        </w:tc>
        <w:tc>
          <w:tcPr>
            <w:tcW w:w="3956" w:type="dxa"/>
            <w:vAlign w:val="center"/>
          </w:tcPr>
          <w:p w:rsidR="00BA6FF2" w:rsidRPr="0060702E" w:rsidRDefault="00BA6FF2" w:rsidP="00D805DF">
            <w:pPr>
              <w:spacing w:before="40" w:after="40"/>
              <w:jc w:val="center"/>
              <w:rPr>
                <w:sz w:val="18"/>
              </w:rPr>
            </w:pPr>
            <w:r w:rsidRPr="0060702E">
              <w:rPr>
                <w:sz w:val="18"/>
              </w:rPr>
              <w:t>Participants by State/Organization</w:t>
            </w:r>
          </w:p>
          <w:p w:rsidR="00BA6FF2" w:rsidRPr="0060702E" w:rsidRDefault="00BA6FF2" w:rsidP="00D805DF">
            <w:pPr>
              <w:spacing w:before="40" w:after="40"/>
              <w:rPr>
                <w:sz w:val="18"/>
              </w:rPr>
            </w:pPr>
          </w:p>
        </w:tc>
      </w:tr>
      <w:tr w:rsidR="00BA6FF2" w:rsidRPr="0060702E" w:rsidTr="00D805DF">
        <w:trPr>
          <w:jc w:val="center"/>
        </w:trPr>
        <w:tc>
          <w:tcPr>
            <w:tcW w:w="3444" w:type="dxa"/>
          </w:tcPr>
          <w:p w:rsidR="00BA6FF2" w:rsidRPr="0060702E" w:rsidRDefault="00BA6FF2" w:rsidP="00D805DF">
            <w:pPr>
              <w:spacing w:before="40" w:after="40"/>
              <w:jc w:val="left"/>
              <w:rPr>
                <w:sz w:val="18"/>
              </w:rPr>
            </w:pPr>
            <w:r w:rsidRPr="0060702E">
              <w:rPr>
                <w:sz w:val="18"/>
              </w:rPr>
              <w:t xml:space="preserve">Azerbaijan, Cambodia, China, Indonesia, Japan, </w:t>
            </w:r>
            <w:r w:rsidRPr="0060702E">
              <w:rPr>
                <w:sz w:val="18"/>
                <w:szCs w:val="18"/>
              </w:rPr>
              <w:t xml:space="preserve">Lao People’s Democratic Republic, </w:t>
            </w:r>
            <w:r w:rsidRPr="0060702E">
              <w:rPr>
                <w:sz w:val="18"/>
              </w:rPr>
              <w:t>Philippines, Spain, Sri Lanka, Ukraine, Uruguay, Viet Nam</w:t>
            </w:r>
          </w:p>
          <w:p w:rsidR="00BA6FF2" w:rsidRPr="0060702E" w:rsidRDefault="00BA6FF2" w:rsidP="00D805DF">
            <w:pPr>
              <w:spacing w:before="40" w:after="40"/>
              <w:jc w:val="left"/>
              <w:rPr>
                <w:sz w:val="18"/>
              </w:rPr>
            </w:pPr>
          </w:p>
        </w:tc>
        <w:tc>
          <w:tcPr>
            <w:tcW w:w="3956" w:type="dxa"/>
          </w:tcPr>
          <w:p w:rsidR="00BA6FF2" w:rsidRPr="0060702E" w:rsidRDefault="00BA6FF2" w:rsidP="00D805DF">
            <w:pPr>
              <w:spacing w:before="40" w:after="40"/>
              <w:jc w:val="left"/>
              <w:rPr>
                <w:sz w:val="18"/>
              </w:rPr>
            </w:pPr>
            <w:r w:rsidRPr="0060702E">
              <w:rPr>
                <w:sz w:val="18"/>
              </w:rPr>
              <w:t xml:space="preserve">Afghanistan, Algeria, Argentina, Azerbaijan, Bolivia, Brazil, Cambodia, China, Colombia, Costa Rica, Cuba, Dominican Republic, Ecuador, Egypt, Guatemala, Honduras, India, Indonesia, </w:t>
            </w:r>
            <w:r w:rsidRPr="0060702E">
              <w:rPr>
                <w:sz w:val="18"/>
                <w:szCs w:val="18"/>
              </w:rPr>
              <w:t xml:space="preserve">Lao People’s Democratic Republic, </w:t>
            </w:r>
            <w:r w:rsidRPr="0060702E">
              <w:rPr>
                <w:sz w:val="18"/>
              </w:rPr>
              <w:t>Maldives, Mexico, Morocco, Nicaragua, Paraguay, Peru, Philippines, Senegal, Spain, Sri Lanka, Thailand, Tunisia, Uganda, Ukraine, Uruguay, Viet Nam</w:t>
            </w:r>
          </w:p>
        </w:tc>
      </w:tr>
    </w:tbl>
    <w:p w:rsidR="00BA6FF2" w:rsidRDefault="00BA6FF2" w:rsidP="00BA6FF2">
      <w:pPr>
        <w:jc w:val="left"/>
        <w:rPr>
          <w:sz w:val="18"/>
          <w:szCs w:val="18"/>
        </w:rPr>
      </w:pPr>
    </w:p>
    <w:p w:rsidR="009C17E4" w:rsidRPr="0060702E" w:rsidRDefault="009C17E4" w:rsidP="00BA6FF2">
      <w:pPr>
        <w:jc w:val="left"/>
        <w:rPr>
          <w:sz w:val="18"/>
          <w:szCs w:val="18"/>
        </w:rPr>
      </w:pPr>
    </w:p>
    <w:p w:rsidR="00BA6FF2" w:rsidRPr="0060702E" w:rsidRDefault="00BA6FF2" w:rsidP="00BA6FF2">
      <w:pPr>
        <w:pStyle w:val="Heading8"/>
        <w:rPr>
          <w:szCs w:val="18"/>
        </w:rPr>
      </w:pPr>
      <w:bookmarkStart w:id="152" w:name="_Toc398739036"/>
      <w:r w:rsidRPr="0060702E">
        <w:rPr>
          <w:szCs w:val="18"/>
        </w:rPr>
        <w:t>(f)  Implementation of projects with partner organizations and donors</w:t>
      </w:r>
      <w:bookmarkEnd w:id="152"/>
    </w:p>
    <w:p w:rsidR="00BA6FF2" w:rsidRPr="0060702E" w:rsidRDefault="00BA6FF2" w:rsidP="00BA6FF2">
      <w:pPr>
        <w:pStyle w:val="ListParagraph"/>
        <w:spacing w:after="120"/>
        <w:contextualSpacing w:val="0"/>
        <w:rPr>
          <w:sz w:val="18"/>
          <w:szCs w:val="18"/>
        </w:rPr>
      </w:pPr>
      <w:r w:rsidRPr="0060702E">
        <w:rPr>
          <w:sz w:val="18"/>
          <w:szCs w:val="18"/>
        </w:rPr>
        <w:t>World Seed Project:</w:t>
      </w:r>
    </w:p>
    <w:p w:rsidR="00873FF9" w:rsidRPr="0060702E" w:rsidRDefault="00BA6FF2" w:rsidP="00BA6FF2">
      <w:pPr>
        <w:numPr>
          <w:ilvl w:val="0"/>
          <w:numId w:val="2"/>
        </w:numPr>
        <w:spacing w:after="120"/>
        <w:ind w:left="1168" w:hanging="425"/>
        <w:jc w:val="left"/>
        <w:rPr>
          <w:sz w:val="18"/>
          <w:szCs w:val="18"/>
        </w:rPr>
      </w:pPr>
      <w:r w:rsidRPr="0060702E">
        <w:rPr>
          <w:sz w:val="18"/>
          <w:szCs w:val="18"/>
        </w:rPr>
        <w:t>In 2012, 18 electronic meetings and 5 meetings of the Steering Committee</w:t>
      </w:r>
    </w:p>
    <w:p w:rsidR="00BA6FF2" w:rsidRPr="0060702E" w:rsidRDefault="00BA6FF2" w:rsidP="00BA6FF2">
      <w:pPr>
        <w:numPr>
          <w:ilvl w:val="0"/>
          <w:numId w:val="2"/>
        </w:numPr>
        <w:spacing w:after="120"/>
        <w:ind w:left="1168" w:hanging="425"/>
        <w:jc w:val="left"/>
        <w:rPr>
          <w:sz w:val="18"/>
          <w:szCs w:val="18"/>
        </w:rPr>
      </w:pPr>
      <w:r w:rsidRPr="0060702E">
        <w:rPr>
          <w:sz w:val="18"/>
          <w:szCs w:val="18"/>
        </w:rPr>
        <w:t>In 2013, 12 electronic meetings, 4 meetings of the Steering Committee and one </w:t>
      </w:r>
      <w:r w:rsidRPr="0060702E">
        <w:rPr>
          <w:color w:val="000000"/>
          <w:sz w:val="18"/>
          <w:szCs w:val="18"/>
        </w:rPr>
        <w:t>meeting of the Steering Committee with potential resource partners</w:t>
      </w:r>
    </w:p>
    <w:p w:rsidR="00BA6FF2" w:rsidRPr="0060702E" w:rsidRDefault="00BA6FF2" w:rsidP="00BA6FF2">
      <w:pPr>
        <w:rPr>
          <w:color w:val="000000"/>
          <w:sz w:val="18"/>
          <w:szCs w:val="18"/>
        </w:rPr>
      </w:pPr>
    </w:p>
    <w:p w:rsidR="00BA6FF2" w:rsidRPr="0060702E" w:rsidRDefault="00BA6FF2" w:rsidP="00BA6FF2">
      <w:pPr>
        <w:pStyle w:val="Heading8"/>
        <w:rPr>
          <w:szCs w:val="18"/>
        </w:rPr>
      </w:pPr>
      <w:bookmarkStart w:id="153" w:name="_Toc398739037"/>
      <w:r w:rsidRPr="0060702E">
        <w:rPr>
          <w:szCs w:val="18"/>
        </w:rPr>
        <w:t>(g)  Use of assistance web-page to obtain project support</w:t>
      </w:r>
      <w:bookmarkEnd w:id="153"/>
    </w:p>
    <w:p w:rsidR="00BA6FF2" w:rsidRPr="0060702E" w:rsidRDefault="00BA6FF2" w:rsidP="00BA6FF2">
      <w:pPr>
        <w:numPr>
          <w:ilvl w:val="0"/>
          <w:numId w:val="2"/>
        </w:numPr>
        <w:spacing w:after="120"/>
        <w:ind w:left="357" w:hanging="357"/>
        <w:jc w:val="left"/>
        <w:rPr>
          <w:sz w:val="18"/>
          <w:szCs w:val="18"/>
        </w:rPr>
      </w:pPr>
      <w:r w:rsidRPr="0060702E">
        <w:rPr>
          <w:sz w:val="18"/>
          <w:szCs w:val="18"/>
        </w:rPr>
        <w:t>The assistance web-page was made available on the restricted area of the UPOV website in 2012.</w:t>
      </w:r>
    </w:p>
    <w:p w:rsidR="00BA6FF2" w:rsidRPr="0060702E" w:rsidRDefault="00BA6FF2" w:rsidP="002D6F42">
      <w:pPr>
        <w:rPr>
          <w:sz w:val="18"/>
          <w:szCs w:val="18"/>
        </w:rPr>
      </w:pPr>
    </w:p>
    <w:p w:rsidR="00BA6FF2" w:rsidRPr="0060702E" w:rsidRDefault="00BA6FF2" w:rsidP="002D6F42">
      <w:pPr>
        <w:rPr>
          <w:sz w:val="18"/>
          <w:szCs w:val="18"/>
        </w:rPr>
      </w:pPr>
    </w:p>
    <w:p w:rsidR="00BA6FF2" w:rsidRPr="0060702E" w:rsidRDefault="00BA6FF2" w:rsidP="002D6F42">
      <w:pPr>
        <w:rPr>
          <w:sz w:val="18"/>
          <w:szCs w:val="18"/>
        </w:rPr>
      </w:pPr>
    </w:p>
    <w:p w:rsidR="002D6F42" w:rsidRPr="0060702E" w:rsidRDefault="002D6F42" w:rsidP="002D6F42">
      <w:pPr>
        <w:rPr>
          <w:sz w:val="18"/>
          <w:szCs w:val="18"/>
        </w:rPr>
      </w:pPr>
    </w:p>
    <w:p w:rsidR="00214D42" w:rsidRPr="0060702E" w:rsidRDefault="00214D42" w:rsidP="00B30836">
      <w:pPr>
        <w:rPr>
          <w:sz w:val="18"/>
          <w:szCs w:val="18"/>
        </w:rPr>
      </w:pPr>
    </w:p>
    <w:p w:rsidR="0088247B" w:rsidRPr="0060702E" w:rsidRDefault="0088247B">
      <w:pPr>
        <w:jc w:val="left"/>
        <w:rPr>
          <w:b/>
          <w:caps/>
          <w:sz w:val="18"/>
        </w:rPr>
      </w:pPr>
      <w:bookmarkStart w:id="154" w:name="_Toc336339250"/>
      <w:r w:rsidRPr="0060702E">
        <w:br w:type="page"/>
      </w:r>
    </w:p>
    <w:p w:rsidR="002D6F42" w:rsidRPr="0060702E" w:rsidRDefault="0000674F" w:rsidP="00CE77F1">
      <w:pPr>
        <w:pStyle w:val="Heading4"/>
      </w:pPr>
      <w:bookmarkStart w:id="155" w:name="_Toc398739038"/>
      <w:r w:rsidRPr="0060702E">
        <w:t>2.4</w:t>
      </w:r>
      <w:r w:rsidRPr="0060702E">
        <w:tab/>
      </w:r>
      <w:r w:rsidR="002D6F42" w:rsidRPr="0060702E">
        <w:t>Sub-Program UV.4:  External Relations</w:t>
      </w:r>
      <w:bookmarkEnd w:id="154"/>
      <w:bookmarkEnd w:id="155"/>
    </w:p>
    <w:p w:rsidR="002D6F42" w:rsidRPr="0060702E" w:rsidRDefault="002D6F42" w:rsidP="002D6F42">
      <w:pPr>
        <w:rPr>
          <w:sz w:val="18"/>
          <w:szCs w:val="18"/>
        </w:rPr>
      </w:pPr>
    </w:p>
    <w:p w:rsidR="004A5BFF" w:rsidRPr="009302EC" w:rsidRDefault="004A5BFF" w:rsidP="004A5BFF">
      <w:pPr>
        <w:rPr>
          <w:sz w:val="18"/>
        </w:rPr>
      </w:pPr>
      <w:r w:rsidRPr="009302EC">
        <w:rPr>
          <w:sz w:val="18"/>
        </w:rPr>
        <w:t xml:space="preserve">The UPOV website continues to be the focal point for dissemination of information, with an increasing number of visits and visitors (15% increase compared to 2012).  In 2013, the UPOV Trilogy, comprising an Executive Summary and the proceedings of the “Symposium on Plant Breeding for the Future”, the “Seminar on Plant Variety Protection and Technology Transfer:  the Benefits of Public-Private Partnership” and the “Symposium on the Benefits of Plant Variety Protection for Farmers and Growers”, was published in printed and electronic form (English only).  The regular publication of press releases, including those highlight developments in the Council of UPOV, provide a valuable means of disseminating information to the general public.  A further important development in 2013 was the establishment of a communication strategy </w:t>
      </w:r>
      <w:r w:rsidRPr="009302EC">
        <w:rPr>
          <w:rFonts w:cs="Arial"/>
          <w:sz w:val="18"/>
        </w:rPr>
        <w:t xml:space="preserve">with the aim of improving the level of understanding of the UPOV system.  One of the priorities of the </w:t>
      </w:r>
      <w:proofErr w:type="spellStart"/>
      <w:r w:rsidRPr="009302EC">
        <w:rPr>
          <w:rFonts w:cs="Arial"/>
          <w:sz w:val="18"/>
        </w:rPr>
        <w:t>workplan</w:t>
      </w:r>
      <w:proofErr w:type="spellEnd"/>
      <w:r w:rsidRPr="009302EC">
        <w:rPr>
          <w:rFonts w:cs="Arial"/>
          <w:sz w:val="18"/>
        </w:rPr>
        <w:t xml:space="preserve"> would be the development of stakeholder-focused features on the UPOV website, with a focus on breeders, seed producers / plant propagators, farmers and policy-makers.  As part of the strategy, a first set of answers to frequently asked questions was agreed.</w:t>
      </w:r>
    </w:p>
    <w:p w:rsidR="004A5BFF" w:rsidRPr="009302EC" w:rsidRDefault="004A5BFF" w:rsidP="004A5BFF">
      <w:pPr>
        <w:rPr>
          <w:sz w:val="18"/>
        </w:rPr>
      </w:pPr>
    </w:p>
    <w:p w:rsidR="004A5BFF" w:rsidRPr="009302EC" w:rsidRDefault="004A5BFF" w:rsidP="004A5BFF">
      <w:pPr>
        <w:rPr>
          <w:sz w:val="18"/>
        </w:rPr>
      </w:pPr>
      <w:r w:rsidRPr="009302EC">
        <w:rPr>
          <w:sz w:val="18"/>
        </w:rPr>
        <w:t xml:space="preserve">A number of intergovernmental organizations have invited UPOV to contribute to their work.  UPOV has participated in meetings with other relevant organizations. </w:t>
      </w:r>
    </w:p>
    <w:p w:rsidR="002D6F42" w:rsidRDefault="002D6F42" w:rsidP="002D6F42">
      <w:pPr>
        <w:rPr>
          <w:sz w:val="18"/>
        </w:rPr>
      </w:pPr>
    </w:p>
    <w:p w:rsidR="009302EC" w:rsidRPr="009302EC" w:rsidRDefault="009302EC" w:rsidP="002D6F42">
      <w:pPr>
        <w:rPr>
          <w:sz w:val="18"/>
        </w:rPr>
      </w:pPr>
    </w:p>
    <w:tbl>
      <w:tblPr>
        <w:tblW w:w="9889" w:type="dxa"/>
        <w:tblLayout w:type="fixed"/>
        <w:tblLook w:val="0000" w:firstRow="0" w:lastRow="0" w:firstColumn="0" w:lastColumn="0" w:noHBand="0" w:noVBand="0"/>
      </w:tblPr>
      <w:tblGrid>
        <w:gridCol w:w="1809"/>
        <w:gridCol w:w="8080"/>
      </w:tblGrid>
      <w:tr w:rsidR="00BA6FF2" w:rsidRPr="0060702E" w:rsidTr="00D805DF">
        <w:tc>
          <w:tcPr>
            <w:tcW w:w="1809" w:type="dxa"/>
          </w:tcPr>
          <w:p w:rsidR="00BA6FF2" w:rsidRPr="0060702E" w:rsidRDefault="00BA6FF2" w:rsidP="00D805DF">
            <w:pPr>
              <w:pStyle w:val="Heading5"/>
            </w:pPr>
            <w:bookmarkStart w:id="156" w:name="_Toc336339251"/>
            <w:bookmarkStart w:id="157" w:name="_Toc398739039"/>
            <w:r w:rsidRPr="0060702E">
              <w:t>Objectives</w:t>
            </w:r>
            <w:bookmarkEnd w:id="156"/>
            <w:bookmarkEnd w:id="157"/>
          </w:p>
        </w:tc>
        <w:tc>
          <w:tcPr>
            <w:tcW w:w="8080" w:type="dxa"/>
          </w:tcPr>
          <w:p w:rsidR="00BA6FF2" w:rsidRPr="0060702E" w:rsidRDefault="00BA6FF2" w:rsidP="00D805DF">
            <w:pPr>
              <w:keepNext/>
              <w:keepLines/>
              <w:widowControl w:val="0"/>
              <w:numPr>
                <w:ilvl w:val="0"/>
                <w:numId w:val="1"/>
              </w:numPr>
              <w:jc w:val="left"/>
              <w:rPr>
                <w:sz w:val="18"/>
                <w:szCs w:val="18"/>
              </w:rPr>
            </w:pPr>
            <w:r w:rsidRPr="0060702E">
              <w:rPr>
                <w:sz w:val="18"/>
                <w:szCs w:val="18"/>
              </w:rPr>
              <w:t>To enhance the understanding of the UPOV system of plant variety protection by the public and non-governmental organizations.</w:t>
            </w:r>
          </w:p>
          <w:p w:rsidR="00BA6FF2" w:rsidRPr="0060702E" w:rsidRDefault="00BA6FF2" w:rsidP="00D805DF">
            <w:pPr>
              <w:keepNext/>
              <w:keepLines/>
              <w:widowControl w:val="0"/>
              <w:numPr>
                <w:ilvl w:val="0"/>
                <w:numId w:val="1"/>
              </w:numPr>
              <w:jc w:val="left"/>
              <w:rPr>
                <w:sz w:val="18"/>
                <w:szCs w:val="18"/>
              </w:rPr>
            </w:pPr>
            <w:r w:rsidRPr="0060702E">
              <w:rPr>
                <w:sz w:val="18"/>
                <w:szCs w:val="18"/>
              </w:rPr>
              <w:t>To provide information on the UPOV Convention to other intergovernmental organizations, with the aim of achieving mutual supportiveness with other international treaties.</w:t>
            </w:r>
          </w:p>
          <w:p w:rsidR="00BA6FF2" w:rsidRPr="0060702E" w:rsidRDefault="00BA6FF2" w:rsidP="00D805DF">
            <w:pPr>
              <w:keepNext/>
              <w:keepLines/>
              <w:widowControl w:val="0"/>
              <w:ind w:left="360"/>
              <w:jc w:val="left"/>
              <w:rPr>
                <w:sz w:val="18"/>
                <w:szCs w:val="18"/>
              </w:rPr>
            </w:pPr>
          </w:p>
        </w:tc>
      </w:tr>
    </w:tbl>
    <w:p w:rsidR="002D6F42" w:rsidRPr="0060702E" w:rsidRDefault="002D6F42" w:rsidP="002D6F42"/>
    <w:p w:rsidR="00CE77F1" w:rsidRPr="0060702E" w:rsidRDefault="00CE77F1" w:rsidP="00CE77F1">
      <w:pPr>
        <w:pStyle w:val="Heading5"/>
      </w:pPr>
      <w:bookmarkStart w:id="158" w:name="_Toc398739040"/>
      <w:r w:rsidRPr="0060702E">
        <w:t>Results Achieved:  Selected Performance Indicators</w:t>
      </w:r>
      <w:bookmarkEnd w:id="158"/>
    </w:p>
    <w:p w:rsidR="00BA6FF2" w:rsidRPr="0060702E" w:rsidRDefault="00BA6FF2" w:rsidP="00BA6FF2"/>
    <w:p w:rsidR="00BA6FF2" w:rsidRPr="0060702E" w:rsidRDefault="00BA6FF2" w:rsidP="00BA6FF2">
      <w:pPr>
        <w:pStyle w:val="Heading6"/>
      </w:pPr>
      <w:bookmarkStart w:id="159" w:name="_Toc336339254"/>
      <w:bookmarkStart w:id="160" w:name="_Toc398739041"/>
      <w:r w:rsidRPr="0060702E">
        <w:t>1.  Increased public understanding of UPOV’s role and activities</w:t>
      </w:r>
      <w:bookmarkEnd w:id="159"/>
      <w:bookmarkEnd w:id="160"/>
    </w:p>
    <w:p w:rsidR="00BA6FF2" w:rsidRPr="0060702E" w:rsidRDefault="00BA6FF2" w:rsidP="00BA6FF2"/>
    <w:p w:rsidR="00BA6FF2" w:rsidRPr="0060702E" w:rsidRDefault="00BA6FF2" w:rsidP="00BA6FF2">
      <w:pPr>
        <w:pStyle w:val="Heading8"/>
      </w:pPr>
      <w:bookmarkStart w:id="161" w:name="_Toc336339255"/>
      <w:bookmarkStart w:id="162" w:name="_Toc336613857"/>
      <w:bookmarkStart w:id="163" w:name="_Toc398739042"/>
      <w:r w:rsidRPr="0060702E">
        <w:t xml:space="preserve">(a)  </w:t>
      </w:r>
      <w:bookmarkEnd w:id="161"/>
      <w:bookmarkEnd w:id="162"/>
      <w:r w:rsidRPr="0060702E">
        <w:t>Availability of public-orientated information and materials on UPOV Website</w:t>
      </w:r>
      <w:bookmarkEnd w:id="163"/>
    </w:p>
    <w:p w:rsidR="00BA6FF2" w:rsidRPr="0060702E" w:rsidRDefault="00BA6FF2" w:rsidP="00BA6FF2">
      <w:pPr>
        <w:pStyle w:val="ListParagraph"/>
        <w:numPr>
          <w:ilvl w:val="0"/>
          <w:numId w:val="8"/>
        </w:numPr>
        <w:spacing w:after="120"/>
        <w:ind w:hanging="357"/>
        <w:contextualSpacing w:val="0"/>
        <w:rPr>
          <w:sz w:val="18"/>
          <w:szCs w:val="18"/>
        </w:rPr>
      </w:pPr>
      <w:r w:rsidRPr="0060702E">
        <w:rPr>
          <w:sz w:val="18"/>
          <w:szCs w:val="18"/>
        </w:rPr>
        <w:t>Symposium on the Benefits of Plant Variety Protection for Farmers and Growers</w:t>
      </w:r>
    </w:p>
    <w:p w:rsidR="00BA6FF2" w:rsidRPr="0060702E" w:rsidRDefault="00BA6FF2" w:rsidP="00BA6FF2">
      <w:pPr>
        <w:pStyle w:val="ListParagraph"/>
        <w:numPr>
          <w:ilvl w:val="1"/>
          <w:numId w:val="9"/>
        </w:numPr>
        <w:spacing w:after="120"/>
        <w:contextualSpacing w:val="0"/>
        <w:jc w:val="left"/>
        <w:rPr>
          <w:sz w:val="18"/>
          <w:szCs w:val="18"/>
        </w:rPr>
      </w:pPr>
      <w:r w:rsidRPr="0060702E">
        <w:rPr>
          <w:sz w:val="18"/>
          <w:szCs w:val="18"/>
        </w:rPr>
        <w:t xml:space="preserve">presentations and closing remarks posted on the UPOV website at: </w:t>
      </w:r>
      <w:hyperlink r:id="rId62" w:history="1">
        <w:r w:rsidRPr="0060702E">
          <w:rPr>
            <w:rStyle w:val="Hyperlink"/>
            <w:sz w:val="18"/>
            <w:szCs w:val="18"/>
          </w:rPr>
          <w:t>http://www.upov.int/meetings/en/details.jsp?meeting_id=26104</w:t>
        </w:r>
      </w:hyperlink>
      <w:r w:rsidRPr="0060702E">
        <w:rPr>
          <w:sz w:val="18"/>
          <w:szCs w:val="18"/>
        </w:rPr>
        <w:t xml:space="preserve"> </w:t>
      </w:r>
    </w:p>
    <w:p w:rsidR="00BA6FF2" w:rsidRPr="0060702E" w:rsidRDefault="00BA6FF2" w:rsidP="00BA6FF2">
      <w:pPr>
        <w:pStyle w:val="ListParagraph"/>
        <w:numPr>
          <w:ilvl w:val="0"/>
          <w:numId w:val="8"/>
        </w:numPr>
        <w:spacing w:after="120"/>
        <w:contextualSpacing w:val="0"/>
        <w:rPr>
          <w:sz w:val="18"/>
          <w:szCs w:val="18"/>
        </w:rPr>
      </w:pPr>
      <w:r w:rsidRPr="0060702E">
        <w:rPr>
          <w:sz w:val="18"/>
          <w:szCs w:val="18"/>
        </w:rPr>
        <w:t xml:space="preserve">UPOV Trilogy Box Set (in English only), also available on the UPOV website at </w:t>
      </w:r>
      <w:hyperlink r:id="rId63" w:history="1">
        <w:r w:rsidRPr="0060702E">
          <w:rPr>
            <w:rStyle w:val="Hyperlink"/>
            <w:sz w:val="18"/>
            <w:szCs w:val="18"/>
          </w:rPr>
          <w:t>http://www.upov.int/about/en/benefits_upov_system.html</w:t>
        </w:r>
      </w:hyperlink>
      <w:r w:rsidRPr="0060702E">
        <w:rPr>
          <w:sz w:val="18"/>
          <w:szCs w:val="18"/>
        </w:rPr>
        <w:t>, containing the following publications:</w:t>
      </w:r>
    </w:p>
    <w:p w:rsidR="00BA6FF2" w:rsidRPr="0060702E" w:rsidRDefault="00BA6FF2" w:rsidP="00BA6FF2">
      <w:pPr>
        <w:pStyle w:val="ListParagraph"/>
        <w:numPr>
          <w:ilvl w:val="1"/>
          <w:numId w:val="9"/>
        </w:numPr>
        <w:spacing w:after="120"/>
        <w:contextualSpacing w:val="0"/>
        <w:rPr>
          <w:sz w:val="18"/>
          <w:szCs w:val="18"/>
        </w:rPr>
      </w:pPr>
      <w:r w:rsidRPr="0060702E">
        <w:rPr>
          <w:sz w:val="18"/>
          <w:szCs w:val="18"/>
        </w:rPr>
        <w:t>Executive Summary (UPOV Publication 357.1E)</w:t>
      </w:r>
    </w:p>
    <w:p w:rsidR="00BA6FF2" w:rsidRPr="0060702E" w:rsidRDefault="00BA6FF2" w:rsidP="00BA6FF2">
      <w:pPr>
        <w:pStyle w:val="ListParagraph"/>
        <w:numPr>
          <w:ilvl w:val="1"/>
          <w:numId w:val="9"/>
        </w:numPr>
        <w:spacing w:after="120"/>
        <w:contextualSpacing w:val="0"/>
        <w:rPr>
          <w:sz w:val="18"/>
          <w:szCs w:val="18"/>
        </w:rPr>
      </w:pPr>
      <w:r w:rsidRPr="0060702E">
        <w:rPr>
          <w:sz w:val="18"/>
          <w:szCs w:val="18"/>
        </w:rPr>
        <w:t>Symposium on Plant Breeding for the Future (UPOV Publication 357.2E)</w:t>
      </w:r>
    </w:p>
    <w:p w:rsidR="00BA6FF2" w:rsidRPr="0060702E" w:rsidRDefault="00BA6FF2" w:rsidP="00BA6FF2">
      <w:pPr>
        <w:pStyle w:val="ListParagraph"/>
        <w:numPr>
          <w:ilvl w:val="1"/>
          <w:numId w:val="9"/>
        </w:numPr>
        <w:spacing w:after="120"/>
        <w:contextualSpacing w:val="0"/>
        <w:rPr>
          <w:sz w:val="18"/>
          <w:szCs w:val="18"/>
        </w:rPr>
      </w:pPr>
      <w:r w:rsidRPr="0060702E">
        <w:rPr>
          <w:sz w:val="18"/>
          <w:szCs w:val="18"/>
        </w:rPr>
        <w:t>Seminar on Plant Variety Protection and Technology Transfer:  the Benefits of Public-Private Partnership (UPOV Publication 357.3E)</w:t>
      </w:r>
    </w:p>
    <w:p w:rsidR="00BA6FF2" w:rsidRPr="0060702E" w:rsidRDefault="00BA6FF2" w:rsidP="00BA6FF2">
      <w:pPr>
        <w:pStyle w:val="ListParagraph"/>
        <w:numPr>
          <w:ilvl w:val="1"/>
          <w:numId w:val="9"/>
        </w:numPr>
        <w:spacing w:after="120"/>
        <w:contextualSpacing w:val="0"/>
        <w:rPr>
          <w:sz w:val="18"/>
          <w:szCs w:val="18"/>
        </w:rPr>
      </w:pPr>
      <w:r w:rsidRPr="0060702E">
        <w:rPr>
          <w:sz w:val="18"/>
          <w:szCs w:val="18"/>
        </w:rPr>
        <w:t>Symposium on the Benefits of Plant Variety Protection for Farmers and Growers (UPOV Publication 357.4E)</w:t>
      </w:r>
    </w:p>
    <w:p w:rsidR="00BA6FF2" w:rsidRPr="0060702E" w:rsidRDefault="00BA6FF2" w:rsidP="00BA6FF2">
      <w:pPr>
        <w:pStyle w:val="ListParagraph"/>
        <w:numPr>
          <w:ilvl w:val="0"/>
          <w:numId w:val="8"/>
        </w:numPr>
        <w:spacing w:after="120"/>
        <w:contextualSpacing w:val="0"/>
        <w:rPr>
          <w:sz w:val="18"/>
          <w:szCs w:val="18"/>
        </w:rPr>
      </w:pPr>
      <w:r w:rsidRPr="0060702E">
        <w:rPr>
          <w:sz w:val="18"/>
          <w:szCs w:val="18"/>
        </w:rPr>
        <w:t>Seminar on Essentially Derived Varieties:</w:t>
      </w:r>
    </w:p>
    <w:p w:rsidR="00BA6FF2" w:rsidRPr="0060702E" w:rsidRDefault="00BA6FF2" w:rsidP="00BA6FF2">
      <w:pPr>
        <w:pStyle w:val="ListParagraph"/>
        <w:numPr>
          <w:ilvl w:val="1"/>
          <w:numId w:val="9"/>
        </w:numPr>
        <w:spacing w:after="120"/>
        <w:contextualSpacing w:val="0"/>
        <w:jc w:val="left"/>
        <w:rPr>
          <w:sz w:val="18"/>
          <w:szCs w:val="18"/>
        </w:rPr>
      </w:pPr>
      <w:r w:rsidRPr="0060702E">
        <w:rPr>
          <w:sz w:val="18"/>
          <w:szCs w:val="18"/>
        </w:rPr>
        <w:t>materials and video posted on the UPOV website at:</w:t>
      </w:r>
      <w:r w:rsidRPr="0060702E">
        <w:rPr>
          <w:sz w:val="18"/>
          <w:szCs w:val="18"/>
        </w:rPr>
        <w:br/>
      </w:r>
      <w:hyperlink r:id="rId64" w:history="1">
        <w:r w:rsidRPr="0060702E">
          <w:rPr>
            <w:rStyle w:val="Hyperlink"/>
            <w:sz w:val="18"/>
            <w:szCs w:val="18"/>
          </w:rPr>
          <w:t>http://www.upov.int/meetings/en/details.jsp?meeting_id=29782</w:t>
        </w:r>
      </w:hyperlink>
    </w:p>
    <w:p w:rsidR="00BA6FF2" w:rsidRPr="0060702E" w:rsidRDefault="00BA6FF2" w:rsidP="00BA6FF2">
      <w:pPr>
        <w:pStyle w:val="ListParagraph"/>
        <w:numPr>
          <w:ilvl w:val="0"/>
          <w:numId w:val="8"/>
        </w:numPr>
        <w:spacing w:after="120"/>
        <w:contextualSpacing w:val="0"/>
        <w:rPr>
          <w:rFonts w:cs="Arial"/>
          <w:sz w:val="18"/>
          <w:szCs w:val="18"/>
        </w:rPr>
      </w:pPr>
      <w:r w:rsidRPr="0060702E">
        <w:rPr>
          <w:rFonts w:cs="Arial"/>
          <w:sz w:val="18"/>
          <w:szCs w:val="18"/>
        </w:rPr>
        <w:t>Seven press releases (</w:t>
      </w:r>
      <w:hyperlink r:id="rId65" w:history="1">
        <w:r w:rsidRPr="0060702E">
          <w:rPr>
            <w:rStyle w:val="Hyperlink"/>
            <w:rFonts w:cs="Arial"/>
            <w:sz w:val="18"/>
            <w:szCs w:val="18"/>
          </w:rPr>
          <w:t>http://www.upov.int/news/en/pressroom/</w:t>
        </w:r>
      </w:hyperlink>
      <w:r w:rsidRPr="0060702E">
        <w:rPr>
          <w:rFonts w:cs="Arial"/>
          <w:sz w:val="18"/>
          <w:szCs w:val="18"/>
        </w:rPr>
        <w:t xml:space="preserve">) </w:t>
      </w:r>
    </w:p>
    <w:p w:rsidR="00BA6FF2" w:rsidRPr="0060702E" w:rsidRDefault="00BA6FF2" w:rsidP="00BA6FF2">
      <w:pPr>
        <w:ind w:right="459"/>
        <w:jc w:val="left"/>
        <w:rPr>
          <w:rFonts w:cs="Arial"/>
          <w:sz w:val="18"/>
          <w:szCs w:val="18"/>
        </w:rPr>
      </w:pPr>
    </w:p>
    <w:p w:rsidR="00BA6FF2" w:rsidRPr="0060702E" w:rsidRDefault="00BA6FF2" w:rsidP="00BA6FF2">
      <w:pPr>
        <w:ind w:right="459"/>
        <w:jc w:val="left"/>
        <w:rPr>
          <w:rFonts w:cs="Arial"/>
          <w:sz w:val="18"/>
          <w:szCs w:val="18"/>
        </w:rPr>
      </w:pPr>
    </w:p>
    <w:p w:rsidR="00BA6FF2" w:rsidRPr="0060702E" w:rsidRDefault="00BA6FF2" w:rsidP="00BA6FF2">
      <w:pPr>
        <w:pStyle w:val="Heading8"/>
      </w:pPr>
      <w:bookmarkStart w:id="164" w:name="_Toc393275006"/>
      <w:bookmarkStart w:id="165" w:name="_Toc398739043"/>
      <w:r w:rsidRPr="0060702E">
        <w:t>(b)  Visits to website</w:t>
      </w:r>
      <w:bookmarkEnd w:id="164"/>
      <w:bookmarkEnd w:id="165"/>
    </w:p>
    <w:tbl>
      <w:tblPr>
        <w:tblStyle w:val="TableGrid"/>
        <w:tblW w:w="0" w:type="auto"/>
        <w:jc w:val="center"/>
        <w:tblInd w:w="2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410"/>
        <w:gridCol w:w="1299"/>
        <w:gridCol w:w="1299"/>
        <w:gridCol w:w="1299"/>
        <w:gridCol w:w="1300"/>
      </w:tblGrid>
      <w:tr w:rsidR="00BA6FF2" w:rsidRPr="0060702E" w:rsidTr="009C17E4">
        <w:trPr>
          <w:jc w:val="center"/>
        </w:trPr>
        <w:tc>
          <w:tcPr>
            <w:tcW w:w="2410" w:type="dxa"/>
            <w:tcMar>
              <w:top w:w="28" w:type="dxa"/>
              <w:bottom w:w="0" w:type="dxa"/>
            </w:tcMar>
          </w:tcPr>
          <w:p w:rsidR="00BA6FF2" w:rsidRPr="0060702E" w:rsidRDefault="00BA6FF2" w:rsidP="00D805DF">
            <w:pPr>
              <w:ind w:right="176"/>
              <w:jc w:val="left"/>
              <w:rPr>
                <w:rFonts w:cs="Arial"/>
                <w:sz w:val="18"/>
                <w:szCs w:val="18"/>
              </w:rPr>
            </w:pPr>
          </w:p>
        </w:tc>
        <w:tc>
          <w:tcPr>
            <w:tcW w:w="1299" w:type="dxa"/>
          </w:tcPr>
          <w:p w:rsidR="00BA6FF2" w:rsidRPr="0060702E" w:rsidRDefault="00BA6FF2" w:rsidP="00D805DF">
            <w:pPr>
              <w:jc w:val="center"/>
              <w:rPr>
                <w:rFonts w:cs="Arial"/>
                <w:i/>
                <w:sz w:val="18"/>
                <w:szCs w:val="18"/>
              </w:rPr>
            </w:pPr>
            <w:r w:rsidRPr="0060702E">
              <w:rPr>
                <w:rFonts w:cs="Arial"/>
                <w:i/>
                <w:sz w:val="18"/>
                <w:szCs w:val="18"/>
              </w:rPr>
              <w:t>2013</w:t>
            </w:r>
          </w:p>
        </w:tc>
        <w:tc>
          <w:tcPr>
            <w:tcW w:w="1299" w:type="dxa"/>
            <w:tcMar>
              <w:top w:w="28" w:type="dxa"/>
              <w:bottom w:w="0" w:type="dxa"/>
            </w:tcMar>
          </w:tcPr>
          <w:p w:rsidR="00BA6FF2" w:rsidRPr="0060702E" w:rsidRDefault="00BA6FF2" w:rsidP="00D805DF">
            <w:pPr>
              <w:jc w:val="center"/>
              <w:rPr>
                <w:rFonts w:cs="Arial"/>
                <w:i/>
                <w:sz w:val="18"/>
                <w:szCs w:val="18"/>
              </w:rPr>
            </w:pPr>
            <w:r w:rsidRPr="0060702E">
              <w:rPr>
                <w:rFonts w:cs="Arial"/>
                <w:i/>
                <w:sz w:val="18"/>
                <w:szCs w:val="18"/>
              </w:rPr>
              <w:t>2012</w:t>
            </w:r>
          </w:p>
        </w:tc>
        <w:tc>
          <w:tcPr>
            <w:tcW w:w="1299" w:type="dxa"/>
            <w:tcMar>
              <w:top w:w="28" w:type="dxa"/>
              <w:bottom w:w="0" w:type="dxa"/>
            </w:tcMar>
          </w:tcPr>
          <w:p w:rsidR="00BA6FF2" w:rsidRPr="0060702E" w:rsidRDefault="00BA6FF2" w:rsidP="00D805DF">
            <w:pPr>
              <w:jc w:val="center"/>
              <w:rPr>
                <w:rFonts w:cs="Arial"/>
                <w:i/>
                <w:sz w:val="18"/>
                <w:szCs w:val="18"/>
              </w:rPr>
            </w:pPr>
            <w:r w:rsidRPr="0060702E">
              <w:rPr>
                <w:rFonts w:cs="Arial"/>
                <w:i/>
                <w:sz w:val="18"/>
                <w:szCs w:val="18"/>
              </w:rPr>
              <w:t>2011</w:t>
            </w:r>
          </w:p>
        </w:tc>
        <w:tc>
          <w:tcPr>
            <w:tcW w:w="1300" w:type="dxa"/>
          </w:tcPr>
          <w:p w:rsidR="00BA6FF2" w:rsidRPr="0060702E" w:rsidRDefault="00BA6FF2" w:rsidP="00D805DF">
            <w:pPr>
              <w:jc w:val="center"/>
              <w:rPr>
                <w:rFonts w:cs="Arial"/>
                <w:i/>
                <w:sz w:val="18"/>
                <w:szCs w:val="18"/>
              </w:rPr>
            </w:pPr>
            <w:r w:rsidRPr="0060702E">
              <w:rPr>
                <w:rFonts w:cs="Arial"/>
                <w:i/>
                <w:sz w:val="18"/>
                <w:szCs w:val="18"/>
              </w:rPr>
              <w:t>2010</w:t>
            </w:r>
          </w:p>
        </w:tc>
      </w:tr>
      <w:tr w:rsidR="00BA6FF2" w:rsidRPr="0060702E" w:rsidTr="009C17E4">
        <w:trPr>
          <w:jc w:val="center"/>
        </w:trPr>
        <w:tc>
          <w:tcPr>
            <w:tcW w:w="2410" w:type="dxa"/>
            <w:tcMar>
              <w:top w:w="28" w:type="dxa"/>
              <w:bottom w:w="0" w:type="dxa"/>
            </w:tcMar>
          </w:tcPr>
          <w:p w:rsidR="00BA6FF2" w:rsidRPr="0060702E" w:rsidRDefault="00BA6FF2" w:rsidP="00D805DF">
            <w:pPr>
              <w:ind w:right="176"/>
              <w:jc w:val="left"/>
              <w:rPr>
                <w:rFonts w:cs="Arial"/>
                <w:i/>
                <w:sz w:val="18"/>
                <w:szCs w:val="18"/>
              </w:rPr>
            </w:pPr>
            <w:r w:rsidRPr="0060702E">
              <w:rPr>
                <w:rFonts w:cs="Arial"/>
                <w:i/>
                <w:sz w:val="18"/>
                <w:szCs w:val="18"/>
              </w:rPr>
              <w:t xml:space="preserve">Number of sessions: </w:t>
            </w:r>
          </w:p>
        </w:tc>
        <w:tc>
          <w:tcPr>
            <w:tcW w:w="1299" w:type="dxa"/>
          </w:tcPr>
          <w:p w:rsidR="00BA6FF2" w:rsidRPr="0060702E" w:rsidRDefault="00BA6FF2" w:rsidP="00D805DF">
            <w:pPr>
              <w:ind w:right="113"/>
              <w:jc w:val="center"/>
              <w:rPr>
                <w:rFonts w:cs="Arial"/>
                <w:sz w:val="18"/>
                <w:szCs w:val="18"/>
              </w:rPr>
            </w:pPr>
            <w:r w:rsidRPr="0060702E">
              <w:rPr>
                <w:rFonts w:cs="Arial"/>
                <w:sz w:val="18"/>
                <w:szCs w:val="18"/>
              </w:rPr>
              <w:t>178,732</w:t>
            </w:r>
          </w:p>
        </w:tc>
        <w:tc>
          <w:tcPr>
            <w:tcW w:w="1299" w:type="dxa"/>
            <w:tcMar>
              <w:top w:w="28" w:type="dxa"/>
              <w:bottom w:w="0" w:type="dxa"/>
            </w:tcMar>
          </w:tcPr>
          <w:p w:rsidR="00BA6FF2" w:rsidRPr="0060702E" w:rsidRDefault="00BA6FF2" w:rsidP="00D805DF">
            <w:pPr>
              <w:ind w:right="113"/>
              <w:jc w:val="center"/>
              <w:rPr>
                <w:rFonts w:cs="Arial"/>
                <w:sz w:val="18"/>
                <w:szCs w:val="18"/>
              </w:rPr>
            </w:pPr>
            <w:r w:rsidRPr="0060702E">
              <w:rPr>
                <w:rFonts w:cs="Arial"/>
                <w:sz w:val="18"/>
                <w:szCs w:val="18"/>
              </w:rPr>
              <w:t>151,914</w:t>
            </w:r>
          </w:p>
        </w:tc>
        <w:tc>
          <w:tcPr>
            <w:tcW w:w="1299" w:type="dxa"/>
            <w:tcMar>
              <w:top w:w="28" w:type="dxa"/>
              <w:bottom w:w="0" w:type="dxa"/>
            </w:tcMar>
          </w:tcPr>
          <w:p w:rsidR="00BA6FF2" w:rsidRPr="0060702E" w:rsidRDefault="00BA6FF2" w:rsidP="00D805DF">
            <w:pPr>
              <w:ind w:right="113"/>
              <w:jc w:val="center"/>
              <w:rPr>
                <w:rFonts w:cs="Arial"/>
                <w:sz w:val="18"/>
                <w:szCs w:val="18"/>
              </w:rPr>
            </w:pPr>
            <w:r w:rsidRPr="0060702E">
              <w:rPr>
                <w:rFonts w:cs="Arial"/>
                <w:sz w:val="18"/>
                <w:szCs w:val="18"/>
              </w:rPr>
              <w:t>140,371</w:t>
            </w:r>
          </w:p>
        </w:tc>
        <w:tc>
          <w:tcPr>
            <w:tcW w:w="1300" w:type="dxa"/>
          </w:tcPr>
          <w:p w:rsidR="00BA6FF2" w:rsidRPr="0060702E" w:rsidRDefault="00BA6FF2" w:rsidP="00D805DF">
            <w:pPr>
              <w:ind w:right="113"/>
              <w:jc w:val="center"/>
              <w:rPr>
                <w:rFonts w:cs="Arial"/>
                <w:sz w:val="18"/>
                <w:szCs w:val="18"/>
              </w:rPr>
            </w:pPr>
            <w:r w:rsidRPr="0060702E">
              <w:rPr>
                <w:rFonts w:cs="Arial"/>
                <w:sz w:val="18"/>
                <w:szCs w:val="18"/>
              </w:rPr>
              <w:t>118,895</w:t>
            </w:r>
          </w:p>
        </w:tc>
      </w:tr>
      <w:tr w:rsidR="00BA6FF2" w:rsidRPr="0060702E" w:rsidTr="009C17E4">
        <w:trPr>
          <w:jc w:val="center"/>
        </w:trPr>
        <w:tc>
          <w:tcPr>
            <w:tcW w:w="2410" w:type="dxa"/>
            <w:tcMar>
              <w:top w:w="28" w:type="dxa"/>
              <w:bottom w:w="0" w:type="dxa"/>
            </w:tcMar>
          </w:tcPr>
          <w:p w:rsidR="00BA6FF2" w:rsidRPr="0060702E" w:rsidRDefault="00BA6FF2" w:rsidP="00D805DF">
            <w:pPr>
              <w:ind w:right="176"/>
              <w:jc w:val="left"/>
              <w:rPr>
                <w:rFonts w:cs="Arial"/>
                <w:i/>
                <w:sz w:val="18"/>
                <w:szCs w:val="18"/>
              </w:rPr>
            </w:pPr>
            <w:r w:rsidRPr="0060702E">
              <w:rPr>
                <w:rFonts w:cs="Arial"/>
                <w:i/>
                <w:sz w:val="18"/>
                <w:szCs w:val="18"/>
              </w:rPr>
              <w:t>Unique users:</w:t>
            </w:r>
          </w:p>
        </w:tc>
        <w:tc>
          <w:tcPr>
            <w:tcW w:w="1299" w:type="dxa"/>
          </w:tcPr>
          <w:p w:rsidR="00BA6FF2" w:rsidRPr="0060702E" w:rsidRDefault="00BA6FF2" w:rsidP="00D805DF">
            <w:pPr>
              <w:ind w:right="113"/>
              <w:jc w:val="center"/>
              <w:rPr>
                <w:rFonts w:cs="Arial"/>
                <w:sz w:val="18"/>
                <w:szCs w:val="18"/>
              </w:rPr>
            </w:pPr>
            <w:r w:rsidRPr="0060702E">
              <w:rPr>
                <w:rFonts w:cs="Arial"/>
                <w:sz w:val="18"/>
                <w:szCs w:val="18"/>
              </w:rPr>
              <w:t>84,336</w:t>
            </w:r>
          </w:p>
        </w:tc>
        <w:tc>
          <w:tcPr>
            <w:tcW w:w="1299" w:type="dxa"/>
            <w:tcMar>
              <w:top w:w="28" w:type="dxa"/>
              <w:bottom w:w="0" w:type="dxa"/>
            </w:tcMar>
          </w:tcPr>
          <w:p w:rsidR="00BA6FF2" w:rsidRPr="0060702E" w:rsidRDefault="00BA6FF2" w:rsidP="00D805DF">
            <w:pPr>
              <w:ind w:right="113"/>
              <w:jc w:val="center"/>
              <w:rPr>
                <w:rFonts w:cs="Arial"/>
                <w:sz w:val="18"/>
                <w:szCs w:val="18"/>
              </w:rPr>
            </w:pPr>
            <w:r w:rsidRPr="0060702E">
              <w:rPr>
                <w:rFonts w:cs="Arial"/>
                <w:sz w:val="18"/>
                <w:szCs w:val="18"/>
              </w:rPr>
              <w:t>71,506</w:t>
            </w:r>
          </w:p>
        </w:tc>
        <w:tc>
          <w:tcPr>
            <w:tcW w:w="1299" w:type="dxa"/>
            <w:tcMar>
              <w:top w:w="28" w:type="dxa"/>
              <w:bottom w:w="0" w:type="dxa"/>
            </w:tcMar>
          </w:tcPr>
          <w:p w:rsidR="00BA6FF2" w:rsidRPr="0060702E" w:rsidRDefault="00BA6FF2" w:rsidP="00D805DF">
            <w:pPr>
              <w:ind w:right="113"/>
              <w:jc w:val="center"/>
              <w:rPr>
                <w:rFonts w:cs="Arial"/>
                <w:sz w:val="18"/>
                <w:szCs w:val="18"/>
              </w:rPr>
            </w:pPr>
            <w:r w:rsidRPr="0060702E">
              <w:rPr>
                <w:rFonts w:cs="Arial"/>
                <w:sz w:val="18"/>
                <w:szCs w:val="18"/>
              </w:rPr>
              <w:t>75,673</w:t>
            </w:r>
          </w:p>
        </w:tc>
        <w:tc>
          <w:tcPr>
            <w:tcW w:w="1300" w:type="dxa"/>
          </w:tcPr>
          <w:p w:rsidR="00BA6FF2" w:rsidRPr="0060702E" w:rsidRDefault="00BA6FF2" w:rsidP="00D805DF">
            <w:pPr>
              <w:ind w:right="113"/>
              <w:jc w:val="center"/>
              <w:rPr>
                <w:rFonts w:cs="Arial"/>
                <w:sz w:val="18"/>
                <w:szCs w:val="18"/>
              </w:rPr>
            </w:pPr>
            <w:r w:rsidRPr="0060702E">
              <w:rPr>
                <w:rFonts w:cs="Arial"/>
                <w:sz w:val="18"/>
                <w:szCs w:val="18"/>
              </w:rPr>
              <w:t>62,758</w:t>
            </w:r>
          </w:p>
        </w:tc>
      </w:tr>
      <w:tr w:rsidR="00BA6FF2" w:rsidRPr="0060702E" w:rsidTr="009C17E4">
        <w:trPr>
          <w:jc w:val="center"/>
        </w:trPr>
        <w:tc>
          <w:tcPr>
            <w:tcW w:w="2410" w:type="dxa"/>
            <w:tcMar>
              <w:top w:w="28" w:type="dxa"/>
              <w:bottom w:w="0" w:type="dxa"/>
            </w:tcMar>
          </w:tcPr>
          <w:p w:rsidR="00BA6FF2" w:rsidRPr="0060702E" w:rsidRDefault="00BA6FF2" w:rsidP="00D805DF">
            <w:pPr>
              <w:ind w:right="176"/>
              <w:jc w:val="left"/>
              <w:rPr>
                <w:rFonts w:cs="Arial"/>
                <w:i/>
                <w:sz w:val="18"/>
                <w:szCs w:val="18"/>
              </w:rPr>
            </w:pPr>
            <w:r w:rsidRPr="0060702E">
              <w:rPr>
                <w:rFonts w:cs="Arial"/>
                <w:i/>
                <w:sz w:val="18"/>
                <w:szCs w:val="18"/>
              </w:rPr>
              <w:t xml:space="preserve">Number of </w:t>
            </w:r>
            <w:proofErr w:type="spellStart"/>
            <w:r w:rsidRPr="0060702E">
              <w:rPr>
                <w:rFonts w:cs="Arial"/>
                <w:i/>
                <w:sz w:val="18"/>
                <w:szCs w:val="18"/>
              </w:rPr>
              <w:t>pageviews</w:t>
            </w:r>
            <w:proofErr w:type="spellEnd"/>
            <w:r w:rsidRPr="0060702E">
              <w:rPr>
                <w:rFonts w:cs="Arial"/>
                <w:i/>
                <w:sz w:val="18"/>
                <w:szCs w:val="18"/>
              </w:rPr>
              <w:t>:</w:t>
            </w:r>
          </w:p>
        </w:tc>
        <w:tc>
          <w:tcPr>
            <w:tcW w:w="1299" w:type="dxa"/>
          </w:tcPr>
          <w:p w:rsidR="00BA6FF2" w:rsidRPr="0060702E" w:rsidRDefault="00BA6FF2" w:rsidP="00D805DF">
            <w:pPr>
              <w:ind w:right="113"/>
              <w:jc w:val="center"/>
              <w:rPr>
                <w:rFonts w:cs="Arial"/>
                <w:sz w:val="18"/>
                <w:szCs w:val="18"/>
              </w:rPr>
            </w:pPr>
            <w:r w:rsidRPr="0060702E">
              <w:rPr>
                <w:rFonts w:cs="Arial"/>
                <w:sz w:val="18"/>
                <w:szCs w:val="18"/>
              </w:rPr>
              <w:t>1,129,052</w:t>
            </w:r>
          </w:p>
        </w:tc>
        <w:tc>
          <w:tcPr>
            <w:tcW w:w="1299" w:type="dxa"/>
            <w:tcMar>
              <w:top w:w="28" w:type="dxa"/>
              <w:bottom w:w="0" w:type="dxa"/>
            </w:tcMar>
          </w:tcPr>
          <w:p w:rsidR="00BA6FF2" w:rsidRPr="0060702E" w:rsidRDefault="00BA6FF2" w:rsidP="00D805DF">
            <w:pPr>
              <w:ind w:right="113"/>
              <w:jc w:val="center"/>
              <w:rPr>
                <w:rFonts w:cs="Arial"/>
                <w:sz w:val="18"/>
                <w:szCs w:val="18"/>
              </w:rPr>
            </w:pPr>
            <w:r w:rsidRPr="0060702E">
              <w:rPr>
                <w:rFonts w:cs="Arial"/>
                <w:sz w:val="18"/>
                <w:szCs w:val="18"/>
              </w:rPr>
              <w:t>1,139,570</w:t>
            </w:r>
          </w:p>
        </w:tc>
        <w:tc>
          <w:tcPr>
            <w:tcW w:w="1299" w:type="dxa"/>
            <w:tcMar>
              <w:top w:w="28" w:type="dxa"/>
              <w:bottom w:w="0" w:type="dxa"/>
            </w:tcMar>
          </w:tcPr>
          <w:p w:rsidR="00BA6FF2" w:rsidRPr="0060702E" w:rsidRDefault="00BA6FF2" w:rsidP="00D805DF">
            <w:pPr>
              <w:ind w:right="113"/>
              <w:jc w:val="center"/>
              <w:rPr>
                <w:rFonts w:cs="Arial"/>
                <w:sz w:val="18"/>
                <w:szCs w:val="18"/>
              </w:rPr>
            </w:pPr>
            <w:r w:rsidRPr="0060702E">
              <w:rPr>
                <w:rFonts w:cs="Arial"/>
                <w:sz w:val="18"/>
                <w:szCs w:val="18"/>
              </w:rPr>
              <w:t>798,942</w:t>
            </w:r>
          </w:p>
        </w:tc>
        <w:tc>
          <w:tcPr>
            <w:tcW w:w="1300" w:type="dxa"/>
          </w:tcPr>
          <w:p w:rsidR="00BA6FF2" w:rsidRPr="0060702E" w:rsidRDefault="00BA6FF2" w:rsidP="00D805DF">
            <w:pPr>
              <w:ind w:right="113"/>
              <w:jc w:val="center"/>
              <w:rPr>
                <w:rFonts w:cs="Arial"/>
                <w:sz w:val="18"/>
                <w:szCs w:val="18"/>
              </w:rPr>
            </w:pPr>
            <w:r w:rsidRPr="0060702E">
              <w:rPr>
                <w:rFonts w:cs="Arial"/>
                <w:sz w:val="18"/>
                <w:szCs w:val="18"/>
              </w:rPr>
              <w:t>656,722</w:t>
            </w:r>
          </w:p>
        </w:tc>
      </w:tr>
      <w:tr w:rsidR="00BA6FF2" w:rsidRPr="0060702E" w:rsidTr="009C17E4">
        <w:trPr>
          <w:jc w:val="center"/>
        </w:trPr>
        <w:tc>
          <w:tcPr>
            <w:tcW w:w="2410" w:type="dxa"/>
            <w:tcMar>
              <w:top w:w="28" w:type="dxa"/>
              <w:bottom w:w="0" w:type="dxa"/>
            </w:tcMar>
          </w:tcPr>
          <w:p w:rsidR="00BA6FF2" w:rsidRPr="0060702E" w:rsidRDefault="00BA6FF2" w:rsidP="00D805DF">
            <w:pPr>
              <w:ind w:right="176"/>
              <w:jc w:val="left"/>
              <w:rPr>
                <w:rFonts w:cs="Arial"/>
                <w:i/>
                <w:sz w:val="18"/>
                <w:szCs w:val="18"/>
              </w:rPr>
            </w:pPr>
            <w:r w:rsidRPr="0060702E">
              <w:rPr>
                <w:rFonts w:cs="Arial"/>
                <w:i/>
                <w:sz w:val="18"/>
                <w:szCs w:val="18"/>
              </w:rPr>
              <w:t>Number of pages/visit:</w:t>
            </w:r>
          </w:p>
        </w:tc>
        <w:tc>
          <w:tcPr>
            <w:tcW w:w="1299" w:type="dxa"/>
          </w:tcPr>
          <w:p w:rsidR="00BA6FF2" w:rsidRPr="0060702E" w:rsidRDefault="00BA6FF2" w:rsidP="00D805DF">
            <w:pPr>
              <w:ind w:right="113"/>
              <w:jc w:val="center"/>
              <w:rPr>
                <w:rFonts w:cs="Arial"/>
                <w:sz w:val="18"/>
                <w:szCs w:val="18"/>
              </w:rPr>
            </w:pPr>
            <w:r w:rsidRPr="0060702E">
              <w:rPr>
                <w:rFonts w:cs="Arial"/>
                <w:sz w:val="18"/>
                <w:szCs w:val="18"/>
              </w:rPr>
              <w:t>6.32</w:t>
            </w:r>
          </w:p>
        </w:tc>
        <w:tc>
          <w:tcPr>
            <w:tcW w:w="1299" w:type="dxa"/>
            <w:tcMar>
              <w:top w:w="28" w:type="dxa"/>
              <w:bottom w:w="0" w:type="dxa"/>
            </w:tcMar>
          </w:tcPr>
          <w:p w:rsidR="00BA6FF2" w:rsidRPr="0060702E" w:rsidRDefault="00BA6FF2" w:rsidP="00D805DF">
            <w:pPr>
              <w:ind w:right="113"/>
              <w:jc w:val="center"/>
              <w:rPr>
                <w:rFonts w:cs="Arial"/>
                <w:sz w:val="18"/>
                <w:szCs w:val="18"/>
              </w:rPr>
            </w:pPr>
            <w:r w:rsidRPr="0060702E">
              <w:rPr>
                <w:rFonts w:cs="Arial"/>
                <w:sz w:val="18"/>
                <w:szCs w:val="18"/>
              </w:rPr>
              <w:t>7.50</w:t>
            </w:r>
          </w:p>
        </w:tc>
        <w:tc>
          <w:tcPr>
            <w:tcW w:w="1299" w:type="dxa"/>
            <w:tcMar>
              <w:top w:w="28" w:type="dxa"/>
              <w:bottom w:w="0" w:type="dxa"/>
            </w:tcMar>
          </w:tcPr>
          <w:p w:rsidR="00BA6FF2" w:rsidRPr="0060702E" w:rsidRDefault="00BA6FF2" w:rsidP="00D805DF">
            <w:pPr>
              <w:ind w:right="113"/>
              <w:jc w:val="center"/>
              <w:rPr>
                <w:rFonts w:cs="Arial"/>
                <w:sz w:val="18"/>
                <w:szCs w:val="18"/>
              </w:rPr>
            </w:pPr>
            <w:r w:rsidRPr="0060702E">
              <w:rPr>
                <w:rFonts w:cs="Arial"/>
                <w:sz w:val="18"/>
                <w:szCs w:val="18"/>
              </w:rPr>
              <w:t>5.69</w:t>
            </w:r>
          </w:p>
        </w:tc>
        <w:tc>
          <w:tcPr>
            <w:tcW w:w="1300" w:type="dxa"/>
          </w:tcPr>
          <w:p w:rsidR="00BA6FF2" w:rsidRPr="0060702E" w:rsidRDefault="00BA6FF2" w:rsidP="00D805DF">
            <w:pPr>
              <w:ind w:right="113"/>
              <w:jc w:val="center"/>
              <w:rPr>
                <w:rFonts w:cs="Arial"/>
                <w:sz w:val="18"/>
                <w:szCs w:val="18"/>
              </w:rPr>
            </w:pPr>
            <w:r w:rsidRPr="0060702E">
              <w:rPr>
                <w:rFonts w:cs="Arial"/>
                <w:sz w:val="18"/>
                <w:szCs w:val="18"/>
              </w:rPr>
              <w:t>5.52</w:t>
            </w:r>
          </w:p>
        </w:tc>
      </w:tr>
      <w:tr w:rsidR="00BA6FF2" w:rsidRPr="0060702E" w:rsidTr="009C17E4">
        <w:trPr>
          <w:jc w:val="center"/>
        </w:trPr>
        <w:tc>
          <w:tcPr>
            <w:tcW w:w="2410" w:type="dxa"/>
            <w:tcMar>
              <w:top w:w="28" w:type="dxa"/>
              <w:bottom w:w="0" w:type="dxa"/>
            </w:tcMar>
          </w:tcPr>
          <w:p w:rsidR="00BA6FF2" w:rsidRPr="0060702E" w:rsidRDefault="00BA6FF2" w:rsidP="00D805DF">
            <w:pPr>
              <w:ind w:right="176"/>
              <w:jc w:val="left"/>
              <w:rPr>
                <w:rFonts w:cs="Arial"/>
                <w:i/>
                <w:sz w:val="18"/>
                <w:szCs w:val="18"/>
              </w:rPr>
            </w:pPr>
            <w:r w:rsidRPr="0060702E">
              <w:rPr>
                <w:rFonts w:cs="Arial"/>
                <w:i/>
                <w:sz w:val="18"/>
                <w:szCs w:val="18"/>
              </w:rPr>
              <w:t>Average visit duration:</w:t>
            </w:r>
          </w:p>
        </w:tc>
        <w:tc>
          <w:tcPr>
            <w:tcW w:w="1299" w:type="dxa"/>
          </w:tcPr>
          <w:p w:rsidR="00BA6FF2" w:rsidRPr="0060702E" w:rsidRDefault="00BA6FF2" w:rsidP="00D805DF">
            <w:pPr>
              <w:ind w:right="113"/>
              <w:jc w:val="center"/>
              <w:rPr>
                <w:rFonts w:cs="Arial"/>
                <w:sz w:val="18"/>
                <w:szCs w:val="18"/>
              </w:rPr>
            </w:pPr>
            <w:r w:rsidRPr="0060702E">
              <w:rPr>
                <w:rFonts w:cs="Arial"/>
                <w:sz w:val="18"/>
                <w:szCs w:val="18"/>
              </w:rPr>
              <w:t>00:06:35</w:t>
            </w:r>
          </w:p>
        </w:tc>
        <w:tc>
          <w:tcPr>
            <w:tcW w:w="1299" w:type="dxa"/>
            <w:tcMar>
              <w:top w:w="28" w:type="dxa"/>
              <w:bottom w:w="0" w:type="dxa"/>
            </w:tcMar>
          </w:tcPr>
          <w:p w:rsidR="00BA6FF2" w:rsidRPr="0060702E" w:rsidRDefault="00BA6FF2" w:rsidP="00D805DF">
            <w:pPr>
              <w:ind w:right="113"/>
              <w:jc w:val="center"/>
              <w:rPr>
                <w:rFonts w:cs="Arial"/>
                <w:sz w:val="18"/>
                <w:szCs w:val="18"/>
              </w:rPr>
            </w:pPr>
            <w:r w:rsidRPr="0060702E">
              <w:rPr>
                <w:rFonts w:cs="Arial"/>
                <w:sz w:val="18"/>
                <w:szCs w:val="18"/>
              </w:rPr>
              <w:t>00:07:19</w:t>
            </w:r>
          </w:p>
        </w:tc>
        <w:tc>
          <w:tcPr>
            <w:tcW w:w="1299" w:type="dxa"/>
            <w:tcMar>
              <w:top w:w="28" w:type="dxa"/>
              <w:bottom w:w="0" w:type="dxa"/>
            </w:tcMar>
          </w:tcPr>
          <w:p w:rsidR="00BA6FF2" w:rsidRPr="0060702E" w:rsidRDefault="00BA6FF2" w:rsidP="00D805DF">
            <w:pPr>
              <w:ind w:right="113"/>
              <w:jc w:val="center"/>
              <w:rPr>
                <w:rFonts w:cs="Arial"/>
                <w:sz w:val="18"/>
                <w:szCs w:val="18"/>
              </w:rPr>
            </w:pPr>
            <w:r w:rsidRPr="0060702E">
              <w:rPr>
                <w:rFonts w:cs="Arial"/>
                <w:sz w:val="18"/>
                <w:szCs w:val="18"/>
              </w:rPr>
              <w:t>00:04:41</w:t>
            </w:r>
          </w:p>
        </w:tc>
        <w:tc>
          <w:tcPr>
            <w:tcW w:w="1300" w:type="dxa"/>
          </w:tcPr>
          <w:p w:rsidR="00BA6FF2" w:rsidRPr="0060702E" w:rsidRDefault="00BA6FF2" w:rsidP="00D805DF">
            <w:pPr>
              <w:ind w:right="113"/>
              <w:jc w:val="center"/>
              <w:rPr>
                <w:rFonts w:cs="Arial"/>
                <w:sz w:val="18"/>
                <w:szCs w:val="18"/>
              </w:rPr>
            </w:pPr>
            <w:r w:rsidRPr="0060702E">
              <w:rPr>
                <w:rFonts w:cs="Arial"/>
                <w:sz w:val="18"/>
                <w:szCs w:val="18"/>
              </w:rPr>
              <w:t>00:04:12</w:t>
            </w:r>
          </w:p>
        </w:tc>
      </w:tr>
      <w:tr w:rsidR="00BA6FF2" w:rsidRPr="0060702E" w:rsidTr="009C17E4">
        <w:trPr>
          <w:jc w:val="center"/>
        </w:trPr>
        <w:tc>
          <w:tcPr>
            <w:tcW w:w="2410" w:type="dxa"/>
            <w:tcMar>
              <w:top w:w="28" w:type="dxa"/>
              <w:bottom w:w="0" w:type="dxa"/>
            </w:tcMar>
          </w:tcPr>
          <w:p w:rsidR="00BA6FF2" w:rsidRPr="0060702E" w:rsidRDefault="00BA6FF2" w:rsidP="00D805DF">
            <w:pPr>
              <w:jc w:val="left"/>
              <w:rPr>
                <w:rFonts w:cs="Arial"/>
                <w:i/>
                <w:sz w:val="18"/>
                <w:szCs w:val="18"/>
              </w:rPr>
            </w:pPr>
            <w:r w:rsidRPr="0060702E">
              <w:rPr>
                <w:rFonts w:cs="Arial"/>
                <w:i/>
                <w:sz w:val="18"/>
                <w:szCs w:val="18"/>
              </w:rPr>
              <w:t>Percentage of new visits:</w:t>
            </w:r>
          </w:p>
        </w:tc>
        <w:tc>
          <w:tcPr>
            <w:tcW w:w="1299" w:type="dxa"/>
          </w:tcPr>
          <w:p w:rsidR="00BA6FF2" w:rsidRPr="0060702E" w:rsidRDefault="00BA6FF2" w:rsidP="00D805DF">
            <w:pPr>
              <w:ind w:right="113"/>
              <w:jc w:val="center"/>
              <w:rPr>
                <w:rFonts w:cs="Arial"/>
                <w:sz w:val="18"/>
                <w:szCs w:val="18"/>
              </w:rPr>
            </w:pPr>
            <w:r w:rsidRPr="0060702E">
              <w:rPr>
                <w:rFonts w:cs="Arial"/>
                <w:sz w:val="18"/>
                <w:szCs w:val="18"/>
              </w:rPr>
              <w:t>54.6%</w:t>
            </w:r>
          </w:p>
        </w:tc>
        <w:tc>
          <w:tcPr>
            <w:tcW w:w="1299" w:type="dxa"/>
            <w:tcMar>
              <w:top w:w="28" w:type="dxa"/>
              <w:bottom w:w="0" w:type="dxa"/>
            </w:tcMar>
          </w:tcPr>
          <w:p w:rsidR="00BA6FF2" w:rsidRPr="0060702E" w:rsidRDefault="00BA6FF2" w:rsidP="00D805DF">
            <w:pPr>
              <w:ind w:right="113"/>
              <w:jc w:val="center"/>
              <w:rPr>
                <w:rFonts w:cs="Arial"/>
                <w:sz w:val="18"/>
                <w:szCs w:val="18"/>
              </w:rPr>
            </w:pPr>
            <w:r w:rsidRPr="0060702E">
              <w:rPr>
                <w:rFonts w:cs="Arial"/>
                <w:sz w:val="18"/>
                <w:szCs w:val="18"/>
              </w:rPr>
              <w:t>45.05%</w:t>
            </w:r>
          </w:p>
        </w:tc>
        <w:tc>
          <w:tcPr>
            <w:tcW w:w="1299" w:type="dxa"/>
            <w:tcMar>
              <w:top w:w="28" w:type="dxa"/>
              <w:bottom w:w="0" w:type="dxa"/>
            </w:tcMar>
          </w:tcPr>
          <w:p w:rsidR="00BA6FF2" w:rsidRPr="0060702E" w:rsidRDefault="00BA6FF2" w:rsidP="00D805DF">
            <w:pPr>
              <w:ind w:right="113"/>
              <w:jc w:val="center"/>
              <w:rPr>
                <w:rFonts w:cs="Arial"/>
                <w:sz w:val="18"/>
                <w:szCs w:val="18"/>
              </w:rPr>
            </w:pPr>
            <w:r w:rsidRPr="0060702E">
              <w:rPr>
                <w:rFonts w:cs="Arial"/>
                <w:sz w:val="18"/>
                <w:szCs w:val="18"/>
              </w:rPr>
              <w:t>51.91%</w:t>
            </w:r>
          </w:p>
        </w:tc>
        <w:tc>
          <w:tcPr>
            <w:tcW w:w="1300" w:type="dxa"/>
          </w:tcPr>
          <w:p w:rsidR="00BA6FF2" w:rsidRPr="0060702E" w:rsidRDefault="00BA6FF2" w:rsidP="00D805DF">
            <w:pPr>
              <w:ind w:right="113"/>
              <w:jc w:val="center"/>
              <w:rPr>
                <w:rFonts w:cs="Arial"/>
                <w:sz w:val="18"/>
                <w:szCs w:val="18"/>
              </w:rPr>
            </w:pPr>
            <w:r w:rsidRPr="0060702E">
              <w:rPr>
                <w:rFonts w:cs="Arial"/>
                <w:sz w:val="18"/>
                <w:szCs w:val="18"/>
              </w:rPr>
              <w:t>50.57%</w:t>
            </w:r>
          </w:p>
        </w:tc>
      </w:tr>
    </w:tbl>
    <w:p w:rsidR="00BA6FF2" w:rsidRPr="0060702E" w:rsidRDefault="00BA6FF2" w:rsidP="00BA6FF2">
      <w:pPr>
        <w:tabs>
          <w:tab w:val="right" w:pos="3720"/>
          <w:tab w:val="left" w:pos="4003"/>
        </w:tabs>
        <w:ind w:left="602" w:right="176" w:hanging="318"/>
        <w:jc w:val="left"/>
        <w:rPr>
          <w:sz w:val="18"/>
          <w:szCs w:val="18"/>
        </w:rPr>
      </w:pPr>
    </w:p>
    <w:p w:rsidR="009C17E4" w:rsidRDefault="009C17E4">
      <w:pPr>
        <w:jc w:val="left"/>
      </w:pPr>
      <w:r>
        <w:br w:type="page"/>
      </w:r>
    </w:p>
    <w:p w:rsidR="00BA6FF2" w:rsidRPr="0060702E" w:rsidRDefault="00BA6FF2" w:rsidP="002D6F42"/>
    <w:tbl>
      <w:tblPr>
        <w:tblW w:w="9889" w:type="dxa"/>
        <w:jc w:val="center"/>
        <w:tblLayout w:type="fixed"/>
        <w:tblLook w:val="0000" w:firstRow="0" w:lastRow="0" w:firstColumn="0" w:lastColumn="0" w:noHBand="0" w:noVBand="0"/>
      </w:tblPr>
      <w:tblGrid>
        <w:gridCol w:w="4944"/>
        <w:gridCol w:w="4945"/>
      </w:tblGrid>
      <w:tr w:rsidR="00BA6FF2" w:rsidRPr="0060702E" w:rsidTr="00873FF9">
        <w:trPr>
          <w:jc w:val="center"/>
        </w:trPr>
        <w:tc>
          <w:tcPr>
            <w:tcW w:w="4944" w:type="dxa"/>
          </w:tcPr>
          <w:p w:rsidR="00BA6FF2" w:rsidRPr="0060702E" w:rsidRDefault="00BA6FF2" w:rsidP="00D805DF">
            <w:pPr>
              <w:rPr>
                <w:rFonts w:eastAsiaTheme="minorEastAsia"/>
                <w:i/>
                <w:iCs/>
                <w:sz w:val="18"/>
                <w:szCs w:val="24"/>
              </w:rPr>
            </w:pPr>
            <w:r w:rsidRPr="0060702E">
              <w:rPr>
                <w:rFonts w:eastAsiaTheme="minorEastAsia"/>
                <w:i/>
                <w:iCs/>
                <w:sz w:val="18"/>
                <w:szCs w:val="24"/>
              </w:rPr>
              <w:t>Website Overview:  Global Coverage in 2013</w:t>
            </w:r>
          </w:p>
          <w:p w:rsidR="00BA6FF2" w:rsidRPr="0060702E" w:rsidRDefault="00BA6FF2" w:rsidP="00D805DF">
            <w:pPr>
              <w:rPr>
                <w:rFonts w:eastAsiaTheme="minorEastAsia"/>
                <w:i/>
                <w:iCs/>
                <w:sz w:val="18"/>
                <w:szCs w:val="24"/>
              </w:rPr>
            </w:pPr>
          </w:p>
          <w:p w:rsidR="00BA6FF2" w:rsidRPr="0060702E" w:rsidRDefault="00BA6FF2" w:rsidP="00D84E23">
            <w:pPr>
              <w:jc w:val="center"/>
              <w:rPr>
                <w:rFonts w:eastAsiaTheme="minorEastAsia"/>
                <w:i/>
                <w:iCs/>
                <w:sz w:val="18"/>
                <w:szCs w:val="24"/>
              </w:rPr>
            </w:pPr>
            <w:r w:rsidRPr="0060702E">
              <w:rPr>
                <w:noProof/>
                <w:sz w:val="18"/>
                <w:szCs w:val="18"/>
              </w:rPr>
              <w:drawing>
                <wp:inline distT="0" distB="0" distL="0" distR="0" wp14:anchorId="5D909B0F" wp14:editId="0F997C39">
                  <wp:extent cx="2343150" cy="1617024"/>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ov_2013_geo_sessions.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344342" cy="1617847"/>
                          </a:xfrm>
                          <a:prstGeom prst="rect">
                            <a:avLst/>
                          </a:prstGeom>
                        </pic:spPr>
                      </pic:pic>
                    </a:graphicData>
                  </a:graphic>
                </wp:inline>
              </w:drawing>
            </w:r>
          </w:p>
          <w:p w:rsidR="00BA6FF2" w:rsidRPr="0060702E" w:rsidRDefault="00BA6FF2" w:rsidP="00D805DF">
            <w:pPr>
              <w:pStyle w:val="Heading9"/>
              <w:keepLines/>
              <w:spacing w:after="0"/>
            </w:pPr>
          </w:p>
        </w:tc>
        <w:tc>
          <w:tcPr>
            <w:tcW w:w="4945" w:type="dxa"/>
          </w:tcPr>
          <w:p w:rsidR="00BA6FF2" w:rsidRPr="0060702E" w:rsidRDefault="00BA6FF2" w:rsidP="00D805DF">
            <w:pPr>
              <w:rPr>
                <w:bCs/>
                <w:sz w:val="18"/>
                <w:szCs w:val="18"/>
              </w:rPr>
            </w:pPr>
            <w:r w:rsidRPr="0060702E">
              <w:rPr>
                <w:bCs/>
                <w:sz w:val="18"/>
                <w:szCs w:val="18"/>
              </w:rPr>
              <w:t xml:space="preserve">Sessions by country: </w:t>
            </w:r>
          </w:p>
          <w:p w:rsidR="00BA6FF2" w:rsidRPr="0060702E" w:rsidRDefault="00BA6FF2" w:rsidP="00D805DF">
            <w:pPr>
              <w:rPr>
                <w:bCs/>
                <w:sz w:val="18"/>
                <w:szCs w:val="18"/>
              </w:rPr>
            </w:pPr>
          </w:p>
          <w:p w:rsidR="00BA6FF2" w:rsidRPr="0060702E" w:rsidRDefault="00BA6FF2" w:rsidP="00D805DF">
            <w:pPr>
              <w:rPr>
                <w:sz w:val="18"/>
                <w:szCs w:val="18"/>
              </w:rPr>
            </w:pPr>
            <w:r w:rsidRPr="0060702E">
              <w:rPr>
                <w:sz w:val="18"/>
                <w:szCs w:val="18"/>
              </w:rPr>
              <w:t xml:space="preserve">1. </w:t>
            </w:r>
            <w:r w:rsidRPr="0060702E">
              <w:rPr>
                <w:sz w:val="18"/>
                <w:szCs w:val="18"/>
              </w:rPr>
              <w:tab/>
              <w:t xml:space="preserve">Switzerland (8%) </w:t>
            </w:r>
          </w:p>
          <w:p w:rsidR="00BA6FF2" w:rsidRPr="0060702E" w:rsidRDefault="00BA6FF2" w:rsidP="00D805DF">
            <w:pPr>
              <w:rPr>
                <w:sz w:val="18"/>
                <w:szCs w:val="18"/>
              </w:rPr>
            </w:pPr>
            <w:r w:rsidRPr="0060702E">
              <w:rPr>
                <w:sz w:val="18"/>
                <w:szCs w:val="18"/>
              </w:rPr>
              <w:t xml:space="preserve">2. </w:t>
            </w:r>
            <w:r w:rsidRPr="0060702E">
              <w:rPr>
                <w:sz w:val="18"/>
                <w:szCs w:val="18"/>
              </w:rPr>
              <w:tab/>
              <w:t xml:space="preserve">France (7%) </w:t>
            </w:r>
          </w:p>
          <w:p w:rsidR="00BA6FF2" w:rsidRPr="0060702E" w:rsidRDefault="00BA6FF2" w:rsidP="00D805DF">
            <w:pPr>
              <w:rPr>
                <w:sz w:val="18"/>
                <w:szCs w:val="18"/>
              </w:rPr>
            </w:pPr>
            <w:r w:rsidRPr="0060702E">
              <w:rPr>
                <w:sz w:val="18"/>
                <w:szCs w:val="18"/>
              </w:rPr>
              <w:t xml:space="preserve">3. </w:t>
            </w:r>
            <w:r w:rsidRPr="0060702E">
              <w:rPr>
                <w:sz w:val="18"/>
                <w:szCs w:val="18"/>
              </w:rPr>
              <w:tab/>
              <w:t xml:space="preserve">United States of America (6%) </w:t>
            </w:r>
          </w:p>
          <w:p w:rsidR="00BA6FF2" w:rsidRPr="0060702E" w:rsidRDefault="00BA6FF2" w:rsidP="00D805DF">
            <w:pPr>
              <w:rPr>
                <w:sz w:val="18"/>
                <w:szCs w:val="18"/>
              </w:rPr>
            </w:pPr>
            <w:r w:rsidRPr="0060702E">
              <w:rPr>
                <w:sz w:val="18"/>
                <w:szCs w:val="18"/>
              </w:rPr>
              <w:t xml:space="preserve">4. </w:t>
            </w:r>
            <w:r w:rsidRPr="0060702E">
              <w:rPr>
                <w:sz w:val="18"/>
                <w:szCs w:val="18"/>
              </w:rPr>
              <w:tab/>
              <w:t>Japan (4%)</w:t>
            </w:r>
          </w:p>
          <w:p w:rsidR="00BA6FF2" w:rsidRPr="0060702E" w:rsidRDefault="00BA6FF2" w:rsidP="00D805DF">
            <w:pPr>
              <w:rPr>
                <w:sz w:val="18"/>
                <w:szCs w:val="18"/>
              </w:rPr>
            </w:pPr>
            <w:r w:rsidRPr="0060702E">
              <w:rPr>
                <w:sz w:val="18"/>
                <w:szCs w:val="18"/>
              </w:rPr>
              <w:t xml:space="preserve">5. </w:t>
            </w:r>
            <w:r w:rsidRPr="0060702E">
              <w:rPr>
                <w:sz w:val="18"/>
                <w:szCs w:val="18"/>
              </w:rPr>
              <w:tab/>
              <w:t xml:space="preserve">Netherlands (4%) </w:t>
            </w:r>
          </w:p>
          <w:p w:rsidR="00BA6FF2" w:rsidRPr="0060702E" w:rsidRDefault="00BA6FF2" w:rsidP="00D805DF">
            <w:pPr>
              <w:rPr>
                <w:sz w:val="18"/>
                <w:szCs w:val="18"/>
              </w:rPr>
            </w:pPr>
            <w:r w:rsidRPr="0060702E">
              <w:rPr>
                <w:sz w:val="18"/>
                <w:szCs w:val="18"/>
              </w:rPr>
              <w:t xml:space="preserve">6. </w:t>
            </w:r>
            <w:r w:rsidRPr="0060702E">
              <w:rPr>
                <w:sz w:val="18"/>
                <w:szCs w:val="18"/>
              </w:rPr>
              <w:tab/>
              <w:t xml:space="preserve">India (4%) </w:t>
            </w:r>
          </w:p>
          <w:p w:rsidR="00BA6FF2" w:rsidRPr="0060702E" w:rsidRDefault="00BA6FF2" w:rsidP="00D805DF">
            <w:pPr>
              <w:rPr>
                <w:sz w:val="18"/>
                <w:szCs w:val="18"/>
              </w:rPr>
            </w:pPr>
            <w:r w:rsidRPr="0060702E">
              <w:rPr>
                <w:sz w:val="18"/>
                <w:szCs w:val="18"/>
              </w:rPr>
              <w:t>7.</w:t>
            </w:r>
            <w:r w:rsidRPr="0060702E">
              <w:rPr>
                <w:sz w:val="18"/>
                <w:szCs w:val="18"/>
              </w:rPr>
              <w:tab/>
              <w:t xml:space="preserve">Germany (4%) </w:t>
            </w:r>
          </w:p>
          <w:p w:rsidR="00BA6FF2" w:rsidRPr="0060702E" w:rsidRDefault="00BA6FF2" w:rsidP="00D805DF">
            <w:pPr>
              <w:rPr>
                <w:sz w:val="18"/>
                <w:szCs w:val="18"/>
              </w:rPr>
            </w:pPr>
            <w:r w:rsidRPr="0060702E">
              <w:rPr>
                <w:sz w:val="18"/>
                <w:szCs w:val="18"/>
              </w:rPr>
              <w:t xml:space="preserve">8. </w:t>
            </w:r>
            <w:r w:rsidRPr="0060702E">
              <w:rPr>
                <w:sz w:val="18"/>
                <w:szCs w:val="18"/>
              </w:rPr>
              <w:tab/>
              <w:t xml:space="preserve">Mexico (4%) </w:t>
            </w:r>
          </w:p>
          <w:p w:rsidR="00BA6FF2" w:rsidRPr="0060702E" w:rsidRDefault="00BA6FF2" w:rsidP="00D805DF">
            <w:pPr>
              <w:rPr>
                <w:sz w:val="18"/>
                <w:szCs w:val="18"/>
              </w:rPr>
            </w:pPr>
            <w:r w:rsidRPr="0060702E">
              <w:rPr>
                <w:sz w:val="18"/>
                <w:szCs w:val="18"/>
              </w:rPr>
              <w:t xml:space="preserve">9. </w:t>
            </w:r>
            <w:r w:rsidRPr="0060702E">
              <w:rPr>
                <w:sz w:val="18"/>
                <w:szCs w:val="18"/>
              </w:rPr>
              <w:tab/>
              <w:t xml:space="preserve">Chile (3%) </w:t>
            </w:r>
          </w:p>
          <w:p w:rsidR="00BA6FF2" w:rsidRPr="0060702E" w:rsidRDefault="00BA6FF2" w:rsidP="00D805DF">
            <w:pPr>
              <w:rPr>
                <w:sz w:val="18"/>
                <w:szCs w:val="18"/>
              </w:rPr>
            </w:pPr>
            <w:r w:rsidRPr="0060702E">
              <w:rPr>
                <w:sz w:val="18"/>
                <w:szCs w:val="18"/>
              </w:rPr>
              <w:t>10.</w:t>
            </w:r>
            <w:r w:rsidRPr="0060702E">
              <w:rPr>
                <w:sz w:val="18"/>
                <w:szCs w:val="18"/>
              </w:rPr>
              <w:tab/>
              <w:t xml:space="preserve">Spain (3%) </w:t>
            </w:r>
          </w:p>
          <w:p w:rsidR="00BA6FF2" w:rsidRPr="0060702E" w:rsidRDefault="00BA6FF2" w:rsidP="00D805DF">
            <w:pPr>
              <w:rPr>
                <w:bCs/>
                <w:sz w:val="18"/>
                <w:szCs w:val="18"/>
              </w:rPr>
            </w:pPr>
          </w:p>
          <w:p w:rsidR="00BA6FF2" w:rsidRPr="0060702E" w:rsidRDefault="00BA6FF2" w:rsidP="00D805DF">
            <w:pPr>
              <w:pStyle w:val="Heading9"/>
              <w:keepLines/>
            </w:pPr>
          </w:p>
          <w:p w:rsidR="00BA6FF2" w:rsidRPr="0060702E" w:rsidRDefault="00BA6FF2" w:rsidP="00D805DF"/>
          <w:p w:rsidR="00BA6FF2" w:rsidRPr="0060702E" w:rsidRDefault="00BA6FF2" w:rsidP="00D805DF"/>
        </w:tc>
      </w:tr>
    </w:tbl>
    <w:p w:rsidR="00BA6FF2" w:rsidRPr="0060702E" w:rsidRDefault="00BA6FF2" w:rsidP="002D6F42"/>
    <w:p w:rsidR="00BA6FF2" w:rsidRPr="0060702E" w:rsidRDefault="00BA6FF2" w:rsidP="00BA6FF2">
      <w:pPr>
        <w:rPr>
          <w:rFonts w:eastAsiaTheme="minorEastAsia"/>
          <w:i/>
          <w:iCs/>
          <w:sz w:val="18"/>
          <w:szCs w:val="24"/>
        </w:rPr>
      </w:pPr>
    </w:p>
    <w:tbl>
      <w:tblPr>
        <w:tblStyle w:val="TableGrid"/>
        <w:tblW w:w="7989" w:type="dxa"/>
        <w:jc w:val="center"/>
        <w:tblInd w:w="-4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55"/>
        <w:gridCol w:w="732"/>
        <w:gridCol w:w="648"/>
        <w:gridCol w:w="669"/>
        <w:gridCol w:w="649"/>
        <w:gridCol w:w="669"/>
        <w:gridCol w:w="649"/>
        <w:gridCol w:w="669"/>
        <w:gridCol w:w="649"/>
      </w:tblGrid>
      <w:tr w:rsidR="00BA6FF2" w:rsidRPr="0060702E" w:rsidTr="00873FF9">
        <w:trPr>
          <w:trHeight w:val="191"/>
          <w:jc w:val="center"/>
        </w:trPr>
        <w:tc>
          <w:tcPr>
            <w:tcW w:w="2655" w:type="dxa"/>
            <w:vMerge w:val="restart"/>
            <w:tcMar>
              <w:top w:w="28" w:type="dxa"/>
              <w:bottom w:w="28" w:type="dxa"/>
            </w:tcMar>
          </w:tcPr>
          <w:p w:rsidR="00BA6FF2" w:rsidRPr="0060702E" w:rsidRDefault="00BA6FF2" w:rsidP="00D805DF">
            <w:pPr>
              <w:tabs>
                <w:tab w:val="right" w:pos="3720"/>
                <w:tab w:val="left" w:pos="4003"/>
              </w:tabs>
              <w:jc w:val="left"/>
              <w:rPr>
                <w:rFonts w:cs="Arial"/>
                <w:sz w:val="18"/>
                <w:szCs w:val="18"/>
              </w:rPr>
            </w:pPr>
            <w:r w:rsidRPr="0060702E">
              <w:rPr>
                <w:rFonts w:cs="Arial"/>
                <w:sz w:val="18"/>
                <w:szCs w:val="18"/>
              </w:rPr>
              <w:t>Language of visitor’s browser</w:t>
            </w:r>
          </w:p>
        </w:tc>
        <w:tc>
          <w:tcPr>
            <w:tcW w:w="1380" w:type="dxa"/>
            <w:gridSpan w:val="2"/>
            <w:tcMar>
              <w:left w:w="57" w:type="dxa"/>
              <w:right w:w="57" w:type="dxa"/>
            </w:tcMar>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2013</w:t>
            </w:r>
          </w:p>
        </w:tc>
        <w:tc>
          <w:tcPr>
            <w:tcW w:w="1318" w:type="dxa"/>
            <w:gridSpan w:val="2"/>
            <w:tcMar>
              <w:top w:w="28" w:type="dxa"/>
              <w:left w:w="57" w:type="dxa"/>
              <w:bottom w:w="28" w:type="dxa"/>
              <w:right w:w="57" w:type="dxa"/>
            </w:tcMar>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2012</w:t>
            </w:r>
          </w:p>
        </w:tc>
        <w:tc>
          <w:tcPr>
            <w:tcW w:w="1318" w:type="dxa"/>
            <w:gridSpan w:val="2"/>
            <w:tcMar>
              <w:top w:w="28" w:type="dxa"/>
              <w:left w:w="57" w:type="dxa"/>
              <w:right w:w="57" w:type="dxa"/>
            </w:tcMar>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2011</w:t>
            </w:r>
          </w:p>
        </w:tc>
        <w:tc>
          <w:tcPr>
            <w:tcW w:w="1318" w:type="dxa"/>
            <w:gridSpan w:val="2"/>
            <w:tcMar>
              <w:top w:w="28" w:type="dxa"/>
              <w:left w:w="57" w:type="dxa"/>
              <w:right w:w="57" w:type="dxa"/>
            </w:tcMar>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2010</w:t>
            </w:r>
          </w:p>
        </w:tc>
      </w:tr>
      <w:tr w:rsidR="00BA6FF2" w:rsidRPr="0060702E" w:rsidTr="00873FF9">
        <w:trPr>
          <w:trHeight w:val="126"/>
          <w:jc w:val="center"/>
        </w:trPr>
        <w:tc>
          <w:tcPr>
            <w:tcW w:w="2655" w:type="dxa"/>
            <w:vMerge/>
            <w:tcMar>
              <w:top w:w="28" w:type="dxa"/>
              <w:bottom w:w="28" w:type="dxa"/>
            </w:tcMar>
          </w:tcPr>
          <w:p w:rsidR="00BA6FF2" w:rsidRPr="0060702E" w:rsidRDefault="00BA6FF2" w:rsidP="00D805DF">
            <w:pPr>
              <w:tabs>
                <w:tab w:val="right" w:pos="3720"/>
                <w:tab w:val="left" w:pos="4003"/>
              </w:tabs>
              <w:jc w:val="left"/>
              <w:rPr>
                <w:rFonts w:cs="Arial"/>
                <w:sz w:val="18"/>
                <w:szCs w:val="18"/>
              </w:rPr>
            </w:pPr>
          </w:p>
        </w:tc>
        <w:tc>
          <w:tcPr>
            <w:tcW w:w="732" w:type="dxa"/>
            <w:tcMar>
              <w:left w:w="57" w:type="dxa"/>
              <w:right w:w="57" w:type="dxa"/>
            </w:tcMar>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Visits</w:t>
            </w:r>
          </w:p>
        </w:tc>
        <w:tc>
          <w:tcPr>
            <w:tcW w:w="648" w:type="dxa"/>
            <w:tcMar>
              <w:left w:w="57" w:type="dxa"/>
              <w:right w:w="57" w:type="dxa"/>
            </w:tcMar>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w:t>
            </w:r>
          </w:p>
        </w:tc>
        <w:tc>
          <w:tcPr>
            <w:tcW w:w="669" w:type="dxa"/>
            <w:tcMar>
              <w:top w:w="28" w:type="dxa"/>
              <w:left w:w="57" w:type="dxa"/>
              <w:bottom w:w="28" w:type="dxa"/>
              <w:right w:w="57" w:type="dxa"/>
            </w:tcMar>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Visits</w:t>
            </w:r>
          </w:p>
        </w:tc>
        <w:tc>
          <w:tcPr>
            <w:tcW w:w="649" w:type="dxa"/>
            <w:tcMar>
              <w:top w:w="28" w:type="dxa"/>
              <w:left w:w="57" w:type="dxa"/>
              <w:bottom w:w="28" w:type="dxa"/>
              <w:right w:w="57" w:type="dxa"/>
            </w:tcMar>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w:t>
            </w:r>
          </w:p>
        </w:tc>
        <w:tc>
          <w:tcPr>
            <w:tcW w:w="669" w:type="dxa"/>
            <w:tcMar>
              <w:top w:w="28" w:type="dxa"/>
              <w:left w:w="57" w:type="dxa"/>
              <w:right w:w="57" w:type="dxa"/>
            </w:tcMar>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Visits</w:t>
            </w:r>
          </w:p>
        </w:tc>
        <w:tc>
          <w:tcPr>
            <w:tcW w:w="649" w:type="dxa"/>
            <w:tcMar>
              <w:top w:w="28" w:type="dxa"/>
              <w:left w:w="57" w:type="dxa"/>
              <w:right w:w="57" w:type="dxa"/>
            </w:tcMar>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w:t>
            </w:r>
          </w:p>
        </w:tc>
        <w:tc>
          <w:tcPr>
            <w:tcW w:w="669" w:type="dxa"/>
            <w:tcMar>
              <w:top w:w="28" w:type="dxa"/>
              <w:left w:w="57" w:type="dxa"/>
              <w:right w:w="57" w:type="dxa"/>
            </w:tcMar>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Visits</w:t>
            </w:r>
          </w:p>
        </w:tc>
        <w:tc>
          <w:tcPr>
            <w:tcW w:w="649" w:type="dxa"/>
            <w:tcMar>
              <w:top w:w="28" w:type="dxa"/>
              <w:left w:w="57" w:type="dxa"/>
              <w:right w:w="57" w:type="dxa"/>
            </w:tcMar>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w:t>
            </w:r>
          </w:p>
        </w:tc>
      </w:tr>
      <w:tr w:rsidR="00BA6FF2" w:rsidRPr="0060702E" w:rsidTr="00873FF9">
        <w:trPr>
          <w:trHeight w:val="176"/>
          <w:jc w:val="center"/>
        </w:trPr>
        <w:tc>
          <w:tcPr>
            <w:tcW w:w="2655" w:type="dxa"/>
            <w:tcMar>
              <w:top w:w="28" w:type="dxa"/>
              <w:bottom w:w="28" w:type="dxa"/>
            </w:tcMar>
          </w:tcPr>
          <w:p w:rsidR="00BA6FF2" w:rsidRPr="0060702E" w:rsidRDefault="00BA6FF2" w:rsidP="00D805DF">
            <w:pPr>
              <w:pStyle w:val="ListParagraph"/>
              <w:numPr>
                <w:ilvl w:val="0"/>
                <w:numId w:val="10"/>
              </w:numPr>
              <w:tabs>
                <w:tab w:val="right" w:pos="3720"/>
                <w:tab w:val="left" w:pos="4003"/>
              </w:tabs>
              <w:jc w:val="left"/>
              <w:rPr>
                <w:rFonts w:cs="Arial"/>
                <w:sz w:val="18"/>
                <w:szCs w:val="18"/>
              </w:rPr>
            </w:pPr>
            <w:r w:rsidRPr="0060702E">
              <w:rPr>
                <w:rFonts w:cs="Arial"/>
                <w:sz w:val="18"/>
                <w:szCs w:val="18"/>
              </w:rPr>
              <w:t>en-us: English (US)</w:t>
            </w:r>
          </w:p>
        </w:tc>
        <w:tc>
          <w:tcPr>
            <w:tcW w:w="732" w:type="dxa"/>
            <w:tcMar>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70,706</w:t>
            </w:r>
          </w:p>
        </w:tc>
        <w:tc>
          <w:tcPr>
            <w:tcW w:w="648" w:type="dxa"/>
            <w:tcMar>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39.56</w:t>
            </w:r>
          </w:p>
        </w:tc>
        <w:tc>
          <w:tcPr>
            <w:tcW w:w="669" w:type="dxa"/>
            <w:tcMar>
              <w:top w:w="28" w:type="dxa"/>
              <w:left w:w="57" w:type="dxa"/>
              <w:bottom w:w="28"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57,341</w:t>
            </w:r>
          </w:p>
        </w:tc>
        <w:tc>
          <w:tcPr>
            <w:tcW w:w="649" w:type="dxa"/>
            <w:tcMar>
              <w:top w:w="28" w:type="dxa"/>
              <w:left w:w="57" w:type="dxa"/>
              <w:bottom w:w="28"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37.75</w:t>
            </w:r>
          </w:p>
        </w:tc>
        <w:tc>
          <w:tcPr>
            <w:tcW w:w="669" w:type="dxa"/>
            <w:tcMar>
              <w:top w:w="28" w:type="dxa"/>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50,571</w:t>
            </w:r>
          </w:p>
        </w:tc>
        <w:tc>
          <w:tcPr>
            <w:tcW w:w="649" w:type="dxa"/>
            <w:tcMar>
              <w:top w:w="28" w:type="dxa"/>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36.03</w:t>
            </w:r>
          </w:p>
        </w:tc>
        <w:tc>
          <w:tcPr>
            <w:tcW w:w="669" w:type="dxa"/>
            <w:tcMar>
              <w:top w:w="28" w:type="dxa"/>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46,527</w:t>
            </w:r>
          </w:p>
        </w:tc>
        <w:tc>
          <w:tcPr>
            <w:tcW w:w="649" w:type="dxa"/>
            <w:tcMar>
              <w:top w:w="28" w:type="dxa"/>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39.13</w:t>
            </w:r>
          </w:p>
        </w:tc>
      </w:tr>
      <w:tr w:rsidR="00BA6FF2" w:rsidRPr="0060702E" w:rsidTr="00873FF9">
        <w:trPr>
          <w:trHeight w:val="191"/>
          <w:jc w:val="center"/>
        </w:trPr>
        <w:tc>
          <w:tcPr>
            <w:tcW w:w="2655" w:type="dxa"/>
            <w:tcMar>
              <w:top w:w="28" w:type="dxa"/>
              <w:bottom w:w="28" w:type="dxa"/>
            </w:tcMar>
          </w:tcPr>
          <w:p w:rsidR="00BA6FF2" w:rsidRPr="0060702E" w:rsidRDefault="00BA6FF2" w:rsidP="00D805DF">
            <w:pPr>
              <w:pStyle w:val="ListParagraph"/>
              <w:numPr>
                <w:ilvl w:val="0"/>
                <w:numId w:val="10"/>
              </w:numPr>
              <w:tabs>
                <w:tab w:val="right" w:pos="3720"/>
                <w:tab w:val="left" w:pos="4003"/>
              </w:tabs>
              <w:jc w:val="left"/>
              <w:rPr>
                <w:rFonts w:cs="Arial"/>
                <w:sz w:val="18"/>
                <w:szCs w:val="18"/>
              </w:rPr>
            </w:pPr>
            <w:proofErr w:type="spellStart"/>
            <w:r w:rsidRPr="0060702E">
              <w:rPr>
                <w:rFonts w:cs="Arial"/>
                <w:sz w:val="18"/>
                <w:szCs w:val="18"/>
              </w:rPr>
              <w:t>es</w:t>
            </w:r>
            <w:proofErr w:type="spellEnd"/>
            <w:r w:rsidRPr="0060702E">
              <w:rPr>
                <w:rFonts w:cs="Arial"/>
                <w:sz w:val="18"/>
                <w:szCs w:val="18"/>
              </w:rPr>
              <w:t>: Spanish</w:t>
            </w:r>
          </w:p>
        </w:tc>
        <w:tc>
          <w:tcPr>
            <w:tcW w:w="732" w:type="dxa"/>
            <w:tcMar>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18,669</w:t>
            </w:r>
          </w:p>
        </w:tc>
        <w:tc>
          <w:tcPr>
            <w:tcW w:w="648" w:type="dxa"/>
            <w:tcMar>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10.45</w:t>
            </w:r>
          </w:p>
        </w:tc>
        <w:tc>
          <w:tcPr>
            <w:tcW w:w="669" w:type="dxa"/>
            <w:tcMar>
              <w:top w:w="28" w:type="dxa"/>
              <w:left w:w="57" w:type="dxa"/>
              <w:bottom w:w="28"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19,001</w:t>
            </w:r>
          </w:p>
        </w:tc>
        <w:tc>
          <w:tcPr>
            <w:tcW w:w="649" w:type="dxa"/>
            <w:tcMar>
              <w:top w:w="28" w:type="dxa"/>
              <w:left w:w="57" w:type="dxa"/>
              <w:bottom w:w="28"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12.51</w:t>
            </w:r>
          </w:p>
        </w:tc>
        <w:tc>
          <w:tcPr>
            <w:tcW w:w="669" w:type="dxa"/>
            <w:tcMar>
              <w:top w:w="28" w:type="dxa"/>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23,605</w:t>
            </w:r>
          </w:p>
        </w:tc>
        <w:tc>
          <w:tcPr>
            <w:tcW w:w="649" w:type="dxa"/>
            <w:tcMar>
              <w:top w:w="28" w:type="dxa"/>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16.82</w:t>
            </w:r>
          </w:p>
        </w:tc>
        <w:tc>
          <w:tcPr>
            <w:tcW w:w="669" w:type="dxa"/>
            <w:tcMar>
              <w:top w:w="28" w:type="dxa"/>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16,141</w:t>
            </w:r>
          </w:p>
        </w:tc>
        <w:tc>
          <w:tcPr>
            <w:tcW w:w="649" w:type="dxa"/>
            <w:tcMar>
              <w:top w:w="28" w:type="dxa"/>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13.58</w:t>
            </w:r>
          </w:p>
        </w:tc>
      </w:tr>
      <w:tr w:rsidR="00BA6FF2" w:rsidRPr="0060702E" w:rsidTr="00873FF9">
        <w:trPr>
          <w:trHeight w:val="176"/>
          <w:jc w:val="center"/>
        </w:trPr>
        <w:tc>
          <w:tcPr>
            <w:tcW w:w="2655" w:type="dxa"/>
            <w:tcMar>
              <w:top w:w="28" w:type="dxa"/>
              <w:bottom w:w="28" w:type="dxa"/>
            </w:tcMar>
          </w:tcPr>
          <w:p w:rsidR="00BA6FF2" w:rsidRPr="0060702E" w:rsidRDefault="00BA6FF2" w:rsidP="00D805DF">
            <w:pPr>
              <w:pStyle w:val="ListParagraph"/>
              <w:numPr>
                <w:ilvl w:val="0"/>
                <w:numId w:val="10"/>
              </w:numPr>
              <w:tabs>
                <w:tab w:val="right" w:pos="3720"/>
                <w:tab w:val="left" w:pos="4003"/>
              </w:tabs>
              <w:jc w:val="left"/>
              <w:rPr>
                <w:rFonts w:cs="Arial"/>
                <w:sz w:val="18"/>
                <w:szCs w:val="18"/>
              </w:rPr>
            </w:pPr>
            <w:proofErr w:type="spellStart"/>
            <w:r w:rsidRPr="0060702E">
              <w:rPr>
                <w:rFonts w:cs="Arial"/>
                <w:sz w:val="18"/>
                <w:szCs w:val="18"/>
              </w:rPr>
              <w:t>fr</w:t>
            </w:r>
            <w:proofErr w:type="spellEnd"/>
            <w:r w:rsidRPr="0060702E">
              <w:rPr>
                <w:rFonts w:cs="Arial"/>
                <w:sz w:val="18"/>
                <w:szCs w:val="18"/>
              </w:rPr>
              <w:t>: French</w:t>
            </w:r>
          </w:p>
        </w:tc>
        <w:tc>
          <w:tcPr>
            <w:tcW w:w="732" w:type="dxa"/>
            <w:tcMar>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13,876</w:t>
            </w:r>
          </w:p>
        </w:tc>
        <w:tc>
          <w:tcPr>
            <w:tcW w:w="648" w:type="dxa"/>
            <w:tcMar>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7.76</w:t>
            </w:r>
          </w:p>
        </w:tc>
        <w:tc>
          <w:tcPr>
            <w:tcW w:w="669" w:type="dxa"/>
            <w:tcMar>
              <w:top w:w="28" w:type="dxa"/>
              <w:left w:w="57" w:type="dxa"/>
              <w:bottom w:w="28"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14,212</w:t>
            </w:r>
          </w:p>
        </w:tc>
        <w:tc>
          <w:tcPr>
            <w:tcW w:w="649" w:type="dxa"/>
            <w:tcMar>
              <w:top w:w="28" w:type="dxa"/>
              <w:left w:w="57" w:type="dxa"/>
              <w:bottom w:w="28"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9.36</w:t>
            </w:r>
          </w:p>
        </w:tc>
        <w:tc>
          <w:tcPr>
            <w:tcW w:w="669" w:type="dxa"/>
            <w:tcMar>
              <w:top w:w="28" w:type="dxa"/>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10,670</w:t>
            </w:r>
          </w:p>
        </w:tc>
        <w:tc>
          <w:tcPr>
            <w:tcW w:w="649" w:type="dxa"/>
            <w:tcMar>
              <w:top w:w="28" w:type="dxa"/>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7.60</w:t>
            </w:r>
          </w:p>
        </w:tc>
        <w:tc>
          <w:tcPr>
            <w:tcW w:w="669" w:type="dxa"/>
            <w:tcMar>
              <w:top w:w="28" w:type="dxa"/>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11,169</w:t>
            </w:r>
          </w:p>
        </w:tc>
        <w:tc>
          <w:tcPr>
            <w:tcW w:w="649" w:type="dxa"/>
            <w:tcMar>
              <w:top w:w="28" w:type="dxa"/>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9.39</w:t>
            </w:r>
          </w:p>
        </w:tc>
      </w:tr>
      <w:tr w:rsidR="00BA6FF2" w:rsidRPr="0060702E" w:rsidTr="00873FF9">
        <w:trPr>
          <w:trHeight w:val="176"/>
          <w:jc w:val="center"/>
        </w:trPr>
        <w:tc>
          <w:tcPr>
            <w:tcW w:w="2655" w:type="dxa"/>
            <w:tcMar>
              <w:top w:w="28" w:type="dxa"/>
              <w:bottom w:w="28" w:type="dxa"/>
            </w:tcMar>
          </w:tcPr>
          <w:p w:rsidR="00BA6FF2" w:rsidRPr="0060702E" w:rsidRDefault="00BA6FF2" w:rsidP="00D805DF">
            <w:pPr>
              <w:pStyle w:val="ListParagraph"/>
              <w:numPr>
                <w:ilvl w:val="0"/>
                <w:numId w:val="10"/>
              </w:numPr>
              <w:tabs>
                <w:tab w:val="right" w:pos="3720"/>
                <w:tab w:val="left" w:pos="4003"/>
              </w:tabs>
              <w:jc w:val="left"/>
              <w:rPr>
                <w:rFonts w:cs="Arial"/>
                <w:sz w:val="18"/>
                <w:szCs w:val="18"/>
              </w:rPr>
            </w:pPr>
            <w:proofErr w:type="spellStart"/>
            <w:r w:rsidRPr="0060702E">
              <w:rPr>
                <w:rFonts w:cs="Arial"/>
                <w:sz w:val="18"/>
                <w:szCs w:val="18"/>
              </w:rPr>
              <w:t>es-es</w:t>
            </w:r>
            <w:proofErr w:type="spellEnd"/>
            <w:r w:rsidRPr="0060702E">
              <w:rPr>
                <w:rFonts w:cs="Arial"/>
                <w:sz w:val="18"/>
                <w:szCs w:val="18"/>
              </w:rPr>
              <w:t>: Spanish (Spain)</w:t>
            </w:r>
          </w:p>
        </w:tc>
        <w:tc>
          <w:tcPr>
            <w:tcW w:w="732" w:type="dxa"/>
            <w:tcMar>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9,234</w:t>
            </w:r>
          </w:p>
        </w:tc>
        <w:tc>
          <w:tcPr>
            <w:tcW w:w="648" w:type="dxa"/>
            <w:tcMar>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5.17</w:t>
            </w:r>
          </w:p>
        </w:tc>
        <w:tc>
          <w:tcPr>
            <w:tcW w:w="669" w:type="dxa"/>
            <w:tcMar>
              <w:top w:w="28" w:type="dxa"/>
              <w:left w:w="57" w:type="dxa"/>
              <w:bottom w:w="28"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5,698</w:t>
            </w:r>
          </w:p>
        </w:tc>
        <w:tc>
          <w:tcPr>
            <w:tcW w:w="649" w:type="dxa"/>
            <w:tcMar>
              <w:top w:w="28" w:type="dxa"/>
              <w:left w:w="57" w:type="dxa"/>
              <w:bottom w:w="28"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3.75</w:t>
            </w:r>
          </w:p>
        </w:tc>
        <w:tc>
          <w:tcPr>
            <w:tcW w:w="669" w:type="dxa"/>
            <w:tcMar>
              <w:top w:w="28" w:type="dxa"/>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9,124</w:t>
            </w:r>
          </w:p>
        </w:tc>
        <w:tc>
          <w:tcPr>
            <w:tcW w:w="649" w:type="dxa"/>
            <w:tcMar>
              <w:top w:w="28" w:type="dxa"/>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6.50</w:t>
            </w:r>
          </w:p>
        </w:tc>
        <w:tc>
          <w:tcPr>
            <w:tcW w:w="669" w:type="dxa"/>
            <w:tcMar>
              <w:top w:w="28" w:type="dxa"/>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4,104</w:t>
            </w:r>
          </w:p>
        </w:tc>
        <w:tc>
          <w:tcPr>
            <w:tcW w:w="649" w:type="dxa"/>
            <w:tcMar>
              <w:top w:w="28" w:type="dxa"/>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3.45</w:t>
            </w:r>
          </w:p>
        </w:tc>
      </w:tr>
      <w:tr w:rsidR="00BA6FF2" w:rsidRPr="0060702E" w:rsidTr="00873FF9">
        <w:trPr>
          <w:trHeight w:val="191"/>
          <w:jc w:val="center"/>
        </w:trPr>
        <w:tc>
          <w:tcPr>
            <w:tcW w:w="2655" w:type="dxa"/>
            <w:tcMar>
              <w:top w:w="28" w:type="dxa"/>
              <w:bottom w:w="28" w:type="dxa"/>
            </w:tcMar>
          </w:tcPr>
          <w:p w:rsidR="00BA6FF2" w:rsidRPr="0060702E" w:rsidRDefault="00BA6FF2" w:rsidP="00D805DF">
            <w:pPr>
              <w:pStyle w:val="ListParagraph"/>
              <w:numPr>
                <w:ilvl w:val="0"/>
                <w:numId w:val="10"/>
              </w:numPr>
              <w:tabs>
                <w:tab w:val="right" w:pos="3720"/>
                <w:tab w:val="left" w:pos="4003"/>
              </w:tabs>
              <w:jc w:val="left"/>
              <w:rPr>
                <w:rFonts w:cs="Arial"/>
                <w:sz w:val="18"/>
                <w:szCs w:val="18"/>
              </w:rPr>
            </w:pPr>
            <w:proofErr w:type="spellStart"/>
            <w:r w:rsidRPr="0060702E">
              <w:rPr>
                <w:rFonts w:cs="Arial"/>
                <w:sz w:val="18"/>
                <w:szCs w:val="18"/>
              </w:rPr>
              <w:t>ru</w:t>
            </w:r>
            <w:proofErr w:type="spellEnd"/>
            <w:r w:rsidRPr="0060702E">
              <w:rPr>
                <w:rFonts w:cs="Arial"/>
                <w:sz w:val="18"/>
                <w:szCs w:val="18"/>
              </w:rPr>
              <w:t>: Russian</w:t>
            </w:r>
          </w:p>
        </w:tc>
        <w:tc>
          <w:tcPr>
            <w:tcW w:w="732" w:type="dxa"/>
            <w:tcMar>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6,596</w:t>
            </w:r>
          </w:p>
        </w:tc>
        <w:tc>
          <w:tcPr>
            <w:tcW w:w="648" w:type="dxa"/>
            <w:tcMar>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3.69</w:t>
            </w:r>
          </w:p>
        </w:tc>
        <w:tc>
          <w:tcPr>
            <w:tcW w:w="669" w:type="dxa"/>
            <w:tcMar>
              <w:top w:w="28" w:type="dxa"/>
              <w:left w:w="57" w:type="dxa"/>
              <w:bottom w:w="28"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3,630</w:t>
            </w:r>
          </w:p>
        </w:tc>
        <w:tc>
          <w:tcPr>
            <w:tcW w:w="649" w:type="dxa"/>
            <w:tcMar>
              <w:top w:w="28" w:type="dxa"/>
              <w:left w:w="57" w:type="dxa"/>
              <w:bottom w:w="28"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2.39</w:t>
            </w:r>
          </w:p>
        </w:tc>
        <w:tc>
          <w:tcPr>
            <w:tcW w:w="669" w:type="dxa"/>
            <w:tcMar>
              <w:top w:w="28" w:type="dxa"/>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3,168</w:t>
            </w:r>
          </w:p>
        </w:tc>
        <w:tc>
          <w:tcPr>
            <w:tcW w:w="649" w:type="dxa"/>
            <w:tcMar>
              <w:top w:w="28" w:type="dxa"/>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2.26</w:t>
            </w:r>
          </w:p>
        </w:tc>
        <w:tc>
          <w:tcPr>
            <w:tcW w:w="669" w:type="dxa"/>
            <w:tcMar>
              <w:top w:w="28" w:type="dxa"/>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2,509</w:t>
            </w:r>
          </w:p>
        </w:tc>
        <w:tc>
          <w:tcPr>
            <w:tcW w:w="649" w:type="dxa"/>
            <w:tcMar>
              <w:top w:w="28" w:type="dxa"/>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2.11</w:t>
            </w:r>
          </w:p>
        </w:tc>
      </w:tr>
      <w:tr w:rsidR="00BA6FF2" w:rsidRPr="0060702E" w:rsidTr="00873FF9">
        <w:trPr>
          <w:trHeight w:val="176"/>
          <w:jc w:val="center"/>
        </w:trPr>
        <w:tc>
          <w:tcPr>
            <w:tcW w:w="2655" w:type="dxa"/>
            <w:tcMar>
              <w:top w:w="28" w:type="dxa"/>
              <w:bottom w:w="28" w:type="dxa"/>
            </w:tcMar>
          </w:tcPr>
          <w:p w:rsidR="00BA6FF2" w:rsidRPr="0060702E" w:rsidRDefault="00BA6FF2" w:rsidP="00D805DF">
            <w:pPr>
              <w:pStyle w:val="ListParagraph"/>
              <w:numPr>
                <w:ilvl w:val="0"/>
                <w:numId w:val="10"/>
              </w:numPr>
              <w:tabs>
                <w:tab w:val="right" w:pos="3720"/>
                <w:tab w:val="left" w:pos="4003"/>
              </w:tabs>
              <w:jc w:val="left"/>
              <w:rPr>
                <w:rFonts w:cs="Arial"/>
                <w:sz w:val="18"/>
                <w:szCs w:val="18"/>
              </w:rPr>
            </w:pPr>
            <w:proofErr w:type="spellStart"/>
            <w:r w:rsidRPr="0060702E">
              <w:rPr>
                <w:rFonts w:cs="Arial"/>
                <w:sz w:val="18"/>
                <w:szCs w:val="18"/>
              </w:rPr>
              <w:t>ja</w:t>
            </w:r>
            <w:proofErr w:type="spellEnd"/>
            <w:r w:rsidRPr="0060702E">
              <w:rPr>
                <w:rFonts w:cs="Arial"/>
                <w:sz w:val="18"/>
                <w:szCs w:val="18"/>
              </w:rPr>
              <w:t>: Japanese</w:t>
            </w:r>
          </w:p>
        </w:tc>
        <w:tc>
          <w:tcPr>
            <w:tcW w:w="732" w:type="dxa"/>
            <w:tcMar>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6,444</w:t>
            </w:r>
          </w:p>
        </w:tc>
        <w:tc>
          <w:tcPr>
            <w:tcW w:w="648" w:type="dxa"/>
            <w:tcMar>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3.61</w:t>
            </w:r>
          </w:p>
        </w:tc>
        <w:tc>
          <w:tcPr>
            <w:tcW w:w="669" w:type="dxa"/>
            <w:tcMar>
              <w:top w:w="28" w:type="dxa"/>
              <w:left w:w="57" w:type="dxa"/>
              <w:bottom w:w="28"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7,562</w:t>
            </w:r>
          </w:p>
        </w:tc>
        <w:tc>
          <w:tcPr>
            <w:tcW w:w="649" w:type="dxa"/>
            <w:tcMar>
              <w:top w:w="28" w:type="dxa"/>
              <w:left w:w="57" w:type="dxa"/>
              <w:bottom w:w="28"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4.98</w:t>
            </w:r>
          </w:p>
        </w:tc>
        <w:tc>
          <w:tcPr>
            <w:tcW w:w="669" w:type="dxa"/>
            <w:tcMar>
              <w:top w:w="28" w:type="dxa"/>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6,387</w:t>
            </w:r>
          </w:p>
        </w:tc>
        <w:tc>
          <w:tcPr>
            <w:tcW w:w="649" w:type="dxa"/>
            <w:tcMar>
              <w:top w:w="28" w:type="dxa"/>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4.55</w:t>
            </w:r>
          </w:p>
        </w:tc>
        <w:tc>
          <w:tcPr>
            <w:tcW w:w="669" w:type="dxa"/>
            <w:tcMar>
              <w:top w:w="28" w:type="dxa"/>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5,349</w:t>
            </w:r>
          </w:p>
        </w:tc>
        <w:tc>
          <w:tcPr>
            <w:tcW w:w="649" w:type="dxa"/>
            <w:tcMar>
              <w:top w:w="28" w:type="dxa"/>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4.50</w:t>
            </w:r>
          </w:p>
        </w:tc>
      </w:tr>
      <w:tr w:rsidR="00BA6FF2" w:rsidRPr="0060702E" w:rsidTr="00873FF9">
        <w:trPr>
          <w:trHeight w:val="176"/>
          <w:jc w:val="center"/>
        </w:trPr>
        <w:tc>
          <w:tcPr>
            <w:tcW w:w="2655" w:type="dxa"/>
            <w:tcMar>
              <w:top w:w="28" w:type="dxa"/>
              <w:bottom w:w="28" w:type="dxa"/>
            </w:tcMar>
          </w:tcPr>
          <w:p w:rsidR="00BA6FF2" w:rsidRPr="0060702E" w:rsidRDefault="00BA6FF2" w:rsidP="00D805DF">
            <w:pPr>
              <w:pStyle w:val="ListParagraph"/>
              <w:numPr>
                <w:ilvl w:val="0"/>
                <w:numId w:val="10"/>
              </w:numPr>
              <w:tabs>
                <w:tab w:val="right" w:pos="3720"/>
                <w:tab w:val="left" w:pos="4003"/>
              </w:tabs>
              <w:jc w:val="left"/>
              <w:rPr>
                <w:rFonts w:cs="Arial"/>
                <w:sz w:val="18"/>
                <w:szCs w:val="18"/>
              </w:rPr>
            </w:pPr>
            <w:proofErr w:type="spellStart"/>
            <w:r w:rsidRPr="0060702E">
              <w:rPr>
                <w:rFonts w:cs="Arial"/>
                <w:sz w:val="18"/>
                <w:szCs w:val="18"/>
              </w:rPr>
              <w:t>nl</w:t>
            </w:r>
            <w:proofErr w:type="spellEnd"/>
            <w:r w:rsidRPr="0060702E">
              <w:rPr>
                <w:rFonts w:cs="Arial"/>
                <w:sz w:val="18"/>
                <w:szCs w:val="18"/>
              </w:rPr>
              <w:t>: Dutch</w:t>
            </w:r>
          </w:p>
        </w:tc>
        <w:tc>
          <w:tcPr>
            <w:tcW w:w="732" w:type="dxa"/>
            <w:tcMar>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4,347</w:t>
            </w:r>
          </w:p>
        </w:tc>
        <w:tc>
          <w:tcPr>
            <w:tcW w:w="648" w:type="dxa"/>
            <w:tcMar>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2.43</w:t>
            </w:r>
          </w:p>
        </w:tc>
        <w:tc>
          <w:tcPr>
            <w:tcW w:w="669" w:type="dxa"/>
            <w:tcMar>
              <w:top w:w="28" w:type="dxa"/>
              <w:left w:w="57" w:type="dxa"/>
              <w:bottom w:w="28"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4,152</w:t>
            </w:r>
          </w:p>
        </w:tc>
        <w:tc>
          <w:tcPr>
            <w:tcW w:w="649" w:type="dxa"/>
            <w:tcMar>
              <w:top w:w="28" w:type="dxa"/>
              <w:left w:w="57" w:type="dxa"/>
              <w:bottom w:w="28"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2.73</w:t>
            </w:r>
          </w:p>
        </w:tc>
        <w:tc>
          <w:tcPr>
            <w:tcW w:w="669" w:type="dxa"/>
            <w:tcMar>
              <w:top w:w="28" w:type="dxa"/>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2,742</w:t>
            </w:r>
          </w:p>
        </w:tc>
        <w:tc>
          <w:tcPr>
            <w:tcW w:w="649" w:type="dxa"/>
            <w:tcMar>
              <w:top w:w="28" w:type="dxa"/>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1.95</w:t>
            </w:r>
          </w:p>
        </w:tc>
        <w:tc>
          <w:tcPr>
            <w:tcW w:w="669" w:type="dxa"/>
            <w:tcMar>
              <w:top w:w="28" w:type="dxa"/>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2,671</w:t>
            </w:r>
          </w:p>
        </w:tc>
        <w:tc>
          <w:tcPr>
            <w:tcW w:w="649" w:type="dxa"/>
            <w:tcMar>
              <w:top w:w="28" w:type="dxa"/>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2.25</w:t>
            </w:r>
          </w:p>
        </w:tc>
      </w:tr>
      <w:tr w:rsidR="00BA6FF2" w:rsidRPr="0060702E" w:rsidTr="00873FF9">
        <w:trPr>
          <w:trHeight w:val="191"/>
          <w:jc w:val="center"/>
        </w:trPr>
        <w:tc>
          <w:tcPr>
            <w:tcW w:w="2655" w:type="dxa"/>
            <w:tcMar>
              <w:top w:w="28" w:type="dxa"/>
              <w:bottom w:w="28" w:type="dxa"/>
            </w:tcMar>
          </w:tcPr>
          <w:p w:rsidR="00BA6FF2" w:rsidRPr="0060702E" w:rsidRDefault="00BA6FF2" w:rsidP="00D805DF">
            <w:pPr>
              <w:pStyle w:val="ListParagraph"/>
              <w:numPr>
                <w:ilvl w:val="0"/>
                <w:numId w:val="10"/>
              </w:numPr>
              <w:tabs>
                <w:tab w:val="right" w:pos="3720"/>
                <w:tab w:val="left" w:pos="4003"/>
              </w:tabs>
              <w:jc w:val="left"/>
              <w:rPr>
                <w:rFonts w:cs="Arial"/>
                <w:sz w:val="18"/>
                <w:szCs w:val="18"/>
              </w:rPr>
            </w:pPr>
            <w:r w:rsidRPr="0060702E">
              <w:rPr>
                <w:rFonts w:cs="Arial"/>
                <w:sz w:val="18"/>
                <w:szCs w:val="18"/>
              </w:rPr>
              <w:t>de: German</w:t>
            </w:r>
          </w:p>
        </w:tc>
        <w:tc>
          <w:tcPr>
            <w:tcW w:w="732" w:type="dxa"/>
            <w:tcMar>
              <w:left w:w="57" w:type="dxa"/>
              <w:right w:w="57" w:type="dxa"/>
            </w:tcMar>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3,998</w:t>
            </w:r>
          </w:p>
        </w:tc>
        <w:tc>
          <w:tcPr>
            <w:tcW w:w="648" w:type="dxa"/>
            <w:tcMar>
              <w:left w:w="57" w:type="dxa"/>
              <w:right w:w="57" w:type="dxa"/>
            </w:tcMar>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2.24</w:t>
            </w:r>
          </w:p>
        </w:tc>
        <w:tc>
          <w:tcPr>
            <w:tcW w:w="669" w:type="dxa"/>
            <w:tcMar>
              <w:top w:w="28" w:type="dxa"/>
              <w:left w:w="57" w:type="dxa"/>
              <w:bottom w:w="28" w:type="dxa"/>
              <w:right w:w="57" w:type="dxa"/>
            </w:tcMar>
            <w:vAlign w:val="bottom"/>
          </w:tcPr>
          <w:p w:rsidR="00BA6FF2" w:rsidRPr="0060702E" w:rsidRDefault="00BA6FF2" w:rsidP="00D805DF">
            <w:pPr>
              <w:tabs>
                <w:tab w:val="right" w:pos="3720"/>
                <w:tab w:val="left" w:pos="4003"/>
              </w:tabs>
              <w:jc w:val="center"/>
              <w:rPr>
                <w:rFonts w:cs="Arial"/>
                <w:sz w:val="18"/>
                <w:szCs w:val="18"/>
              </w:rPr>
            </w:pPr>
          </w:p>
        </w:tc>
        <w:tc>
          <w:tcPr>
            <w:tcW w:w="649" w:type="dxa"/>
            <w:tcMar>
              <w:top w:w="28" w:type="dxa"/>
              <w:left w:w="57" w:type="dxa"/>
              <w:bottom w:w="28" w:type="dxa"/>
              <w:right w:w="57" w:type="dxa"/>
            </w:tcMar>
            <w:vAlign w:val="bottom"/>
          </w:tcPr>
          <w:p w:rsidR="00BA6FF2" w:rsidRPr="0060702E" w:rsidRDefault="00BA6FF2" w:rsidP="00D805DF">
            <w:pPr>
              <w:tabs>
                <w:tab w:val="right" w:pos="3720"/>
                <w:tab w:val="left" w:pos="4003"/>
              </w:tabs>
              <w:jc w:val="center"/>
              <w:rPr>
                <w:rFonts w:cs="Arial"/>
                <w:sz w:val="18"/>
                <w:szCs w:val="18"/>
              </w:rPr>
            </w:pPr>
          </w:p>
        </w:tc>
        <w:tc>
          <w:tcPr>
            <w:tcW w:w="669" w:type="dxa"/>
            <w:tcMar>
              <w:top w:w="28" w:type="dxa"/>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p>
        </w:tc>
        <w:tc>
          <w:tcPr>
            <w:tcW w:w="649" w:type="dxa"/>
            <w:tcMar>
              <w:top w:w="28" w:type="dxa"/>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p>
        </w:tc>
        <w:tc>
          <w:tcPr>
            <w:tcW w:w="669" w:type="dxa"/>
            <w:tcMar>
              <w:top w:w="28" w:type="dxa"/>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p>
        </w:tc>
        <w:tc>
          <w:tcPr>
            <w:tcW w:w="649" w:type="dxa"/>
            <w:tcMar>
              <w:top w:w="28" w:type="dxa"/>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p>
        </w:tc>
      </w:tr>
      <w:tr w:rsidR="00BA6FF2" w:rsidRPr="0060702E" w:rsidTr="00873FF9">
        <w:trPr>
          <w:trHeight w:val="176"/>
          <w:jc w:val="center"/>
        </w:trPr>
        <w:tc>
          <w:tcPr>
            <w:tcW w:w="2655" w:type="dxa"/>
            <w:tcMar>
              <w:top w:w="28" w:type="dxa"/>
              <w:bottom w:w="28" w:type="dxa"/>
            </w:tcMar>
          </w:tcPr>
          <w:p w:rsidR="00BA6FF2" w:rsidRPr="0060702E" w:rsidRDefault="00BA6FF2" w:rsidP="00D805DF">
            <w:pPr>
              <w:pStyle w:val="ListParagraph"/>
              <w:numPr>
                <w:ilvl w:val="0"/>
                <w:numId w:val="10"/>
              </w:numPr>
              <w:tabs>
                <w:tab w:val="right" w:pos="3720"/>
                <w:tab w:val="left" w:pos="4003"/>
              </w:tabs>
              <w:jc w:val="left"/>
              <w:rPr>
                <w:rFonts w:cs="Arial"/>
                <w:sz w:val="18"/>
                <w:szCs w:val="18"/>
              </w:rPr>
            </w:pPr>
            <w:proofErr w:type="spellStart"/>
            <w:r w:rsidRPr="0060702E">
              <w:rPr>
                <w:rFonts w:cs="Arial"/>
                <w:sz w:val="18"/>
                <w:szCs w:val="18"/>
              </w:rPr>
              <w:t>pt-br</w:t>
            </w:r>
            <w:proofErr w:type="spellEnd"/>
            <w:r w:rsidRPr="0060702E">
              <w:rPr>
                <w:rFonts w:cs="Arial"/>
                <w:sz w:val="18"/>
                <w:szCs w:val="18"/>
              </w:rPr>
              <w:t>: Portuguese (Brazil)</w:t>
            </w:r>
          </w:p>
        </w:tc>
        <w:tc>
          <w:tcPr>
            <w:tcW w:w="732" w:type="dxa"/>
            <w:tcMar>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4,014</w:t>
            </w:r>
          </w:p>
        </w:tc>
        <w:tc>
          <w:tcPr>
            <w:tcW w:w="648" w:type="dxa"/>
            <w:tcMar>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2.25</w:t>
            </w:r>
          </w:p>
        </w:tc>
        <w:tc>
          <w:tcPr>
            <w:tcW w:w="669" w:type="dxa"/>
            <w:tcMar>
              <w:top w:w="28" w:type="dxa"/>
              <w:left w:w="57" w:type="dxa"/>
              <w:bottom w:w="28" w:type="dxa"/>
              <w:right w:w="57" w:type="dxa"/>
            </w:tcMar>
            <w:vAlign w:val="bottom"/>
          </w:tcPr>
          <w:p w:rsidR="00BA6FF2" w:rsidRPr="0060702E" w:rsidRDefault="00BA6FF2" w:rsidP="00D805DF">
            <w:pPr>
              <w:tabs>
                <w:tab w:val="right" w:pos="3720"/>
                <w:tab w:val="left" w:pos="4003"/>
              </w:tabs>
              <w:jc w:val="center"/>
              <w:rPr>
                <w:rFonts w:cs="Arial"/>
                <w:sz w:val="18"/>
                <w:szCs w:val="18"/>
              </w:rPr>
            </w:pPr>
          </w:p>
        </w:tc>
        <w:tc>
          <w:tcPr>
            <w:tcW w:w="649" w:type="dxa"/>
            <w:tcMar>
              <w:top w:w="28" w:type="dxa"/>
              <w:left w:w="57" w:type="dxa"/>
              <w:bottom w:w="28" w:type="dxa"/>
              <w:right w:w="57" w:type="dxa"/>
            </w:tcMar>
            <w:vAlign w:val="bottom"/>
          </w:tcPr>
          <w:p w:rsidR="00BA6FF2" w:rsidRPr="0060702E" w:rsidRDefault="00BA6FF2" w:rsidP="00D805DF">
            <w:pPr>
              <w:tabs>
                <w:tab w:val="right" w:pos="3720"/>
                <w:tab w:val="left" w:pos="4003"/>
              </w:tabs>
              <w:jc w:val="center"/>
              <w:rPr>
                <w:rFonts w:cs="Arial"/>
                <w:sz w:val="18"/>
                <w:szCs w:val="18"/>
              </w:rPr>
            </w:pPr>
          </w:p>
        </w:tc>
        <w:tc>
          <w:tcPr>
            <w:tcW w:w="669" w:type="dxa"/>
            <w:tcMar>
              <w:top w:w="28" w:type="dxa"/>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p>
        </w:tc>
        <w:tc>
          <w:tcPr>
            <w:tcW w:w="649" w:type="dxa"/>
            <w:tcMar>
              <w:top w:w="28" w:type="dxa"/>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p>
        </w:tc>
        <w:tc>
          <w:tcPr>
            <w:tcW w:w="669" w:type="dxa"/>
            <w:tcMar>
              <w:top w:w="28" w:type="dxa"/>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p>
        </w:tc>
        <w:tc>
          <w:tcPr>
            <w:tcW w:w="649" w:type="dxa"/>
            <w:tcMar>
              <w:top w:w="28" w:type="dxa"/>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p>
        </w:tc>
      </w:tr>
      <w:tr w:rsidR="00BA6FF2" w:rsidRPr="0060702E" w:rsidTr="00873FF9">
        <w:trPr>
          <w:trHeight w:val="46"/>
          <w:jc w:val="center"/>
        </w:trPr>
        <w:tc>
          <w:tcPr>
            <w:tcW w:w="2655" w:type="dxa"/>
            <w:tcMar>
              <w:top w:w="28" w:type="dxa"/>
              <w:bottom w:w="28" w:type="dxa"/>
            </w:tcMar>
          </w:tcPr>
          <w:p w:rsidR="00BA6FF2" w:rsidRPr="0060702E" w:rsidRDefault="00BA6FF2" w:rsidP="00D805DF">
            <w:pPr>
              <w:pStyle w:val="ListParagraph"/>
              <w:numPr>
                <w:ilvl w:val="0"/>
                <w:numId w:val="10"/>
              </w:numPr>
              <w:tabs>
                <w:tab w:val="right" w:pos="3720"/>
                <w:tab w:val="left" w:pos="4003"/>
              </w:tabs>
              <w:jc w:val="left"/>
              <w:rPr>
                <w:rFonts w:cs="Arial"/>
                <w:sz w:val="18"/>
                <w:szCs w:val="18"/>
              </w:rPr>
            </w:pPr>
            <w:r w:rsidRPr="0060702E">
              <w:rPr>
                <w:rFonts w:cs="Arial"/>
                <w:sz w:val="18"/>
                <w:szCs w:val="18"/>
              </w:rPr>
              <w:t>de-de: German</w:t>
            </w:r>
          </w:p>
        </w:tc>
        <w:tc>
          <w:tcPr>
            <w:tcW w:w="732" w:type="dxa"/>
            <w:tcMar>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 xml:space="preserve">4,065 </w:t>
            </w:r>
          </w:p>
        </w:tc>
        <w:tc>
          <w:tcPr>
            <w:tcW w:w="648" w:type="dxa"/>
            <w:tcMar>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2.27</w:t>
            </w:r>
          </w:p>
        </w:tc>
        <w:tc>
          <w:tcPr>
            <w:tcW w:w="669" w:type="dxa"/>
            <w:tcMar>
              <w:top w:w="28" w:type="dxa"/>
              <w:left w:w="57" w:type="dxa"/>
              <w:bottom w:w="28"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4,562</w:t>
            </w:r>
          </w:p>
        </w:tc>
        <w:tc>
          <w:tcPr>
            <w:tcW w:w="649" w:type="dxa"/>
            <w:tcMar>
              <w:top w:w="28" w:type="dxa"/>
              <w:left w:w="57" w:type="dxa"/>
              <w:bottom w:w="28"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3.00</w:t>
            </w:r>
          </w:p>
        </w:tc>
        <w:tc>
          <w:tcPr>
            <w:tcW w:w="669" w:type="dxa"/>
            <w:tcMar>
              <w:top w:w="28" w:type="dxa"/>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5,577</w:t>
            </w:r>
          </w:p>
        </w:tc>
        <w:tc>
          <w:tcPr>
            <w:tcW w:w="649" w:type="dxa"/>
            <w:tcMar>
              <w:top w:w="28" w:type="dxa"/>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3.97</w:t>
            </w:r>
          </w:p>
        </w:tc>
        <w:tc>
          <w:tcPr>
            <w:tcW w:w="669" w:type="dxa"/>
            <w:tcMar>
              <w:top w:w="28" w:type="dxa"/>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7,068</w:t>
            </w:r>
          </w:p>
        </w:tc>
        <w:tc>
          <w:tcPr>
            <w:tcW w:w="649" w:type="dxa"/>
            <w:tcMar>
              <w:top w:w="28" w:type="dxa"/>
              <w:left w:w="57" w:type="dxa"/>
              <w:right w:w="57" w:type="dxa"/>
            </w:tcMar>
            <w:vAlign w:val="bottom"/>
          </w:tcPr>
          <w:p w:rsidR="00BA6FF2" w:rsidRPr="0060702E" w:rsidRDefault="00BA6FF2" w:rsidP="00D805DF">
            <w:pPr>
              <w:tabs>
                <w:tab w:val="right" w:pos="3720"/>
                <w:tab w:val="left" w:pos="4003"/>
              </w:tabs>
              <w:jc w:val="center"/>
              <w:rPr>
                <w:rFonts w:cs="Arial"/>
                <w:sz w:val="18"/>
                <w:szCs w:val="18"/>
              </w:rPr>
            </w:pPr>
            <w:r w:rsidRPr="0060702E">
              <w:rPr>
                <w:rFonts w:cs="Arial"/>
                <w:sz w:val="18"/>
                <w:szCs w:val="18"/>
              </w:rPr>
              <w:t>5.94</w:t>
            </w:r>
          </w:p>
        </w:tc>
      </w:tr>
    </w:tbl>
    <w:p w:rsidR="00BA6FF2" w:rsidRPr="0060702E" w:rsidRDefault="00BA6FF2" w:rsidP="00BA6FF2">
      <w:pPr>
        <w:rPr>
          <w:rFonts w:eastAsiaTheme="minorEastAsia"/>
          <w:i/>
          <w:iCs/>
          <w:sz w:val="18"/>
          <w:szCs w:val="24"/>
        </w:rPr>
      </w:pPr>
    </w:p>
    <w:p w:rsidR="0034381C" w:rsidRPr="0060702E" w:rsidRDefault="0034381C" w:rsidP="009C17E4">
      <w:pPr>
        <w:jc w:val="center"/>
        <w:rPr>
          <w:rFonts w:eastAsiaTheme="minorEastAsia"/>
          <w:i/>
          <w:iCs/>
          <w:sz w:val="18"/>
          <w:szCs w:val="24"/>
        </w:rPr>
      </w:pPr>
    </w:p>
    <w:p w:rsidR="00BA6FF2" w:rsidRPr="0060702E" w:rsidRDefault="00BA6FF2" w:rsidP="009C17E4">
      <w:pPr>
        <w:jc w:val="center"/>
        <w:rPr>
          <w:rFonts w:eastAsiaTheme="minorEastAsia"/>
          <w:i/>
          <w:iCs/>
          <w:sz w:val="18"/>
          <w:szCs w:val="24"/>
        </w:rPr>
      </w:pPr>
      <w:r w:rsidRPr="0060702E">
        <w:rPr>
          <w:rFonts w:eastAsiaTheme="minorEastAsia"/>
          <w:i/>
          <w:iCs/>
          <w:sz w:val="18"/>
          <w:szCs w:val="24"/>
        </w:rPr>
        <w:t>Website Overview:  Where are the users going?</w:t>
      </w:r>
    </w:p>
    <w:p w:rsidR="00BA6FF2" w:rsidRPr="0060702E" w:rsidRDefault="00BA6FF2" w:rsidP="009C17E4">
      <w:pPr>
        <w:jc w:val="center"/>
        <w:rPr>
          <w:b/>
          <w:bCs/>
          <w:sz w:val="18"/>
          <w:szCs w:val="18"/>
        </w:rPr>
      </w:pPr>
    </w:p>
    <w:p w:rsidR="00BA6FF2" w:rsidRPr="0060702E" w:rsidRDefault="00BA6FF2" w:rsidP="009C17E4">
      <w:pPr>
        <w:jc w:val="center"/>
        <w:rPr>
          <w:rFonts w:eastAsiaTheme="minorEastAsia"/>
          <w:i/>
          <w:iCs/>
          <w:sz w:val="18"/>
          <w:szCs w:val="24"/>
        </w:rPr>
      </w:pPr>
      <w:r w:rsidRPr="0060702E">
        <w:rPr>
          <w:i/>
          <w:iCs/>
          <w:noProof/>
          <w:sz w:val="18"/>
        </w:rPr>
        <w:drawing>
          <wp:inline distT="0" distB="0" distL="0" distR="0" wp14:anchorId="1FF7F5B6" wp14:editId="069A14AC">
            <wp:extent cx="3817665" cy="241200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ov-pie-chart-sources-2013v2.jpg"/>
                    <pic:cNvPicPr/>
                  </pic:nvPicPr>
                  <pic:blipFill>
                    <a:blip r:embed="rId67">
                      <a:extLst>
                        <a:ext uri="{28A0092B-C50C-407E-A947-70E740481C1C}">
                          <a14:useLocalDpi xmlns:a14="http://schemas.microsoft.com/office/drawing/2010/main" val="0"/>
                        </a:ext>
                      </a:extLst>
                    </a:blip>
                    <a:stretch>
                      <a:fillRect/>
                    </a:stretch>
                  </pic:blipFill>
                  <pic:spPr>
                    <a:xfrm>
                      <a:off x="0" y="0"/>
                      <a:ext cx="3817665" cy="2412000"/>
                    </a:xfrm>
                    <a:prstGeom prst="rect">
                      <a:avLst/>
                    </a:prstGeom>
                  </pic:spPr>
                </pic:pic>
              </a:graphicData>
            </a:graphic>
          </wp:inline>
        </w:drawing>
      </w:r>
    </w:p>
    <w:p w:rsidR="00BA6FF2" w:rsidRPr="0060702E" w:rsidRDefault="00BA6FF2" w:rsidP="002D6F42"/>
    <w:p w:rsidR="00BA6FF2" w:rsidRPr="0060702E" w:rsidRDefault="00BA6FF2" w:rsidP="002D6F42"/>
    <w:p w:rsidR="00BA6FF2" w:rsidRPr="0060702E" w:rsidRDefault="00BA6FF2" w:rsidP="009C17E4">
      <w:pPr>
        <w:keepNext/>
        <w:jc w:val="center"/>
        <w:rPr>
          <w:rFonts w:eastAsiaTheme="minorEastAsia"/>
          <w:i/>
          <w:iCs/>
          <w:sz w:val="18"/>
          <w:szCs w:val="24"/>
        </w:rPr>
      </w:pPr>
      <w:r w:rsidRPr="0060702E">
        <w:rPr>
          <w:rFonts w:eastAsiaTheme="minorEastAsia"/>
          <w:i/>
          <w:iCs/>
          <w:sz w:val="18"/>
          <w:szCs w:val="24"/>
        </w:rPr>
        <w:t>Number of sessions and users of the UPOV site since 2007</w:t>
      </w:r>
    </w:p>
    <w:p w:rsidR="00BA6FF2" w:rsidRPr="0060702E" w:rsidRDefault="00BA6FF2" w:rsidP="009C17E4">
      <w:pPr>
        <w:keepNext/>
        <w:jc w:val="center"/>
        <w:rPr>
          <w:b/>
          <w:bCs/>
          <w:noProof/>
          <w:sz w:val="18"/>
          <w:szCs w:val="18"/>
        </w:rPr>
      </w:pPr>
    </w:p>
    <w:p w:rsidR="00BA6FF2" w:rsidRPr="0060702E" w:rsidRDefault="00BA6FF2" w:rsidP="009C17E4">
      <w:pPr>
        <w:jc w:val="center"/>
        <w:rPr>
          <w:b/>
          <w:bCs/>
          <w:sz w:val="18"/>
          <w:szCs w:val="18"/>
        </w:rPr>
      </w:pPr>
      <w:r w:rsidRPr="0060702E">
        <w:rPr>
          <w:noProof/>
        </w:rPr>
        <w:drawing>
          <wp:inline distT="0" distB="0" distL="0" distR="0" wp14:anchorId="5C82B6FD" wp14:editId="1DB2F1B6">
            <wp:extent cx="3999506" cy="2521581"/>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010248" cy="2528354"/>
                    </a:xfrm>
                    <a:prstGeom prst="rect">
                      <a:avLst/>
                    </a:prstGeom>
                    <a:ln>
                      <a:noFill/>
                    </a:ln>
                  </pic:spPr>
                </pic:pic>
              </a:graphicData>
            </a:graphic>
          </wp:inline>
        </w:drawing>
      </w:r>
    </w:p>
    <w:p w:rsidR="00BA6FF2" w:rsidRPr="0060702E" w:rsidRDefault="00BA6FF2" w:rsidP="009C17E4">
      <w:pPr>
        <w:jc w:val="center"/>
        <w:rPr>
          <w:b/>
          <w:bCs/>
          <w:sz w:val="18"/>
          <w:szCs w:val="18"/>
        </w:rPr>
      </w:pPr>
    </w:p>
    <w:p w:rsidR="0034381C" w:rsidRPr="0060702E" w:rsidRDefault="0034381C" w:rsidP="009C17E4">
      <w:pPr>
        <w:jc w:val="center"/>
        <w:rPr>
          <w:b/>
          <w:bCs/>
          <w:sz w:val="18"/>
          <w:szCs w:val="18"/>
        </w:rPr>
      </w:pPr>
    </w:p>
    <w:p w:rsidR="00BA6FF2" w:rsidRPr="004625EB" w:rsidRDefault="004F7AF3" w:rsidP="009C17E4">
      <w:pPr>
        <w:jc w:val="center"/>
        <w:rPr>
          <w:rFonts w:eastAsiaTheme="minorEastAsia"/>
          <w:i/>
          <w:sz w:val="18"/>
        </w:rPr>
      </w:pPr>
      <w:r w:rsidRPr="004625EB">
        <w:rPr>
          <w:rFonts w:eastAsiaTheme="minorEastAsia"/>
          <w:i/>
          <w:sz w:val="18"/>
        </w:rPr>
        <w:t xml:space="preserve">Summary of </w:t>
      </w:r>
      <w:r w:rsidR="00BA6FF2" w:rsidRPr="004625EB">
        <w:rPr>
          <w:rFonts w:eastAsiaTheme="minorEastAsia"/>
          <w:i/>
          <w:sz w:val="18"/>
        </w:rPr>
        <w:t>selected</w:t>
      </w:r>
      <w:r w:rsidRPr="004625EB">
        <w:rPr>
          <w:rFonts w:eastAsiaTheme="minorEastAsia"/>
          <w:i/>
          <w:sz w:val="18"/>
        </w:rPr>
        <w:t xml:space="preserve"> website features</w:t>
      </w:r>
      <w:r w:rsidR="00BA6FF2" w:rsidRPr="004625EB">
        <w:rPr>
          <w:rFonts w:eastAsiaTheme="minorEastAsia"/>
          <w:i/>
          <w:sz w:val="18"/>
        </w:rPr>
        <w:t xml:space="preserve"> for the past three years (</w:t>
      </w:r>
      <w:proofErr w:type="spellStart"/>
      <w:r w:rsidR="00BA6FF2" w:rsidRPr="004625EB">
        <w:rPr>
          <w:rFonts w:eastAsiaTheme="minorEastAsia"/>
          <w:i/>
          <w:sz w:val="18"/>
        </w:rPr>
        <w:t>Pageviews</w:t>
      </w:r>
      <w:proofErr w:type="spellEnd"/>
      <w:r w:rsidR="00BA6FF2" w:rsidRPr="004625EB">
        <w:rPr>
          <w:rFonts w:eastAsiaTheme="minorEastAsia"/>
          <w:i/>
          <w:sz w:val="18"/>
        </w:rPr>
        <w:t>)</w:t>
      </w:r>
      <w:r w:rsidRPr="004625EB">
        <w:rPr>
          <w:rFonts w:eastAsiaTheme="minorEastAsia"/>
          <w:i/>
          <w:sz w:val="18"/>
        </w:rPr>
        <w:t>:</w:t>
      </w:r>
    </w:p>
    <w:p w:rsidR="00E738C6" w:rsidRPr="0060702E" w:rsidRDefault="00E738C6" w:rsidP="009C17E4">
      <w:pPr>
        <w:jc w:val="center"/>
        <w:rPr>
          <w:rFonts w:eastAsiaTheme="minorEastAsia"/>
          <w:i/>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96"/>
        <w:gridCol w:w="1715"/>
        <w:gridCol w:w="1715"/>
        <w:gridCol w:w="1715"/>
      </w:tblGrid>
      <w:tr w:rsidR="004F7AF3" w:rsidRPr="0060702E" w:rsidTr="009C17E4">
        <w:trPr>
          <w:trHeight w:val="143"/>
          <w:jc w:val="center"/>
        </w:trPr>
        <w:tc>
          <w:tcPr>
            <w:tcW w:w="1696" w:type="dxa"/>
          </w:tcPr>
          <w:p w:rsidR="004F7AF3" w:rsidRPr="0060702E" w:rsidRDefault="004F7AF3" w:rsidP="00D805DF">
            <w:pPr>
              <w:autoSpaceDE w:val="0"/>
              <w:autoSpaceDN w:val="0"/>
              <w:adjustRightInd w:val="0"/>
              <w:jc w:val="left"/>
              <w:rPr>
                <w:rFonts w:cs="Arial"/>
                <w:color w:val="000000"/>
                <w:sz w:val="18"/>
                <w:szCs w:val="18"/>
              </w:rPr>
            </w:pPr>
          </w:p>
        </w:tc>
        <w:tc>
          <w:tcPr>
            <w:tcW w:w="1715" w:type="dxa"/>
          </w:tcPr>
          <w:p w:rsidR="004F7AF3" w:rsidRPr="0060702E" w:rsidRDefault="004F7AF3" w:rsidP="007A13B4">
            <w:pPr>
              <w:autoSpaceDE w:val="0"/>
              <w:autoSpaceDN w:val="0"/>
              <w:adjustRightInd w:val="0"/>
              <w:jc w:val="center"/>
              <w:rPr>
                <w:rFonts w:cs="Arial"/>
                <w:bCs/>
                <w:color w:val="000000"/>
                <w:sz w:val="18"/>
                <w:szCs w:val="18"/>
              </w:rPr>
            </w:pPr>
            <w:r w:rsidRPr="0060702E">
              <w:rPr>
                <w:rFonts w:cs="Arial"/>
                <w:bCs/>
                <w:color w:val="000000"/>
                <w:sz w:val="18"/>
                <w:szCs w:val="18"/>
              </w:rPr>
              <w:t>2013</w:t>
            </w:r>
          </w:p>
          <w:p w:rsidR="004F7AF3" w:rsidRPr="0060702E" w:rsidRDefault="004F7AF3" w:rsidP="007A13B4">
            <w:pPr>
              <w:autoSpaceDE w:val="0"/>
              <w:autoSpaceDN w:val="0"/>
              <w:adjustRightInd w:val="0"/>
              <w:jc w:val="center"/>
              <w:rPr>
                <w:rFonts w:cs="Arial"/>
                <w:color w:val="000000"/>
                <w:sz w:val="18"/>
                <w:szCs w:val="18"/>
              </w:rPr>
            </w:pPr>
          </w:p>
        </w:tc>
        <w:tc>
          <w:tcPr>
            <w:tcW w:w="1715" w:type="dxa"/>
          </w:tcPr>
          <w:p w:rsidR="004F7AF3" w:rsidRPr="0060702E" w:rsidRDefault="004F7AF3" w:rsidP="007A13B4">
            <w:pPr>
              <w:autoSpaceDE w:val="0"/>
              <w:autoSpaceDN w:val="0"/>
              <w:adjustRightInd w:val="0"/>
              <w:jc w:val="center"/>
              <w:rPr>
                <w:rFonts w:cs="Arial"/>
                <w:color w:val="000000"/>
                <w:sz w:val="18"/>
                <w:szCs w:val="18"/>
              </w:rPr>
            </w:pPr>
            <w:r w:rsidRPr="0060702E">
              <w:rPr>
                <w:rFonts w:cs="Arial"/>
                <w:bCs/>
                <w:color w:val="000000"/>
                <w:sz w:val="18"/>
                <w:szCs w:val="18"/>
              </w:rPr>
              <w:t>2012</w:t>
            </w:r>
          </w:p>
        </w:tc>
        <w:tc>
          <w:tcPr>
            <w:tcW w:w="1715" w:type="dxa"/>
          </w:tcPr>
          <w:p w:rsidR="004F7AF3" w:rsidRPr="0060702E" w:rsidRDefault="004F7AF3" w:rsidP="00D805DF">
            <w:pPr>
              <w:autoSpaceDE w:val="0"/>
              <w:autoSpaceDN w:val="0"/>
              <w:adjustRightInd w:val="0"/>
              <w:jc w:val="center"/>
              <w:rPr>
                <w:rFonts w:cs="Arial"/>
                <w:color w:val="000000"/>
                <w:sz w:val="18"/>
                <w:szCs w:val="18"/>
              </w:rPr>
            </w:pPr>
            <w:r w:rsidRPr="0060702E">
              <w:rPr>
                <w:rFonts w:cs="Arial"/>
                <w:bCs/>
                <w:color w:val="000000"/>
                <w:sz w:val="18"/>
                <w:szCs w:val="18"/>
              </w:rPr>
              <w:t>2011</w:t>
            </w:r>
          </w:p>
        </w:tc>
      </w:tr>
      <w:tr w:rsidR="004F7AF3" w:rsidRPr="0060702E" w:rsidTr="009C17E4">
        <w:trPr>
          <w:trHeight w:val="142"/>
          <w:jc w:val="center"/>
        </w:trPr>
        <w:tc>
          <w:tcPr>
            <w:tcW w:w="1696" w:type="dxa"/>
          </w:tcPr>
          <w:p w:rsidR="004F7AF3" w:rsidRPr="0060702E" w:rsidRDefault="004F7AF3" w:rsidP="007A13B4">
            <w:pPr>
              <w:autoSpaceDE w:val="0"/>
              <w:autoSpaceDN w:val="0"/>
              <w:adjustRightInd w:val="0"/>
              <w:jc w:val="left"/>
              <w:rPr>
                <w:rFonts w:cs="Arial"/>
                <w:color w:val="000000"/>
                <w:sz w:val="18"/>
                <w:szCs w:val="18"/>
              </w:rPr>
            </w:pPr>
            <w:r w:rsidRPr="0060702E">
              <w:rPr>
                <w:rFonts w:cs="Arial"/>
                <w:color w:val="000000"/>
                <w:sz w:val="18"/>
                <w:szCs w:val="18"/>
              </w:rPr>
              <w:t xml:space="preserve">GENIE </w:t>
            </w:r>
          </w:p>
        </w:tc>
        <w:tc>
          <w:tcPr>
            <w:tcW w:w="1715" w:type="dxa"/>
          </w:tcPr>
          <w:p w:rsidR="004F7AF3" w:rsidRPr="0060702E" w:rsidRDefault="004F7AF3" w:rsidP="007A13B4">
            <w:pPr>
              <w:autoSpaceDE w:val="0"/>
              <w:autoSpaceDN w:val="0"/>
              <w:adjustRightInd w:val="0"/>
              <w:ind w:right="134"/>
              <w:jc w:val="right"/>
              <w:rPr>
                <w:rFonts w:cs="Arial"/>
                <w:color w:val="000000"/>
                <w:sz w:val="18"/>
                <w:szCs w:val="18"/>
              </w:rPr>
            </w:pPr>
            <w:r w:rsidRPr="0060702E">
              <w:rPr>
                <w:rFonts w:cs="Arial"/>
                <w:color w:val="000000"/>
                <w:sz w:val="18"/>
                <w:szCs w:val="18"/>
              </w:rPr>
              <w:t xml:space="preserve">84,306 </w:t>
            </w:r>
          </w:p>
        </w:tc>
        <w:tc>
          <w:tcPr>
            <w:tcW w:w="1715" w:type="dxa"/>
          </w:tcPr>
          <w:p w:rsidR="004F7AF3" w:rsidRPr="0060702E" w:rsidRDefault="004F7AF3" w:rsidP="007A13B4">
            <w:pPr>
              <w:autoSpaceDE w:val="0"/>
              <w:autoSpaceDN w:val="0"/>
              <w:adjustRightInd w:val="0"/>
              <w:ind w:right="134"/>
              <w:jc w:val="right"/>
              <w:rPr>
                <w:rFonts w:cs="Arial"/>
                <w:color w:val="000000"/>
                <w:sz w:val="18"/>
                <w:szCs w:val="18"/>
              </w:rPr>
            </w:pPr>
            <w:r w:rsidRPr="0060702E">
              <w:rPr>
                <w:rFonts w:cs="Arial"/>
                <w:color w:val="000000"/>
                <w:sz w:val="18"/>
                <w:szCs w:val="18"/>
              </w:rPr>
              <w:t xml:space="preserve">85,149 </w:t>
            </w:r>
          </w:p>
        </w:tc>
        <w:tc>
          <w:tcPr>
            <w:tcW w:w="1715" w:type="dxa"/>
          </w:tcPr>
          <w:p w:rsidR="004F7AF3" w:rsidRPr="0060702E" w:rsidRDefault="004F7AF3" w:rsidP="007A13B4">
            <w:pPr>
              <w:autoSpaceDE w:val="0"/>
              <w:autoSpaceDN w:val="0"/>
              <w:adjustRightInd w:val="0"/>
              <w:ind w:right="134"/>
              <w:jc w:val="right"/>
              <w:rPr>
                <w:rFonts w:cs="Arial"/>
                <w:color w:val="000000"/>
                <w:sz w:val="18"/>
                <w:szCs w:val="18"/>
              </w:rPr>
            </w:pPr>
            <w:r w:rsidRPr="0060702E">
              <w:rPr>
                <w:rFonts w:cs="Arial"/>
                <w:color w:val="000000"/>
                <w:sz w:val="18"/>
                <w:szCs w:val="18"/>
              </w:rPr>
              <w:t xml:space="preserve">59,735 </w:t>
            </w:r>
          </w:p>
        </w:tc>
      </w:tr>
      <w:tr w:rsidR="004F7AF3" w:rsidRPr="0060702E" w:rsidTr="009C17E4">
        <w:trPr>
          <w:trHeight w:val="142"/>
          <w:jc w:val="center"/>
        </w:trPr>
        <w:tc>
          <w:tcPr>
            <w:tcW w:w="1696" w:type="dxa"/>
          </w:tcPr>
          <w:p w:rsidR="004F7AF3" w:rsidRPr="0060702E" w:rsidRDefault="004F7AF3" w:rsidP="007A13B4">
            <w:pPr>
              <w:autoSpaceDE w:val="0"/>
              <w:autoSpaceDN w:val="0"/>
              <w:adjustRightInd w:val="0"/>
              <w:jc w:val="left"/>
              <w:rPr>
                <w:rFonts w:cs="Arial"/>
                <w:color w:val="000000"/>
                <w:sz w:val="18"/>
                <w:szCs w:val="18"/>
              </w:rPr>
            </w:pPr>
            <w:r w:rsidRPr="0060702E">
              <w:rPr>
                <w:rFonts w:cs="Arial"/>
                <w:color w:val="000000"/>
                <w:sz w:val="18"/>
                <w:szCs w:val="18"/>
              </w:rPr>
              <w:t xml:space="preserve">PLUTO </w:t>
            </w:r>
          </w:p>
        </w:tc>
        <w:tc>
          <w:tcPr>
            <w:tcW w:w="1715" w:type="dxa"/>
          </w:tcPr>
          <w:p w:rsidR="004F7AF3" w:rsidRPr="0060702E" w:rsidRDefault="004F7AF3" w:rsidP="007A13B4">
            <w:pPr>
              <w:autoSpaceDE w:val="0"/>
              <w:autoSpaceDN w:val="0"/>
              <w:adjustRightInd w:val="0"/>
              <w:ind w:right="134"/>
              <w:jc w:val="right"/>
              <w:rPr>
                <w:rFonts w:cs="Arial"/>
                <w:color w:val="000000"/>
                <w:sz w:val="18"/>
                <w:szCs w:val="18"/>
              </w:rPr>
            </w:pPr>
            <w:r w:rsidRPr="0060702E">
              <w:rPr>
                <w:rFonts w:cs="Arial"/>
                <w:color w:val="000000"/>
                <w:sz w:val="18"/>
                <w:szCs w:val="18"/>
              </w:rPr>
              <w:t xml:space="preserve">70,739 </w:t>
            </w:r>
          </w:p>
        </w:tc>
        <w:tc>
          <w:tcPr>
            <w:tcW w:w="1715" w:type="dxa"/>
          </w:tcPr>
          <w:p w:rsidR="004F7AF3" w:rsidRPr="0060702E" w:rsidRDefault="004F7AF3" w:rsidP="007A13B4">
            <w:pPr>
              <w:tabs>
                <w:tab w:val="left" w:pos="792"/>
              </w:tabs>
              <w:autoSpaceDE w:val="0"/>
              <w:autoSpaceDN w:val="0"/>
              <w:adjustRightInd w:val="0"/>
              <w:ind w:right="134"/>
              <w:jc w:val="right"/>
              <w:rPr>
                <w:rFonts w:cs="Arial"/>
                <w:color w:val="000000"/>
                <w:sz w:val="18"/>
                <w:szCs w:val="18"/>
              </w:rPr>
            </w:pPr>
            <w:r w:rsidRPr="0060702E">
              <w:rPr>
                <w:rFonts w:cs="Arial"/>
                <w:color w:val="000000"/>
                <w:sz w:val="18"/>
                <w:szCs w:val="18"/>
              </w:rPr>
              <w:t xml:space="preserve">255,108 </w:t>
            </w:r>
          </w:p>
        </w:tc>
        <w:tc>
          <w:tcPr>
            <w:tcW w:w="1715" w:type="dxa"/>
          </w:tcPr>
          <w:p w:rsidR="004F7AF3" w:rsidRPr="0060702E" w:rsidRDefault="004F7AF3" w:rsidP="007A13B4">
            <w:pPr>
              <w:autoSpaceDE w:val="0"/>
              <w:autoSpaceDN w:val="0"/>
              <w:adjustRightInd w:val="0"/>
              <w:ind w:right="134"/>
              <w:jc w:val="right"/>
              <w:rPr>
                <w:rFonts w:cs="Arial"/>
                <w:color w:val="000000"/>
                <w:sz w:val="18"/>
                <w:szCs w:val="18"/>
              </w:rPr>
            </w:pPr>
            <w:r w:rsidRPr="0060702E">
              <w:rPr>
                <w:rFonts w:cs="Arial"/>
                <w:color w:val="000000"/>
                <w:sz w:val="18"/>
                <w:szCs w:val="18"/>
              </w:rPr>
              <w:t xml:space="preserve">30,226 </w:t>
            </w:r>
          </w:p>
        </w:tc>
      </w:tr>
      <w:tr w:rsidR="004F7AF3" w:rsidRPr="0060702E" w:rsidTr="009C17E4">
        <w:trPr>
          <w:trHeight w:val="142"/>
          <w:jc w:val="center"/>
        </w:trPr>
        <w:tc>
          <w:tcPr>
            <w:tcW w:w="1696" w:type="dxa"/>
          </w:tcPr>
          <w:p w:rsidR="004F7AF3" w:rsidRPr="0060702E" w:rsidRDefault="004F7AF3" w:rsidP="007A13B4">
            <w:pPr>
              <w:autoSpaceDE w:val="0"/>
              <w:autoSpaceDN w:val="0"/>
              <w:adjustRightInd w:val="0"/>
              <w:jc w:val="left"/>
              <w:rPr>
                <w:rFonts w:cs="Arial"/>
                <w:color w:val="000000"/>
                <w:sz w:val="18"/>
                <w:szCs w:val="18"/>
              </w:rPr>
            </w:pPr>
            <w:r w:rsidRPr="0060702E">
              <w:rPr>
                <w:rFonts w:cs="Arial"/>
                <w:color w:val="000000"/>
                <w:sz w:val="18"/>
                <w:szCs w:val="18"/>
              </w:rPr>
              <w:t xml:space="preserve">Test Guidelines </w:t>
            </w:r>
          </w:p>
        </w:tc>
        <w:tc>
          <w:tcPr>
            <w:tcW w:w="1715" w:type="dxa"/>
          </w:tcPr>
          <w:p w:rsidR="004F7AF3" w:rsidRPr="0060702E" w:rsidRDefault="004F7AF3" w:rsidP="007A13B4">
            <w:pPr>
              <w:autoSpaceDE w:val="0"/>
              <w:autoSpaceDN w:val="0"/>
              <w:adjustRightInd w:val="0"/>
              <w:ind w:right="134"/>
              <w:jc w:val="right"/>
              <w:rPr>
                <w:rFonts w:cs="Arial"/>
                <w:color w:val="000000"/>
                <w:sz w:val="18"/>
                <w:szCs w:val="18"/>
              </w:rPr>
            </w:pPr>
            <w:r w:rsidRPr="0060702E">
              <w:rPr>
                <w:rFonts w:cs="Arial"/>
                <w:color w:val="000000"/>
                <w:sz w:val="18"/>
                <w:szCs w:val="18"/>
              </w:rPr>
              <w:t xml:space="preserve">68,479 </w:t>
            </w:r>
          </w:p>
        </w:tc>
        <w:tc>
          <w:tcPr>
            <w:tcW w:w="1715" w:type="dxa"/>
          </w:tcPr>
          <w:p w:rsidR="004F7AF3" w:rsidRPr="0060702E" w:rsidRDefault="004F7AF3" w:rsidP="007A13B4">
            <w:pPr>
              <w:autoSpaceDE w:val="0"/>
              <w:autoSpaceDN w:val="0"/>
              <w:adjustRightInd w:val="0"/>
              <w:ind w:right="134"/>
              <w:jc w:val="right"/>
              <w:rPr>
                <w:rFonts w:cs="Arial"/>
                <w:color w:val="000000"/>
                <w:sz w:val="18"/>
                <w:szCs w:val="18"/>
              </w:rPr>
            </w:pPr>
            <w:r w:rsidRPr="0060702E">
              <w:rPr>
                <w:rFonts w:cs="Arial"/>
                <w:color w:val="000000"/>
                <w:sz w:val="18"/>
                <w:szCs w:val="18"/>
              </w:rPr>
              <w:t xml:space="preserve">65,471 </w:t>
            </w:r>
          </w:p>
        </w:tc>
        <w:tc>
          <w:tcPr>
            <w:tcW w:w="1715" w:type="dxa"/>
          </w:tcPr>
          <w:p w:rsidR="004F7AF3" w:rsidRPr="0060702E" w:rsidRDefault="004F7AF3" w:rsidP="007A13B4">
            <w:pPr>
              <w:autoSpaceDE w:val="0"/>
              <w:autoSpaceDN w:val="0"/>
              <w:adjustRightInd w:val="0"/>
              <w:ind w:right="134"/>
              <w:jc w:val="right"/>
              <w:rPr>
                <w:rFonts w:cs="Arial"/>
                <w:color w:val="000000"/>
                <w:sz w:val="18"/>
                <w:szCs w:val="18"/>
              </w:rPr>
            </w:pPr>
            <w:r w:rsidRPr="0060702E">
              <w:rPr>
                <w:rFonts w:cs="Arial"/>
                <w:color w:val="000000"/>
                <w:sz w:val="18"/>
                <w:szCs w:val="18"/>
              </w:rPr>
              <w:t xml:space="preserve">not available </w:t>
            </w:r>
          </w:p>
        </w:tc>
      </w:tr>
      <w:tr w:rsidR="004F7AF3" w:rsidRPr="0060702E" w:rsidTr="009C17E4">
        <w:trPr>
          <w:trHeight w:val="142"/>
          <w:jc w:val="center"/>
        </w:trPr>
        <w:tc>
          <w:tcPr>
            <w:tcW w:w="1696" w:type="dxa"/>
          </w:tcPr>
          <w:p w:rsidR="004F7AF3" w:rsidRPr="0060702E" w:rsidRDefault="004F7AF3" w:rsidP="007A13B4">
            <w:pPr>
              <w:autoSpaceDE w:val="0"/>
              <w:autoSpaceDN w:val="0"/>
              <w:adjustRightInd w:val="0"/>
              <w:jc w:val="left"/>
              <w:rPr>
                <w:rFonts w:cs="Arial"/>
                <w:color w:val="000000"/>
                <w:sz w:val="18"/>
                <w:szCs w:val="18"/>
              </w:rPr>
            </w:pPr>
            <w:r w:rsidRPr="0060702E">
              <w:rPr>
                <w:rFonts w:cs="Arial"/>
                <w:color w:val="000000"/>
                <w:sz w:val="18"/>
                <w:szCs w:val="18"/>
              </w:rPr>
              <w:t xml:space="preserve">UPOV LEX </w:t>
            </w:r>
          </w:p>
        </w:tc>
        <w:tc>
          <w:tcPr>
            <w:tcW w:w="1715" w:type="dxa"/>
          </w:tcPr>
          <w:p w:rsidR="004F7AF3" w:rsidRPr="0060702E" w:rsidRDefault="004F7AF3" w:rsidP="007A13B4">
            <w:pPr>
              <w:autoSpaceDE w:val="0"/>
              <w:autoSpaceDN w:val="0"/>
              <w:adjustRightInd w:val="0"/>
              <w:ind w:right="134"/>
              <w:jc w:val="right"/>
              <w:rPr>
                <w:rFonts w:cs="Arial"/>
                <w:color w:val="000000"/>
                <w:sz w:val="18"/>
                <w:szCs w:val="18"/>
              </w:rPr>
            </w:pPr>
            <w:r w:rsidRPr="0060702E">
              <w:rPr>
                <w:rFonts w:cs="Arial"/>
                <w:color w:val="000000"/>
                <w:sz w:val="18"/>
                <w:szCs w:val="18"/>
              </w:rPr>
              <w:t xml:space="preserve">88,533 </w:t>
            </w:r>
          </w:p>
        </w:tc>
        <w:tc>
          <w:tcPr>
            <w:tcW w:w="1715" w:type="dxa"/>
          </w:tcPr>
          <w:p w:rsidR="004F7AF3" w:rsidRPr="0060702E" w:rsidRDefault="004F7AF3" w:rsidP="007A13B4">
            <w:pPr>
              <w:autoSpaceDE w:val="0"/>
              <w:autoSpaceDN w:val="0"/>
              <w:adjustRightInd w:val="0"/>
              <w:ind w:right="134"/>
              <w:jc w:val="right"/>
              <w:rPr>
                <w:rFonts w:cs="Arial"/>
                <w:color w:val="000000"/>
                <w:sz w:val="18"/>
                <w:szCs w:val="18"/>
              </w:rPr>
            </w:pPr>
            <w:r w:rsidRPr="0060702E">
              <w:rPr>
                <w:rFonts w:cs="Arial"/>
                <w:color w:val="000000"/>
                <w:sz w:val="18"/>
                <w:szCs w:val="18"/>
              </w:rPr>
              <w:t xml:space="preserve">91,245 </w:t>
            </w:r>
          </w:p>
        </w:tc>
        <w:tc>
          <w:tcPr>
            <w:tcW w:w="1715" w:type="dxa"/>
          </w:tcPr>
          <w:p w:rsidR="004F7AF3" w:rsidRPr="0060702E" w:rsidRDefault="004F7AF3" w:rsidP="007A13B4">
            <w:pPr>
              <w:autoSpaceDE w:val="0"/>
              <w:autoSpaceDN w:val="0"/>
              <w:adjustRightInd w:val="0"/>
              <w:ind w:right="134"/>
              <w:jc w:val="right"/>
              <w:rPr>
                <w:rFonts w:cs="Arial"/>
                <w:color w:val="000000"/>
                <w:sz w:val="18"/>
                <w:szCs w:val="18"/>
              </w:rPr>
            </w:pPr>
            <w:r w:rsidRPr="0060702E">
              <w:rPr>
                <w:rFonts w:cs="Arial"/>
                <w:color w:val="000000"/>
                <w:sz w:val="18"/>
                <w:szCs w:val="18"/>
              </w:rPr>
              <w:t xml:space="preserve">19,269 </w:t>
            </w:r>
          </w:p>
        </w:tc>
      </w:tr>
    </w:tbl>
    <w:p w:rsidR="00BA6FF2" w:rsidRPr="0060702E" w:rsidRDefault="00BA6FF2" w:rsidP="009C17E4">
      <w:pPr>
        <w:jc w:val="center"/>
        <w:rPr>
          <w:b/>
          <w:bCs/>
          <w:sz w:val="18"/>
          <w:szCs w:val="18"/>
        </w:rPr>
      </w:pPr>
    </w:p>
    <w:p w:rsidR="004F7AF3" w:rsidRPr="0060702E" w:rsidRDefault="004F7AF3" w:rsidP="009C17E4">
      <w:pPr>
        <w:jc w:val="center"/>
        <w:rPr>
          <w:b/>
          <w:bCs/>
          <w:sz w:val="18"/>
          <w:szCs w:val="18"/>
        </w:rPr>
      </w:pPr>
    </w:p>
    <w:p w:rsidR="00BA6FF2" w:rsidRPr="004625EB" w:rsidRDefault="00BA6FF2" w:rsidP="009C17E4">
      <w:pPr>
        <w:jc w:val="center"/>
        <w:rPr>
          <w:rFonts w:eastAsiaTheme="minorEastAsia"/>
          <w:i/>
          <w:sz w:val="18"/>
        </w:rPr>
      </w:pPr>
      <w:r w:rsidRPr="004625EB">
        <w:rPr>
          <w:rFonts w:eastAsiaTheme="minorEastAsia"/>
          <w:i/>
          <w:sz w:val="18"/>
        </w:rPr>
        <w:t>Devices used to consult the UPOV Website in 2013</w:t>
      </w:r>
    </w:p>
    <w:p w:rsidR="00E738C6" w:rsidRPr="0060702E" w:rsidRDefault="00E738C6" w:rsidP="009C17E4">
      <w:pPr>
        <w:jc w:val="center"/>
        <w:rPr>
          <w:rFonts w:eastAsiaTheme="minorEastAsia"/>
        </w:rPr>
      </w:pPr>
    </w:p>
    <w:tbl>
      <w:tblPr>
        <w:tblW w:w="0" w:type="auto"/>
        <w:jc w:val="center"/>
        <w:tblLayout w:type="fixed"/>
        <w:tblLook w:val="0000" w:firstRow="0" w:lastRow="0" w:firstColumn="0" w:lastColumn="0" w:noHBand="0" w:noVBand="0"/>
      </w:tblPr>
      <w:tblGrid>
        <w:gridCol w:w="1696"/>
        <w:gridCol w:w="1710"/>
      </w:tblGrid>
      <w:tr w:rsidR="00BA6FF2" w:rsidRPr="00073796" w:rsidTr="009C17E4">
        <w:trPr>
          <w:trHeight w:val="142"/>
          <w:jc w:val="center"/>
        </w:trPr>
        <w:tc>
          <w:tcPr>
            <w:tcW w:w="1696" w:type="dxa"/>
          </w:tcPr>
          <w:p w:rsidR="00BA6FF2" w:rsidRPr="00073796" w:rsidRDefault="00BA6FF2" w:rsidP="00D805DF">
            <w:pPr>
              <w:autoSpaceDE w:val="0"/>
              <w:autoSpaceDN w:val="0"/>
              <w:adjustRightInd w:val="0"/>
              <w:jc w:val="left"/>
              <w:rPr>
                <w:rFonts w:cs="Arial"/>
                <w:color w:val="000000"/>
                <w:sz w:val="18"/>
              </w:rPr>
            </w:pPr>
            <w:r w:rsidRPr="00073796">
              <w:rPr>
                <w:rFonts w:cs="Arial"/>
                <w:color w:val="000000"/>
                <w:sz w:val="18"/>
              </w:rPr>
              <w:t xml:space="preserve">Desktop </w:t>
            </w:r>
          </w:p>
        </w:tc>
        <w:tc>
          <w:tcPr>
            <w:tcW w:w="1710" w:type="dxa"/>
          </w:tcPr>
          <w:p w:rsidR="00BA6FF2" w:rsidRPr="00073796" w:rsidRDefault="00BA6FF2" w:rsidP="00D805DF">
            <w:pPr>
              <w:tabs>
                <w:tab w:val="decimal" w:pos="797"/>
              </w:tabs>
              <w:autoSpaceDE w:val="0"/>
              <w:autoSpaceDN w:val="0"/>
              <w:adjustRightInd w:val="0"/>
              <w:jc w:val="left"/>
              <w:rPr>
                <w:rFonts w:cs="Arial"/>
                <w:color w:val="000000"/>
                <w:sz w:val="18"/>
              </w:rPr>
            </w:pPr>
            <w:r w:rsidRPr="00073796">
              <w:rPr>
                <w:rFonts w:cs="Arial"/>
                <w:color w:val="000000"/>
                <w:sz w:val="18"/>
              </w:rPr>
              <w:t xml:space="preserve">170,856 (96%) </w:t>
            </w:r>
          </w:p>
        </w:tc>
      </w:tr>
      <w:tr w:rsidR="00BA6FF2" w:rsidRPr="00073796" w:rsidTr="009C17E4">
        <w:trPr>
          <w:trHeight w:val="142"/>
          <w:jc w:val="center"/>
        </w:trPr>
        <w:tc>
          <w:tcPr>
            <w:tcW w:w="1696" w:type="dxa"/>
          </w:tcPr>
          <w:p w:rsidR="00BA6FF2" w:rsidRPr="00073796" w:rsidRDefault="00BA6FF2" w:rsidP="00D805DF">
            <w:pPr>
              <w:autoSpaceDE w:val="0"/>
              <w:autoSpaceDN w:val="0"/>
              <w:adjustRightInd w:val="0"/>
              <w:jc w:val="left"/>
              <w:rPr>
                <w:rFonts w:cs="Arial"/>
                <w:color w:val="000000"/>
                <w:sz w:val="18"/>
              </w:rPr>
            </w:pPr>
            <w:r w:rsidRPr="00073796">
              <w:rPr>
                <w:rFonts w:cs="Arial"/>
                <w:color w:val="000000"/>
                <w:sz w:val="18"/>
              </w:rPr>
              <w:t xml:space="preserve">Mobile </w:t>
            </w:r>
          </w:p>
        </w:tc>
        <w:tc>
          <w:tcPr>
            <w:tcW w:w="1710" w:type="dxa"/>
          </w:tcPr>
          <w:p w:rsidR="00BA6FF2" w:rsidRPr="00073796" w:rsidRDefault="00BA6FF2" w:rsidP="00D805DF">
            <w:pPr>
              <w:tabs>
                <w:tab w:val="decimal" w:pos="797"/>
              </w:tabs>
              <w:autoSpaceDE w:val="0"/>
              <w:autoSpaceDN w:val="0"/>
              <w:adjustRightInd w:val="0"/>
              <w:jc w:val="left"/>
              <w:rPr>
                <w:rFonts w:cs="Arial"/>
                <w:color w:val="000000"/>
                <w:sz w:val="18"/>
              </w:rPr>
            </w:pPr>
            <w:r w:rsidRPr="00073796">
              <w:rPr>
                <w:rFonts w:cs="Arial"/>
                <w:color w:val="000000"/>
                <w:sz w:val="18"/>
              </w:rPr>
              <w:t xml:space="preserve">4,797 (3%) </w:t>
            </w:r>
          </w:p>
        </w:tc>
      </w:tr>
      <w:tr w:rsidR="00BA6FF2" w:rsidRPr="00073796" w:rsidTr="009C17E4">
        <w:trPr>
          <w:trHeight w:val="142"/>
          <w:jc w:val="center"/>
        </w:trPr>
        <w:tc>
          <w:tcPr>
            <w:tcW w:w="1696" w:type="dxa"/>
          </w:tcPr>
          <w:p w:rsidR="00BA6FF2" w:rsidRPr="00073796" w:rsidRDefault="00BA6FF2" w:rsidP="00D805DF">
            <w:pPr>
              <w:autoSpaceDE w:val="0"/>
              <w:autoSpaceDN w:val="0"/>
              <w:adjustRightInd w:val="0"/>
              <w:jc w:val="left"/>
              <w:rPr>
                <w:rFonts w:cs="Arial"/>
                <w:color w:val="000000"/>
                <w:sz w:val="18"/>
              </w:rPr>
            </w:pPr>
            <w:r w:rsidRPr="00073796">
              <w:rPr>
                <w:rFonts w:cs="Arial"/>
                <w:color w:val="000000"/>
                <w:sz w:val="18"/>
              </w:rPr>
              <w:t xml:space="preserve">Tablet </w:t>
            </w:r>
          </w:p>
        </w:tc>
        <w:tc>
          <w:tcPr>
            <w:tcW w:w="1710" w:type="dxa"/>
          </w:tcPr>
          <w:p w:rsidR="00BA6FF2" w:rsidRPr="00073796" w:rsidRDefault="00BA6FF2" w:rsidP="00D805DF">
            <w:pPr>
              <w:tabs>
                <w:tab w:val="decimal" w:pos="797"/>
              </w:tabs>
              <w:autoSpaceDE w:val="0"/>
              <w:autoSpaceDN w:val="0"/>
              <w:adjustRightInd w:val="0"/>
              <w:jc w:val="left"/>
              <w:rPr>
                <w:rFonts w:cs="Arial"/>
                <w:color w:val="000000"/>
                <w:sz w:val="18"/>
              </w:rPr>
            </w:pPr>
            <w:r w:rsidRPr="00073796">
              <w:rPr>
                <w:rFonts w:cs="Arial"/>
                <w:color w:val="000000"/>
                <w:sz w:val="18"/>
              </w:rPr>
              <w:t xml:space="preserve">3,079 (2%) </w:t>
            </w:r>
          </w:p>
        </w:tc>
      </w:tr>
    </w:tbl>
    <w:p w:rsidR="00BA6FF2" w:rsidRPr="0060702E" w:rsidRDefault="00BA6FF2" w:rsidP="00BA6FF2">
      <w:pPr>
        <w:rPr>
          <w:b/>
          <w:bCs/>
          <w:sz w:val="18"/>
          <w:szCs w:val="18"/>
        </w:rPr>
      </w:pPr>
    </w:p>
    <w:p w:rsidR="00BA6FF2" w:rsidRPr="0060702E" w:rsidRDefault="00BA6FF2" w:rsidP="00BA6FF2">
      <w:pPr>
        <w:rPr>
          <w:b/>
          <w:bCs/>
          <w:sz w:val="18"/>
          <w:szCs w:val="18"/>
        </w:rPr>
      </w:pPr>
    </w:p>
    <w:p w:rsidR="00BA6FF2" w:rsidRPr="0060702E" w:rsidRDefault="00BA6FF2" w:rsidP="00BA6FF2">
      <w:pPr>
        <w:pStyle w:val="Heading6"/>
      </w:pPr>
    </w:p>
    <w:p w:rsidR="00BA6FF2" w:rsidRPr="0060702E" w:rsidRDefault="00BA6FF2" w:rsidP="00BA6FF2">
      <w:pPr>
        <w:pStyle w:val="Heading6"/>
      </w:pPr>
      <w:bookmarkStart w:id="166" w:name="_Toc336339259"/>
      <w:bookmarkStart w:id="167" w:name="_Toc398739044"/>
      <w:r w:rsidRPr="0060702E">
        <w:t>2.  Provision of information to other organizations</w:t>
      </w:r>
      <w:bookmarkEnd w:id="166"/>
      <w:bookmarkEnd w:id="167"/>
    </w:p>
    <w:p w:rsidR="00BA6FF2" w:rsidRPr="0060702E" w:rsidRDefault="00BA6FF2" w:rsidP="00BA6FF2">
      <w:pPr>
        <w:rPr>
          <w:b/>
          <w:bCs/>
          <w:sz w:val="18"/>
          <w:szCs w:val="18"/>
        </w:rPr>
      </w:pPr>
    </w:p>
    <w:p w:rsidR="00BA6FF2" w:rsidRPr="0060702E" w:rsidRDefault="00BA6FF2" w:rsidP="00BA6FF2">
      <w:pPr>
        <w:pStyle w:val="Heading8"/>
        <w:rPr>
          <w:szCs w:val="18"/>
        </w:rPr>
      </w:pPr>
      <w:bookmarkStart w:id="168" w:name="_Toc393275008"/>
      <w:bookmarkStart w:id="169" w:name="_Toc398739045"/>
      <w:bookmarkStart w:id="170" w:name="_Toc336339260"/>
      <w:bookmarkStart w:id="171" w:name="_Toc336613862"/>
      <w:r w:rsidRPr="0060702E">
        <w:rPr>
          <w:szCs w:val="18"/>
        </w:rPr>
        <w:t>Participation at meetings and/or activities with relevant organizations</w:t>
      </w:r>
      <w:bookmarkEnd w:id="168"/>
      <w:bookmarkEnd w:id="169"/>
      <w:r w:rsidRPr="0060702E">
        <w:rPr>
          <w:szCs w:val="18"/>
        </w:rPr>
        <w:t xml:space="preserve"> </w:t>
      </w:r>
    </w:p>
    <w:bookmarkEnd w:id="170"/>
    <w:bookmarkEnd w:id="171"/>
    <w:p w:rsidR="00BA6FF2" w:rsidRPr="00BA249D" w:rsidRDefault="00BA6FF2" w:rsidP="00BA249D">
      <w:pPr>
        <w:rPr>
          <w:sz w:val="18"/>
          <w:szCs w:val="18"/>
        </w:rPr>
      </w:pPr>
      <w:r w:rsidRPr="00BA249D">
        <w:rPr>
          <w:sz w:val="18"/>
          <w:szCs w:val="18"/>
        </w:rPr>
        <w:t xml:space="preserve">Intergovernmental organizations:  </w:t>
      </w:r>
    </w:p>
    <w:p w:rsidR="00BA6FF2" w:rsidRPr="00BA249D" w:rsidRDefault="00BA6FF2" w:rsidP="00BA6FF2">
      <w:pPr>
        <w:jc w:val="left"/>
        <w:rPr>
          <w:b/>
          <w:bCs/>
          <w:sz w:val="18"/>
          <w:szCs w:val="18"/>
        </w:rPr>
      </w:pPr>
    </w:p>
    <w:p w:rsidR="00BA6FF2" w:rsidRPr="00BA249D" w:rsidRDefault="00BA6FF2" w:rsidP="00BA249D">
      <w:pPr>
        <w:pStyle w:val="ListParagraph"/>
        <w:numPr>
          <w:ilvl w:val="0"/>
          <w:numId w:val="3"/>
        </w:numPr>
        <w:ind w:left="567"/>
        <w:jc w:val="left"/>
        <w:rPr>
          <w:sz w:val="18"/>
          <w:szCs w:val="18"/>
        </w:rPr>
      </w:pPr>
      <w:r w:rsidRPr="00BA249D">
        <w:rPr>
          <w:sz w:val="18"/>
          <w:szCs w:val="18"/>
        </w:rPr>
        <w:t>ARIPO, European Union (CPVO), ECO, FAO, IDLO, ISTA, OAPI, OECD, WIPO and WTO.</w:t>
      </w:r>
    </w:p>
    <w:p w:rsidR="00BA6FF2" w:rsidRPr="00BA249D" w:rsidRDefault="00BA6FF2" w:rsidP="00BA6FF2">
      <w:pPr>
        <w:jc w:val="left"/>
        <w:rPr>
          <w:sz w:val="18"/>
          <w:szCs w:val="18"/>
        </w:rPr>
      </w:pPr>
    </w:p>
    <w:p w:rsidR="00BA249D" w:rsidRPr="00BA249D" w:rsidRDefault="00BA249D" w:rsidP="00BA249D">
      <w:pPr>
        <w:rPr>
          <w:sz w:val="18"/>
          <w:szCs w:val="18"/>
        </w:rPr>
      </w:pPr>
      <w:r w:rsidRPr="00BA249D">
        <w:rPr>
          <w:sz w:val="18"/>
          <w:szCs w:val="18"/>
        </w:rPr>
        <w:t>Other organizations:</w:t>
      </w:r>
    </w:p>
    <w:p w:rsidR="00BA249D" w:rsidRPr="00BA249D" w:rsidRDefault="00BA249D" w:rsidP="00BA249D">
      <w:pPr>
        <w:rPr>
          <w:sz w:val="18"/>
          <w:szCs w:val="18"/>
        </w:rPr>
      </w:pPr>
    </w:p>
    <w:p w:rsidR="00BA6FF2" w:rsidRPr="00BA249D" w:rsidRDefault="00BA6FF2" w:rsidP="00BA249D">
      <w:pPr>
        <w:pStyle w:val="ListParagraph"/>
        <w:numPr>
          <w:ilvl w:val="0"/>
          <w:numId w:val="3"/>
        </w:numPr>
        <w:ind w:left="567"/>
        <w:jc w:val="left"/>
        <w:rPr>
          <w:sz w:val="18"/>
          <w:szCs w:val="18"/>
        </w:rPr>
      </w:pPr>
      <w:r w:rsidRPr="00BA249D">
        <w:rPr>
          <w:sz w:val="18"/>
          <w:szCs w:val="18"/>
        </w:rPr>
        <w:t>AFSTA, APSA, CIOPORA, ESA, FELAS, ISF, IUBS Commission and SAA.</w:t>
      </w:r>
    </w:p>
    <w:p w:rsidR="00BA6FF2" w:rsidRPr="0060702E" w:rsidRDefault="00BA6FF2" w:rsidP="002D6F42"/>
    <w:p w:rsidR="00BA6FF2" w:rsidRPr="0060702E" w:rsidRDefault="00BA6FF2" w:rsidP="002D6F42"/>
    <w:p w:rsidR="002D6F42" w:rsidRPr="0060702E" w:rsidRDefault="002D6F42" w:rsidP="002D6F42"/>
    <w:p w:rsidR="00203097" w:rsidRPr="0060702E" w:rsidRDefault="00203097">
      <w:pPr>
        <w:jc w:val="left"/>
      </w:pPr>
      <w:r w:rsidRPr="0060702E">
        <w:br w:type="page"/>
      </w:r>
    </w:p>
    <w:p w:rsidR="002F7A6A" w:rsidRPr="0060702E" w:rsidRDefault="0000674F" w:rsidP="0000674F">
      <w:pPr>
        <w:pStyle w:val="Heading3"/>
      </w:pPr>
      <w:bookmarkStart w:id="172" w:name="_Toc392228923"/>
      <w:bookmarkStart w:id="173" w:name="_Toc398739046"/>
      <w:r w:rsidRPr="0060702E">
        <w:t>3</w:t>
      </w:r>
      <w:r w:rsidR="002F7A6A" w:rsidRPr="0060702E">
        <w:t>.</w:t>
      </w:r>
      <w:r w:rsidR="002F7A6A" w:rsidRPr="0060702E">
        <w:tab/>
      </w:r>
      <w:r w:rsidR="006B467F" w:rsidRPr="0060702E">
        <w:rPr>
          <w:caps w:val="0"/>
        </w:rPr>
        <w:t>FINANCIAL PERFORMANCE</w:t>
      </w:r>
      <w:bookmarkEnd w:id="172"/>
      <w:bookmarkEnd w:id="173"/>
    </w:p>
    <w:p w:rsidR="002F7A6A" w:rsidRPr="0060702E" w:rsidRDefault="002F7A6A" w:rsidP="002F7A6A"/>
    <w:p w:rsidR="005F061E" w:rsidRPr="0060702E" w:rsidRDefault="005F061E" w:rsidP="002F7A6A">
      <w:r w:rsidRPr="0060702E">
        <w:t>This section provides an overview of financial performance and the number of posts of the Office of the Union.  Further detailed information is provided in documents</w:t>
      </w:r>
      <w:r w:rsidR="00C16451" w:rsidRPr="0060702E">
        <w:t xml:space="preserve"> C/48/4 “</w:t>
      </w:r>
      <w:r w:rsidR="00C16451" w:rsidRPr="0060702E">
        <w:rPr>
          <w:snapToGrid w:val="0"/>
        </w:rPr>
        <w:t>Financial Management Report for the 2012-2013 Biennium” and C/48/13 “</w:t>
      </w:r>
      <w:r w:rsidR="00C16451" w:rsidRPr="0060702E">
        <w:t>Financial Statements for 2013”.</w:t>
      </w:r>
    </w:p>
    <w:p w:rsidR="00C16451" w:rsidRPr="0060702E" w:rsidRDefault="00C16451" w:rsidP="002F7A6A"/>
    <w:p w:rsidR="002B7704" w:rsidRPr="0060702E" w:rsidRDefault="002B7704" w:rsidP="002F7A6A"/>
    <w:p w:rsidR="002F7A6A" w:rsidRPr="0060702E" w:rsidRDefault="0000674F" w:rsidP="00CE77F1">
      <w:pPr>
        <w:pStyle w:val="Heading4"/>
      </w:pPr>
      <w:bookmarkStart w:id="174" w:name="_Toc392228924"/>
      <w:bookmarkStart w:id="175" w:name="_Toc398739047"/>
      <w:r w:rsidRPr="0060702E">
        <w:t>3</w:t>
      </w:r>
      <w:r w:rsidR="002F7A6A" w:rsidRPr="0060702E">
        <w:t>.1</w:t>
      </w:r>
      <w:r w:rsidR="002F7A6A" w:rsidRPr="0060702E">
        <w:tab/>
        <w:t>Income, expenditure and reserves</w:t>
      </w:r>
      <w:bookmarkEnd w:id="174"/>
      <w:bookmarkEnd w:id="175"/>
    </w:p>
    <w:p w:rsidR="009E1B6C" w:rsidRPr="0060702E" w:rsidRDefault="009E1B6C" w:rsidP="002F7A6A"/>
    <w:p w:rsidR="002F7A6A" w:rsidRPr="0060702E" w:rsidRDefault="002F7A6A" w:rsidP="002F7A6A">
      <w:pPr>
        <w:jc w:val="center"/>
        <w:rPr>
          <w:rFonts w:cs="Arial"/>
          <w:bCs/>
        </w:rPr>
      </w:pPr>
      <w:r w:rsidRPr="0060702E">
        <w:rPr>
          <w:rFonts w:cs="Arial"/>
          <w:b/>
          <w:bCs/>
        </w:rPr>
        <w:t>Table 1:  Income, expenditure and reserves 2008-2009</w:t>
      </w:r>
      <w:r w:rsidR="008271E2" w:rsidRPr="0060702E">
        <w:rPr>
          <w:rFonts w:cs="Arial"/>
          <w:b/>
          <w:bCs/>
        </w:rPr>
        <w:t>,</w:t>
      </w:r>
      <w:r w:rsidRPr="0060702E">
        <w:rPr>
          <w:rFonts w:cs="Arial"/>
          <w:b/>
          <w:bCs/>
        </w:rPr>
        <w:t xml:space="preserve"> 2010-2011</w:t>
      </w:r>
      <w:r w:rsidR="008271E2" w:rsidRPr="0060702E">
        <w:rPr>
          <w:rFonts w:cs="Arial"/>
          <w:b/>
          <w:bCs/>
        </w:rPr>
        <w:t xml:space="preserve"> and 2012-2013</w:t>
      </w:r>
    </w:p>
    <w:p w:rsidR="002F7A6A" w:rsidRPr="0060702E" w:rsidRDefault="002F7A6A" w:rsidP="002F7A6A">
      <w:pPr>
        <w:jc w:val="center"/>
        <w:rPr>
          <w:rFonts w:cs="Arial"/>
          <w:iCs/>
        </w:rPr>
      </w:pPr>
      <w:r w:rsidRPr="0060702E">
        <w:rPr>
          <w:rFonts w:cs="Arial"/>
          <w:iCs/>
        </w:rPr>
        <w:t>(</w:t>
      </w:r>
      <w:proofErr w:type="gramStart"/>
      <w:r w:rsidRPr="0060702E">
        <w:rPr>
          <w:rFonts w:cs="Arial"/>
          <w:iCs/>
        </w:rPr>
        <w:t>in</w:t>
      </w:r>
      <w:proofErr w:type="gramEnd"/>
      <w:r w:rsidRPr="0060702E">
        <w:rPr>
          <w:rFonts w:cs="Arial"/>
          <w:iCs/>
        </w:rPr>
        <w:t xml:space="preserve"> thousands of Swiss francs)</w:t>
      </w:r>
      <w:r w:rsidR="009D2175" w:rsidRPr="0060702E">
        <w:rPr>
          <w:rFonts w:cs="Arial"/>
          <w:iCs/>
        </w:rPr>
        <w:t xml:space="preserve"> </w:t>
      </w:r>
    </w:p>
    <w:p w:rsidR="002F7A6A" w:rsidRPr="0060702E" w:rsidRDefault="002F7A6A" w:rsidP="002F7A6A"/>
    <w:bookmarkStart w:id="176" w:name="_MON_1469615343"/>
    <w:bookmarkEnd w:id="176"/>
    <w:p w:rsidR="002F7A6A" w:rsidRPr="0060702E" w:rsidRDefault="00F005EB" w:rsidP="00A92733">
      <w:pPr>
        <w:ind w:left="-113"/>
      </w:pPr>
      <w:r w:rsidRPr="0060702E">
        <w:object w:dxaOrig="9808" w:dyaOrig="2605">
          <v:shape id="_x0000_i1030" type="#_x0000_t75" style="width:492pt;height:131.25pt" o:ole="">
            <v:imagedata r:id="rId69" o:title=""/>
          </v:shape>
          <o:OLEObject Type="Embed" ProgID="Excel.Sheet.12" ShapeID="_x0000_i1030" DrawAspect="Content" ObjectID="_1472572832" r:id="rId70"/>
        </w:object>
      </w:r>
      <w:r w:rsidR="00093547" w:rsidRPr="0060702E">
        <w:t xml:space="preserve">  </w:t>
      </w:r>
    </w:p>
    <w:p w:rsidR="00F005EB" w:rsidRPr="0060702E" w:rsidRDefault="00CD72D4" w:rsidP="00F005EB">
      <w:pPr>
        <w:rPr>
          <w:i/>
        </w:rPr>
      </w:pPr>
      <w:r w:rsidRPr="0060702E">
        <w:rPr>
          <w:i/>
        </w:rPr>
        <w:t>*</w:t>
      </w:r>
      <w:r w:rsidR="00F005EB" w:rsidRPr="0060702E">
        <w:t xml:space="preserve"> </w:t>
      </w:r>
      <w:r w:rsidR="00F005EB" w:rsidRPr="0060702E">
        <w:rPr>
          <w:i/>
        </w:rPr>
        <w:t>Actual income/expen</w:t>
      </w:r>
      <w:r w:rsidR="00071D7C">
        <w:rPr>
          <w:i/>
        </w:rPr>
        <w:t>diture on a budgetary basis</w:t>
      </w:r>
    </w:p>
    <w:p w:rsidR="002F7A6A" w:rsidRDefault="00F005EB" w:rsidP="00F005EB">
      <w:pPr>
        <w:rPr>
          <w:i/>
        </w:rPr>
      </w:pPr>
      <w:r w:rsidRPr="0060702E">
        <w:rPr>
          <w:i/>
        </w:rPr>
        <w:t>(</w:t>
      </w:r>
      <w:proofErr w:type="gramStart"/>
      <w:r w:rsidRPr="0060702E">
        <w:rPr>
          <w:i/>
        </w:rPr>
        <w:t>see</w:t>
      </w:r>
      <w:proofErr w:type="gramEnd"/>
      <w:r w:rsidRPr="0060702E">
        <w:rPr>
          <w:i/>
        </w:rPr>
        <w:t xml:space="preserve"> document C/48/4 "Financial Management Report for the 2012-2</w:t>
      </w:r>
      <w:r w:rsidR="00487DE8">
        <w:rPr>
          <w:i/>
        </w:rPr>
        <w:t>013 Biennium", Statement V)</w:t>
      </w:r>
    </w:p>
    <w:p w:rsidR="00487DE8" w:rsidRPr="0060702E" w:rsidRDefault="00487DE8" w:rsidP="00F005EB"/>
    <w:p w:rsidR="002F7A6A" w:rsidRPr="0060702E" w:rsidRDefault="002F7A6A" w:rsidP="002F7A6A"/>
    <w:p w:rsidR="002F7A6A" w:rsidRPr="0060702E" w:rsidRDefault="0000674F" w:rsidP="00CE77F1">
      <w:pPr>
        <w:pStyle w:val="Heading4"/>
      </w:pPr>
      <w:bookmarkStart w:id="177" w:name="_Toc392228925"/>
      <w:bookmarkStart w:id="178" w:name="_Toc398739048"/>
      <w:r w:rsidRPr="0060702E">
        <w:t>3</w:t>
      </w:r>
      <w:r w:rsidR="002F7A6A" w:rsidRPr="0060702E">
        <w:t>.2</w:t>
      </w:r>
      <w:r w:rsidR="002F7A6A" w:rsidRPr="0060702E">
        <w:tab/>
        <w:t>Structure of budget</w:t>
      </w:r>
      <w:bookmarkEnd w:id="177"/>
      <w:bookmarkEnd w:id="178"/>
    </w:p>
    <w:p w:rsidR="002F7A6A" w:rsidRPr="0060702E" w:rsidRDefault="002F7A6A" w:rsidP="002F7A6A"/>
    <w:p w:rsidR="002F7A6A" w:rsidRPr="0060702E" w:rsidRDefault="002F7A6A" w:rsidP="002F7A6A">
      <w:pPr>
        <w:jc w:val="center"/>
        <w:rPr>
          <w:b/>
        </w:rPr>
      </w:pPr>
      <w:r w:rsidRPr="0060702E">
        <w:rPr>
          <w:b/>
        </w:rPr>
        <w:t xml:space="preserve">Table 2:  Structure of budget </w:t>
      </w:r>
      <w:r w:rsidR="009E1B6C" w:rsidRPr="0060702E">
        <w:rPr>
          <w:b/>
        </w:rPr>
        <w:t>2012-2013 as compared to 2008-2009 and 2010-2011</w:t>
      </w:r>
    </w:p>
    <w:p w:rsidR="002F7A6A" w:rsidRPr="0060702E" w:rsidRDefault="002F7A6A" w:rsidP="00CD72D4">
      <w:pPr>
        <w:jc w:val="center"/>
      </w:pPr>
      <w:r w:rsidRPr="0060702E">
        <w:t>(</w:t>
      </w:r>
      <w:proofErr w:type="gramStart"/>
      <w:r w:rsidRPr="0060702E">
        <w:t>in</w:t>
      </w:r>
      <w:proofErr w:type="gramEnd"/>
      <w:r w:rsidRPr="0060702E">
        <w:t xml:space="preserve"> thousands of Swiss francs)</w:t>
      </w:r>
    </w:p>
    <w:p w:rsidR="00CD72D4" w:rsidRPr="0060702E" w:rsidRDefault="00CD72D4" w:rsidP="00CD72D4">
      <w:pPr>
        <w:jc w:val="center"/>
      </w:pPr>
    </w:p>
    <w:bookmarkStart w:id="179" w:name="_MON_1469615440"/>
    <w:bookmarkEnd w:id="179"/>
    <w:p w:rsidR="002F7A6A" w:rsidRPr="0060702E" w:rsidRDefault="00D14973" w:rsidP="002F7A6A">
      <w:pPr>
        <w:jc w:val="center"/>
      </w:pPr>
      <w:r w:rsidRPr="0060702E">
        <w:object w:dxaOrig="9447" w:dyaOrig="2577">
          <v:shape id="_x0000_i1031" type="#_x0000_t75" style="width:471.75pt;height:129pt" o:ole="">
            <v:imagedata r:id="rId71" o:title=""/>
          </v:shape>
          <o:OLEObject Type="Embed" ProgID="Excel.Sheet.12" ShapeID="_x0000_i1031" DrawAspect="Content" ObjectID="_1472572833" r:id="rId72"/>
        </w:object>
      </w:r>
    </w:p>
    <w:p w:rsidR="002F7A6A" w:rsidRPr="0060702E" w:rsidRDefault="002F7A6A" w:rsidP="002F7A6A"/>
    <w:p w:rsidR="00EE66C5" w:rsidRPr="0060702E" w:rsidRDefault="00EE66C5" w:rsidP="002F7A6A"/>
    <w:p w:rsidR="002F7A6A" w:rsidRPr="0060702E" w:rsidRDefault="002F7A6A" w:rsidP="00093547"/>
    <w:p w:rsidR="00E15270" w:rsidRPr="0060702E" w:rsidRDefault="00E15270" w:rsidP="002F7A6A">
      <w:pPr>
        <w:jc w:val="left"/>
      </w:pPr>
    </w:p>
    <w:p w:rsidR="002F7A6A" w:rsidRPr="0060702E" w:rsidRDefault="0000674F" w:rsidP="00CE77F1">
      <w:pPr>
        <w:pStyle w:val="Heading4"/>
      </w:pPr>
      <w:bookmarkStart w:id="180" w:name="_Toc392228926"/>
      <w:bookmarkStart w:id="181" w:name="_Toc398739049"/>
      <w:r w:rsidRPr="0060702E">
        <w:t>3</w:t>
      </w:r>
      <w:r w:rsidR="002F7A6A" w:rsidRPr="0060702E">
        <w:t>.3</w:t>
      </w:r>
      <w:r w:rsidR="002F7A6A" w:rsidRPr="0060702E">
        <w:tab/>
        <w:t>Budget variation by object of expenditure</w:t>
      </w:r>
      <w:bookmarkEnd w:id="180"/>
      <w:bookmarkEnd w:id="181"/>
    </w:p>
    <w:p w:rsidR="002F7A6A" w:rsidRPr="0060702E" w:rsidRDefault="002F7A6A" w:rsidP="00EE66C5">
      <w:pPr>
        <w:keepNext/>
      </w:pPr>
    </w:p>
    <w:p w:rsidR="002F7A6A" w:rsidRPr="0060702E" w:rsidRDefault="002F7A6A" w:rsidP="002F7A6A">
      <w:pPr>
        <w:keepNext/>
        <w:jc w:val="center"/>
        <w:rPr>
          <w:b/>
        </w:rPr>
      </w:pPr>
      <w:r w:rsidRPr="0060702E">
        <w:rPr>
          <w:b/>
        </w:rPr>
        <w:t>Table 3:  Budget variation by object of expenditure</w:t>
      </w:r>
    </w:p>
    <w:p w:rsidR="002F7A6A" w:rsidRPr="0060702E" w:rsidRDefault="002F7A6A" w:rsidP="002F7A6A">
      <w:pPr>
        <w:keepNext/>
        <w:jc w:val="center"/>
      </w:pPr>
      <w:r w:rsidRPr="0060702E">
        <w:t>(</w:t>
      </w:r>
      <w:proofErr w:type="gramStart"/>
      <w:r w:rsidRPr="0060702E">
        <w:t>in</w:t>
      </w:r>
      <w:proofErr w:type="gramEnd"/>
      <w:r w:rsidRPr="0060702E">
        <w:t xml:space="preserve"> thousands of Swiss francs)</w:t>
      </w:r>
      <w:r w:rsidR="009D2175" w:rsidRPr="0060702E">
        <w:t xml:space="preserve"> </w:t>
      </w:r>
    </w:p>
    <w:p w:rsidR="002F7A6A" w:rsidRPr="0060702E" w:rsidRDefault="002F7A6A" w:rsidP="002F7A6A">
      <w:pPr>
        <w:keepNext/>
      </w:pPr>
    </w:p>
    <w:p w:rsidR="002F7A6A" w:rsidRPr="0060702E" w:rsidRDefault="00D03E85" w:rsidP="002F7A6A">
      <w:pPr>
        <w:keepNext/>
        <w:jc w:val="center"/>
      </w:pPr>
      <w:r w:rsidRPr="0060702E">
        <w:rPr>
          <w:noProof/>
        </w:rPr>
        <w:object w:dxaOrig="9174" w:dyaOrig="9885">
          <v:shape id="_x0000_i1032" type="#_x0000_t75" style="width:459pt;height:493.5pt" o:ole="">
            <v:imagedata r:id="rId73" o:title=""/>
          </v:shape>
          <o:OLEObject Type="Embed" ProgID="Excel.Sheet.12" ShapeID="_x0000_i1032" DrawAspect="Content" ObjectID="_1472572834" r:id="rId74"/>
        </w:object>
      </w:r>
    </w:p>
    <w:p w:rsidR="002F7A6A" w:rsidRPr="0060702E" w:rsidRDefault="002F7A6A" w:rsidP="002F7A6A"/>
    <w:p w:rsidR="00093547" w:rsidRPr="0060702E" w:rsidRDefault="00CD72D4">
      <w:pPr>
        <w:jc w:val="left"/>
        <w:rPr>
          <w:i/>
        </w:rPr>
      </w:pPr>
      <w:r w:rsidRPr="0060702E">
        <w:t xml:space="preserve">    </w:t>
      </w:r>
      <w:r w:rsidRPr="0060702E">
        <w:rPr>
          <w:i/>
        </w:rPr>
        <w:t>* Expenses under that grouping are no longer reported separately in the 2012-2013 Biennium.</w:t>
      </w:r>
      <w:r w:rsidRPr="0060702E">
        <w:rPr>
          <w:i/>
        </w:rPr>
        <w:tab/>
      </w:r>
      <w:r w:rsidRPr="0060702E">
        <w:rPr>
          <w:i/>
        </w:rPr>
        <w:tab/>
      </w:r>
      <w:r w:rsidRPr="0060702E">
        <w:rPr>
          <w:i/>
        </w:rPr>
        <w:tab/>
      </w:r>
      <w:r w:rsidRPr="0060702E">
        <w:rPr>
          <w:i/>
        </w:rPr>
        <w:tab/>
      </w:r>
      <w:r w:rsidRPr="0060702E">
        <w:rPr>
          <w:i/>
        </w:rPr>
        <w:tab/>
      </w:r>
      <w:r w:rsidR="00093547" w:rsidRPr="0060702E">
        <w:rPr>
          <w:i/>
        </w:rPr>
        <w:br w:type="page"/>
      </w:r>
    </w:p>
    <w:p w:rsidR="00093547" w:rsidRPr="0060702E" w:rsidRDefault="00093547" w:rsidP="009302EC">
      <w:pPr>
        <w:rPr>
          <w:u w:val="single"/>
        </w:rPr>
      </w:pPr>
      <w:r w:rsidRPr="0060702E">
        <w:rPr>
          <w:u w:val="single"/>
        </w:rPr>
        <w:t>Personnel Resources</w:t>
      </w:r>
    </w:p>
    <w:p w:rsidR="009302EC" w:rsidRDefault="009302EC" w:rsidP="009302EC"/>
    <w:p w:rsidR="00093547" w:rsidRDefault="00093547" w:rsidP="009302EC">
      <w:r w:rsidRPr="0060702E">
        <w:t>Personnel resources amounted to 4.1 million Swiss francs in 2012/13, 0.5 million Swiss francs less than the 2012/13 Approved Budget.  This reduction was the result of one of the posts in the professional category being vacant and changes of grade due to personnel changes.  The reduction under Posts of 1.0 </w:t>
      </w:r>
      <w:r w:rsidRPr="0060702E">
        <w:rPr>
          <w:rFonts w:asciiTheme="minorHAnsi" w:eastAsiaTheme="minorHAnsi" w:hAnsiTheme="minorHAnsi" w:cstheme="minorBidi"/>
          <w:sz w:val="22"/>
          <w:szCs w:val="22"/>
        </w:rPr>
        <w:t>million </w:t>
      </w:r>
      <w:r w:rsidRPr="0060702E">
        <w:t xml:space="preserve">Swiss francs was offset by an increase by 0.5 million Swiss francs under Temporary staff.  Two staff members, previously employed at 80%, returned to work at 100% during the 2012/13 Biennium. </w:t>
      </w:r>
    </w:p>
    <w:p w:rsidR="009302EC" w:rsidRDefault="009302EC" w:rsidP="009302EC"/>
    <w:p w:rsidR="009302EC" w:rsidRPr="0060702E" w:rsidRDefault="009302EC" w:rsidP="009302EC"/>
    <w:p w:rsidR="00093547" w:rsidRPr="0060702E" w:rsidRDefault="00093547" w:rsidP="009302EC">
      <w:pPr>
        <w:rPr>
          <w:u w:val="single"/>
        </w:rPr>
      </w:pPr>
      <w:r w:rsidRPr="0060702E">
        <w:rPr>
          <w:u w:val="single"/>
        </w:rPr>
        <w:t>Non-Personnel Resources</w:t>
      </w:r>
    </w:p>
    <w:p w:rsidR="009302EC" w:rsidRDefault="009302EC" w:rsidP="009302EC">
      <w:pPr>
        <w:rPr>
          <w:rFonts w:eastAsiaTheme="minorHAnsi" w:cs="Arial"/>
        </w:rPr>
      </w:pPr>
    </w:p>
    <w:p w:rsidR="00093547" w:rsidRPr="0060702E" w:rsidRDefault="00093547" w:rsidP="009302EC">
      <w:pPr>
        <w:rPr>
          <w:rFonts w:eastAsiaTheme="minorHAnsi" w:cs="Arial"/>
        </w:rPr>
      </w:pPr>
      <w:r w:rsidRPr="0060702E">
        <w:rPr>
          <w:rFonts w:eastAsiaTheme="minorHAnsi" w:cs="Arial"/>
        </w:rPr>
        <w:t xml:space="preserve">Total Non-Personnel expenditure amounted to 2.2 million Swiss francs, in line with the budgeted target (99% of the budget).  Explanations by cost categories are provided below. </w:t>
      </w:r>
    </w:p>
    <w:p w:rsidR="009302EC" w:rsidRDefault="009302EC" w:rsidP="009302EC">
      <w:pPr>
        <w:rPr>
          <w:rFonts w:eastAsiaTheme="minorHAnsi" w:cs="Arial"/>
          <w:i/>
        </w:rPr>
      </w:pPr>
    </w:p>
    <w:p w:rsidR="00093547" w:rsidRPr="0060702E" w:rsidRDefault="00093547" w:rsidP="009302EC">
      <w:pPr>
        <w:rPr>
          <w:rFonts w:eastAsiaTheme="minorHAnsi" w:cs="Arial"/>
          <w:i/>
        </w:rPr>
      </w:pPr>
      <w:r w:rsidRPr="0060702E">
        <w:rPr>
          <w:rFonts w:eastAsiaTheme="minorHAnsi" w:cs="Arial"/>
          <w:i/>
        </w:rPr>
        <w:t>Travel</w:t>
      </w:r>
    </w:p>
    <w:p w:rsidR="009302EC" w:rsidRDefault="009302EC" w:rsidP="009302EC">
      <w:pPr>
        <w:rPr>
          <w:rFonts w:eastAsiaTheme="minorHAnsi" w:cs="Arial"/>
        </w:rPr>
      </w:pPr>
    </w:p>
    <w:p w:rsidR="00093547" w:rsidRPr="0060702E" w:rsidRDefault="00093547" w:rsidP="009302EC">
      <w:pPr>
        <w:rPr>
          <w:rFonts w:eastAsiaTheme="minorHAnsi" w:cs="Arial"/>
        </w:rPr>
      </w:pPr>
      <w:r w:rsidRPr="0060702E">
        <w:rPr>
          <w:rFonts w:eastAsiaTheme="minorHAnsi" w:cs="Arial"/>
        </w:rPr>
        <w:t>Travel costs were broadly in line with budgeted costs in the 2012/13 Biennium.</w:t>
      </w:r>
    </w:p>
    <w:p w:rsidR="009302EC" w:rsidRDefault="009302EC" w:rsidP="009302EC">
      <w:pPr>
        <w:rPr>
          <w:rFonts w:eastAsiaTheme="minorHAnsi" w:cs="Arial"/>
          <w:i/>
        </w:rPr>
      </w:pPr>
    </w:p>
    <w:p w:rsidR="00093547" w:rsidRPr="0060702E" w:rsidRDefault="00093547" w:rsidP="009302EC">
      <w:pPr>
        <w:rPr>
          <w:rFonts w:eastAsiaTheme="minorHAnsi" w:cs="Arial"/>
          <w:i/>
        </w:rPr>
      </w:pPr>
      <w:r w:rsidRPr="0060702E">
        <w:rPr>
          <w:rFonts w:eastAsiaTheme="minorHAnsi" w:cs="Arial"/>
          <w:i/>
        </w:rPr>
        <w:t>Contractual Services</w:t>
      </w:r>
    </w:p>
    <w:p w:rsidR="009302EC" w:rsidRDefault="009302EC" w:rsidP="009302EC">
      <w:pPr>
        <w:rPr>
          <w:rFonts w:eastAsiaTheme="minorHAnsi" w:cs="Arial"/>
        </w:rPr>
      </w:pPr>
    </w:p>
    <w:p w:rsidR="00093547" w:rsidRPr="0060702E" w:rsidRDefault="00093547" w:rsidP="009302EC">
      <w:pPr>
        <w:rPr>
          <w:rFonts w:eastAsiaTheme="minorHAnsi" w:cs="Arial"/>
        </w:rPr>
      </w:pPr>
      <w:r w:rsidRPr="0060702E">
        <w:rPr>
          <w:rFonts w:eastAsiaTheme="minorHAnsi" w:cs="Arial"/>
        </w:rPr>
        <w:t xml:space="preserve">Total Contractual Services were in line with budgeted costs (102% of the budget).  Conference costs were significantly below the budgeted figure at 175 thousand Swiss francs compared to 250 thousand Swiss francs (70% of the budget).  The remaining Contractual Services costs were significantly above the budgeted figure at 262 thousand Swiss francs compared to 180 thousand Swiss francs (146% of the budget).  Most of the costs initially budgeted under “Experts” were categorized under “Other Contractual Services” as a result of changes in the cost categories.  The expenditure for “Other Contractual Services” includes the expenditure on information technology (IT) experts in relation to the development of an electronic application form and an electronic template for Test Guidelines, experts to supplement the work of the UPOV staff in the development of the advanced distance learning training course “Examination of applications for plant breeders’ rights” (DL­305) and the administration of the DL-205 course “Introduction to the UPOV System of Plant Variety Protection under the UPOV Convention”.  </w:t>
      </w:r>
    </w:p>
    <w:p w:rsidR="009302EC" w:rsidRDefault="009302EC" w:rsidP="009302EC">
      <w:pPr>
        <w:rPr>
          <w:rFonts w:eastAsiaTheme="minorHAnsi" w:cs="Arial"/>
          <w:i/>
        </w:rPr>
      </w:pPr>
    </w:p>
    <w:p w:rsidR="00093547" w:rsidRPr="0060702E" w:rsidRDefault="00093547" w:rsidP="009302EC">
      <w:pPr>
        <w:rPr>
          <w:rFonts w:eastAsiaTheme="minorHAnsi" w:cs="Arial"/>
          <w:i/>
        </w:rPr>
      </w:pPr>
      <w:r w:rsidRPr="0060702E">
        <w:rPr>
          <w:rFonts w:eastAsiaTheme="minorHAnsi" w:cs="Arial"/>
          <w:i/>
        </w:rPr>
        <w:t>Operating Expenses</w:t>
      </w:r>
    </w:p>
    <w:p w:rsidR="009302EC" w:rsidRDefault="009302EC" w:rsidP="009302EC">
      <w:pPr>
        <w:rPr>
          <w:rFonts w:eastAsiaTheme="minorHAnsi" w:cs="Arial"/>
        </w:rPr>
      </w:pPr>
    </w:p>
    <w:p w:rsidR="00093547" w:rsidRPr="0060702E" w:rsidRDefault="00093547" w:rsidP="009302EC">
      <w:pPr>
        <w:rPr>
          <w:rFonts w:eastAsiaTheme="minorHAnsi" w:cs="Arial"/>
        </w:rPr>
      </w:pPr>
      <w:r w:rsidRPr="0060702E">
        <w:rPr>
          <w:rFonts w:eastAsiaTheme="minorHAnsi" w:cs="Arial"/>
        </w:rPr>
        <w:t>Operating Expenses were in line with budgeted costs for the 2012/13 Biennium (101% of the budget).</w:t>
      </w:r>
    </w:p>
    <w:p w:rsidR="009302EC" w:rsidRDefault="009302EC" w:rsidP="009302EC">
      <w:pPr>
        <w:rPr>
          <w:rFonts w:eastAsiaTheme="minorHAnsi" w:cs="Arial"/>
          <w:i/>
        </w:rPr>
      </w:pPr>
    </w:p>
    <w:p w:rsidR="00093547" w:rsidRPr="0060702E" w:rsidRDefault="00093547" w:rsidP="009302EC">
      <w:pPr>
        <w:rPr>
          <w:rFonts w:eastAsiaTheme="minorHAnsi" w:cs="Arial"/>
          <w:i/>
        </w:rPr>
      </w:pPr>
      <w:r w:rsidRPr="0060702E">
        <w:rPr>
          <w:rFonts w:eastAsiaTheme="minorHAnsi" w:cs="Arial"/>
          <w:i/>
        </w:rPr>
        <w:t>Equipment and Supplies</w:t>
      </w:r>
    </w:p>
    <w:p w:rsidR="009302EC" w:rsidRDefault="009302EC" w:rsidP="009302EC">
      <w:pPr>
        <w:rPr>
          <w:rFonts w:eastAsiaTheme="minorHAnsi" w:cs="Arial"/>
        </w:rPr>
      </w:pPr>
    </w:p>
    <w:p w:rsidR="00093547" w:rsidRPr="0060702E" w:rsidRDefault="00093547" w:rsidP="009302EC">
      <w:pPr>
        <w:rPr>
          <w:rFonts w:eastAsiaTheme="minorHAnsi" w:cs="Arial"/>
        </w:rPr>
      </w:pPr>
      <w:r w:rsidRPr="0060702E">
        <w:rPr>
          <w:rFonts w:eastAsiaTheme="minorHAnsi" w:cs="Arial"/>
        </w:rPr>
        <w:t>Expenditure on Equipment and Supplies for the 2012/13 Biennium was broadly i</w:t>
      </w:r>
      <w:r w:rsidR="00F16ED6" w:rsidRPr="0060702E">
        <w:rPr>
          <w:rFonts w:eastAsiaTheme="minorHAnsi" w:cs="Arial"/>
        </w:rPr>
        <w:t>n line with budgeted costs</w:t>
      </w:r>
      <w:r w:rsidRPr="0060702E">
        <w:rPr>
          <w:rFonts w:eastAsiaTheme="minorHAnsi" w:cs="Arial"/>
        </w:rPr>
        <w:t>.</w:t>
      </w:r>
    </w:p>
    <w:p w:rsidR="009302EC" w:rsidRDefault="009302EC" w:rsidP="009302EC">
      <w:pPr>
        <w:rPr>
          <w:rFonts w:eastAsiaTheme="minorHAnsi"/>
        </w:rPr>
      </w:pPr>
    </w:p>
    <w:p w:rsidR="00093547" w:rsidRPr="0060702E" w:rsidRDefault="00093547" w:rsidP="009302EC">
      <w:pPr>
        <w:rPr>
          <w:rFonts w:eastAsiaTheme="minorHAnsi"/>
        </w:rPr>
      </w:pPr>
      <w:r w:rsidRPr="0060702E">
        <w:rPr>
          <w:rFonts w:eastAsiaTheme="minorHAnsi"/>
        </w:rPr>
        <w:br w:type="page"/>
      </w:r>
    </w:p>
    <w:p w:rsidR="00093547" w:rsidRPr="0060702E" w:rsidRDefault="00093547" w:rsidP="008A4833">
      <w:pPr>
        <w:pStyle w:val="Heading9"/>
        <w:spacing w:after="0"/>
      </w:pPr>
      <w:bookmarkStart w:id="182" w:name="_Toc398739050"/>
      <w:proofErr w:type="gramStart"/>
      <w:r w:rsidRPr="0060702E">
        <w:t>Figure 3</w:t>
      </w:r>
      <w:r w:rsidR="002B728F" w:rsidRPr="0060702E">
        <w:t>5</w:t>
      </w:r>
      <w:r w:rsidR="007F3B48" w:rsidRPr="0060702E">
        <w:t>.</w:t>
      </w:r>
      <w:proofErr w:type="gramEnd"/>
      <w:r w:rsidRPr="0060702E">
        <w:t xml:space="preserve">  Income and expenditure (between 2002 and 2013)</w:t>
      </w:r>
      <w:bookmarkEnd w:id="182"/>
      <w:r w:rsidRPr="0060702E">
        <w:t xml:space="preserve"> </w:t>
      </w:r>
    </w:p>
    <w:p w:rsidR="008A4833" w:rsidRPr="0060702E" w:rsidRDefault="008A4833" w:rsidP="008A4833">
      <w:pPr>
        <w:keepNext/>
        <w:jc w:val="center"/>
        <w:rPr>
          <w:b/>
        </w:rPr>
      </w:pPr>
      <w:r w:rsidRPr="0060702E">
        <w:t>(</w:t>
      </w:r>
      <w:proofErr w:type="gramStart"/>
      <w:r w:rsidRPr="0060702E">
        <w:t>in</w:t>
      </w:r>
      <w:proofErr w:type="gramEnd"/>
      <w:r w:rsidRPr="0060702E">
        <w:t xml:space="preserve"> thousands of Swiss francs)</w:t>
      </w:r>
      <w:r w:rsidRPr="0060702E">
        <w:rPr>
          <w:b/>
        </w:rPr>
        <w:t xml:space="preserve"> </w:t>
      </w:r>
    </w:p>
    <w:p w:rsidR="00D602B2" w:rsidRPr="0060702E" w:rsidRDefault="00D602B2" w:rsidP="00D602B2"/>
    <w:p w:rsidR="002F7A6A" w:rsidRPr="0060702E" w:rsidRDefault="00093547" w:rsidP="00D602B2">
      <w:pPr>
        <w:jc w:val="center"/>
        <w:rPr>
          <w:noProof/>
        </w:rPr>
      </w:pPr>
      <w:r w:rsidRPr="0060702E">
        <w:rPr>
          <w:noProof/>
        </w:rPr>
        <w:object w:dxaOrig="11317" w:dyaOrig="9053">
          <v:shape id="_x0000_i1033" type="#_x0000_t75" style="width:468.75pt;height:375pt" o:ole="">
            <v:imagedata r:id="rId75" o:title=""/>
          </v:shape>
          <o:OLEObject Type="Embed" ProgID="Excel.Sheet.12" ShapeID="_x0000_i1033" DrawAspect="Content" ObjectID="_1472572835" r:id="rId76"/>
        </w:object>
      </w:r>
    </w:p>
    <w:p w:rsidR="00093547" w:rsidRPr="0060702E" w:rsidRDefault="00093547" w:rsidP="00093547">
      <w:pPr>
        <w:jc w:val="left"/>
        <w:rPr>
          <w:u w:val="single"/>
        </w:rPr>
      </w:pPr>
    </w:p>
    <w:p w:rsidR="002F7A6A" w:rsidRPr="0060702E" w:rsidRDefault="0000674F" w:rsidP="00CE77F1">
      <w:pPr>
        <w:pStyle w:val="Heading4"/>
      </w:pPr>
      <w:bookmarkStart w:id="183" w:name="_Toc392228927"/>
      <w:bookmarkStart w:id="184" w:name="_Toc398739051"/>
      <w:r w:rsidRPr="0060702E">
        <w:t>3</w:t>
      </w:r>
      <w:r w:rsidR="002F7A6A" w:rsidRPr="0060702E">
        <w:t>.4</w:t>
      </w:r>
      <w:r w:rsidR="002F7A6A" w:rsidRPr="0060702E">
        <w:tab/>
        <w:t>Budget 2010-2011:  Posts by category</w:t>
      </w:r>
      <w:bookmarkEnd w:id="183"/>
      <w:bookmarkEnd w:id="184"/>
    </w:p>
    <w:p w:rsidR="002F7A6A" w:rsidRPr="0060702E" w:rsidRDefault="002F7A6A" w:rsidP="002F7A6A"/>
    <w:p w:rsidR="002F7A6A" w:rsidRPr="0060702E" w:rsidRDefault="00EE66C5" w:rsidP="002F7A6A">
      <w:r w:rsidRPr="0060702E">
        <w:rPr>
          <w:rFonts w:eastAsiaTheme="minorHAnsi" w:cs="Arial"/>
        </w:rPr>
        <w:t>As indicated in Table 4 below, there was no change in the total number of Posts and their breakdown by categories in the 2012-2013 Biennium.  The Program and Budget for the 2012-2013 Biennium anticipated three posts in the director category and three posts in the professional category.  However, due to unforeseen personnel changes, the actual number of posts was two in the director category and four in the professional category.</w:t>
      </w:r>
    </w:p>
    <w:p w:rsidR="002F7A6A" w:rsidRPr="0060702E" w:rsidRDefault="002F7A6A" w:rsidP="002F7A6A"/>
    <w:p w:rsidR="00F11B56" w:rsidRPr="0060702E" w:rsidRDefault="002F7A6A" w:rsidP="002F7A6A">
      <w:pPr>
        <w:keepNext/>
        <w:jc w:val="center"/>
        <w:rPr>
          <w:b/>
        </w:rPr>
      </w:pPr>
      <w:r w:rsidRPr="0060702E">
        <w:rPr>
          <w:b/>
        </w:rPr>
        <w:t>Table 4: Posts by Category</w:t>
      </w:r>
    </w:p>
    <w:p w:rsidR="002F7A6A" w:rsidRPr="0060702E" w:rsidRDefault="002F7A6A" w:rsidP="0056416A">
      <w:pPr>
        <w:keepNext/>
        <w:tabs>
          <w:tab w:val="left" w:pos="910"/>
        </w:tabs>
      </w:pPr>
    </w:p>
    <w:bookmarkStart w:id="185" w:name="_MON_1469615671"/>
    <w:bookmarkEnd w:id="185"/>
    <w:p w:rsidR="002F7A6A" w:rsidRPr="0060702E" w:rsidRDefault="00A31D72" w:rsidP="002F7A6A">
      <w:pPr>
        <w:jc w:val="center"/>
      </w:pPr>
      <w:r w:rsidRPr="0060702E">
        <w:object w:dxaOrig="8243" w:dyaOrig="1994">
          <v:shape id="_x0000_i1034" type="#_x0000_t75" style="width:412.5pt;height:99.75pt" o:ole="">
            <v:imagedata r:id="rId77" o:title=""/>
          </v:shape>
          <o:OLEObject Type="Embed" ProgID="Excel.Sheet.12" ShapeID="_x0000_i1034" DrawAspect="Content" ObjectID="_1472572836" r:id="rId78"/>
        </w:object>
      </w:r>
    </w:p>
    <w:p w:rsidR="002F7A6A" w:rsidRPr="0060702E" w:rsidRDefault="002F7A6A" w:rsidP="002F7A6A"/>
    <w:p w:rsidR="005D54D0" w:rsidRPr="0060702E" w:rsidRDefault="005D54D0">
      <w:pPr>
        <w:jc w:val="left"/>
      </w:pPr>
      <w:bookmarkStart w:id="186" w:name="_Toc392228928"/>
      <w:r w:rsidRPr="0060702E">
        <w:rPr>
          <w:b/>
          <w:caps/>
        </w:rPr>
        <w:br w:type="page"/>
      </w:r>
    </w:p>
    <w:p w:rsidR="002F7A6A" w:rsidRPr="0060702E" w:rsidRDefault="0000674F" w:rsidP="00CE77F1">
      <w:pPr>
        <w:pStyle w:val="Heading4"/>
      </w:pPr>
      <w:bookmarkStart w:id="187" w:name="_Toc398739052"/>
      <w:r w:rsidRPr="0060702E">
        <w:t>3</w:t>
      </w:r>
      <w:r w:rsidR="002F7A6A" w:rsidRPr="0060702E">
        <w:t>.5</w:t>
      </w:r>
      <w:r w:rsidR="002F7A6A" w:rsidRPr="0060702E">
        <w:tab/>
        <w:t>Income:  Variation by source</w:t>
      </w:r>
      <w:bookmarkEnd w:id="186"/>
      <w:bookmarkEnd w:id="187"/>
    </w:p>
    <w:p w:rsidR="002F7A6A" w:rsidRPr="0060702E" w:rsidRDefault="002F7A6A" w:rsidP="002F7A6A"/>
    <w:p w:rsidR="002F7A6A" w:rsidRPr="0060702E" w:rsidRDefault="00C4007C" w:rsidP="002F7A6A">
      <w:r w:rsidRPr="0060702E">
        <w:rPr>
          <w:rFonts w:asciiTheme="minorHAnsi" w:eastAsiaTheme="minorHAnsi" w:hAnsiTheme="minorHAnsi" w:cstheme="minorBidi"/>
          <w:sz w:val="22"/>
          <w:szCs w:val="22"/>
        </w:rPr>
        <w:t>T</w:t>
      </w:r>
      <w:r w:rsidRPr="0060702E">
        <w:t>he actual budgetary income amounted to 6.8 million Swiss francs in the 2012</w:t>
      </w:r>
      <w:r w:rsidRPr="0060702E">
        <w:noBreakHyphen/>
        <w:t xml:space="preserve">2013 Biennium, in line with the budgeted target (Table 5 below).  </w:t>
      </w:r>
      <w:proofErr w:type="gramStart"/>
      <w:r w:rsidRPr="0060702E">
        <w:t>Income from contributions, which makes up the single largest source of income (98% of the total), was 11 thousand Swiss francs less than the budgeted figure.</w:t>
      </w:r>
      <w:proofErr w:type="gramEnd"/>
      <w:r w:rsidRPr="0060702E">
        <w:t xml:space="preserve">  The 2012-2013 Approved Budget anticipated one new member of the Union per year.  However, there was only one new member of the Union in the 2012-2013 Biennium.  Income from publications was 6 thousand Swiss francs less than the budgeted figure.  The shortfall is explained by the replacement of the UPOV-ROM Plant Variety Database, which had paying subscribers, by the PLUTO database, which is free to all users.  Income from interest was 41 thousand Swiss francs less than the budgeted figure because the interest rates on the funds deposited with the Swiss National Bank were lower than expected.  Other income was 5</w:t>
      </w:r>
      <w:r w:rsidR="007328B7" w:rsidRPr="0060702E">
        <w:t>2</w:t>
      </w:r>
      <w:r w:rsidRPr="0060702E">
        <w:t xml:space="preserve"> thousand Swiss francs more than the budgeted figure.  Other income includes administrative support costs under Funds in Trust, income from participants’ fees in the UPOV distance learning program and accounting adjustments for previous years.</w:t>
      </w:r>
    </w:p>
    <w:p w:rsidR="00C4007C" w:rsidRDefault="00C4007C" w:rsidP="002F7A6A"/>
    <w:p w:rsidR="00702115" w:rsidRPr="0060702E" w:rsidRDefault="00702115" w:rsidP="002F7A6A"/>
    <w:p w:rsidR="00F11B56" w:rsidRPr="0060702E" w:rsidRDefault="002F7A6A" w:rsidP="002F7A6A">
      <w:pPr>
        <w:keepNext/>
        <w:jc w:val="center"/>
        <w:rPr>
          <w:b/>
        </w:rPr>
      </w:pPr>
      <w:r w:rsidRPr="0060702E">
        <w:rPr>
          <w:b/>
        </w:rPr>
        <w:t>Table 5: Income:  Variation by source</w:t>
      </w:r>
      <w:r w:rsidR="009D2175" w:rsidRPr="0060702E">
        <w:rPr>
          <w:b/>
        </w:rPr>
        <w:t xml:space="preserve"> </w:t>
      </w:r>
    </w:p>
    <w:p w:rsidR="002F7A6A" w:rsidRPr="0060702E" w:rsidRDefault="00F11B56" w:rsidP="002F7A6A">
      <w:pPr>
        <w:keepNext/>
        <w:jc w:val="center"/>
        <w:rPr>
          <w:b/>
        </w:rPr>
      </w:pPr>
      <w:r w:rsidRPr="0060702E">
        <w:t>(</w:t>
      </w:r>
      <w:proofErr w:type="gramStart"/>
      <w:r w:rsidRPr="0060702E">
        <w:t>in</w:t>
      </w:r>
      <w:proofErr w:type="gramEnd"/>
      <w:r w:rsidRPr="0060702E">
        <w:t xml:space="preserve"> thousands of Swiss francs)</w:t>
      </w:r>
    </w:p>
    <w:p w:rsidR="002F7A6A" w:rsidRPr="0060702E" w:rsidRDefault="002F7A6A" w:rsidP="002F7A6A">
      <w:pPr>
        <w:keepNext/>
      </w:pPr>
    </w:p>
    <w:bookmarkStart w:id="188" w:name="_MON_1467123292"/>
    <w:bookmarkEnd w:id="188"/>
    <w:p w:rsidR="002F7A6A" w:rsidRPr="0060702E" w:rsidRDefault="00EC4135" w:rsidP="002F7A6A">
      <w:pPr>
        <w:jc w:val="center"/>
      </w:pPr>
      <w:r w:rsidRPr="0060702E">
        <w:rPr>
          <w:noProof/>
        </w:rPr>
        <w:object w:dxaOrig="7606" w:dyaOrig="4076">
          <v:shape id="_x0000_i1035" type="#_x0000_t75" style="width:381.75pt;height:204pt" o:ole="">
            <v:imagedata r:id="rId79" o:title=""/>
          </v:shape>
          <o:OLEObject Type="Embed" ProgID="Excel.Sheet.12" ShapeID="_x0000_i1035" DrawAspect="Content" ObjectID="_1472572837" r:id="rId80"/>
        </w:object>
      </w:r>
    </w:p>
    <w:p w:rsidR="002F7A6A" w:rsidRPr="0060702E" w:rsidRDefault="002F7A6A" w:rsidP="002F7A6A"/>
    <w:p w:rsidR="002F7A6A" w:rsidRPr="0060702E" w:rsidRDefault="002F7A6A" w:rsidP="002F7A6A"/>
    <w:p w:rsidR="002F7A6A" w:rsidRPr="0060702E" w:rsidRDefault="002F7A6A" w:rsidP="002F7A6A">
      <w:pPr>
        <w:jc w:val="left"/>
        <w:rPr>
          <w:u w:val="single"/>
        </w:rPr>
      </w:pPr>
      <w:r w:rsidRPr="0060702E">
        <w:br w:type="page"/>
      </w:r>
    </w:p>
    <w:p w:rsidR="002F7A6A" w:rsidRPr="0060702E" w:rsidRDefault="0000674F" w:rsidP="00CE77F1">
      <w:pPr>
        <w:pStyle w:val="Heading4"/>
      </w:pPr>
      <w:bookmarkStart w:id="189" w:name="_Toc392228929"/>
      <w:bookmarkStart w:id="190" w:name="_Toc398739053"/>
      <w:r w:rsidRPr="0060702E">
        <w:t>3</w:t>
      </w:r>
      <w:r w:rsidR="002F7A6A" w:rsidRPr="0060702E">
        <w:t>.6</w:t>
      </w:r>
      <w:r w:rsidR="002F7A6A" w:rsidRPr="0060702E">
        <w:tab/>
        <w:t>Income, expenditure and reserves</w:t>
      </w:r>
      <w:bookmarkEnd w:id="189"/>
      <w:bookmarkEnd w:id="190"/>
    </w:p>
    <w:p w:rsidR="002F7A6A" w:rsidRPr="0060702E" w:rsidRDefault="002F7A6A" w:rsidP="002F7A6A">
      <w:pPr>
        <w:keepNext/>
      </w:pPr>
    </w:p>
    <w:p w:rsidR="002F7A6A" w:rsidRPr="0060702E" w:rsidRDefault="002F7A6A" w:rsidP="002F7A6A">
      <w:pPr>
        <w:keepNext/>
        <w:jc w:val="center"/>
        <w:rPr>
          <w:rFonts w:cs="Arial"/>
          <w:iCs/>
          <w:sz w:val="18"/>
        </w:rPr>
      </w:pPr>
      <w:r w:rsidRPr="0060702E">
        <w:rPr>
          <w:b/>
        </w:rPr>
        <w:t xml:space="preserve">Table 6: </w:t>
      </w:r>
      <w:r w:rsidR="00F63C0F" w:rsidRPr="0060702E">
        <w:rPr>
          <w:b/>
        </w:rPr>
        <w:t>Income, Expenditure and Reserve and Working Capital Funds (RWCF</w:t>
      </w:r>
      <w:proofErr w:type="gramStart"/>
      <w:r w:rsidR="00F63C0F" w:rsidRPr="0060702E">
        <w:rPr>
          <w:b/>
        </w:rPr>
        <w:t>)</w:t>
      </w:r>
      <w:proofErr w:type="gramEnd"/>
      <w:r w:rsidR="00646990" w:rsidRPr="0060702E">
        <w:rPr>
          <w:b/>
        </w:rPr>
        <w:br/>
      </w:r>
      <w:r w:rsidR="0056416A" w:rsidRPr="0060702E">
        <w:rPr>
          <w:rFonts w:cs="Arial"/>
          <w:iCs/>
          <w:sz w:val="18"/>
        </w:rPr>
        <w:t>(in thousands of Swiss francs)</w:t>
      </w:r>
    </w:p>
    <w:p w:rsidR="00E11469" w:rsidRPr="0060702E" w:rsidRDefault="00E11469" w:rsidP="002F7A6A">
      <w:pPr>
        <w:keepNext/>
        <w:jc w:val="center"/>
        <w:rPr>
          <w:b/>
        </w:rPr>
      </w:pPr>
    </w:p>
    <w:bookmarkStart w:id="191" w:name="_MON_1467125287"/>
    <w:bookmarkEnd w:id="191"/>
    <w:p w:rsidR="002A0D60" w:rsidRPr="0060702E" w:rsidRDefault="004B48F5" w:rsidP="002A0D60">
      <w:r w:rsidRPr="0060702E">
        <w:object w:dxaOrig="9727" w:dyaOrig="9811">
          <v:shape id="_x0000_i1036" type="#_x0000_t75" style="width:485.25pt;height:491.25pt" o:ole="">
            <v:imagedata r:id="rId81" o:title=""/>
          </v:shape>
          <o:OLEObject Type="Embed" ProgID="Excel.Sheet.12" ShapeID="_x0000_i1036" DrawAspect="Content" ObjectID="_1472572838" r:id="rId82"/>
        </w:object>
      </w:r>
    </w:p>
    <w:p w:rsidR="002A0D60" w:rsidRPr="0060702E" w:rsidRDefault="002A0D60">
      <w:pPr>
        <w:jc w:val="left"/>
      </w:pPr>
      <w:r w:rsidRPr="0060702E">
        <w:br w:type="page"/>
      </w:r>
    </w:p>
    <w:p w:rsidR="002F7A6A" w:rsidRPr="001A7768" w:rsidRDefault="002F7A6A" w:rsidP="001E7952">
      <w:pPr>
        <w:pStyle w:val="Heading9"/>
        <w:rPr>
          <w:b w:val="0"/>
        </w:rPr>
      </w:pPr>
      <w:bookmarkStart w:id="192" w:name="_Toc398739054"/>
      <w:proofErr w:type="gramStart"/>
      <w:r w:rsidRPr="0060702E">
        <w:t xml:space="preserve">Figure </w:t>
      </w:r>
      <w:r w:rsidR="008B6473" w:rsidRPr="0060702E">
        <w:t>3</w:t>
      </w:r>
      <w:r w:rsidR="00064A8F" w:rsidRPr="0060702E">
        <w:t>6</w:t>
      </w:r>
      <w:r w:rsidR="007F3B48" w:rsidRPr="0060702E">
        <w:t>.</w:t>
      </w:r>
      <w:proofErr w:type="gramEnd"/>
      <w:r w:rsidR="007F3B48" w:rsidRPr="0060702E">
        <w:t xml:space="preserve"> </w:t>
      </w:r>
      <w:r w:rsidRPr="0060702E">
        <w:t xml:space="preserve"> Income, expenditure and reserves for 200</w:t>
      </w:r>
      <w:r w:rsidR="00117837" w:rsidRPr="0060702E">
        <w:t>3</w:t>
      </w:r>
      <w:r w:rsidRPr="0060702E">
        <w:t>-201</w:t>
      </w:r>
      <w:r w:rsidR="00117837" w:rsidRPr="0060702E">
        <w:t>3</w:t>
      </w:r>
      <w:r w:rsidR="001A7768" w:rsidRPr="0060702E">
        <w:rPr>
          <w:b w:val="0"/>
        </w:rPr>
        <w:br/>
      </w:r>
      <w:r w:rsidR="001A7768" w:rsidRPr="001A7768">
        <w:rPr>
          <w:rFonts w:cs="Arial"/>
          <w:b w:val="0"/>
          <w:iCs/>
        </w:rPr>
        <w:t>(in thousands of Swiss francs)</w:t>
      </w:r>
      <w:bookmarkEnd w:id="192"/>
    </w:p>
    <w:p w:rsidR="002F7A6A" w:rsidRPr="0060702E" w:rsidRDefault="00CD72D4" w:rsidP="00DC0939">
      <w:pPr>
        <w:jc w:val="center"/>
      </w:pPr>
      <w:r w:rsidRPr="0060702E">
        <w:rPr>
          <w:noProof/>
        </w:rPr>
        <w:drawing>
          <wp:inline distT="0" distB="0" distL="0" distR="0" wp14:anchorId="740C0422" wp14:editId="0C077AE0">
            <wp:extent cx="5962650" cy="398145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097F07" w:rsidRPr="0060702E" w:rsidRDefault="00097F07" w:rsidP="000A68B4"/>
    <w:bookmarkStart w:id="193" w:name="_MON_1469542177"/>
    <w:bookmarkEnd w:id="193"/>
    <w:p w:rsidR="002A0D60" w:rsidRPr="0060702E" w:rsidRDefault="00CD72D4" w:rsidP="0067078A">
      <w:pPr>
        <w:jc w:val="left"/>
        <w:rPr>
          <w:noProof/>
        </w:rPr>
      </w:pPr>
      <w:r w:rsidRPr="0060702E">
        <w:rPr>
          <w:noProof/>
        </w:rPr>
        <w:object w:dxaOrig="13553" w:dyaOrig="5021">
          <v:shape id="_x0000_i1037" type="#_x0000_t75" style="width:481.5pt;height:179.25pt" o:ole="">
            <v:imagedata r:id="rId84" o:title=""/>
          </v:shape>
          <o:OLEObject Type="Embed" ProgID="Excel.Sheet.12" ShapeID="_x0000_i1037" DrawAspect="Content" ObjectID="_1472572839" r:id="rId85"/>
        </w:object>
      </w:r>
    </w:p>
    <w:p w:rsidR="002A0D60" w:rsidRPr="0060702E" w:rsidRDefault="002A0D60" w:rsidP="0067078A">
      <w:pPr>
        <w:jc w:val="left"/>
        <w:rPr>
          <w:noProof/>
          <w:u w:val="single"/>
        </w:rPr>
      </w:pPr>
    </w:p>
    <w:p w:rsidR="002A0D60" w:rsidRPr="0060702E" w:rsidRDefault="002A0D60" w:rsidP="002A0D60">
      <w:pPr>
        <w:jc w:val="left"/>
      </w:pPr>
      <w:r w:rsidRPr="0060702E">
        <w:br w:type="page"/>
      </w:r>
    </w:p>
    <w:p w:rsidR="00C2491C" w:rsidRPr="0060702E" w:rsidRDefault="00C2491C" w:rsidP="002A0D60">
      <w:pPr>
        <w:jc w:val="left"/>
      </w:pPr>
    </w:p>
    <w:p w:rsidR="00C2491C" w:rsidRPr="0060702E" w:rsidRDefault="00C2491C" w:rsidP="002A0D60">
      <w:pPr>
        <w:sectPr w:rsidR="00C2491C" w:rsidRPr="0060702E" w:rsidSect="005564EB">
          <w:headerReference w:type="default" r:id="rId86"/>
          <w:endnotePr>
            <w:numFmt w:val="lowerLetter"/>
          </w:endnotePr>
          <w:type w:val="continuous"/>
          <w:pgSz w:w="11907" w:h="16840" w:code="9"/>
          <w:pgMar w:top="510" w:right="1134" w:bottom="1134" w:left="1134" w:header="510" w:footer="680" w:gutter="0"/>
          <w:cols w:space="720"/>
          <w:titlePg/>
        </w:sectPr>
      </w:pPr>
    </w:p>
    <w:p w:rsidR="00C2491C" w:rsidRPr="0060702E" w:rsidRDefault="00C2491C" w:rsidP="00C2491C">
      <w:pPr>
        <w:jc w:val="center"/>
      </w:pPr>
      <w:r w:rsidRPr="0060702E">
        <w:t>C/48/12</w:t>
      </w:r>
    </w:p>
    <w:p w:rsidR="00C2491C" w:rsidRPr="0060702E" w:rsidRDefault="00C2491C" w:rsidP="00C2491C">
      <w:pPr>
        <w:jc w:val="center"/>
      </w:pPr>
    </w:p>
    <w:p w:rsidR="00C2491C" w:rsidRPr="0060702E" w:rsidRDefault="00C2491C" w:rsidP="00C2491C">
      <w:pPr>
        <w:jc w:val="center"/>
      </w:pPr>
      <w:r w:rsidRPr="0060702E">
        <w:t>APPENDIX</w:t>
      </w:r>
    </w:p>
    <w:p w:rsidR="00C2491C" w:rsidRPr="0060702E" w:rsidRDefault="00C2491C" w:rsidP="00C2491C">
      <w:pPr>
        <w:jc w:val="center"/>
      </w:pPr>
    </w:p>
    <w:p w:rsidR="00C2491C" w:rsidRPr="0060702E" w:rsidRDefault="00C2491C" w:rsidP="00C2491C">
      <w:pPr>
        <w:jc w:val="center"/>
      </w:pPr>
      <w:r w:rsidRPr="0060702E">
        <w:t>ACRONYMS AND ABBREVIATIONS</w:t>
      </w:r>
    </w:p>
    <w:p w:rsidR="00C2491C" w:rsidRPr="0060702E" w:rsidRDefault="00C2491C" w:rsidP="00C2491C"/>
    <w:p w:rsidR="00C2491C" w:rsidRPr="0060702E" w:rsidRDefault="00C2491C" w:rsidP="00C2491C"/>
    <w:p w:rsidR="00C2491C" w:rsidRPr="0060702E" w:rsidRDefault="00C2491C" w:rsidP="00C2491C">
      <w:pPr>
        <w:jc w:val="center"/>
      </w:pPr>
      <w:r w:rsidRPr="0060702E">
        <w:rPr>
          <w:u w:val="single"/>
        </w:rPr>
        <w:t>UPOV terms</w:t>
      </w:r>
    </w:p>
    <w:p w:rsidR="00C2491C" w:rsidRPr="0060702E" w:rsidRDefault="00C2491C" w:rsidP="00C2491C"/>
    <w:p w:rsidR="00C2491C" w:rsidRPr="0060702E" w:rsidRDefault="00C2491C" w:rsidP="00C2491C"/>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4"/>
        <w:gridCol w:w="7985"/>
      </w:tblGrid>
      <w:tr w:rsidR="00C2491C" w:rsidRPr="0060702E" w:rsidTr="00C67712">
        <w:tc>
          <w:tcPr>
            <w:tcW w:w="1904" w:type="dxa"/>
          </w:tcPr>
          <w:p w:rsidR="00C2491C" w:rsidRPr="0060702E" w:rsidRDefault="00C2491C" w:rsidP="00C67712">
            <w:pPr>
              <w:jc w:val="left"/>
            </w:pPr>
            <w:r w:rsidRPr="0060702E">
              <w:t>BMT</w:t>
            </w:r>
          </w:p>
        </w:tc>
        <w:tc>
          <w:tcPr>
            <w:tcW w:w="7985" w:type="dxa"/>
          </w:tcPr>
          <w:p w:rsidR="00C2491C" w:rsidRPr="0060702E" w:rsidRDefault="00C2491C" w:rsidP="00C67712">
            <w:pPr>
              <w:jc w:val="left"/>
            </w:pPr>
            <w:r w:rsidRPr="0060702E">
              <w:t>Working Group on Biochemical and Molecular Techniques, and DNA-Profiling in Particular</w:t>
            </w:r>
          </w:p>
        </w:tc>
      </w:tr>
      <w:tr w:rsidR="00C2491C" w:rsidRPr="0060702E" w:rsidTr="00C67712">
        <w:tc>
          <w:tcPr>
            <w:tcW w:w="1904" w:type="dxa"/>
          </w:tcPr>
          <w:p w:rsidR="00C2491C" w:rsidRPr="0060702E" w:rsidRDefault="00C2491C" w:rsidP="00C67712">
            <w:pPr>
              <w:jc w:val="left"/>
            </w:pPr>
            <w:r w:rsidRPr="0060702E">
              <w:t>CAJ</w:t>
            </w:r>
          </w:p>
        </w:tc>
        <w:tc>
          <w:tcPr>
            <w:tcW w:w="7985" w:type="dxa"/>
          </w:tcPr>
          <w:p w:rsidR="00C2491C" w:rsidRPr="0060702E" w:rsidRDefault="00C2491C" w:rsidP="00C67712">
            <w:pPr>
              <w:jc w:val="left"/>
            </w:pPr>
            <w:r w:rsidRPr="0060702E">
              <w:t xml:space="preserve">Administrative and Legal Committee </w:t>
            </w:r>
          </w:p>
        </w:tc>
      </w:tr>
      <w:tr w:rsidR="00C2491C" w:rsidRPr="0060702E" w:rsidTr="00C67712">
        <w:tc>
          <w:tcPr>
            <w:tcW w:w="1904" w:type="dxa"/>
          </w:tcPr>
          <w:p w:rsidR="00C2491C" w:rsidRPr="0060702E" w:rsidRDefault="00C2491C" w:rsidP="00C67712">
            <w:pPr>
              <w:autoSpaceDE w:val="0"/>
              <w:autoSpaceDN w:val="0"/>
              <w:adjustRightInd w:val="0"/>
              <w:jc w:val="left"/>
            </w:pPr>
            <w:r w:rsidRPr="0060702E">
              <w:t>DL-205</w:t>
            </w:r>
          </w:p>
        </w:tc>
        <w:tc>
          <w:tcPr>
            <w:tcW w:w="7985" w:type="dxa"/>
          </w:tcPr>
          <w:p w:rsidR="00C2491C" w:rsidRPr="0060702E" w:rsidRDefault="00C2491C" w:rsidP="00C67712">
            <w:pPr>
              <w:autoSpaceDE w:val="0"/>
              <w:autoSpaceDN w:val="0"/>
              <w:adjustRightInd w:val="0"/>
              <w:jc w:val="left"/>
            </w:pPr>
            <w:r w:rsidRPr="0060702E">
              <w:t>UPOV distance learning course “Introduction to the UPOV System of Plant Variety Protection under the UPOV Convention”</w:t>
            </w:r>
          </w:p>
        </w:tc>
      </w:tr>
      <w:tr w:rsidR="00C2491C" w:rsidRPr="0060702E" w:rsidTr="00C67712">
        <w:tc>
          <w:tcPr>
            <w:tcW w:w="1904" w:type="dxa"/>
          </w:tcPr>
          <w:p w:rsidR="00C2491C" w:rsidRPr="0060702E" w:rsidRDefault="00C2491C" w:rsidP="00C67712">
            <w:pPr>
              <w:autoSpaceDE w:val="0"/>
              <w:autoSpaceDN w:val="0"/>
              <w:adjustRightInd w:val="0"/>
              <w:jc w:val="left"/>
            </w:pPr>
            <w:r w:rsidRPr="0060702E">
              <w:t>DL-305</w:t>
            </w:r>
          </w:p>
        </w:tc>
        <w:tc>
          <w:tcPr>
            <w:tcW w:w="7985" w:type="dxa"/>
          </w:tcPr>
          <w:p w:rsidR="00C2491C" w:rsidRPr="0060702E" w:rsidRDefault="00C2491C" w:rsidP="00C67712">
            <w:pPr>
              <w:autoSpaceDE w:val="0"/>
              <w:autoSpaceDN w:val="0"/>
              <w:adjustRightInd w:val="0"/>
              <w:jc w:val="left"/>
            </w:pPr>
            <w:r w:rsidRPr="0060702E">
              <w:t>UPOV distance learning course “Examination of Applications for Plant Breeders’ Rights”</w:t>
            </w:r>
          </w:p>
        </w:tc>
      </w:tr>
      <w:tr w:rsidR="00C2491C" w:rsidRPr="0060702E" w:rsidTr="00C67712">
        <w:tc>
          <w:tcPr>
            <w:tcW w:w="1904" w:type="dxa"/>
          </w:tcPr>
          <w:p w:rsidR="00C2491C" w:rsidRPr="0060702E" w:rsidRDefault="00C2491C" w:rsidP="00C67712">
            <w:pPr>
              <w:jc w:val="left"/>
            </w:pPr>
            <w:r w:rsidRPr="0060702E">
              <w:t>DUS</w:t>
            </w:r>
          </w:p>
        </w:tc>
        <w:tc>
          <w:tcPr>
            <w:tcW w:w="7985" w:type="dxa"/>
          </w:tcPr>
          <w:p w:rsidR="00C2491C" w:rsidRPr="0060702E" w:rsidRDefault="00C2491C" w:rsidP="00C67712">
            <w:pPr>
              <w:jc w:val="left"/>
            </w:pPr>
            <w:r w:rsidRPr="0060702E">
              <w:t>Distinctness, Uniformity and Stability</w:t>
            </w:r>
          </w:p>
        </w:tc>
      </w:tr>
      <w:tr w:rsidR="00C2491C" w:rsidRPr="0060702E" w:rsidTr="00C67712">
        <w:tc>
          <w:tcPr>
            <w:tcW w:w="1904" w:type="dxa"/>
          </w:tcPr>
          <w:p w:rsidR="00C2491C" w:rsidRPr="0060702E" w:rsidRDefault="00C2491C" w:rsidP="00C67712">
            <w:pPr>
              <w:autoSpaceDE w:val="0"/>
              <w:autoSpaceDN w:val="0"/>
              <w:adjustRightInd w:val="0"/>
              <w:jc w:val="left"/>
              <w:rPr>
                <w:snapToGrid w:val="0"/>
              </w:rPr>
            </w:pPr>
            <w:r w:rsidRPr="0060702E">
              <w:t>EDV</w:t>
            </w:r>
          </w:p>
        </w:tc>
        <w:tc>
          <w:tcPr>
            <w:tcW w:w="7985" w:type="dxa"/>
          </w:tcPr>
          <w:p w:rsidR="00C2491C" w:rsidRPr="0060702E" w:rsidRDefault="00C2491C" w:rsidP="00C67712">
            <w:pPr>
              <w:autoSpaceDE w:val="0"/>
              <w:autoSpaceDN w:val="0"/>
              <w:adjustRightInd w:val="0"/>
              <w:jc w:val="left"/>
              <w:rPr>
                <w:snapToGrid w:val="0"/>
              </w:rPr>
            </w:pPr>
            <w:r w:rsidRPr="0060702E">
              <w:t>essentially derived variety</w:t>
            </w:r>
          </w:p>
        </w:tc>
      </w:tr>
      <w:tr w:rsidR="00C2491C" w:rsidRPr="0060702E" w:rsidTr="00C67712">
        <w:tc>
          <w:tcPr>
            <w:tcW w:w="1904" w:type="dxa"/>
          </w:tcPr>
          <w:p w:rsidR="00C2491C" w:rsidRPr="0060702E" w:rsidRDefault="00C2491C" w:rsidP="00C67712">
            <w:pPr>
              <w:jc w:val="left"/>
            </w:pPr>
            <w:r w:rsidRPr="0060702E">
              <w:t>Office</w:t>
            </w:r>
          </w:p>
        </w:tc>
        <w:tc>
          <w:tcPr>
            <w:tcW w:w="7985" w:type="dxa"/>
          </w:tcPr>
          <w:p w:rsidR="00C2491C" w:rsidRPr="0060702E" w:rsidRDefault="00C2491C" w:rsidP="00C67712">
            <w:pPr>
              <w:jc w:val="left"/>
            </w:pPr>
            <w:r w:rsidRPr="0060702E">
              <w:t>Office of the Union</w:t>
            </w:r>
          </w:p>
        </w:tc>
      </w:tr>
      <w:tr w:rsidR="00C2491C" w:rsidRPr="0060702E" w:rsidTr="00C67712">
        <w:tc>
          <w:tcPr>
            <w:tcW w:w="1904" w:type="dxa"/>
          </w:tcPr>
          <w:p w:rsidR="00C2491C" w:rsidRPr="0060702E" w:rsidRDefault="00C2491C" w:rsidP="00C67712">
            <w:pPr>
              <w:jc w:val="left"/>
            </w:pPr>
            <w:r w:rsidRPr="0060702E">
              <w:t>PBR</w:t>
            </w:r>
          </w:p>
        </w:tc>
        <w:tc>
          <w:tcPr>
            <w:tcW w:w="7985" w:type="dxa"/>
          </w:tcPr>
          <w:p w:rsidR="00C2491C" w:rsidRPr="0060702E" w:rsidRDefault="00C2491C" w:rsidP="00C67712">
            <w:pPr>
              <w:jc w:val="left"/>
            </w:pPr>
            <w:r w:rsidRPr="0060702E">
              <w:t>Plant Breeder’s Right</w:t>
            </w:r>
          </w:p>
        </w:tc>
      </w:tr>
      <w:tr w:rsidR="00C2491C" w:rsidRPr="0060702E" w:rsidTr="00C67712">
        <w:tc>
          <w:tcPr>
            <w:tcW w:w="1904" w:type="dxa"/>
          </w:tcPr>
          <w:p w:rsidR="00C2491C" w:rsidRPr="0060702E" w:rsidRDefault="00C2491C" w:rsidP="00C67712">
            <w:pPr>
              <w:jc w:val="left"/>
            </w:pPr>
            <w:r w:rsidRPr="0060702E">
              <w:t>TC</w:t>
            </w:r>
          </w:p>
        </w:tc>
        <w:tc>
          <w:tcPr>
            <w:tcW w:w="7985" w:type="dxa"/>
          </w:tcPr>
          <w:p w:rsidR="00C2491C" w:rsidRPr="0060702E" w:rsidRDefault="00C2491C" w:rsidP="00C67712">
            <w:pPr>
              <w:jc w:val="left"/>
            </w:pPr>
            <w:r w:rsidRPr="0060702E">
              <w:t>Technical Committee</w:t>
            </w:r>
          </w:p>
        </w:tc>
      </w:tr>
      <w:tr w:rsidR="00C2491C" w:rsidRPr="0060702E" w:rsidTr="00C67712">
        <w:tc>
          <w:tcPr>
            <w:tcW w:w="1904" w:type="dxa"/>
          </w:tcPr>
          <w:p w:rsidR="00C2491C" w:rsidRPr="0060702E" w:rsidRDefault="00C2491C" w:rsidP="00C67712">
            <w:pPr>
              <w:jc w:val="left"/>
            </w:pPr>
            <w:r w:rsidRPr="0060702E">
              <w:t>TC</w:t>
            </w:r>
            <w:r w:rsidRPr="0060702E">
              <w:noBreakHyphen/>
              <w:t>EDC</w:t>
            </w:r>
          </w:p>
        </w:tc>
        <w:tc>
          <w:tcPr>
            <w:tcW w:w="7985" w:type="dxa"/>
          </w:tcPr>
          <w:p w:rsidR="00C2491C" w:rsidRPr="0060702E" w:rsidRDefault="00C2491C" w:rsidP="00C67712">
            <w:pPr>
              <w:jc w:val="left"/>
            </w:pPr>
            <w:r w:rsidRPr="0060702E">
              <w:t>Enlarged Editorial Committee</w:t>
            </w:r>
          </w:p>
        </w:tc>
      </w:tr>
      <w:tr w:rsidR="00C2491C" w:rsidRPr="0060702E" w:rsidTr="00C67712">
        <w:tc>
          <w:tcPr>
            <w:tcW w:w="1904" w:type="dxa"/>
          </w:tcPr>
          <w:p w:rsidR="00C2491C" w:rsidRPr="0060702E" w:rsidRDefault="00C2491C" w:rsidP="00C67712">
            <w:pPr>
              <w:jc w:val="left"/>
            </w:pPr>
            <w:r w:rsidRPr="0060702E">
              <w:t>TWA</w:t>
            </w:r>
          </w:p>
        </w:tc>
        <w:tc>
          <w:tcPr>
            <w:tcW w:w="7985" w:type="dxa"/>
          </w:tcPr>
          <w:p w:rsidR="00C2491C" w:rsidRPr="0060702E" w:rsidRDefault="00C2491C" w:rsidP="00C67712">
            <w:pPr>
              <w:jc w:val="left"/>
            </w:pPr>
            <w:r w:rsidRPr="0060702E">
              <w:t>Technical Working Party for Agricultural Crops</w:t>
            </w:r>
          </w:p>
        </w:tc>
      </w:tr>
      <w:tr w:rsidR="00C2491C" w:rsidRPr="0060702E" w:rsidTr="00C67712">
        <w:tc>
          <w:tcPr>
            <w:tcW w:w="1904" w:type="dxa"/>
          </w:tcPr>
          <w:p w:rsidR="00C2491C" w:rsidRPr="0060702E" w:rsidRDefault="00C2491C" w:rsidP="00C67712">
            <w:pPr>
              <w:jc w:val="left"/>
            </w:pPr>
            <w:r w:rsidRPr="0060702E">
              <w:t>TWC</w:t>
            </w:r>
          </w:p>
        </w:tc>
        <w:tc>
          <w:tcPr>
            <w:tcW w:w="7985" w:type="dxa"/>
          </w:tcPr>
          <w:p w:rsidR="00C2491C" w:rsidRPr="0060702E" w:rsidRDefault="00C2491C" w:rsidP="00C67712">
            <w:pPr>
              <w:jc w:val="left"/>
            </w:pPr>
            <w:r w:rsidRPr="0060702E">
              <w:t>Technical Working Party on Automation and Computer Programs</w:t>
            </w:r>
          </w:p>
        </w:tc>
      </w:tr>
      <w:tr w:rsidR="00C2491C" w:rsidRPr="0060702E" w:rsidTr="00C67712">
        <w:tc>
          <w:tcPr>
            <w:tcW w:w="1904" w:type="dxa"/>
          </w:tcPr>
          <w:p w:rsidR="00C2491C" w:rsidRPr="0060702E" w:rsidRDefault="00C2491C" w:rsidP="00C67712">
            <w:pPr>
              <w:jc w:val="left"/>
            </w:pPr>
            <w:r w:rsidRPr="0060702E">
              <w:t>TWF</w:t>
            </w:r>
          </w:p>
        </w:tc>
        <w:tc>
          <w:tcPr>
            <w:tcW w:w="7985" w:type="dxa"/>
          </w:tcPr>
          <w:p w:rsidR="00C2491C" w:rsidRPr="0060702E" w:rsidRDefault="00C2491C" w:rsidP="00C67712">
            <w:pPr>
              <w:jc w:val="left"/>
            </w:pPr>
            <w:r w:rsidRPr="0060702E">
              <w:t>Technical Working Party for Fruit Crops</w:t>
            </w:r>
          </w:p>
        </w:tc>
      </w:tr>
      <w:tr w:rsidR="00C2491C" w:rsidRPr="0060702E" w:rsidTr="00C67712">
        <w:tc>
          <w:tcPr>
            <w:tcW w:w="1904" w:type="dxa"/>
          </w:tcPr>
          <w:p w:rsidR="00C2491C" w:rsidRPr="0060702E" w:rsidRDefault="00C2491C" w:rsidP="00C67712">
            <w:pPr>
              <w:jc w:val="left"/>
            </w:pPr>
            <w:r w:rsidRPr="0060702E">
              <w:t>TWO</w:t>
            </w:r>
          </w:p>
        </w:tc>
        <w:tc>
          <w:tcPr>
            <w:tcW w:w="7985" w:type="dxa"/>
          </w:tcPr>
          <w:p w:rsidR="00C2491C" w:rsidRPr="0060702E" w:rsidRDefault="00C2491C" w:rsidP="00C67712">
            <w:pPr>
              <w:jc w:val="left"/>
            </w:pPr>
            <w:r w:rsidRPr="0060702E">
              <w:t>Technical Working Party for Ornamental Plants and Forest Trees</w:t>
            </w:r>
          </w:p>
        </w:tc>
      </w:tr>
      <w:tr w:rsidR="00C2491C" w:rsidRPr="0060702E" w:rsidTr="00C67712">
        <w:tc>
          <w:tcPr>
            <w:tcW w:w="1904" w:type="dxa"/>
          </w:tcPr>
          <w:p w:rsidR="00C2491C" w:rsidRPr="0060702E" w:rsidRDefault="00C2491C" w:rsidP="00C67712">
            <w:pPr>
              <w:jc w:val="left"/>
            </w:pPr>
            <w:r w:rsidRPr="0060702E">
              <w:t>TWP</w:t>
            </w:r>
          </w:p>
        </w:tc>
        <w:tc>
          <w:tcPr>
            <w:tcW w:w="7985" w:type="dxa"/>
          </w:tcPr>
          <w:p w:rsidR="00C2491C" w:rsidRPr="0060702E" w:rsidRDefault="00C2491C" w:rsidP="00C67712">
            <w:pPr>
              <w:jc w:val="left"/>
            </w:pPr>
            <w:r w:rsidRPr="0060702E">
              <w:t>Technical Working Party</w:t>
            </w:r>
          </w:p>
        </w:tc>
      </w:tr>
      <w:tr w:rsidR="00C2491C" w:rsidRPr="0060702E" w:rsidTr="00C67712">
        <w:tc>
          <w:tcPr>
            <w:tcW w:w="1904" w:type="dxa"/>
          </w:tcPr>
          <w:p w:rsidR="00C2491C" w:rsidRPr="0060702E" w:rsidRDefault="00C2491C" w:rsidP="00C67712">
            <w:pPr>
              <w:jc w:val="left"/>
            </w:pPr>
            <w:r w:rsidRPr="0060702E">
              <w:t>TWV</w:t>
            </w:r>
          </w:p>
        </w:tc>
        <w:tc>
          <w:tcPr>
            <w:tcW w:w="7985" w:type="dxa"/>
          </w:tcPr>
          <w:p w:rsidR="00C2491C" w:rsidRPr="0060702E" w:rsidRDefault="00C2491C" w:rsidP="00C67712">
            <w:pPr>
              <w:jc w:val="left"/>
            </w:pPr>
            <w:r w:rsidRPr="0060702E">
              <w:t>Technical Working Party for Vegetables</w:t>
            </w:r>
          </w:p>
        </w:tc>
      </w:tr>
    </w:tbl>
    <w:p w:rsidR="00C2491C" w:rsidRPr="0060702E" w:rsidRDefault="00C2491C" w:rsidP="00C2491C"/>
    <w:p w:rsidR="00C2491C" w:rsidRPr="0060702E" w:rsidRDefault="00C2491C" w:rsidP="00C2491C">
      <w:pPr>
        <w:ind w:left="1418" w:hanging="1418"/>
      </w:pPr>
    </w:p>
    <w:p w:rsidR="00C2491C" w:rsidRPr="0060702E" w:rsidRDefault="00C2491C" w:rsidP="00C2491C">
      <w:pPr>
        <w:ind w:left="1418" w:hanging="1418"/>
        <w:jc w:val="center"/>
        <w:rPr>
          <w:u w:val="single"/>
        </w:rPr>
      </w:pPr>
      <w:r w:rsidRPr="0060702E">
        <w:rPr>
          <w:u w:val="single"/>
        </w:rPr>
        <w:t>Acronyms</w:t>
      </w:r>
    </w:p>
    <w:p w:rsidR="00C2491C" w:rsidRPr="0060702E" w:rsidRDefault="00C2491C" w:rsidP="00C2491C">
      <w:pPr>
        <w:ind w:left="1418" w:hanging="1418"/>
      </w:pPr>
    </w:p>
    <w:p w:rsidR="00C2491C" w:rsidRPr="0060702E" w:rsidRDefault="00C2491C" w:rsidP="00C2491C"/>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4"/>
        <w:gridCol w:w="7985"/>
      </w:tblGrid>
      <w:tr w:rsidR="00C2491C" w:rsidRPr="0060702E" w:rsidTr="00C67712">
        <w:tc>
          <w:tcPr>
            <w:tcW w:w="1904" w:type="dxa"/>
          </w:tcPr>
          <w:p w:rsidR="00C2491C" w:rsidRPr="0060702E" w:rsidRDefault="00C2491C" w:rsidP="00C67712">
            <w:pPr>
              <w:autoSpaceDE w:val="0"/>
              <w:autoSpaceDN w:val="0"/>
              <w:adjustRightInd w:val="0"/>
              <w:jc w:val="left"/>
            </w:pPr>
            <w:r w:rsidRPr="0060702E">
              <w:t>AATF</w:t>
            </w:r>
          </w:p>
        </w:tc>
        <w:tc>
          <w:tcPr>
            <w:tcW w:w="7985" w:type="dxa"/>
          </w:tcPr>
          <w:p w:rsidR="00C2491C" w:rsidRPr="0060702E" w:rsidRDefault="00C2491C" w:rsidP="00C67712">
            <w:pPr>
              <w:autoSpaceDE w:val="0"/>
              <w:autoSpaceDN w:val="0"/>
              <w:adjustRightInd w:val="0"/>
              <w:jc w:val="left"/>
            </w:pPr>
            <w:r w:rsidRPr="0060702E">
              <w:t>African Agricultural Technology Foundation</w:t>
            </w:r>
          </w:p>
        </w:tc>
      </w:tr>
      <w:tr w:rsidR="00C2491C" w:rsidRPr="0060702E" w:rsidTr="00C67712">
        <w:tc>
          <w:tcPr>
            <w:tcW w:w="1904" w:type="dxa"/>
          </w:tcPr>
          <w:p w:rsidR="00C2491C" w:rsidRPr="0060702E" w:rsidRDefault="00C2491C" w:rsidP="00C67712">
            <w:pPr>
              <w:jc w:val="left"/>
            </w:pPr>
            <w:r w:rsidRPr="0060702E">
              <w:t>AECID</w:t>
            </w:r>
          </w:p>
        </w:tc>
        <w:tc>
          <w:tcPr>
            <w:tcW w:w="7985" w:type="dxa"/>
          </w:tcPr>
          <w:p w:rsidR="00C2491C" w:rsidRPr="0060702E" w:rsidRDefault="00C2491C" w:rsidP="00C67712">
            <w:pPr>
              <w:jc w:val="left"/>
            </w:pPr>
            <w:r w:rsidRPr="0060702E">
              <w:t>Spanish Agency for Cooperation and Economic Development</w:t>
            </w:r>
          </w:p>
        </w:tc>
      </w:tr>
      <w:tr w:rsidR="00C2491C" w:rsidRPr="0060702E" w:rsidTr="00C67712">
        <w:tc>
          <w:tcPr>
            <w:tcW w:w="1904" w:type="dxa"/>
          </w:tcPr>
          <w:p w:rsidR="00C2491C" w:rsidRPr="0060702E" w:rsidRDefault="00C2491C" w:rsidP="00C67712">
            <w:pPr>
              <w:jc w:val="left"/>
            </w:pPr>
            <w:r w:rsidRPr="0060702E">
              <w:t>AFSTA</w:t>
            </w:r>
          </w:p>
        </w:tc>
        <w:tc>
          <w:tcPr>
            <w:tcW w:w="7985" w:type="dxa"/>
          </w:tcPr>
          <w:p w:rsidR="00C2491C" w:rsidRPr="0060702E" w:rsidRDefault="00C2491C" w:rsidP="00C67712">
            <w:pPr>
              <w:jc w:val="left"/>
            </w:pPr>
            <w:r w:rsidRPr="0060702E">
              <w:t>African Seed Trade Association</w:t>
            </w:r>
          </w:p>
        </w:tc>
      </w:tr>
      <w:tr w:rsidR="00C2491C" w:rsidRPr="0060702E" w:rsidTr="00C67712">
        <w:tc>
          <w:tcPr>
            <w:tcW w:w="1904" w:type="dxa"/>
          </w:tcPr>
          <w:p w:rsidR="00C2491C" w:rsidRPr="0060702E" w:rsidRDefault="00C2491C" w:rsidP="00C67712">
            <w:pPr>
              <w:autoSpaceDE w:val="0"/>
              <w:autoSpaceDN w:val="0"/>
              <w:adjustRightInd w:val="0"/>
              <w:jc w:val="left"/>
            </w:pPr>
            <w:r w:rsidRPr="0060702E">
              <w:t>AIPPI</w:t>
            </w:r>
          </w:p>
        </w:tc>
        <w:tc>
          <w:tcPr>
            <w:tcW w:w="7985" w:type="dxa"/>
          </w:tcPr>
          <w:p w:rsidR="00C2491C" w:rsidRPr="0060702E" w:rsidRDefault="00C2491C" w:rsidP="00C67712">
            <w:pPr>
              <w:autoSpaceDE w:val="0"/>
              <w:autoSpaceDN w:val="0"/>
              <w:adjustRightInd w:val="0"/>
              <w:jc w:val="left"/>
            </w:pPr>
            <w:r w:rsidRPr="0060702E">
              <w:t>International Association for the Protection of Intellectual Property</w:t>
            </w:r>
          </w:p>
        </w:tc>
      </w:tr>
      <w:tr w:rsidR="00C2491C" w:rsidRPr="0060702E" w:rsidTr="00C67712">
        <w:tc>
          <w:tcPr>
            <w:tcW w:w="1904" w:type="dxa"/>
          </w:tcPr>
          <w:p w:rsidR="00C2491C" w:rsidRPr="0060702E" w:rsidRDefault="00C2491C" w:rsidP="00C67712">
            <w:pPr>
              <w:autoSpaceDE w:val="0"/>
              <w:autoSpaceDN w:val="0"/>
              <w:adjustRightInd w:val="0"/>
              <w:jc w:val="left"/>
            </w:pPr>
            <w:r w:rsidRPr="0060702E">
              <w:t>AOHE</w:t>
            </w:r>
          </w:p>
        </w:tc>
        <w:tc>
          <w:tcPr>
            <w:tcW w:w="7985" w:type="dxa"/>
          </w:tcPr>
          <w:p w:rsidR="00C2491C" w:rsidRPr="0060702E" w:rsidRDefault="00C2491C" w:rsidP="00C67712">
            <w:pPr>
              <w:autoSpaceDE w:val="0"/>
              <w:autoSpaceDN w:val="0"/>
              <w:adjustRightInd w:val="0"/>
              <w:jc w:val="left"/>
            </w:pPr>
            <w:r w:rsidRPr="0060702E">
              <w:t>Association of European Horticultural Breeders</w:t>
            </w:r>
          </w:p>
        </w:tc>
      </w:tr>
      <w:tr w:rsidR="00C2491C" w:rsidRPr="0060702E" w:rsidTr="00C67712">
        <w:tc>
          <w:tcPr>
            <w:tcW w:w="1904" w:type="dxa"/>
          </w:tcPr>
          <w:p w:rsidR="00C2491C" w:rsidRPr="0060702E" w:rsidRDefault="00C2491C" w:rsidP="00C67712">
            <w:pPr>
              <w:autoSpaceDE w:val="0"/>
              <w:autoSpaceDN w:val="0"/>
              <w:adjustRightInd w:val="0"/>
              <w:jc w:val="left"/>
            </w:pPr>
            <w:r w:rsidRPr="0060702E">
              <w:t>APBREBES</w:t>
            </w:r>
          </w:p>
        </w:tc>
        <w:tc>
          <w:tcPr>
            <w:tcW w:w="7985" w:type="dxa"/>
          </w:tcPr>
          <w:p w:rsidR="00C2491C" w:rsidRPr="0060702E" w:rsidRDefault="00C2491C" w:rsidP="00C67712">
            <w:pPr>
              <w:autoSpaceDE w:val="0"/>
              <w:autoSpaceDN w:val="0"/>
              <w:adjustRightInd w:val="0"/>
              <w:jc w:val="left"/>
            </w:pPr>
            <w:r w:rsidRPr="0060702E">
              <w:t>Association for Plant Breeding for the Benefit of Society</w:t>
            </w:r>
          </w:p>
        </w:tc>
      </w:tr>
      <w:tr w:rsidR="00C2491C" w:rsidRPr="0060702E" w:rsidTr="00C67712">
        <w:tc>
          <w:tcPr>
            <w:tcW w:w="1904" w:type="dxa"/>
          </w:tcPr>
          <w:p w:rsidR="00C2491C" w:rsidRPr="0060702E" w:rsidRDefault="00C2491C" w:rsidP="00C67712">
            <w:pPr>
              <w:jc w:val="left"/>
            </w:pPr>
            <w:r w:rsidRPr="0060702E">
              <w:t>APSA</w:t>
            </w:r>
          </w:p>
        </w:tc>
        <w:tc>
          <w:tcPr>
            <w:tcW w:w="7985" w:type="dxa"/>
          </w:tcPr>
          <w:p w:rsidR="00C2491C" w:rsidRPr="0060702E" w:rsidRDefault="00C2491C" w:rsidP="00C67712">
            <w:pPr>
              <w:jc w:val="left"/>
            </w:pPr>
            <w:r w:rsidRPr="0060702E">
              <w:t>Asia and Pacific Seed Association</w:t>
            </w:r>
          </w:p>
        </w:tc>
      </w:tr>
      <w:tr w:rsidR="00C2491C" w:rsidRPr="0060702E" w:rsidTr="00C67712">
        <w:tc>
          <w:tcPr>
            <w:tcW w:w="1904" w:type="dxa"/>
          </w:tcPr>
          <w:p w:rsidR="00C2491C" w:rsidRPr="0060702E" w:rsidRDefault="00C2491C" w:rsidP="00C67712">
            <w:pPr>
              <w:jc w:val="left"/>
            </w:pPr>
            <w:r w:rsidRPr="0060702E">
              <w:t>ARIPO</w:t>
            </w:r>
          </w:p>
        </w:tc>
        <w:tc>
          <w:tcPr>
            <w:tcW w:w="7985" w:type="dxa"/>
          </w:tcPr>
          <w:p w:rsidR="00C2491C" w:rsidRPr="0060702E" w:rsidRDefault="00C2491C" w:rsidP="00C67712">
            <w:pPr>
              <w:jc w:val="left"/>
            </w:pPr>
            <w:r w:rsidRPr="0060702E">
              <w:t>African Regional Intellectual Property Organization</w:t>
            </w:r>
          </w:p>
        </w:tc>
      </w:tr>
      <w:tr w:rsidR="00C2491C" w:rsidRPr="0060702E" w:rsidTr="00C67712">
        <w:tc>
          <w:tcPr>
            <w:tcW w:w="1904" w:type="dxa"/>
          </w:tcPr>
          <w:p w:rsidR="00C2491C" w:rsidRPr="0060702E" w:rsidRDefault="00C2491C" w:rsidP="00C67712">
            <w:pPr>
              <w:jc w:val="left"/>
            </w:pPr>
            <w:r w:rsidRPr="0060702E">
              <w:t>ASEAN</w:t>
            </w:r>
          </w:p>
        </w:tc>
        <w:tc>
          <w:tcPr>
            <w:tcW w:w="7985" w:type="dxa"/>
          </w:tcPr>
          <w:p w:rsidR="00C2491C" w:rsidRPr="0060702E" w:rsidRDefault="00C2491C" w:rsidP="00C67712">
            <w:pPr>
              <w:jc w:val="left"/>
            </w:pPr>
            <w:r w:rsidRPr="0060702E">
              <w:t>Southeast Asian Nations</w:t>
            </w:r>
          </w:p>
        </w:tc>
      </w:tr>
      <w:tr w:rsidR="00C2491C" w:rsidRPr="0060702E" w:rsidTr="00C67712">
        <w:tc>
          <w:tcPr>
            <w:tcW w:w="1904" w:type="dxa"/>
          </w:tcPr>
          <w:p w:rsidR="00C2491C" w:rsidRPr="0060702E" w:rsidRDefault="00C2491C" w:rsidP="00C67712">
            <w:pPr>
              <w:jc w:val="left"/>
              <w:rPr>
                <w:rFonts w:cs="Arial"/>
              </w:rPr>
            </w:pPr>
            <w:r w:rsidRPr="0060702E">
              <w:t>ASTA</w:t>
            </w:r>
          </w:p>
        </w:tc>
        <w:tc>
          <w:tcPr>
            <w:tcW w:w="7985" w:type="dxa"/>
          </w:tcPr>
          <w:p w:rsidR="00C2491C" w:rsidRPr="0060702E" w:rsidRDefault="00C2491C" w:rsidP="00C67712">
            <w:pPr>
              <w:jc w:val="left"/>
              <w:rPr>
                <w:rFonts w:cs="Arial"/>
              </w:rPr>
            </w:pPr>
            <w:r w:rsidRPr="0060702E">
              <w:t>American Seed Trade Association</w:t>
            </w:r>
          </w:p>
        </w:tc>
      </w:tr>
      <w:tr w:rsidR="00C2491C" w:rsidRPr="0060702E" w:rsidTr="00C67712">
        <w:tc>
          <w:tcPr>
            <w:tcW w:w="1904" w:type="dxa"/>
          </w:tcPr>
          <w:p w:rsidR="00C2491C" w:rsidRPr="0060702E" w:rsidRDefault="00C2491C" w:rsidP="00C67712">
            <w:pPr>
              <w:autoSpaceDE w:val="0"/>
              <w:autoSpaceDN w:val="0"/>
              <w:adjustRightInd w:val="0"/>
              <w:jc w:val="left"/>
            </w:pPr>
            <w:r w:rsidRPr="0060702E">
              <w:t>BSPB</w:t>
            </w:r>
          </w:p>
        </w:tc>
        <w:tc>
          <w:tcPr>
            <w:tcW w:w="7985" w:type="dxa"/>
          </w:tcPr>
          <w:p w:rsidR="00C2491C" w:rsidRPr="0060702E" w:rsidRDefault="00C2491C" w:rsidP="00C67712">
            <w:pPr>
              <w:autoSpaceDE w:val="0"/>
              <w:autoSpaceDN w:val="0"/>
              <w:adjustRightInd w:val="0"/>
              <w:jc w:val="left"/>
            </w:pPr>
            <w:r w:rsidRPr="0060702E">
              <w:t>British Society of Plant Breeders</w:t>
            </w:r>
          </w:p>
        </w:tc>
      </w:tr>
      <w:tr w:rsidR="00C2491C" w:rsidRPr="0060702E" w:rsidTr="00C67712">
        <w:tc>
          <w:tcPr>
            <w:tcW w:w="1904" w:type="dxa"/>
          </w:tcPr>
          <w:p w:rsidR="00C2491C" w:rsidRPr="0060702E" w:rsidRDefault="00C2491C" w:rsidP="00C67712">
            <w:pPr>
              <w:jc w:val="left"/>
            </w:pPr>
            <w:r w:rsidRPr="0060702E">
              <w:t>CBD</w:t>
            </w:r>
          </w:p>
        </w:tc>
        <w:tc>
          <w:tcPr>
            <w:tcW w:w="7985" w:type="dxa"/>
          </w:tcPr>
          <w:p w:rsidR="00C2491C" w:rsidRPr="0060702E" w:rsidRDefault="00C2491C" w:rsidP="00C67712">
            <w:pPr>
              <w:jc w:val="left"/>
            </w:pPr>
            <w:r w:rsidRPr="0060702E">
              <w:t>Convention on Biological Diversity</w:t>
            </w:r>
          </w:p>
        </w:tc>
      </w:tr>
      <w:tr w:rsidR="00C2491C" w:rsidRPr="0060702E" w:rsidTr="00C67712">
        <w:tc>
          <w:tcPr>
            <w:tcW w:w="1904" w:type="dxa"/>
          </w:tcPr>
          <w:p w:rsidR="00C2491C" w:rsidRPr="0060702E" w:rsidRDefault="00C2491C" w:rsidP="00C67712">
            <w:pPr>
              <w:jc w:val="left"/>
            </w:pPr>
            <w:r w:rsidRPr="0060702E">
              <w:t>CDIP</w:t>
            </w:r>
          </w:p>
        </w:tc>
        <w:tc>
          <w:tcPr>
            <w:tcW w:w="7985" w:type="dxa"/>
          </w:tcPr>
          <w:p w:rsidR="00C2491C" w:rsidRPr="0060702E" w:rsidRDefault="00C2491C" w:rsidP="00C67712">
            <w:pPr>
              <w:jc w:val="left"/>
            </w:pPr>
            <w:r w:rsidRPr="0060702E">
              <w:t>WIPO Committee on Development and Intellectual Property</w:t>
            </w:r>
          </w:p>
        </w:tc>
      </w:tr>
      <w:tr w:rsidR="00C2491C" w:rsidRPr="0060702E" w:rsidTr="00C67712">
        <w:tc>
          <w:tcPr>
            <w:tcW w:w="1904" w:type="dxa"/>
          </w:tcPr>
          <w:p w:rsidR="00C2491C" w:rsidRPr="0060702E" w:rsidRDefault="00C2491C" w:rsidP="00C67712">
            <w:pPr>
              <w:jc w:val="left"/>
              <w:rPr>
                <w:snapToGrid w:val="0"/>
              </w:rPr>
            </w:pPr>
            <w:r w:rsidRPr="0060702E">
              <w:rPr>
                <w:snapToGrid w:val="0"/>
              </w:rPr>
              <w:t>CGRFA</w:t>
            </w:r>
          </w:p>
        </w:tc>
        <w:tc>
          <w:tcPr>
            <w:tcW w:w="7985" w:type="dxa"/>
          </w:tcPr>
          <w:p w:rsidR="00C2491C" w:rsidRPr="0060702E" w:rsidRDefault="00C2491C" w:rsidP="00C67712">
            <w:pPr>
              <w:jc w:val="left"/>
              <w:rPr>
                <w:snapToGrid w:val="0"/>
              </w:rPr>
            </w:pPr>
            <w:r w:rsidRPr="0060702E">
              <w:rPr>
                <w:snapToGrid w:val="0"/>
              </w:rPr>
              <w:t>Commission on Genetic Resources for Food and Agriculture</w:t>
            </w:r>
          </w:p>
        </w:tc>
      </w:tr>
      <w:tr w:rsidR="00C2491C" w:rsidRPr="0060702E" w:rsidTr="00C67712">
        <w:tc>
          <w:tcPr>
            <w:tcW w:w="1904" w:type="dxa"/>
          </w:tcPr>
          <w:p w:rsidR="00C2491C" w:rsidRPr="0060702E" w:rsidRDefault="00C2491C" w:rsidP="00C67712">
            <w:pPr>
              <w:jc w:val="left"/>
              <w:rPr>
                <w:rFonts w:cs="Arial"/>
              </w:rPr>
            </w:pPr>
            <w:r w:rsidRPr="0060702E">
              <w:rPr>
                <w:rFonts w:cs="Arial"/>
              </w:rPr>
              <w:t>CIOPORA</w:t>
            </w:r>
          </w:p>
        </w:tc>
        <w:tc>
          <w:tcPr>
            <w:tcW w:w="7985" w:type="dxa"/>
          </w:tcPr>
          <w:p w:rsidR="00C2491C" w:rsidRPr="0060702E" w:rsidRDefault="00C2491C" w:rsidP="00C67712">
            <w:pPr>
              <w:jc w:val="left"/>
              <w:rPr>
                <w:rFonts w:cs="Arial"/>
              </w:rPr>
            </w:pPr>
            <w:r w:rsidRPr="0060702E">
              <w:rPr>
                <w:rFonts w:cs="Arial"/>
              </w:rPr>
              <w:t>International Community of Breeders of Asexually Reproduced Ornamental and Fruit Varieties</w:t>
            </w:r>
          </w:p>
        </w:tc>
      </w:tr>
      <w:tr w:rsidR="00C2491C" w:rsidRPr="0060702E" w:rsidTr="00C67712">
        <w:tc>
          <w:tcPr>
            <w:tcW w:w="1904" w:type="dxa"/>
          </w:tcPr>
          <w:p w:rsidR="00C2491C" w:rsidRPr="0060702E" w:rsidRDefault="00C2491C" w:rsidP="00C67712">
            <w:pPr>
              <w:jc w:val="left"/>
            </w:pPr>
            <w:r w:rsidRPr="0060702E">
              <w:t>CPVO</w:t>
            </w:r>
          </w:p>
        </w:tc>
        <w:tc>
          <w:tcPr>
            <w:tcW w:w="7985" w:type="dxa"/>
          </w:tcPr>
          <w:p w:rsidR="00C2491C" w:rsidRPr="0060702E" w:rsidRDefault="00C2491C" w:rsidP="00C67712">
            <w:pPr>
              <w:jc w:val="left"/>
            </w:pPr>
            <w:r w:rsidRPr="0060702E">
              <w:t>Community Plant Variety Office of the European Union</w:t>
            </w:r>
          </w:p>
        </w:tc>
      </w:tr>
      <w:tr w:rsidR="00C2491C" w:rsidRPr="0060702E" w:rsidTr="00C67712">
        <w:tc>
          <w:tcPr>
            <w:tcW w:w="1904" w:type="dxa"/>
          </w:tcPr>
          <w:p w:rsidR="00C2491C" w:rsidRPr="0060702E" w:rsidRDefault="00C2491C" w:rsidP="00C67712">
            <w:pPr>
              <w:jc w:val="left"/>
              <w:rPr>
                <w:snapToGrid w:val="0"/>
              </w:rPr>
            </w:pPr>
            <w:r w:rsidRPr="0060702E">
              <w:rPr>
                <w:snapToGrid w:val="0"/>
              </w:rPr>
              <w:t>EAPVP Forum</w:t>
            </w:r>
          </w:p>
        </w:tc>
        <w:tc>
          <w:tcPr>
            <w:tcW w:w="7985" w:type="dxa"/>
          </w:tcPr>
          <w:p w:rsidR="00C2491C" w:rsidRPr="0060702E" w:rsidRDefault="00C2491C" w:rsidP="00C67712">
            <w:pPr>
              <w:jc w:val="left"/>
              <w:rPr>
                <w:snapToGrid w:val="0"/>
              </w:rPr>
            </w:pPr>
            <w:r w:rsidRPr="0060702E">
              <w:rPr>
                <w:snapToGrid w:val="0"/>
              </w:rPr>
              <w:t>East Asia Plant Variety Protection Forum</w:t>
            </w:r>
          </w:p>
        </w:tc>
      </w:tr>
      <w:tr w:rsidR="00C2491C" w:rsidRPr="0060702E" w:rsidTr="00C67712">
        <w:tc>
          <w:tcPr>
            <w:tcW w:w="1904" w:type="dxa"/>
          </w:tcPr>
          <w:p w:rsidR="00C2491C" w:rsidRPr="0060702E" w:rsidRDefault="00C2491C" w:rsidP="00C67712">
            <w:pPr>
              <w:autoSpaceDE w:val="0"/>
              <w:autoSpaceDN w:val="0"/>
              <w:adjustRightInd w:val="0"/>
              <w:jc w:val="left"/>
            </w:pPr>
            <w:r w:rsidRPr="0060702E">
              <w:t>ECO</w:t>
            </w:r>
          </w:p>
        </w:tc>
        <w:tc>
          <w:tcPr>
            <w:tcW w:w="7985" w:type="dxa"/>
          </w:tcPr>
          <w:p w:rsidR="00C2491C" w:rsidRPr="0060702E" w:rsidRDefault="00C2491C" w:rsidP="00C67712">
            <w:pPr>
              <w:autoSpaceDE w:val="0"/>
              <w:autoSpaceDN w:val="0"/>
              <w:adjustRightInd w:val="0"/>
              <w:jc w:val="left"/>
            </w:pPr>
            <w:r w:rsidRPr="0060702E">
              <w:t>Economic Cooperation Organization</w:t>
            </w:r>
          </w:p>
        </w:tc>
      </w:tr>
      <w:tr w:rsidR="00C2491C" w:rsidRPr="0060702E" w:rsidTr="00C67712">
        <w:tc>
          <w:tcPr>
            <w:tcW w:w="1904" w:type="dxa"/>
          </w:tcPr>
          <w:p w:rsidR="00C2491C" w:rsidRPr="0060702E" w:rsidRDefault="00C2491C" w:rsidP="00C67712">
            <w:pPr>
              <w:autoSpaceDE w:val="0"/>
              <w:autoSpaceDN w:val="0"/>
              <w:adjustRightInd w:val="0"/>
              <w:jc w:val="left"/>
            </w:pPr>
            <w:r w:rsidRPr="0060702E">
              <w:t>ECOSA</w:t>
            </w:r>
          </w:p>
        </w:tc>
        <w:tc>
          <w:tcPr>
            <w:tcW w:w="7985" w:type="dxa"/>
          </w:tcPr>
          <w:p w:rsidR="00C2491C" w:rsidRPr="0060702E" w:rsidRDefault="00C2491C" w:rsidP="00C67712">
            <w:pPr>
              <w:autoSpaceDE w:val="0"/>
              <w:autoSpaceDN w:val="0"/>
              <w:adjustRightInd w:val="0"/>
              <w:jc w:val="left"/>
            </w:pPr>
            <w:r w:rsidRPr="0060702E">
              <w:t>ECO Seed Association</w:t>
            </w:r>
          </w:p>
        </w:tc>
      </w:tr>
      <w:tr w:rsidR="00C2491C" w:rsidRPr="0060702E" w:rsidTr="00C67712">
        <w:tc>
          <w:tcPr>
            <w:tcW w:w="1904" w:type="dxa"/>
          </w:tcPr>
          <w:p w:rsidR="00C2491C" w:rsidRPr="0060702E" w:rsidRDefault="00C2491C" w:rsidP="00C67712">
            <w:pPr>
              <w:jc w:val="left"/>
            </w:pPr>
            <w:r w:rsidRPr="0060702E">
              <w:t>ECOSOC</w:t>
            </w:r>
          </w:p>
        </w:tc>
        <w:tc>
          <w:tcPr>
            <w:tcW w:w="7985" w:type="dxa"/>
          </w:tcPr>
          <w:p w:rsidR="00C2491C" w:rsidRPr="0060702E" w:rsidRDefault="00C2491C" w:rsidP="00C67712">
            <w:pPr>
              <w:jc w:val="left"/>
              <w:rPr>
                <w:rFonts w:cs="Arial"/>
              </w:rPr>
            </w:pPr>
            <w:r w:rsidRPr="0060702E">
              <w:rPr>
                <w:rFonts w:cs="Arial"/>
              </w:rPr>
              <w:t>United Nations Economic and Social Council</w:t>
            </w:r>
          </w:p>
        </w:tc>
      </w:tr>
      <w:tr w:rsidR="00C2491C" w:rsidRPr="0060702E" w:rsidTr="00C67712">
        <w:tc>
          <w:tcPr>
            <w:tcW w:w="1904" w:type="dxa"/>
          </w:tcPr>
          <w:p w:rsidR="00C2491C" w:rsidRPr="0060702E" w:rsidRDefault="00C2491C" w:rsidP="00C67712">
            <w:pPr>
              <w:autoSpaceDE w:val="0"/>
              <w:autoSpaceDN w:val="0"/>
              <w:adjustRightInd w:val="0"/>
              <w:jc w:val="left"/>
              <w:rPr>
                <w:snapToGrid w:val="0"/>
              </w:rPr>
            </w:pPr>
            <w:r w:rsidRPr="0060702E">
              <w:rPr>
                <w:snapToGrid w:val="0"/>
              </w:rPr>
              <w:t>EMBRAPA</w:t>
            </w:r>
          </w:p>
        </w:tc>
        <w:tc>
          <w:tcPr>
            <w:tcW w:w="7985" w:type="dxa"/>
          </w:tcPr>
          <w:p w:rsidR="00C2491C" w:rsidRPr="0060702E" w:rsidRDefault="00C2491C" w:rsidP="00C67712">
            <w:pPr>
              <w:autoSpaceDE w:val="0"/>
              <w:autoSpaceDN w:val="0"/>
              <w:adjustRightInd w:val="0"/>
              <w:jc w:val="left"/>
              <w:rPr>
                <w:snapToGrid w:val="0"/>
              </w:rPr>
            </w:pPr>
            <w:r w:rsidRPr="0060702E">
              <w:rPr>
                <w:snapToGrid w:val="0"/>
              </w:rPr>
              <w:t>Brazilian Research Corporation</w:t>
            </w:r>
          </w:p>
        </w:tc>
      </w:tr>
      <w:tr w:rsidR="00C2491C" w:rsidRPr="0060702E" w:rsidTr="00C67712">
        <w:tc>
          <w:tcPr>
            <w:tcW w:w="1904" w:type="dxa"/>
          </w:tcPr>
          <w:p w:rsidR="00C2491C" w:rsidRPr="0060702E" w:rsidRDefault="00C2491C" w:rsidP="00C67712">
            <w:pPr>
              <w:jc w:val="left"/>
              <w:rPr>
                <w:rFonts w:cs="Arial"/>
                <w:snapToGrid w:val="0"/>
              </w:rPr>
            </w:pPr>
            <w:r w:rsidRPr="0060702E">
              <w:rPr>
                <w:rFonts w:cs="Arial"/>
                <w:snapToGrid w:val="0"/>
              </w:rPr>
              <w:t>ESA</w:t>
            </w:r>
          </w:p>
        </w:tc>
        <w:tc>
          <w:tcPr>
            <w:tcW w:w="7985" w:type="dxa"/>
          </w:tcPr>
          <w:p w:rsidR="00C2491C" w:rsidRPr="0060702E" w:rsidRDefault="00C2491C" w:rsidP="00C67712">
            <w:pPr>
              <w:jc w:val="left"/>
              <w:rPr>
                <w:rFonts w:cs="Arial"/>
                <w:snapToGrid w:val="0"/>
              </w:rPr>
            </w:pPr>
            <w:r w:rsidRPr="0060702E">
              <w:rPr>
                <w:rFonts w:cs="Arial"/>
                <w:snapToGrid w:val="0"/>
              </w:rPr>
              <w:t>European Seed Association</w:t>
            </w:r>
          </w:p>
        </w:tc>
      </w:tr>
      <w:tr w:rsidR="00C2491C" w:rsidRPr="0060702E" w:rsidTr="00C67712">
        <w:tc>
          <w:tcPr>
            <w:tcW w:w="1904" w:type="dxa"/>
          </w:tcPr>
          <w:p w:rsidR="00C2491C" w:rsidRPr="0060702E" w:rsidRDefault="00C2491C" w:rsidP="00C67712">
            <w:pPr>
              <w:jc w:val="left"/>
            </w:pPr>
            <w:r w:rsidRPr="0060702E">
              <w:t>FAO</w:t>
            </w:r>
          </w:p>
        </w:tc>
        <w:tc>
          <w:tcPr>
            <w:tcW w:w="7985" w:type="dxa"/>
          </w:tcPr>
          <w:p w:rsidR="00C2491C" w:rsidRPr="0060702E" w:rsidRDefault="00C2491C" w:rsidP="00C67712">
            <w:pPr>
              <w:jc w:val="left"/>
            </w:pPr>
            <w:r w:rsidRPr="0060702E">
              <w:t>Food and Agriculture Organization of the United Nations</w:t>
            </w:r>
          </w:p>
        </w:tc>
      </w:tr>
      <w:tr w:rsidR="00C2491C" w:rsidRPr="0060702E" w:rsidTr="00C67712">
        <w:tc>
          <w:tcPr>
            <w:tcW w:w="1904" w:type="dxa"/>
          </w:tcPr>
          <w:p w:rsidR="00C2491C" w:rsidRPr="0060702E" w:rsidRDefault="00C2491C" w:rsidP="00C67712">
            <w:pPr>
              <w:autoSpaceDE w:val="0"/>
              <w:autoSpaceDN w:val="0"/>
              <w:adjustRightInd w:val="0"/>
              <w:jc w:val="left"/>
            </w:pPr>
            <w:r w:rsidRPr="0060702E">
              <w:t>FELAS</w:t>
            </w:r>
          </w:p>
        </w:tc>
        <w:tc>
          <w:tcPr>
            <w:tcW w:w="7985" w:type="dxa"/>
          </w:tcPr>
          <w:p w:rsidR="00C2491C" w:rsidRPr="0060702E" w:rsidRDefault="00C2491C" w:rsidP="00C67712">
            <w:pPr>
              <w:autoSpaceDE w:val="0"/>
              <w:autoSpaceDN w:val="0"/>
              <w:adjustRightInd w:val="0"/>
              <w:jc w:val="left"/>
            </w:pPr>
            <w:r w:rsidRPr="0060702E">
              <w:t>Latin American Federation of Seed Associations</w:t>
            </w:r>
          </w:p>
        </w:tc>
      </w:tr>
      <w:tr w:rsidR="00C2491C" w:rsidRPr="0060702E" w:rsidTr="00C67712">
        <w:tc>
          <w:tcPr>
            <w:tcW w:w="1904" w:type="dxa"/>
          </w:tcPr>
          <w:p w:rsidR="00C2491C" w:rsidRPr="0060702E" w:rsidRDefault="00C2491C" w:rsidP="00C67712">
            <w:pPr>
              <w:jc w:val="left"/>
            </w:pPr>
            <w:r w:rsidRPr="0060702E">
              <w:t>FWCC</w:t>
            </w:r>
          </w:p>
        </w:tc>
        <w:tc>
          <w:tcPr>
            <w:tcW w:w="7985" w:type="dxa"/>
          </w:tcPr>
          <w:p w:rsidR="00C2491C" w:rsidRPr="0060702E" w:rsidRDefault="00C2491C" w:rsidP="00C67712">
            <w:pPr>
              <w:jc w:val="left"/>
            </w:pPr>
            <w:r w:rsidRPr="0060702E">
              <w:t>Friends World Committee for Consultation</w:t>
            </w:r>
          </w:p>
        </w:tc>
      </w:tr>
      <w:tr w:rsidR="00C2491C" w:rsidRPr="0060702E" w:rsidTr="00C67712">
        <w:tc>
          <w:tcPr>
            <w:tcW w:w="1904" w:type="dxa"/>
          </w:tcPr>
          <w:p w:rsidR="00C2491C" w:rsidRPr="0060702E" w:rsidRDefault="00C2491C" w:rsidP="00C67712">
            <w:pPr>
              <w:autoSpaceDE w:val="0"/>
              <w:autoSpaceDN w:val="0"/>
              <w:adjustRightInd w:val="0"/>
              <w:jc w:val="left"/>
            </w:pPr>
            <w:r w:rsidRPr="0060702E">
              <w:t>GEVES</w:t>
            </w:r>
          </w:p>
        </w:tc>
        <w:tc>
          <w:tcPr>
            <w:tcW w:w="7985" w:type="dxa"/>
          </w:tcPr>
          <w:p w:rsidR="00C2491C" w:rsidRPr="0060702E" w:rsidRDefault="00C2491C" w:rsidP="00C67712">
            <w:pPr>
              <w:autoSpaceDE w:val="0"/>
              <w:autoSpaceDN w:val="0"/>
              <w:adjustRightInd w:val="0"/>
              <w:jc w:val="left"/>
            </w:pPr>
            <w:proofErr w:type="spellStart"/>
            <w:r w:rsidRPr="0060702E">
              <w:rPr>
                <w:i/>
              </w:rPr>
              <w:t>Groupe</w:t>
            </w:r>
            <w:proofErr w:type="spellEnd"/>
            <w:r w:rsidRPr="0060702E">
              <w:rPr>
                <w:i/>
              </w:rPr>
              <w:t xml:space="preserve"> </w:t>
            </w:r>
            <w:proofErr w:type="spellStart"/>
            <w:r w:rsidRPr="0060702E">
              <w:rPr>
                <w:i/>
              </w:rPr>
              <w:t>d'étude</w:t>
            </w:r>
            <w:proofErr w:type="spellEnd"/>
            <w:r w:rsidRPr="0060702E">
              <w:rPr>
                <w:i/>
              </w:rPr>
              <w:t xml:space="preserve"> et de </w:t>
            </w:r>
            <w:proofErr w:type="spellStart"/>
            <w:r w:rsidRPr="0060702E">
              <w:rPr>
                <w:i/>
              </w:rPr>
              <w:t>contrôle</w:t>
            </w:r>
            <w:proofErr w:type="spellEnd"/>
            <w:r w:rsidRPr="0060702E">
              <w:rPr>
                <w:i/>
              </w:rPr>
              <w:t xml:space="preserve"> des </w:t>
            </w:r>
            <w:proofErr w:type="spellStart"/>
            <w:r w:rsidRPr="0060702E">
              <w:rPr>
                <w:i/>
              </w:rPr>
              <w:t>variétés</w:t>
            </w:r>
            <w:proofErr w:type="spellEnd"/>
            <w:r w:rsidRPr="0060702E">
              <w:rPr>
                <w:i/>
              </w:rPr>
              <w:t xml:space="preserve"> et des </w:t>
            </w:r>
            <w:proofErr w:type="spellStart"/>
            <w:r w:rsidRPr="0060702E">
              <w:rPr>
                <w:i/>
              </w:rPr>
              <w:t>semences</w:t>
            </w:r>
            <w:proofErr w:type="spellEnd"/>
            <w:r w:rsidRPr="0060702E">
              <w:t xml:space="preserve"> of France</w:t>
            </w:r>
          </w:p>
        </w:tc>
      </w:tr>
      <w:tr w:rsidR="00C2491C" w:rsidRPr="0060702E" w:rsidTr="00C67712">
        <w:tc>
          <w:tcPr>
            <w:tcW w:w="1904" w:type="dxa"/>
          </w:tcPr>
          <w:p w:rsidR="00C2491C" w:rsidRPr="0060702E" w:rsidRDefault="00C2491C" w:rsidP="00C67712">
            <w:pPr>
              <w:jc w:val="left"/>
            </w:pPr>
            <w:r w:rsidRPr="0060702E">
              <w:t>GRIP Course</w:t>
            </w:r>
          </w:p>
        </w:tc>
        <w:tc>
          <w:tcPr>
            <w:tcW w:w="7985" w:type="dxa"/>
          </w:tcPr>
          <w:p w:rsidR="00C2491C" w:rsidRPr="0060702E" w:rsidRDefault="00C2491C" w:rsidP="00C67712">
            <w:pPr>
              <w:jc w:val="left"/>
            </w:pPr>
            <w:r w:rsidRPr="0060702E">
              <w:t>Genetic Resources and Intellectual Property Rights Course</w:t>
            </w:r>
          </w:p>
        </w:tc>
      </w:tr>
      <w:tr w:rsidR="00C2491C" w:rsidRPr="0060702E" w:rsidTr="00C67712">
        <w:tc>
          <w:tcPr>
            <w:tcW w:w="1904" w:type="dxa"/>
          </w:tcPr>
          <w:p w:rsidR="00C2491C" w:rsidRPr="0060702E" w:rsidRDefault="00C2491C" w:rsidP="00C67712">
            <w:pPr>
              <w:autoSpaceDE w:val="0"/>
              <w:autoSpaceDN w:val="0"/>
              <w:adjustRightInd w:val="0"/>
              <w:jc w:val="left"/>
            </w:pPr>
            <w:r w:rsidRPr="0060702E">
              <w:t>GRUR</w:t>
            </w:r>
          </w:p>
        </w:tc>
        <w:tc>
          <w:tcPr>
            <w:tcW w:w="7985" w:type="dxa"/>
          </w:tcPr>
          <w:p w:rsidR="00C2491C" w:rsidRPr="0060702E" w:rsidRDefault="00C2491C" w:rsidP="00C67712">
            <w:pPr>
              <w:autoSpaceDE w:val="0"/>
              <w:autoSpaceDN w:val="0"/>
              <w:adjustRightInd w:val="0"/>
              <w:jc w:val="left"/>
            </w:pPr>
            <w:r w:rsidRPr="0060702E">
              <w:rPr>
                <w:i/>
              </w:rPr>
              <w:t xml:space="preserve">Deutsche </w:t>
            </w:r>
            <w:proofErr w:type="spellStart"/>
            <w:r w:rsidRPr="0060702E">
              <w:rPr>
                <w:i/>
              </w:rPr>
              <w:t>Vereinigung</w:t>
            </w:r>
            <w:proofErr w:type="spellEnd"/>
            <w:r w:rsidRPr="0060702E">
              <w:rPr>
                <w:i/>
              </w:rPr>
              <w:t xml:space="preserve"> </w:t>
            </w:r>
            <w:proofErr w:type="spellStart"/>
            <w:r w:rsidRPr="0060702E">
              <w:rPr>
                <w:i/>
              </w:rPr>
              <w:t>für</w:t>
            </w:r>
            <w:proofErr w:type="spellEnd"/>
            <w:r w:rsidRPr="0060702E">
              <w:rPr>
                <w:i/>
              </w:rPr>
              <w:t xml:space="preserve"> </w:t>
            </w:r>
            <w:proofErr w:type="spellStart"/>
            <w:r w:rsidRPr="0060702E">
              <w:rPr>
                <w:i/>
              </w:rPr>
              <w:t>gewerblichen</w:t>
            </w:r>
            <w:proofErr w:type="spellEnd"/>
            <w:r w:rsidRPr="0060702E">
              <w:rPr>
                <w:i/>
              </w:rPr>
              <w:t xml:space="preserve"> </w:t>
            </w:r>
            <w:proofErr w:type="spellStart"/>
            <w:r w:rsidRPr="0060702E">
              <w:rPr>
                <w:i/>
              </w:rPr>
              <w:t>Rechtsschutz</w:t>
            </w:r>
            <w:proofErr w:type="spellEnd"/>
            <w:r w:rsidRPr="0060702E">
              <w:rPr>
                <w:i/>
              </w:rPr>
              <w:t xml:space="preserve"> und </w:t>
            </w:r>
            <w:proofErr w:type="spellStart"/>
            <w:r w:rsidRPr="0060702E">
              <w:rPr>
                <w:i/>
              </w:rPr>
              <w:t>Urheberrecht</w:t>
            </w:r>
            <w:proofErr w:type="spellEnd"/>
          </w:p>
        </w:tc>
      </w:tr>
      <w:tr w:rsidR="00C2491C" w:rsidRPr="0060702E" w:rsidTr="00C67712">
        <w:tc>
          <w:tcPr>
            <w:tcW w:w="1904" w:type="dxa"/>
          </w:tcPr>
          <w:p w:rsidR="00C2491C" w:rsidRPr="0060702E" w:rsidRDefault="00C2491C" w:rsidP="00C67712">
            <w:pPr>
              <w:jc w:val="left"/>
            </w:pPr>
            <w:r w:rsidRPr="0060702E">
              <w:t>IAOC</w:t>
            </w:r>
          </w:p>
        </w:tc>
        <w:tc>
          <w:tcPr>
            <w:tcW w:w="7985" w:type="dxa"/>
          </w:tcPr>
          <w:p w:rsidR="00C2491C" w:rsidRPr="0060702E" w:rsidRDefault="00C2491C" w:rsidP="00C67712">
            <w:pPr>
              <w:jc w:val="left"/>
            </w:pPr>
            <w:r w:rsidRPr="0060702E">
              <w:t>WIPO Independent Advisory Oversight Committee</w:t>
            </w:r>
          </w:p>
        </w:tc>
      </w:tr>
      <w:tr w:rsidR="00C2491C" w:rsidRPr="0060702E" w:rsidTr="00C67712">
        <w:tc>
          <w:tcPr>
            <w:tcW w:w="1904" w:type="dxa"/>
          </w:tcPr>
          <w:p w:rsidR="00C2491C" w:rsidRPr="0060702E" w:rsidRDefault="00C2491C" w:rsidP="00C67712">
            <w:pPr>
              <w:autoSpaceDE w:val="0"/>
              <w:autoSpaceDN w:val="0"/>
              <w:adjustRightInd w:val="0"/>
              <w:jc w:val="left"/>
            </w:pPr>
            <w:r w:rsidRPr="0060702E">
              <w:t>ICARDA</w:t>
            </w:r>
          </w:p>
        </w:tc>
        <w:tc>
          <w:tcPr>
            <w:tcW w:w="7985" w:type="dxa"/>
          </w:tcPr>
          <w:p w:rsidR="00C2491C" w:rsidRPr="0060702E" w:rsidRDefault="00C2491C" w:rsidP="00C67712">
            <w:pPr>
              <w:autoSpaceDE w:val="0"/>
              <w:autoSpaceDN w:val="0"/>
              <w:adjustRightInd w:val="0"/>
              <w:jc w:val="left"/>
              <w:rPr>
                <w:rFonts w:cs="Arial"/>
              </w:rPr>
            </w:pPr>
            <w:r w:rsidRPr="0060702E">
              <w:rPr>
                <w:rFonts w:cs="Arial"/>
              </w:rPr>
              <w:t>International Centre for Agricultural Research in Dry Areas</w:t>
            </w:r>
          </w:p>
        </w:tc>
      </w:tr>
      <w:tr w:rsidR="00C2491C" w:rsidRPr="0060702E" w:rsidTr="00C67712">
        <w:tc>
          <w:tcPr>
            <w:tcW w:w="1904" w:type="dxa"/>
          </w:tcPr>
          <w:p w:rsidR="00C2491C" w:rsidRPr="0060702E" w:rsidRDefault="00C2491C" w:rsidP="00C67712">
            <w:pPr>
              <w:jc w:val="left"/>
              <w:rPr>
                <w:snapToGrid w:val="0"/>
              </w:rPr>
            </w:pPr>
            <w:r w:rsidRPr="0060702E">
              <w:rPr>
                <w:snapToGrid w:val="0"/>
              </w:rPr>
              <w:t>ICNCP</w:t>
            </w:r>
          </w:p>
        </w:tc>
        <w:tc>
          <w:tcPr>
            <w:tcW w:w="7985" w:type="dxa"/>
          </w:tcPr>
          <w:p w:rsidR="00C2491C" w:rsidRPr="0060702E" w:rsidRDefault="00C2491C" w:rsidP="00C67712">
            <w:pPr>
              <w:jc w:val="left"/>
              <w:rPr>
                <w:snapToGrid w:val="0"/>
              </w:rPr>
            </w:pPr>
            <w:r w:rsidRPr="0060702E">
              <w:rPr>
                <w:snapToGrid w:val="0"/>
              </w:rPr>
              <w:t>International Code of Nomenclature for Cultivated Plants</w:t>
            </w:r>
          </w:p>
        </w:tc>
      </w:tr>
      <w:tr w:rsidR="00C2491C" w:rsidRPr="0060702E" w:rsidTr="00C67712">
        <w:tc>
          <w:tcPr>
            <w:tcW w:w="1904" w:type="dxa"/>
          </w:tcPr>
          <w:p w:rsidR="00C2491C" w:rsidRPr="0060702E" w:rsidRDefault="00C2491C" w:rsidP="00C67712">
            <w:pPr>
              <w:autoSpaceDE w:val="0"/>
              <w:autoSpaceDN w:val="0"/>
              <w:adjustRightInd w:val="0"/>
              <w:jc w:val="left"/>
            </w:pPr>
            <w:r w:rsidRPr="0060702E">
              <w:t>ICNP</w:t>
            </w:r>
          </w:p>
        </w:tc>
        <w:tc>
          <w:tcPr>
            <w:tcW w:w="7985" w:type="dxa"/>
          </w:tcPr>
          <w:p w:rsidR="00C2491C" w:rsidRPr="0060702E" w:rsidRDefault="00C2491C" w:rsidP="00C67712">
            <w:pPr>
              <w:autoSpaceDE w:val="0"/>
              <w:autoSpaceDN w:val="0"/>
              <w:adjustRightInd w:val="0"/>
              <w:jc w:val="left"/>
            </w:pPr>
            <w:r w:rsidRPr="0060702E">
              <w:t>Open-ended Ad Hoc Intergovernmental Committee for the Nagoya Protocol on Access and Benefit-sharing</w:t>
            </w:r>
          </w:p>
        </w:tc>
      </w:tr>
      <w:tr w:rsidR="00C2491C" w:rsidRPr="0060702E" w:rsidTr="00C67712">
        <w:tc>
          <w:tcPr>
            <w:tcW w:w="1904" w:type="dxa"/>
          </w:tcPr>
          <w:p w:rsidR="00C2491C" w:rsidRPr="0060702E" w:rsidRDefault="00C2491C" w:rsidP="00C67712">
            <w:pPr>
              <w:jc w:val="left"/>
            </w:pPr>
            <w:r w:rsidRPr="0060702E">
              <w:t>IDLO</w:t>
            </w:r>
          </w:p>
        </w:tc>
        <w:tc>
          <w:tcPr>
            <w:tcW w:w="7985" w:type="dxa"/>
          </w:tcPr>
          <w:p w:rsidR="00C2491C" w:rsidRPr="0060702E" w:rsidRDefault="00C2491C" w:rsidP="00C67712">
            <w:pPr>
              <w:jc w:val="left"/>
            </w:pPr>
            <w:r w:rsidRPr="0060702E">
              <w:t>International Development Law Organization</w:t>
            </w:r>
          </w:p>
        </w:tc>
      </w:tr>
      <w:tr w:rsidR="00C2491C" w:rsidRPr="0060702E" w:rsidTr="00C67712">
        <w:tc>
          <w:tcPr>
            <w:tcW w:w="1904" w:type="dxa"/>
          </w:tcPr>
          <w:p w:rsidR="00C2491C" w:rsidRPr="0060702E" w:rsidRDefault="00C2491C" w:rsidP="00C67712">
            <w:pPr>
              <w:jc w:val="left"/>
              <w:rPr>
                <w:snapToGrid w:val="0"/>
              </w:rPr>
            </w:pPr>
            <w:r w:rsidRPr="0060702E">
              <w:rPr>
                <w:snapToGrid w:val="0"/>
              </w:rPr>
              <w:t>IGC</w:t>
            </w:r>
          </w:p>
        </w:tc>
        <w:tc>
          <w:tcPr>
            <w:tcW w:w="7985" w:type="dxa"/>
          </w:tcPr>
          <w:p w:rsidR="00C2491C" w:rsidRPr="0060702E" w:rsidRDefault="00C2491C" w:rsidP="00C67712">
            <w:pPr>
              <w:jc w:val="left"/>
              <w:rPr>
                <w:snapToGrid w:val="0"/>
              </w:rPr>
            </w:pPr>
            <w:r w:rsidRPr="0060702E">
              <w:rPr>
                <w:snapToGrid w:val="0"/>
              </w:rPr>
              <w:t>WIPO Intergovernmental Committee on Intellectual Property and Genetic Resources, Traditional Knowledge and Folklore</w:t>
            </w:r>
          </w:p>
        </w:tc>
      </w:tr>
      <w:tr w:rsidR="00C2491C" w:rsidRPr="0060702E" w:rsidTr="00C67712">
        <w:tc>
          <w:tcPr>
            <w:tcW w:w="1904" w:type="dxa"/>
          </w:tcPr>
          <w:p w:rsidR="00C2491C" w:rsidRPr="0060702E" w:rsidRDefault="00C2491C" w:rsidP="00C67712">
            <w:pPr>
              <w:autoSpaceDE w:val="0"/>
              <w:autoSpaceDN w:val="0"/>
              <w:adjustRightInd w:val="0"/>
              <w:jc w:val="left"/>
              <w:rPr>
                <w:snapToGrid w:val="0"/>
              </w:rPr>
            </w:pPr>
            <w:r w:rsidRPr="0060702E">
              <w:rPr>
                <w:snapToGrid w:val="0"/>
              </w:rPr>
              <w:t>IPSAS</w:t>
            </w:r>
          </w:p>
        </w:tc>
        <w:tc>
          <w:tcPr>
            <w:tcW w:w="7985" w:type="dxa"/>
          </w:tcPr>
          <w:p w:rsidR="00C2491C" w:rsidRPr="0060702E" w:rsidRDefault="00C2491C" w:rsidP="00C67712">
            <w:pPr>
              <w:autoSpaceDE w:val="0"/>
              <w:autoSpaceDN w:val="0"/>
              <w:adjustRightInd w:val="0"/>
              <w:jc w:val="left"/>
              <w:rPr>
                <w:snapToGrid w:val="0"/>
              </w:rPr>
            </w:pPr>
            <w:r w:rsidRPr="0060702E">
              <w:rPr>
                <w:snapToGrid w:val="0"/>
              </w:rPr>
              <w:t>International Public Sector Accounting Standards</w:t>
            </w:r>
          </w:p>
        </w:tc>
      </w:tr>
      <w:tr w:rsidR="00C2491C" w:rsidRPr="0060702E" w:rsidTr="00C67712">
        <w:tc>
          <w:tcPr>
            <w:tcW w:w="1904" w:type="dxa"/>
          </w:tcPr>
          <w:p w:rsidR="00C2491C" w:rsidRPr="0060702E" w:rsidRDefault="00C2491C" w:rsidP="00C67712">
            <w:pPr>
              <w:jc w:val="left"/>
            </w:pPr>
            <w:r w:rsidRPr="0060702E">
              <w:t>IRRI</w:t>
            </w:r>
          </w:p>
        </w:tc>
        <w:tc>
          <w:tcPr>
            <w:tcW w:w="7985" w:type="dxa"/>
          </w:tcPr>
          <w:p w:rsidR="00C2491C" w:rsidRPr="0060702E" w:rsidRDefault="00C2491C" w:rsidP="00C67712">
            <w:pPr>
              <w:jc w:val="left"/>
            </w:pPr>
            <w:r w:rsidRPr="0060702E">
              <w:t>International Rice Research Institute</w:t>
            </w:r>
          </w:p>
        </w:tc>
      </w:tr>
      <w:tr w:rsidR="00C2491C" w:rsidRPr="0060702E" w:rsidTr="00C67712">
        <w:tc>
          <w:tcPr>
            <w:tcW w:w="1904" w:type="dxa"/>
          </w:tcPr>
          <w:p w:rsidR="00C2491C" w:rsidRPr="0060702E" w:rsidRDefault="00C2491C" w:rsidP="00C67712">
            <w:pPr>
              <w:jc w:val="left"/>
            </w:pPr>
            <w:r w:rsidRPr="0060702E">
              <w:t>ISF</w:t>
            </w:r>
          </w:p>
        </w:tc>
        <w:tc>
          <w:tcPr>
            <w:tcW w:w="7985" w:type="dxa"/>
          </w:tcPr>
          <w:p w:rsidR="00C2491C" w:rsidRPr="0060702E" w:rsidRDefault="00C2491C" w:rsidP="00C67712">
            <w:pPr>
              <w:jc w:val="left"/>
            </w:pPr>
            <w:r w:rsidRPr="0060702E">
              <w:t>International Seed Federation</w:t>
            </w:r>
          </w:p>
        </w:tc>
      </w:tr>
      <w:tr w:rsidR="00C2491C" w:rsidRPr="0060702E" w:rsidTr="00C67712">
        <w:tc>
          <w:tcPr>
            <w:tcW w:w="1904" w:type="dxa"/>
          </w:tcPr>
          <w:p w:rsidR="00C2491C" w:rsidRPr="0060702E" w:rsidRDefault="00C2491C" w:rsidP="00C67712">
            <w:pPr>
              <w:jc w:val="left"/>
              <w:rPr>
                <w:snapToGrid w:val="0"/>
              </w:rPr>
            </w:pPr>
            <w:r w:rsidRPr="0060702E">
              <w:rPr>
                <w:snapToGrid w:val="0"/>
              </w:rPr>
              <w:t>ISHS</w:t>
            </w:r>
          </w:p>
        </w:tc>
        <w:tc>
          <w:tcPr>
            <w:tcW w:w="7985" w:type="dxa"/>
          </w:tcPr>
          <w:p w:rsidR="00C2491C" w:rsidRPr="0060702E" w:rsidRDefault="00C2491C" w:rsidP="00C67712">
            <w:pPr>
              <w:jc w:val="left"/>
            </w:pPr>
            <w:r w:rsidRPr="0060702E">
              <w:t>International Society for Horticultural Sciences</w:t>
            </w:r>
          </w:p>
        </w:tc>
      </w:tr>
      <w:tr w:rsidR="00C2491C" w:rsidRPr="0060702E" w:rsidTr="00C67712">
        <w:tc>
          <w:tcPr>
            <w:tcW w:w="1904" w:type="dxa"/>
          </w:tcPr>
          <w:p w:rsidR="00C2491C" w:rsidRPr="0060702E" w:rsidRDefault="00C2491C" w:rsidP="00C67712">
            <w:pPr>
              <w:jc w:val="left"/>
            </w:pPr>
            <w:r w:rsidRPr="0060702E">
              <w:t>ISTA</w:t>
            </w:r>
          </w:p>
        </w:tc>
        <w:tc>
          <w:tcPr>
            <w:tcW w:w="7985" w:type="dxa"/>
          </w:tcPr>
          <w:p w:rsidR="00C2491C" w:rsidRPr="0060702E" w:rsidRDefault="00C2491C" w:rsidP="00C67712">
            <w:pPr>
              <w:jc w:val="left"/>
            </w:pPr>
            <w:r w:rsidRPr="0060702E">
              <w:t>International Seed Testing Association</w:t>
            </w:r>
          </w:p>
        </w:tc>
      </w:tr>
      <w:tr w:rsidR="00C2491C" w:rsidRPr="0060702E" w:rsidTr="00C67712">
        <w:tc>
          <w:tcPr>
            <w:tcW w:w="1904" w:type="dxa"/>
          </w:tcPr>
          <w:p w:rsidR="00C2491C" w:rsidRPr="0060702E" w:rsidRDefault="00C2491C" w:rsidP="00C67712">
            <w:pPr>
              <w:jc w:val="left"/>
              <w:rPr>
                <w:snapToGrid w:val="0"/>
              </w:rPr>
            </w:pPr>
            <w:r w:rsidRPr="0060702E">
              <w:rPr>
                <w:snapToGrid w:val="0"/>
              </w:rPr>
              <w:t>ITPGRFA</w:t>
            </w:r>
          </w:p>
        </w:tc>
        <w:tc>
          <w:tcPr>
            <w:tcW w:w="7985" w:type="dxa"/>
          </w:tcPr>
          <w:p w:rsidR="00C2491C" w:rsidRPr="0060702E" w:rsidRDefault="00C2491C" w:rsidP="00C67712">
            <w:pPr>
              <w:jc w:val="left"/>
              <w:rPr>
                <w:snapToGrid w:val="0"/>
              </w:rPr>
            </w:pPr>
            <w:r w:rsidRPr="0060702E">
              <w:rPr>
                <w:snapToGrid w:val="0"/>
              </w:rPr>
              <w:t>International Treaty on Plant Genetic Resources for Food and Agriculture</w:t>
            </w:r>
          </w:p>
        </w:tc>
      </w:tr>
      <w:tr w:rsidR="00C2491C" w:rsidRPr="0060702E" w:rsidTr="00C67712">
        <w:tc>
          <w:tcPr>
            <w:tcW w:w="1904" w:type="dxa"/>
          </w:tcPr>
          <w:p w:rsidR="00C2491C" w:rsidRPr="0060702E" w:rsidRDefault="00C2491C" w:rsidP="00C67712">
            <w:pPr>
              <w:jc w:val="left"/>
              <w:rPr>
                <w:rFonts w:cs="Arial"/>
                <w:snapToGrid w:val="0"/>
              </w:rPr>
            </w:pPr>
            <w:r w:rsidRPr="0060702E">
              <w:rPr>
                <w:rFonts w:cs="Arial"/>
                <w:snapToGrid w:val="0"/>
              </w:rPr>
              <w:t>IUBS Commission</w:t>
            </w:r>
          </w:p>
        </w:tc>
        <w:tc>
          <w:tcPr>
            <w:tcW w:w="7985" w:type="dxa"/>
          </w:tcPr>
          <w:p w:rsidR="00C2491C" w:rsidRPr="0060702E" w:rsidRDefault="00C2491C" w:rsidP="00C67712">
            <w:pPr>
              <w:jc w:val="left"/>
            </w:pPr>
            <w:r w:rsidRPr="0060702E">
              <w:rPr>
                <w:rFonts w:cs="Arial"/>
                <w:snapToGrid w:val="0"/>
              </w:rPr>
              <w:t xml:space="preserve">International Commission for the Nomenclature of Cultivated Plants </w:t>
            </w:r>
            <w:r w:rsidRPr="0060702E">
              <w:t>of the International Union for Biological Sciences</w:t>
            </w:r>
          </w:p>
        </w:tc>
      </w:tr>
      <w:tr w:rsidR="00C2491C" w:rsidRPr="0060702E" w:rsidTr="00C67712">
        <w:tc>
          <w:tcPr>
            <w:tcW w:w="1904" w:type="dxa"/>
          </w:tcPr>
          <w:p w:rsidR="00C2491C" w:rsidRPr="0060702E" w:rsidRDefault="00C2491C" w:rsidP="00C67712">
            <w:pPr>
              <w:jc w:val="left"/>
            </w:pPr>
            <w:r w:rsidRPr="0060702E">
              <w:t>JICA</w:t>
            </w:r>
          </w:p>
        </w:tc>
        <w:tc>
          <w:tcPr>
            <w:tcW w:w="7985" w:type="dxa"/>
          </w:tcPr>
          <w:p w:rsidR="00C2491C" w:rsidRPr="0060702E" w:rsidRDefault="00C2491C" w:rsidP="00C67712">
            <w:pPr>
              <w:jc w:val="left"/>
            </w:pPr>
            <w:r w:rsidRPr="0060702E">
              <w:t>Japan International Cooperation Agency</w:t>
            </w:r>
          </w:p>
        </w:tc>
      </w:tr>
      <w:tr w:rsidR="00C2491C" w:rsidRPr="0060702E" w:rsidTr="00C67712">
        <w:tc>
          <w:tcPr>
            <w:tcW w:w="1904" w:type="dxa"/>
          </w:tcPr>
          <w:p w:rsidR="00C2491C" w:rsidRPr="0060702E" w:rsidRDefault="00C2491C" w:rsidP="00C67712">
            <w:pPr>
              <w:autoSpaceDE w:val="0"/>
              <w:autoSpaceDN w:val="0"/>
              <w:adjustRightInd w:val="0"/>
              <w:jc w:val="left"/>
              <w:rPr>
                <w:rFonts w:eastAsia="MS Mincho" w:cs="Arial"/>
                <w:color w:val="000000"/>
                <w:lang w:eastAsia="ja-JP"/>
              </w:rPr>
            </w:pPr>
            <w:r w:rsidRPr="0060702E">
              <w:rPr>
                <w:rFonts w:eastAsia="MS Mincho" w:cs="Arial"/>
                <w:color w:val="000000"/>
                <w:lang w:eastAsia="ja-JP"/>
              </w:rPr>
              <w:t>KEPHIS</w:t>
            </w:r>
          </w:p>
        </w:tc>
        <w:tc>
          <w:tcPr>
            <w:tcW w:w="7985" w:type="dxa"/>
          </w:tcPr>
          <w:p w:rsidR="00C2491C" w:rsidRPr="0060702E" w:rsidRDefault="00C2491C" w:rsidP="00C67712">
            <w:pPr>
              <w:autoSpaceDE w:val="0"/>
              <w:autoSpaceDN w:val="0"/>
              <w:adjustRightInd w:val="0"/>
              <w:jc w:val="left"/>
              <w:rPr>
                <w:rFonts w:eastAsia="MS Mincho" w:cs="Arial"/>
                <w:color w:val="000000"/>
                <w:lang w:eastAsia="ja-JP"/>
              </w:rPr>
            </w:pPr>
            <w:r w:rsidRPr="0060702E">
              <w:rPr>
                <w:rFonts w:eastAsia="MS Mincho" w:cs="Arial"/>
                <w:color w:val="000000"/>
                <w:lang w:eastAsia="ja-JP"/>
              </w:rPr>
              <w:t>Kenya Plant Health Inspectorate Services</w:t>
            </w:r>
          </w:p>
        </w:tc>
      </w:tr>
      <w:tr w:rsidR="00C2491C" w:rsidRPr="0060702E" w:rsidTr="00C67712">
        <w:tc>
          <w:tcPr>
            <w:tcW w:w="1904" w:type="dxa"/>
          </w:tcPr>
          <w:p w:rsidR="00C2491C" w:rsidRPr="0060702E" w:rsidRDefault="00C2491C" w:rsidP="00C67712">
            <w:pPr>
              <w:jc w:val="left"/>
              <w:rPr>
                <w:snapToGrid w:val="0"/>
                <w:color w:val="000000"/>
                <w:lang w:eastAsia="ja-JP"/>
              </w:rPr>
            </w:pPr>
            <w:r w:rsidRPr="0060702E">
              <w:rPr>
                <w:snapToGrid w:val="0"/>
                <w:color w:val="000000"/>
                <w:lang w:eastAsia="ja-JP"/>
              </w:rPr>
              <w:t>KOICA</w:t>
            </w:r>
          </w:p>
        </w:tc>
        <w:tc>
          <w:tcPr>
            <w:tcW w:w="7985" w:type="dxa"/>
          </w:tcPr>
          <w:p w:rsidR="00C2491C" w:rsidRPr="0060702E" w:rsidRDefault="00C2491C" w:rsidP="00C67712">
            <w:pPr>
              <w:jc w:val="left"/>
              <w:rPr>
                <w:snapToGrid w:val="0"/>
                <w:color w:val="000000"/>
                <w:lang w:eastAsia="ja-JP"/>
              </w:rPr>
            </w:pPr>
            <w:r w:rsidRPr="0060702E">
              <w:rPr>
                <w:snapToGrid w:val="0"/>
                <w:color w:val="000000"/>
                <w:lang w:eastAsia="ja-JP"/>
              </w:rPr>
              <w:t>Korea International Cooperation Agency</w:t>
            </w:r>
          </w:p>
        </w:tc>
      </w:tr>
      <w:tr w:rsidR="00C2491C" w:rsidRPr="0060702E" w:rsidTr="00C67712">
        <w:tc>
          <w:tcPr>
            <w:tcW w:w="1904" w:type="dxa"/>
          </w:tcPr>
          <w:p w:rsidR="00C2491C" w:rsidRPr="0060702E" w:rsidRDefault="00C2491C" w:rsidP="00C67712">
            <w:pPr>
              <w:jc w:val="left"/>
              <w:rPr>
                <w:rFonts w:cs="Arial"/>
                <w:noProof/>
                <w:color w:val="000000"/>
                <w:lang w:eastAsia="ja-JP" w:bidi="km-KH"/>
              </w:rPr>
            </w:pPr>
            <w:r w:rsidRPr="0060702E">
              <w:rPr>
                <w:rFonts w:cs="Arial"/>
                <w:noProof/>
                <w:color w:val="000000"/>
                <w:lang w:eastAsia="ja-JP" w:bidi="km-KH"/>
              </w:rPr>
              <w:t>KSVS</w:t>
            </w:r>
          </w:p>
        </w:tc>
        <w:tc>
          <w:tcPr>
            <w:tcW w:w="7985" w:type="dxa"/>
          </w:tcPr>
          <w:p w:rsidR="00C2491C" w:rsidRPr="0060702E" w:rsidRDefault="00C2491C" w:rsidP="00C67712">
            <w:pPr>
              <w:jc w:val="left"/>
              <w:rPr>
                <w:rFonts w:cs="Arial"/>
                <w:noProof/>
                <w:color w:val="000000"/>
                <w:lang w:eastAsia="ja-JP" w:bidi="km-KH"/>
              </w:rPr>
            </w:pPr>
            <w:r w:rsidRPr="0060702E">
              <w:rPr>
                <w:rFonts w:cs="Arial"/>
                <w:noProof/>
                <w:color w:val="000000"/>
                <w:lang w:eastAsia="ja-JP" w:bidi="km-KH"/>
              </w:rPr>
              <w:t>Korea Seed and Variety Service</w:t>
            </w:r>
          </w:p>
        </w:tc>
      </w:tr>
      <w:tr w:rsidR="00C2491C" w:rsidRPr="0060702E" w:rsidTr="00C67712">
        <w:tc>
          <w:tcPr>
            <w:tcW w:w="1904" w:type="dxa"/>
          </w:tcPr>
          <w:p w:rsidR="00C2491C" w:rsidRPr="0060702E" w:rsidRDefault="00C2491C" w:rsidP="00C67712">
            <w:pPr>
              <w:jc w:val="left"/>
            </w:pPr>
            <w:r w:rsidRPr="0060702E">
              <w:t>OAPI</w:t>
            </w:r>
          </w:p>
        </w:tc>
        <w:tc>
          <w:tcPr>
            <w:tcW w:w="7985" w:type="dxa"/>
          </w:tcPr>
          <w:p w:rsidR="00C2491C" w:rsidRPr="0060702E" w:rsidRDefault="00C2491C" w:rsidP="00C67712">
            <w:pPr>
              <w:jc w:val="left"/>
            </w:pPr>
            <w:r w:rsidRPr="0060702E">
              <w:t>African Intellectual Property Organization</w:t>
            </w:r>
          </w:p>
        </w:tc>
      </w:tr>
      <w:tr w:rsidR="00C2491C" w:rsidRPr="0060702E" w:rsidTr="00C67712">
        <w:tc>
          <w:tcPr>
            <w:tcW w:w="1904" w:type="dxa"/>
          </w:tcPr>
          <w:p w:rsidR="00C2491C" w:rsidRPr="0060702E" w:rsidRDefault="00C2491C" w:rsidP="00C67712">
            <w:pPr>
              <w:jc w:val="left"/>
            </w:pPr>
            <w:r w:rsidRPr="0060702E">
              <w:t>OECD</w:t>
            </w:r>
          </w:p>
        </w:tc>
        <w:tc>
          <w:tcPr>
            <w:tcW w:w="7985" w:type="dxa"/>
          </w:tcPr>
          <w:p w:rsidR="00C2491C" w:rsidRPr="0060702E" w:rsidRDefault="00C2491C" w:rsidP="00C67712">
            <w:pPr>
              <w:jc w:val="left"/>
            </w:pPr>
            <w:proofErr w:type="spellStart"/>
            <w:r w:rsidRPr="0060702E">
              <w:t>Organisation</w:t>
            </w:r>
            <w:proofErr w:type="spellEnd"/>
            <w:r w:rsidRPr="0060702E">
              <w:t xml:space="preserve"> for Economic Co-Operation and Development</w:t>
            </w:r>
          </w:p>
        </w:tc>
      </w:tr>
      <w:tr w:rsidR="00C2491C" w:rsidRPr="0060702E" w:rsidTr="00C67712">
        <w:tc>
          <w:tcPr>
            <w:tcW w:w="1904" w:type="dxa"/>
          </w:tcPr>
          <w:p w:rsidR="00C2491C" w:rsidRPr="0060702E" w:rsidRDefault="00C2491C" w:rsidP="00C67712">
            <w:pPr>
              <w:autoSpaceDE w:val="0"/>
              <w:autoSpaceDN w:val="0"/>
              <w:adjustRightInd w:val="0"/>
              <w:jc w:val="left"/>
              <w:rPr>
                <w:szCs w:val="24"/>
              </w:rPr>
            </w:pPr>
            <w:r w:rsidRPr="0060702E">
              <w:rPr>
                <w:szCs w:val="24"/>
              </w:rPr>
              <w:t>OEVV</w:t>
            </w:r>
          </w:p>
        </w:tc>
        <w:tc>
          <w:tcPr>
            <w:tcW w:w="7985" w:type="dxa"/>
          </w:tcPr>
          <w:p w:rsidR="00C2491C" w:rsidRPr="0060702E" w:rsidRDefault="00C2491C" w:rsidP="00C67712">
            <w:pPr>
              <w:autoSpaceDE w:val="0"/>
              <w:autoSpaceDN w:val="0"/>
              <w:adjustRightInd w:val="0"/>
              <w:jc w:val="left"/>
              <w:rPr>
                <w:szCs w:val="24"/>
              </w:rPr>
            </w:pPr>
            <w:r w:rsidRPr="0060702E">
              <w:rPr>
                <w:szCs w:val="24"/>
              </w:rPr>
              <w:t>Spanish Plant Variety Office</w:t>
            </w:r>
          </w:p>
        </w:tc>
      </w:tr>
      <w:tr w:rsidR="00C2491C" w:rsidRPr="0060702E" w:rsidTr="00C67712">
        <w:tc>
          <w:tcPr>
            <w:tcW w:w="1904" w:type="dxa"/>
          </w:tcPr>
          <w:p w:rsidR="00C2491C" w:rsidRPr="0060702E" w:rsidRDefault="00C2491C" w:rsidP="00C67712">
            <w:pPr>
              <w:autoSpaceDE w:val="0"/>
              <w:autoSpaceDN w:val="0"/>
              <w:adjustRightInd w:val="0"/>
              <w:jc w:val="left"/>
            </w:pPr>
            <w:r w:rsidRPr="0060702E">
              <w:t>PCT</w:t>
            </w:r>
          </w:p>
        </w:tc>
        <w:tc>
          <w:tcPr>
            <w:tcW w:w="7985" w:type="dxa"/>
          </w:tcPr>
          <w:p w:rsidR="00C2491C" w:rsidRPr="0060702E" w:rsidRDefault="00C2491C" w:rsidP="00C67712">
            <w:pPr>
              <w:autoSpaceDE w:val="0"/>
              <w:autoSpaceDN w:val="0"/>
              <w:adjustRightInd w:val="0"/>
              <w:jc w:val="left"/>
            </w:pPr>
            <w:r w:rsidRPr="0060702E">
              <w:t>WIPO Patent Cooperation Treaty</w:t>
            </w:r>
          </w:p>
        </w:tc>
      </w:tr>
      <w:tr w:rsidR="00C2491C" w:rsidRPr="0060702E" w:rsidTr="00C67712">
        <w:tc>
          <w:tcPr>
            <w:tcW w:w="1904" w:type="dxa"/>
          </w:tcPr>
          <w:p w:rsidR="00C2491C" w:rsidRPr="0060702E" w:rsidRDefault="00C2491C" w:rsidP="00C67712">
            <w:pPr>
              <w:jc w:val="left"/>
            </w:pPr>
            <w:r w:rsidRPr="0060702E">
              <w:t>QUNO</w:t>
            </w:r>
          </w:p>
        </w:tc>
        <w:tc>
          <w:tcPr>
            <w:tcW w:w="7985" w:type="dxa"/>
          </w:tcPr>
          <w:p w:rsidR="00C2491C" w:rsidRPr="0060702E" w:rsidRDefault="00C2491C" w:rsidP="00C67712">
            <w:pPr>
              <w:jc w:val="left"/>
            </w:pPr>
            <w:r w:rsidRPr="0060702E">
              <w:t>Quaker UN Office</w:t>
            </w:r>
          </w:p>
        </w:tc>
      </w:tr>
      <w:tr w:rsidR="00C2491C" w:rsidRPr="0060702E" w:rsidTr="00C67712">
        <w:tc>
          <w:tcPr>
            <w:tcW w:w="1904" w:type="dxa"/>
          </w:tcPr>
          <w:p w:rsidR="00C2491C" w:rsidRPr="0060702E" w:rsidRDefault="00C2491C" w:rsidP="00C67712">
            <w:pPr>
              <w:jc w:val="left"/>
            </w:pPr>
            <w:r w:rsidRPr="0060702E">
              <w:t>QUT</w:t>
            </w:r>
          </w:p>
        </w:tc>
        <w:tc>
          <w:tcPr>
            <w:tcW w:w="7985" w:type="dxa"/>
          </w:tcPr>
          <w:p w:rsidR="00C2491C" w:rsidRPr="0060702E" w:rsidRDefault="00C2491C" w:rsidP="00C67712">
            <w:pPr>
              <w:jc w:val="left"/>
            </w:pPr>
            <w:r w:rsidRPr="0060702E">
              <w:t>Queensland University of Technology</w:t>
            </w:r>
          </w:p>
        </w:tc>
      </w:tr>
      <w:tr w:rsidR="00C2491C" w:rsidRPr="0060702E" w:rsidTr="00C67712">
        <w:tc>
          <w:tcPr>
            <w:tcW w:w="1904" w:type="dxa"/>
          </w:tcPr>
          <w:p w:rsidR="00C2491C" w:rsidRPr="0060702E" w:rsidRDefault="00C2491C" w:rsidP="00C67712">
            <w:pPr>
              <w:jc w:val="left"/>
            </w:pPr>
            <w:r w:rsidRPr="0060702E">
              <w:t>SAA</w:t>
            </w:r>
          </w:p>
        </w:tc>
        <w:tc>
          <w:tcPr>
            <w:tcW w:w="7985" w:type="dxa"/>
          </w:tcPr>
          <w:p w:rsidR="00C2491C" w:rsidRPr="0060702E" w:rsidRDefault="00C2491C" w:rsidP="00C67712">
            <w:pPr>
              <w:jc w:val="left"/>
            </w:pPr>
            <w:r w:rsidRPr="0060702E">
              <w:t>Seed Association of the Americas</w:t>
            </w:r>
          </w:p>
        </w:tc>
      </w:tr>
      <w:tr w:rsidR="00C2491C" w:rsidRPr="0060702E" w:rsidTr="00C67712">
        <w:tc>
          <w:tcPr>
            <w:tcW w:w="1904" w:type="dxa"/>
          </w:tcPr>
          <w:p w:rsidR="00C2491C" w:rsidRPr="0060702E" w:rsidRDefault="00C2491C" w:rsidP="00C67712">
            <w:pPr>
              <w:jc w:val="left"/>
            </w:pPr>
            <w:proofErr w:type="spellStart"/>
            <w:r w:rsidRPr="0060702E">
              <w:t>Sida</w:t>
            </w:r>
            <w:proofErr w:type="spellEnd"/>
          </w:p>
        </w:tc>
        <w:tc>
          <w:tcPr>
            <w:tcW w:w="7985" w:type="dxa"/>
          </w:tcPr>
          <w:p w:rsidR="00C2491C" w:rsidRPr="0060702E" w:rsidRDefault="00C2491C" w:rsidP="00C67712">
            <w:pPr>
              <w:jc w:val="left"/>
            </w:pPr>
            <w:r w:rsidRPr="0060702E">
              <w:t>Swedish International Development Agency</w:t>
            </w:r>
          </w:p>
        </w:tc>
      </w:tr>
      <w:tr w:rsidR="00C2491C" w:rsidRPr="0060702E" w:rsidTr="00C67712">
        <w:tc>
          <w:tcPr>
            <w:tcW w:w="1904" w:type="dxa"/>
          </w:tcPr>
          <w:p w:rsidR="00C2491C" w:rsidRPr="0060702E" w:rsidRDefault="00C2491C" w:rsidP="00C67712">
            <w:pPr>
              <w:jc w:val="left"/>
            </w:pPr>
            <w:r w:rsidRPr="0060702E">
              <w:t>TAIEX</w:t>
            </w:r>
          </w:p>
        </w:tc>
        <w:tc>
          <w:tcPr>
            <w:tcW w:w="7985" w:type="dxa"/>
          </w:tcPr>
          <w:p w:rsidR="00C2491C" w:rsidRPr="0060702E" w:rsidRDefault="00C2491C" w:rsidP="00C67712">
            <w:pPr>
              <w:jc w:val="left"/>
            </w:pPr>
            <w:r w:rsidRPr="0060702E">
              <w:t>Technical Assistance and Information Exchange Instrument of the European Union</w:t>
            </w:r>
          </w:p>
        </w:tc>
      </w:tr>
      <w:tr w:rsidR="00C2491C" w:rsidRPr="0060702E" w:rsidTr="00C67712">
        <w:tc>
          <w:tcPr>
            <w:tcW w:w="1904" w:type="dxa"/>
          </w:tcPr>
          <w:p w:rsidR="00C2491C" w:rsidRPr="0060702E" w:rsidRDefault="00C2491C" w:rsidP="00C67712">
            <w:pPr>
              <w:jc w:val="left"/>
              <w:rPr>
                <w:szCs w:val="24"/>
              </w:rPr>
            </w:pPr>
            <w:r w:rsidRPr="0060702E">
              <w:rPr>
                <w:szCs w:val="24"/>
              </w:rPr>
              <w:t>TRIPS</w:t>
            </w:r>
          </w:p>
        </w:tc>
        <w:tc>
          <w:tcPr>
            <w:tcW w:w="7985" w:type="dxa"/>
          </w:tcPr>
          <w:p w:rsidR="00C2491C" w:rsidRPr="0060702E" w:rsidRDefault="00C2491C" w:rsidP="00C67712">
            <w:pPr>
              <w:jc w:val="left"/>
              <w:rPr>
                <w:szCs w:val="24"/>
              </w:rPr>
            </w:pPr>
            <w:r w:rsidRPr="0060702E">
              <w:rPr>
                <w:szCs w:val="24"/>
              </w:rPr>
              <w:t>Trade Related Aspects of Intellectual Property Rights</w:t>
            </w:r>
          </w:p>
        </w:tc>
      </w:tr>
      <w:tr w:rsidR="00C2491C" w:rsidRPr="0060702E" w:rsidTr="00C67712">
        <w:tc>
          <w:tcPr>
            <w:tcW w:w="1904" w:type="dxa"/>
          </w:tcPr>
          <w:p w:rsidR="00C2491C" w:rsidRPr="0060702E" w:rsidRDefault="00C2491C" w:rsidP="00C67712">
            <w:pPr>
              <w:autoSpaceDE w:val="0"/>
              <w:autoSpaceDN w:val="0"/>
              <w:adjustRightInd w:val="0"/>
              <w:jc w:val="left"/>
            </w:pPr>
            <w:r w:rsidRPr="0060702E">
              <w:t>UN</w:t>
            </w:r>
          </w:p>
        </w:tc>
        <w:tc>
          <w:tcPr>
            <w:tcW w:w="7985" w:type="dxa"/>
          </w:tcPr>
          <w:p w:rsidR="00C2491C" w:rsidRPr="0060702E" w:rsidRDefault="00C2491C" w:rsidP="00C67712">
            <w:pPr>
              <w:autoSpaceDE w:val="0"/>
              <w:autoSpaceDN w:val="0"/>
              <w:adjustRightInd w:val="0"/>
              <w:jc w:val="left"/>
            </w:pPr>
            <w:r w:rsidRPr="0060702E">
              <w:t>United Nations</w:t>
            </w:r>
          </w:p>
        </w:tc>
      </w:tr>
      <w:tr w:rsidR="00C2491C" w:rsidRPr="0060702E" w:rsidTr="00C67712">
        <w:tc>
          <w:tcPr>
            <w:tcW w:w="1904" w:type="dxa"/>
          </w:tcPr>
          <w:p w:rsidR="00C2491C" w:rsidRPr="0060702E" w:rsidRDefault="00C2491C" w:rsidP="00C67712">
            <w:pPr>
              <w:autoSpaceDE w:val="0"/>
              <w:autoSpaceDN w:val="0"/>
              <w:adjustRightInd w:val="0"/>
              <w:jc w:val="left"/>
            </w:pPr>
            <w:r w:rsidRPr="0060702E">
              <w:t>UNDP</w:t>
            </w:r>
          </w:p>
        </w:tc>
        <w:tc>
          <w:tcPr>
            <w:tcW w:w="7985" w:type="dxa"/>
          </w:tcPr>
          <w:p w:rsidR="00C2491C" w:rsidRPr="0060702E" w:rsidRDefault="00C2491C" w:rsidP="00C67712">
            <w:pPr>
              <w:autoSpaceDE w:val="0"/>
              <w:autoSpaceDN w:val="0"/>
              <w:adjustRightInd w:val="0"/>
              <w:jc w:val="left"/>
            </w:pPr>
            <w:r w:rsidRPr="0060702E">
              <w:t xml:space="preserve">United Nations Development </w:t>
            </w:r>
            <w:proofErr w:type="spellStart"/>
            <w:r w:rsidRPr="0060702E">
              <w:t>Programme</w:t>
            </w:r>
            <w:proofErr w:type="spellEnd"/>
          </w:p>
        </w:tc>
      </w:tr>
      <w:tr w:rsidR="00C2491C" w:rsidRPr="0060702E" w:rsidTr="00C67712">
        <w:tc>
          <w:tcPr>
            <w:tcW w:w="1904" w:type="dxa"/>
          </w:tcPr>
          <w:p w:rsidR="00C2491C" w:rsidRPr="0060702E" w:rsidRDefault="00C2491C" w:rsidP="00C67712">
            <w:pPr>
              <w:autoSpaceDE w:val="0"/>
              <w:autoSpaceDN w:val="0"/>
              <w:adjustRightInd w:val="0"/>
              <w:jc w:val="left"/>
            </w:pPr>
            <w:r w:rsidRPr="0060702E">
              <w:t>UNIDO</w:t>
            </w:r>
          </w:p>
        </w:tc>
        <w:tc>
          <w:tcPr>
            <w:tcW w:w="7985" w:type="dxa"/>
          </w:tcPr>
          <w:p w:rsidR="00C2491C" w:rsidRPr="0060702E" w:rsidRDefault="00C2491C" w:rsidP="00C67712">
            <w:pPr>
              <w:autoSpaceDE w:val="0"/>
              <w:autoSpaceDN w:val="0"/>
              <w:adjustRightInd w:val="0"/>
              <w:jc w:val="left"/>
            </w:pPr>
            <w:r w:rsidRPr="0060702E">
              <w:t>United Nations Industrial Development Organization</w:t>
            </w:r>
          </w:p>
        </w:tc>
      </w:tr>
      <w:tr w:rsidR="00C2491C" w:rsidRPr="0060702E" w:rsidTr="00C67712">
        <w:tc>
          <w:tcPr>
            <w:tcW w:w="1904" w:type="dxa"/>
          </w:tcPr>
          <w:p w:rsidR="00C2491C" w:rsidRPr="0060702E" w:rsidRDefault="00C2491C" w:rsidP="00C67712">
            <w:pPr>
              <w:jc w:val="left"/>
            </w:pPr>
            <w:r w:rsidRPr="0060702E">
              <w:t>UNIGE</w:t>
            </w:r>
          </w:p>
        </w:tc>
        <w:tc>
          <w:tcPr>
            <w:tcW w:w="7985" w:type="dxa"/>
          </w:tcPr>
          <w:p w:rsidR="00C2491C" w:rsidRPr="0060702E" w:rsidRDefault="00C2491C" w:rsidP="00C67712">
            <w:pPr>
              <w:jc w:val="left"/>
            </w:pPr>
            <w:r w:rsidRPr="0060702E">
              <w:t>University of Geneva</w:t>
            </w:r>
          </w:p>
        </w:tc>
      </w:tr>
      <w:tr w:rsidR="00C2491C" w:rsidRPr="0060702E" w:rsidTr="00C67712">
        <w:tc>
          <w:tcPr>
            <w:tcW w:w="1904" w:type="dxa"/>
          </w:tcPr>
          <w:p w:rsidR="00C2491C" w:rsidRPr="0060702E" w:rsidRDefault="00C2491C" w:rsidP="00C67712">
            <w:pPr>
              <w:jc w:val="left"/>
            </w:pPr>
            <w:r w:rsidRPr="0060702E">
              <w:t>USPTO</w:t>
            </w:r>
          </w:p>
        </w:tc>
        <w:tc>
          <w:tcPr>
            <w:tcW w:w="7985" w:type="dxa"/>
          </w:tcPr>
          <w:p w:rsidR="00C2491C" w:rsidRPr="0060702E" w:rsidRDefault="00C2491C" w:rsidP="00C67712">
            <w:pPr>
              <w:jc w:val="left"/>
            </w:pPr>
            <w:r w:rsidRPr="0060702E">
              <w:t>United States Patent and Trademark Office</w:t>
            </w:r>
          </w:p>
        </w:tc>
      </w:tr>
      <w:tr w:rsidR="00C2491C" w:rsidRPr="0060702E" w:rsidTr="00C67712">
        <w:tc>
          <w:tcPr>
            <w:tcW w:w="1904" w:type="dxa"/>
          </w:tcPr>
          <w:p w:rsidR="00C2491C" w:rsidRPr="0060702E" w:rsidRDefault="00C2491C" w:rsidP="00C67712">
            <w:pPr>
              <w:jc w:val="left"/>
              <w:rPr>
                <w:spacing w:val="-2"/>
              </w:rPr>
            </w:pPr>
            <w:r w:rsidRPr="0060702E">
              <w:rPr>
                <w:spacing w:val="-2"/>
              </w:rPr>
              <w:t>WFO</w:t>
            </w:r>
          </w:p>
        </w:tc>
        <w:tc>
          <w:tcPr>
            <w:tcW w:w="7985" w:type="dxa"/>
          </w:tcPr>
          <w:p w:rsidR="00C2491C" w:rsidRPr="0060702E" w:rsidRDefault="00C2491C" w:rsidP="00C67712">
            <w:pPr>
              <w:jc w:val="left"/>
              <w:rPr>
                <w:spacing w:val="-2"/>
              </w:rPr>
            </w:pPr>
            <w:r w:rsidRPr="0060702E">
              <w:rPr>
                <w:spacing w:val="-2"/>
              </w:rPr>
              <w:t>World Farmers’ Organization</w:t>
            </w:r>
          </w:p>
        </w:tc>
      </w:tr>
      <w:tr w:rsidR="00C2491C" w:rsidRPr="0060702E" w:rsidTr="00C67712">
        <w:tc>
          <w:tcPr>
            <w:tcW w:w="1904" w:type="dxa"/>
          </w:tcPr>
          <w:p w:rsidR="00C2491C" w:rsidRPr="0060702E" w:rsidRDefault="00C2491C" w:rsidP="00C67712">
            <w:pPr>
              <w:jc w:val="left"/>
              <w:rPr>
                <w:snapToGrid w:val="0"/>
              </w:rPr>
            </w:pPr>
            <w:r w:rsidRPr="0060702E">
              <w:rPr>
                <w:snapToGrid w:val="0"/>
              </w:rPr>
              <w:t>WIPO</w:t>
            </w:r>
          </w:p>
        </w:tc>
        <w:tc>
          <w:tcPr>
            <w:tcW w:w="7985" w:type="dxa"/>
          </w:tcPr>
          <w:p w:rsidR="00C2491C" w:rsidRPr="0060702E" w:rsidRDefault="00C2491C" w:rsidP="00C67712">
            <w:pPr>
              <w:jc w:val="left"/>
              <w:rPr>
                <w:snapToGrid w:val="0"/>
              </w:rPr>
            </w:pPr>
            <w:r w:rsidRPr="0060702E">
              <w:rPr>
                <w:snapToGrid w:val="0"/>
              </w:rPr>
              <w:t>World Intellectual Property Organization</w:t>
            </w:r>
          </w:p>
        </w:tc>
      </w:tr>
      <w:tr w:rsidR="00C2491C" w:rsidRPr="0060702E" w:rsidTr="00C67712">
        <w:tc>
          <w:tcPr>
            <w:tcW w:w="1904" w:type="dxa"/>
          </w:tcPr>
          <w:p w:rsidR="00C2491C" w:rsidRPr="0060702E" w:rsidRDefault="00C2491C" w:rsidP="00C67712">
            <w:pPr>
              <w:jc w:val="left"/>
            </w:pPr>
            <w:r w:rsidRPr="0060702E">
              <w:t>WTO</w:t>
            </w:r>
          </w:p>
        </w:tc>
        <w:tc>
          <w:tcPr>
            <w:tcW w:w="7985" w:type="dxa"/>
          </w:tcPr>
          <w:p w:rsidR="00C2491C" w:rsidRPr="0060702E" w:rsidRDefault="00C2491C" w:rsidP="00C67712">
            <w:pPr>
              <w:jc w:val="left"/>
            </w:pPr>
            <w:r w:rsidRPr="0060702E">
              <w:t>World Trade Organization</w:t>
            </w:r>
          </w:p>
        </w:tc>
      </w:tr>
    </w:tbl>
    <w:p w:rsidR="00C2491C" w:rsidRPr="0060702E" w:rsidRDefault="00C2491C" w:rsidP="00C2491C">
      <w:pPr>
        <w:ind w:left="1418" w:hanging="1418"/>
        <w:jc w:val="right"/>
      </w:pPr>
    </w:p>
    <w:p w:rsidR="00C2491C" w:rsidRPr="0060702E" w:rsidRDefault="00C2491C" w:rsidP="00C2491C">
      <w:pPr>
        <w:ind w:left="1418" w:hanging="1418"/>
        <w:jc w:val="right"/>
      </w:pPr>
    </w:p>
    <w:p w:rsidR="00C2491C" w:rsidRPr="0060702E" w:rsidRDefault="00C2491C" w:rsidP="00C2491C">
      <w:pPr>
        <w:ind w:left="1418" w:hanging="1418"/>
        <w:jc w:val="right"/>
      </w:pPr>
    </w:p>
    <w:p w:rsidR="006B17D2" w:rsidRPr="0060702E" w:rsidRDefault="00C2491C" w:rsidP="00C2491C">
      <w:pPr>
        <w:jc w:val="right"/>
      </w:pPr>
      <w:r w:rsidRPr="0060702E">
        <w:t>[End of appendix and of document]</w:t>
      </w:r>
    </w:p>
    <w:sectPr w:rsidR="006B17D2" w:rsidRPr="0060702E" w:rsidSect="00C2491C">
      <w:headerReference w:type="default" r:id="rId87"/>
      <w:endnotePr>
        <w:numFmt w:val="lowerLetter"/>
      </w:endnotePr>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3D58" w:rsidRDefault="00653D58" w:rsidP="006655D3">
      <w:r>
        <w:separator/>
      </w:r>
    </w:p>
  </w:endnote>
  <w:endnote w:type="continuationSeparator" w:id="0">
    <w:p w:rsidR="00653D58" w:rsidRDefault="00653D58" w:rsidP="006655D3">
      <w:r>
        <w:separator/>
      </w:r>
    </w:p>
  </w:endnote>
  <w:endnote w:type="continuationNotice" w:id="1">
    <w:p w:rsidR="00653D58" w:rsidRPr="00C2491C" w:rsidRDefault="00653D58" w:rsidP="00C2491C">
      <w:pPr>
        <w:pStyle w:val="Footer"/>
      </w:pPr>
    </w:p>
  </w:endnote>
  <w:endnote w:id="2">
    <w:p w:rsidR="00653D58" w:rsidRPr="00C2491C" w:rsidRDefault="00653D58" w:rsidP="00C2491C">
      <w:pPr>
        <w:spacing w:before="60"/>
        <w:ind w:left="284"/>
        <w:rPr>
          <w:sz w:val="16"/>
          <w:szCs w:val="16"/>
        </w:rPr>
      </w:pPr>
      <w:r w:rsidRPr="00C2491C">
        <w:rPr>
          <w:rStyle w:val="EndnoteReference"/>
          <w:sz w:val="16"/>
          <w:szCs w:val="16"/>
        </w:rPr>
        <w:endnoteRef/>
      </w:r>
      <w:r>
        <w:rPr>
          <w:sz w:val="16"/>
          <w:szCs w:val="16"/>
        </w:rPr>
        <w:tab/>
      </w:r>
      <w:r w:rsidRPr="00C2491C">
        <w:rPr>
          <w:bCs/>
          <w:sz w:val="16"/>
          <w:szCs w:val="16"/>
        </w:rPr>
        <w:t xml:space="preserve">Definitions </w:t>
      </w:r>
      <w:r w:rsidRPr="00C2491C">
        <w:rPr>
          <w:sz w:val="16"/>
          <w:szCs w:val="16"/>
        </w:rPr>
        <w:t xml:space="preserve">used in Website statistics in this report: </w:t>
      </w:r>
    </w:p>
    <w:p w:rsidR="00653D58" w:rsidRPr="00C2491C" w:rsidRDefault="00653D58" w:rsidP="00C2491C">
      <w:pPr>
        <w:spacing w:before="60"/>
        <w:ind w:left="284"/>
        <w:rPr>
          <w:sz w:val="16"/>
          <w:szCs w:val="16"/>
        </w:rPr>
      </w:pPr>
      <w:r>
        <w:rPr>
          <w:bCs/>
          <w:sz w:val="16"/>
          <w:szCs w:val="16"/>
        </w:rPr>
        <w:t xml:space="preserve">-  </w:t>
      </w:r>
      <w:r w:rsidRPr="00C2491C">
        <w:rPr>
          <w:bCs/>
          <w:sz w:val="16"/>
          <w:szCs w:val="16"/>
        </w:rPr>
        <w:t xml:space="preserve">“Users” </w:t>
      </w:r>
      <w:r w:rsidRPr="00C2491C">
        <w:rPr>
          <w:sz w:val="16"/>
          <w:szCs w:val="16"/>
        </w:rPr>
        <w:t xml:space="preserve">are individuals who have had at least one session within the selected date range. </w:t>
      </w:r>
    </w:p>
    <w:p w:rsidR="00653D58" w:rsidRPr="00C2491C" w:rsidRDefault="00653D58" w:rsidP="00C2491C">
      <w:pPr>
        <w:spacing w:before="60"/>
        <w:ind w:left="284"/>
        <w:rPr>
          <w:sz w:val="16"/>
          <w:szCs w:val="16"/>
        </w:rPr>
      </w:pPr>
      <w:r>
        <w:rPr>
          <w:sz w:val="16"/>
          <w:szCs w:val="16"/>
        </w:rPr>
        <w:t xml:space="preserve">-  </w:t>
      </w:r>
      <w:r w:rsidRPr="00C2491C">
        <w:rPr>
          <w:sz w:val="16"/>
          <w:szCs w:val="16"/>
        </w:rPr>
        <w:t>A “</w:t>
      </w:r>
      <w:r w:rsidRPr="00C2491C">
        <w:rPr>
          <w:bCs/>
          <w:sz w:val="16"/>
          <w:szCs w:val="16"/>
        </w:rPr>
        <w:t>session</w:t>
      </w:r>
      <w:r w:rsidRPr="00C2491C">
        <w:rPr>
          <w:sz w:val="16"/>
          <w:szCs w:val="16"/>
        </w:rPr>
        <w:t>” is the period of time a user is actively engaged with your website. “</w:t>
      </w:r>
      <w:r w:rsidRPr="00C2491C">
        <w:rPr>
          <w:bCs/>
          <w:sz w:val="16"/>
          <w:szCs w:val="16"/>
        </w:rPr>
        <w:t xml:space="preserve">Sessions” </w:t>
      </w:r>
      <w:r w:rsidRPr="00C2491C">
        <w:rPr>
          <w:sz w:val="16"/>
          <w:szCs w:val="16"/>
        </w:rPr>
        <w:t xml:space="preserve">are the total number of sessions within the given date range. </w:t>
      </w:r>
    </w:p>
    <w:p w:rsidR="00653D58" w:rsidRPr="00C2491C" w:rsidRDefault="00653D58" w:rsidP="00C2491C">
      <w:pPr>
        <w:spacing w:before="60"/>
        <w:ind w:left="284"/>
        <w:rPr>
          <w:sz w:val="16"/>
          <w:szCs w:val="16"/>
        </w:rPr>
      </w:pPr>
      <w:r>
        <w:rPr>
          <w:sz w:val="16"/>
          <w:szCs w:val="16"/>
        </w:rPr>
        <w:t xml:space="preserve">-  </w:t>
      </w:r>
      <w:r w:rsidRPr="00C2491C">
        <w:rPr>
          <w:sz w:val="16"/>
          <w:szCs w:val="16"/>
        </w:rPr>
        <w:t>“</w:t>
      </w:r>
      <w:r w:rsidRPr="00C2491C">
        <w:rPr>
          <w:bCs/>
          <w:sz w:val="16"/>
          <w:szCs w:val="16"/>
        </w:rPr>
        <w:t xml:space="preserve">Unique </w:t>
      </w:r>
      <w:proofErr w:type="spellStart"/>
      <w:r w:rsidRPr="00C2491C">
        <w:rPr>
          <w:bCs/>
          <w:sz w:val="16"/>
          <w:szCs w:val="16"/>
        </w:rPr>
        <w:t>Pageviews</w:t>
      </w:r>
      <w:proofErr w:type="spellEnd"/>
      <w:r w:rsidRPr="00C2491C">
        <w:rPr>
          <w:sz w:val="16"/>
          <w:szCs w:val="16"/>
        </w:rPr>
        <w:t xml:space="preserve">” are the number of visits during which the specified page was viewed at least once. </w:t>
      </w:r>
    </w:p>
    <w:p w:rsidR="00653D58" w:rsidRPr="00C2491C" w:rsidRDefault="00653D58" w:rsidP="00C2491C">
      <w:pPr>
        <w:spacing w:before="60"/>
        <w:ind w:left="284"/>
        <w:rPr>
          <w:sz w:val="16"/>
          <w:szCs w:val="16"/>
        </w:rPr>
      </w:pPr>
      <w:r>
        <w:rPr>
          <w:bCs/>
          <w:sz w:val="16"/>
          <w:szCs w:val="16"/>
        </w:rPr>
        <w:t xml:space="preserve">-  </w:t>
      </w:r>
      <w:r w:rsidRPr="00C2491C">
        <w:rPr>
          <w:bCs/>
          <w:sz w:val="16"/>
          <w:szCs w:val="16"/>
        </w:rPr>
        <w:t>“</w:t>
      </w:r>
      <w:proofErr w:type="spellStart"/>
      <w:r w:rsidRPr="00C2491C">
        <w:rPr>
          <w:bCs/>
          <w:sz w:val="16"/>
          <w:szCs w:val="16"/>
        </w:rPr>
        <w:t>Pageviews</w:t>
      </w:r>
      <w:proofErr w:type="spellEnd"/>
      <w:r w:rsidRPr="00C2491C">
        <w:rPr>
          <w:bCs/>
          <w:sz w:val="16"/>
          <w:szCs w:val="16"/>
        </w:rPr>
        <w:t xml:space="preserve">” </w:t>
      </w:r>
      <w:r w:rsidRPr="00C2491C">
        <w:rPr>
          <w:sz w:val="16"/>
          <w:szCs w:val="16"/>
        </w:rPr>
        <w:t>are the total number of times that a page was viewed. Repeated views of a single page by the same user durin</w:t>
      </w:r>
      <w:r>
        <w:rPr>
          <w:sz w:val="16"/>
          <w:szCs w:val="16"/>
        </w:rPr>
        <w:t>g the same session are counted.</w:t>
      </w:r>
    </w:p>
    <w:p w:rsidR="00653D58" w:rsidRDefault="00653D58" w:rsidP="00C2491C"/>
    <w:p w:rsidR="00653D58" w:rsidRDefault="00653D58" w:rsidP="00C2491C"/>
    <w:p w:rsidR="00653D58" w:rsidRDefault="00653D58" w:rsidP="00C2491C"/>
    <w:p w:rsidR="00653D58" w:rsidRPr="00C2491C" w:rsidRDefault="00653D58" w:rsidP="00C2491C">
      <w:pPr>
        <w:jc w:val="right"/>
      </w:pPr>
      <w:r>
        <w:t>[Appendix follows]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ArialM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3D58" w:rsidRDefault="00653D58" w:rsidP="00C95616">
      <w:pPr>
        <w:spacing w:before="120"/>
      </w:pPr>
      <w:r>
        <w:separator/>
      </w:r>
    </w:p>
  </w:footnote>
  <w:footnote w:type="continuationSeparator" w:id="0">
    <w:p w:rsidR="00653D58" w:rsidRDefault="00653D58" w:rsidP="006655D3">
      <w:r>
        <w:separator/>
      </w:r>
    </w:p>
  </w:footnote>
  <w:footnote w:type="continuationNotice" w:id="1">
    <w:p w:rsidR="00653D58" w:rsidRPr="00A56FAA" w:rsidRDefault="00653D58" w:rsidP="00A56FAA">
      <w:pPr>
        <w:pStyle w:val="Footer"/>
        <w:rPr>
          <w:szCs w:val="18"/>
        </w:rPr>
      </w:pPr>
    </w:p>
  </w:footnote>
  <w:footnote w:id="2">
    <w:p w:rsidR="00653D58" w:rsidRDefault="00653D58" w:rsidP="000D5EF7">
      <w:pPr>
        <w:pStyle w:val="FootnoteText"/>
      </w:pPr>
      <w:r>
        <w:rPr>
          <w:rStyle w:val="FootnoteReference"/>
        </w:rPr>
        <w:t>*</w:t>
      </w:r>
      <w:r>
        <w:t xml:space="preserve"> </w:t>
      </w:r>
      <w:r>
        <w:tab/>
      </w:r>
      <w:r w:rsidRPr="0049143B">
        <w:t>Participation is assessed on the basis of the number of participating members and observer States/organization, rather than the number of individual participants.</w:t>
      </w:r>
    </w:p>
  </w:footnote>
  <w:footnote w:id="3">
    <w:p w:rsidR="00653D58" w:rsidRPr="009F6FBA" w:rsidRDefault="00653D58">
      <w:pPr>
        <w:pStyle w:val="FootnoteText"/>
      </w:pPr>
      <w:r>
        <w:rPr>
          <w:rStyle w:val="FootnoteReference"/>
        </w:rPr>
        <w:footnoteRef/>
      </w:r>
      <w:r>
        <w:t xml:space="preserve"> </w:t>
      </w:r>
      <w:proofErr w:type="gramStart"/>
      <w:r w:rsidRPr="009F6FBA">
        <w:t>Provision of detailed comments on laws and/or assistance in the development of law</w:t>
      </w:r>
      <w:r>
        <w:t>s</w:t>
      </w:r>
      <w:r w:rsidRPr="009F6FBA">
        <w:t>.</w:t>
      </w:r>
      <w:proofErr w:type="gramEnd"/>
    </w:p>
  </w:footnote>
  <w:footnote w:id="4">
    <w:p w:rsidR="00653D58" w:rsidRPr="00C82CDF" w:rsidRDefault="00653D58">
      <w:pPr>
        <w:pStyle w:val="FootnoteText"/>
      </w:pPr>
      <w:r>
        <w:rPr>
          <w:rStyle w:val="FootnoteReference"/>
        </w:rPr>
        <w:footnoteRef/>
      </w:r>
      <w:r>
        <w:t xml:space="preserve"> </w:t>
      </w:r>
      <w:proofErr w:type="gramStart"/>
      <w:r w:rsidRPr="00C82CDF">
        <w:t>Meetings and/or consultations for the provision of advice and information on legislative matters.</w:t>
      </w:r>
      <w:proofErr w:type="gramEnd"/>
      <w:r w:rsidRPr="00C82CDF">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D58" w:rsidRPr="00C5280D" w:rsidRDefault="00653D58" w:rsidP="00EB048E">
    <w:pPr>
      <w:pStyle w:val="Header"/>
      <w:rPr>
        <w:rStyle w:val="PageNumber"/>
        <w:lang w:val="en-US"/>
      </w:rPr>
    </w:pPr>
    <w:r>
      <w:rPr>
        <w:rStyle w:val="PageNumber"/>
        <w:lang w:val="en-US"/>
      </w:rPr>
      <w:t>C/48/12</w:t>
    </w:r>
  </w:p>
  <w:p w:rsidR="00653D58" w:rsidRPr="00C5280D" w:rsidRDefault="00653D58"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217EC3">
      <w:rPr>
        <w:rStyle w:val="PageNumber"/>
        <w:noProof/>
        <w:lang w:val="en-US"/>
      </w:rPr>
      <w:t>43</w:t>
    </w:r>
    <w:r w:rsidRPr="00C5280D">
      <w:rPr>
        <w:rStyle w:val="PageNumber"/>
        <w:lang w:val="en-US"/>
      </w:rPr>
      <w:fldChar w:fldCharType="end"/>
    </w:r>
  </w:p>
  <w:p w:rsidR="00653D58" w:rsidRPr="00C5280D" w:rsidRDefault="00653D58" w:rsidP="00571464">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D58" w:rsidRPr="00C5280D" w:rsidRDefault="00653D58" w:rsidP="00EB048E">
    <w:pPr>
      <w:pStyle w:val="Header"/>
      <w:rPr>
        <w:rStyle w:val="PageNumber"/>
        <w:lang w:val="en-US"/>
      </w:rPr>
    </w:pPr>
    <w:r>
      <w:rPr>
        <w:rStyle w:val="PageNumber"/>
        <w:lang w:val="en-US"/>
      </w:rPr>
      <w:t>C/48/12</w:t>
    </w:r>
  </w:p>
  <w:p w:rsidR="00653D58" w:rsidRPr="00C5280D" w:rsidRDefault="00653D58" w:rsidP="00EB048E">
    <w:pPr>
      <w:pStyle w:val="Header"/>
      <w:rPr>
        <w:lang w:val="en-US"/>
      </w:rPr>
    </w:pPr>
    <w:r>
      <w:rPr>
        <w:lang w:val="en-US"/>
      </w:rPr>
      <w:t xml:space="preserve">Appendix,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217EC3">
      <w:rPr>
        <w:rStyle w:val="PageNumber"/>
        <w:noProof/>
        <w:lang w:val="en-US"/>
      </w:rPr>
      <w:t>2</w:t>
    </w:r>
    <w:r w:rsidRPr="00C5280D">
      <w:rPr>
        <w:rStyle w:val="PageNumber"/>
        <w:lang w:val="en-US"/>
      </w:rPr>
      <w:fldChar w:fldCharType="end"/>
    </w:r>
  </w:p>
  <w:p w:rsidR="00653D58" w:rsidRDefault="00653D58" w:rsidP="00571464">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75pt;height:15.75pt;visibility:visible;mso-wrap-style:square" o:bordertopcolor="black" o:borderleftcolor="black" o:borderbottomcolor="black" o:borderrightcolor="black" o:bullet="t">
        <v:imagedata r:id="rId1" o:title=""/>
        <w10:bordertop type="single" width="6"/>
        <w10:borderleft type="single" width="6"/>
        <w10:borderbottom type="single" width="6"/>
        <w10:borderright type="single" width="6"/>
      </v:shape>
    </w:pict>
  </w:numPicBullet>
  <w:numPicBullet w:numPicBulletId="1">
    <w:pict>
      <v:shape id="_x0000_i1027" type="#_x0000_t75" style="width:9.75pt;height:8.25pt;visibility:visible;mso-wrap-style:square" o:bullet="t">
        <v:imagedata r:id="rId2" o:title=""/>
      </v:shape>
    </w:pict>
  </w:numPicBullet>
  <w:numPicBullet w:numPicBulletId="2">
    <w:pict>
      <v:shape id="_x0000_i1028" type="#_x0000_t75" style="width:9.75pt;height:8.25pt;visibility:visible;mso-wrap-style:square" o:bullet="t">
        <v:imagedata r:id="rId3" o:title=""/>
      </v:shape>
    </w:pict>
  </w:numPicBullet>
  <w:numPicBullet w:numPicBulletId="3">
    <w:pict>
      <v:shape id="_x0000_i1029" type="#_x0000_t75" style="width:9.75pt;height:8.25pt;visibility:visible;mso-wrap-style:square" o:bullet="t">
        <v:imagedata r:id="rId4" o:title=""/>
      </v:shape>
    </w:pict>
  </w:numPicBullet>
  <w:numPicBullet w:numPicBulletId="4">
    <w:pict>
      <v:shape id="_x0000_i1030" type="#_x0000_t75" style="width:41.25pt;height:37.5pt;visibility:visible;mso-wrap-style:square" o:bordertopcolor="black" o:borderleftcolor="black" o:borderbottomcolor="black" o:borderrightcolor="black" o:bullet="t">
        <v:imagedata r:id="rId5" o:title=""/>
        <w10:bordertop type="single" width="6"/>
        <w10:borderleft type="single" width="6"/>
        <w10:borderbottom type="single" width="6"/>
        <w10:borderright type="single" width="6"/>
      </v:shape>
    </w:pict>
  </w:numPicBullet>
  <w:abstractNum w:abstractNumId="0">
    <w:nsid w:val="FFFFFF7F"/>
    <w:multiLevelType w:val="singleLevel"/>
    <w:tmpl w:val="F3CC74DE"/>
    <w:lvl w:ilvl="0">
      <w:start w:val="1"/>
      <w:numFmt w:val="decimal"/>
      <w:lvlText w:val="%1."/>
      <w:lvlJc w:val="left"/>
      <w:pPr>
        <w:tabs>
          <w:tab w:val="num" w:pos="643"/>
        </w:tabs>
        <w:ind w:left="643" w:hanging="360"/>
      </w:pPr>
    </w:lvl>
  </w:abstractNum>
  <w:abstractNum w:abstractNumId="1">
    <w:nsid w:val="FFFFFF89"/>
    <w:multiLevelType w:val="singleLevel"/>
    <w:tmpl w:val="F69ECC98"/>
    <w:lvl w:ilvl="0">
      <w:start w:val="1"/>
      <w:numFmt w:val="bullet"/>
      <w:lvlText w:val=""/>
      <w:lvlJc w:val="left"/>
      <w:pPr>
        <w:tabs>
          <w:tab w:val="num" w:pos="360"/>
        </w:tabs>
        <w:ind w:left="360" w:hanging="360"/>
      </w:pPr>
      <w:rPr>
        <w:rFonts w:ascii="Symbol" w:hAnsi="Symbol" w:hint="default"/>
      </w:rPr>
    </w:lvl>
  </w:abstractNum>
  <w:abstractNum w:abstractNumId="2">
    <w:nsid w:val="05AD766C"/>
    <w:multiLevelType w:val="hybridMultilevel"/>
    <w:tmpl w:val="E3804D84"/>
    <w:lvl w:ilvl="0" w:tplc="4DD8D460">
      <w:start w:val="1"/>
      <w:numFmt w:val="bullet"/>
      <w:lvlText w:val=""/>
      <w:lvlPicBulletId w:val="3"/>
      <w:lvlJc w:val="left"/>
      <w:pPr>
        <w:tabs>
          <w:tab w:val="num" w:pos="720"/>
        </w:tabs>
        <w:ind w:left="720" w:hanging="360"/>
      </w:pPr>
      <w:rPr>
        <w:rFonts w:ascii="Symbol" w:hAnsi="Symbol" w:hint="default"/>
      </w:rPr>
    </w:lvl>
    <w:lvl w:ilvl="1" w:tplc="0B4CC3B6" w:tentative="1">
      <w:start w:val="1"/>
      <w:numFmt w:val="bullet"/>
      <w:lvlText w:val=""/>
      <w:lvlJc w:val="left"/>
      <w:pPr>
        <w:tabs>
          <w:tab w:val="num" w:pos="1440"/>
        </w:tabs>
        <w:ind w:left="1440" w:hanging="360"/>
      </w:pPr>
      <w:rPr>
        <w:rFonts w:ascii="Symbol" w:hAnsi="Symbol" w:hint="default"/>
      </w:rPr>
    </w:lvl>
    <w:lvl w:ilvl="2" w:tplc="A8CE516E" w:tentative="1">
      <w:start w:val="1"/>
      <w:numFmt w:val="bullet"/>
      <w:lvlText w:val=""/>
      <w:lvlJc w:val="left"/>
      <w:pPr>
        <w:tabs>
          <w:tab w:val="num" w:pos="2160"/>
        </w:tabs>
        <w:ind w:left="2160" w:hanging="360"/>
      </w:pPr>
      <w:rPr>
        <w:rFonts w:ascii="Symbol" w:hAnsi="Symbol" w:hint="default"/>
      </w:rPr>
    </w:lvl>
    <w:lvl w:ilvl="3" w:tplc="77883518" w:tentative="1">
      <w:start w:val="1"/>
      <w:numFmt w:val="bullet"/>
      <w:lvlText w:val=""/>
      <w:lvlJc w:val="left"/>
      <w:pPr>
        <w:tabs>
          <w:tab w:val="num" w:pos="2880"/>
        </w:tabs>
        <w:ind w:left="2880" w:hanging="360"/>
      </w:pPr>
      <w:rPr>
        <w:rFonts w:ascii="Symbol" w:hAnsi="Symbol" w:hint="default"/>
      </w:rPr>
    </w:lvl>
    <w:lvl w:ilvl="4" w:tplc="5A8C2D86" w:tentative="1">
      <w:start w:val="1"/>
      <w:numFmt w:val="bullet"/>
      <w:lvlText w:val=""/>
      <w:lvlJc w:val="left"/>
      <w:pPr>
        <w:tabs>
          <w:tab w:val="num" w:pos="3600"/>
        </w:tabs>
        <w:ind w:left="3600" w:hanging="360"/>
      </w:pPr>
      <w:rPr>
        <w:rFonts w:ascii="Symbol" w:hAnsi="Symbol" w:hint="default"/>
      </w:rPr>
    </w:lvl>
    <w:lvl w:ilvl="5" w:tplc="BA0CFB12" w:tentative="1">
      <w:start w:val="1"/>
      <w:numFmt w:val="bullet"/>
      <w:lvlText w:val=""/>
      <w:lvlJc w:val="left"/>
      <w:pPr>
        <w:tabs>
          <w:tab w:val="num" w:pos="4320"/>
        </w:tabs>
        <w:ind w:left="4320" w:hanging="360"/>
      </w:pPr>
      <w:rPr>
        <w:rFonts w:ascii="Symbol" w:hAnsi="Symbol" w:hint="default"/>
      </w:rPr>
    </w:lvl>
    <w:lvl w:ilvl="6" w:tplc="88406D84" w:tentative="1">
      <w:start w:val="1"/>
      <w:numFmt w:val="bullet"/>
      <w:lvlText w:val=""/>
      <w:lvlJc w:val="left"/>
      <w:pPr>
        <w:tabs>
          <w:tab w:val="num" w:pos="5040"/>
        </w:tabs>
        <w:ind w:left="5040" w:hanging="360"/>
      </w:pPr>
      <w:rPr>
        <w:rFonts w:ascii="Symbol" w:hAnsi="Symbol" w:hint="default"/>
      </w:rPr>
    </w:lvl>
    <w:lvl w:ilvl="7" w:tplc="D8804CA0" w:tentative="1">
      <w:start w:val="1"/>
      <w:numFmt w:val="bullet"/>
      <w:lvlText w:val=""/>
      <w:lvlJc w:val="left"/>
      <w:pPr>
        <w:tabs>
          <w:tab w:val="num" w:pos="5760"/>
        </w:tabs>
        <w:ind w:left="5760" w:hanging="360"/>
      </w:pPr>
      <w:rPr>
        <w:rFonts w:ascii="Symbol" w:hAnsi="Symbol" w:hint="default"/>
      </w:rPr>
    </w:lvl>
    <w:lvl w:ilvl="8" w:tplc="F6CCB4CA" w:tentative="1">
      <w:start w:val="1"/>
      <w:numFmt w:val="bullet"/>
      <w:lvlText w:val=""/>
      <w:lvlJc w:val="left"/>
      <w:pPr>
        <w:tabs>
          <w:tab w:val="num" w:pos="6480"/>
        </w:tabs>
        <w:ind w:left="6480" w:hanging="360"/>
      </w:pPr>
      <w:rPr>
        <w:rFonts w:ascii="Symbol" w:hAnsi="Symbol" w:hint="default"/>
      </w:rPr>
    </w:lvl>
  </w:abstractNum>
  <w:abstractNum w:abstractNumId="3">
    <w:nsid w:val="0BC777B1"/>
    <w:multiLevelType w:val="hybridMultilevel"/>
    <w:tmpl w:val="0682E6B4"/>
    <w:lvl w:ilvl="0" w:tplc="1488F3B0">
      <w:start w:val="1"/>
      <w:numFmt w:val="bullet"/>
      <w:lvlText w:val=""/>
      <w:lvlPicBulletId w:val="0"/>
      <w:lvlJc w:val="left"/>
      <w:pPr>
        <w:tabs>
          <w:tab w:val="num" w:pos="720"/>
        </w:tabs>
        <w:ind w:left="720" w:hanging="360"/>
      </w:pPr>
      <w:rPr>
        <w:rFonts w:ascii="Symbol" w:hAnsi="Symbol" w:hint="default"/>
      </w:rPr>
    </w:lvl>
    <w:lvl w:ilvl="1" w:tplc="4DC85768" w:tentative="1">
      <w:start w:val="1"/>
      <w:numFmt w:val="bullet"/>
      <w:lvlText w:val=""/>
      <w:lvlJc w:val="left"/>
      <w:pPr>
        <w:tabs>
          <w:tab w:val="num" w:pos="1440"/>
        </w:tabs>
        <w:ind w:left="1440" w:hanging="360"/>
      </w:pPr>
      <w:rPr>
        <w:rFonts w:ascii="Symbol" w:hAnsi="Symbol" w:hint="default"/>
      </w:rPr>
    </w:lvl>
    <w:lvl w:ilvl="2" w:tplc="A65CC774" w:tentative="1">
      <w:start w:val="1"/>
      <w:numFmt w:val="bullet"/>
      <w:lvlText w:val=""/>
      <w:lvlJc w:val="left"/>
      <w:pPr>
        <w:tabs>
          <w:tab w:val="num" w:pos="2160"/>
        </w:tabs>
        <w:ind w:left="2160" w:hanging="360"/>
      </w:pPr>
      <w:rPr>
        <w:rFonts w:ascii="Symbol" w:hAnsi="Symbol" w:hint="default"/>
      </w:rPr>
    </w:lvl>
    <w:lvl w:ilvl="3" w:tplc="327E52D8" w:tentative="1">
      <w:start w:val="1"/>
      <w:numFmt w:val="bullet"/>
      <w:lvlText w:val=""/>
      <w:lvlJc w:val="left"/>
      <w:pPr>
        <w:tabs>
          <w:tab w:val="num" w:pos="2880"/>
        </w:tabs>
        <w:ind w:left="2880" w:hanging="360"/>
      </w:pPr>
      <w:rPr>
        <w:rFonts w:ascii="Symbol" w:hAnsi="Symbol" w:hint="default"/>
      </w:rPr>
    </w:lvl>
    <w:lvl w:ilvl="4" w:tplc="7A28CA2C" w:tentative="1">
      <w:start w:val="1"/>
      <w:numFmt w:val="bullet"/>
      <w:lvlText w:val=""/>
      <w:lvlJc w:val="left"/>
      <w:pPr>
        <w:tabs>
          <w:tab w:val="num" w:pos="3600"/>
        </w:tabs>
        <w:ind w:left="3600" w:hanging="360"/>
      </w:pPr>
      <w:rPr>
        <w:rFonts w:ascii="Symbol" w:hAnsi="Symbol" w:hint="default"/>
      </w:rPr>
    </w:lvl>
    <w:lvl w:ilvl="5" w:tplc="7B307220" w:tentative="1">
      <w:start w:val="1"/>
      <w:numFmt w:val="bullet"/>
      <w:lvlText w:val=""/>
      <w:lvlJc w:val="left"/>
      <w:pPr>
        <w:tabs>
          <w:tab w:val="num" w:pos="4320"/>
        </w:tabs>
        <w:ind w:left="4320" w:hanging="360"/>
      </w:pPr>
      <w:rPr>
        <w:rFonts w:ascii="Symbol" w:hAnsi="Symbol" w:hint="default"/>
      </w:rPr>
    </w:lvl>
    <w:lvl w:ilvl="6" w:tplc="A03EE0F0" w:tentative="1">
      <w:start w:val="1"/>
      <w:numFmt w:val="bullet"/>
      <w:lvlText w:val=""/>
      <w:lvlJc w:val="left"/>
      <w:pPr>
        <w:tabs>
          <w:tab w:val="num" w:pos="5040"/>
        </w:tabs>
        <w:ind w:left="5040" w:hanging="360"/>
      </w:pPr>
      <w:rPr>
        <w:rFonts w:ascii="Symbol" w:hAnsi="Symbol" w:hint="default"/>
      </w:rPr>
    </w:lvl>
    <w:lvl w:ilvl="7" w:tplc="D25E1604" w:tentative="1">
      <w:start w:val="1"/>
      <w:numFmt w:val="bullet"/>
      <w:lvlText w:val=""/>
      <w:lvlJc w:val="left"/>
      <w:pPr>
        <w:tabs>
          <w:tab w:val="num" w:pos="5760"/>
        </w:tabs>
        <w:ind w:left="5760" w:hanging="360"/>
      </w:pPr>
      <w:rPr>
        <w:rFonts w:ascii="Symbol" w:hAnsi="Symbol" w:hint="default"/>
      </w:rPr>
    </w:lvl>
    <w:lvl w:ilvl="8" w:tplc="D63A0452" w:tentative="1">
      <w:start w:val="1"/>
      <w:numFmt w:val="bullet"/>
      <w:lvlText w:val=""/>
      <w:lvlJc w:val="left"/>
      <w:pPr>
        <w:tabs>
          <w:tab w:val="num" w:pos="6480"/>
        </w:tabs>
        <w:ind w:left="6480" w:hanging="360"/>
      </w:pPr>
      <w:rPr>
        <w:rFonts w:ascii="Symbol" w:hAnsi="Symbol" w:hint="default"/>
      </w:rPr>
    </w:lvl>
  </w:abstractNum>
  <w:abstractNum w:abstractNumId="4">
    <w:nsid w:val="0EBC7856"/>
    <w:multiLevelType w:val="hybridMultilevel"/>
    <w:tmpl w:val="EDFEBE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F124C71"/>
    <w:multiLevelType w:val="hybridMultilevel"/>
    <w:tmpl w:val="A4A85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C83AAD"/>
    <w:multiLevelType w:val="hybridMultilevel"/>
    <w:tmpl w:val="9092C1E6"/>
    <w:lvl w:ilvl="0" w:tplc="04090001">
      <w:start w:val="1"/>
      <w:numFmt w:val="bullet"/>
      <w:lvlText w:val=""/>
      <w:lvlJc w:val="left"/>
      <w:pPr>
        <w:ind w:left="720" w:hanging="360"/>
      </w:pPr>
      <w:rPr>
        <w:rFonts w:ascii="Symbol" w:hAnsi="Symbol" w:hint="default"/>
      </w:rPr>
    </w:lvl>
    <w:lvl w:ilvl="1" w:tplc="041859DE">
      <w:start w:val="1"/>
      <w:numFmt w:val="bullet"/>
      <w:lvlText w:val="-"/>
      <w:lvlJc w:val="left"/>
      <w:pPr>
        <w:ind w:left="1440" w:hanging="360"/>
      </w:pPr>
      <w:rPr>
        <w:rFonts w:ascii="Arial" w:hAnsi="Arial"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E21783"/>
    <w:multiLevelType w:val="hybridMultilevel"/>
    <w:tmpl w:val="70E2F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DB053B"/>
    <w:multiLevelType w:val="hybridMultilevel"/>
    <w:tmpl w:val="C01C9938"/>
    <w:lvl w:ilvl="0" w:tplc="73E6ACF0">
      <w:start w:val="1"/>
      <w:numFmt w:val="bullet"/>
      <w:lvlText w:val=""/>
      <w:lvlPicBulletId w:val="2"/>
      <w:lvlJc w:val="left"/>
      <w:pPr>
        <w:tabs>
          <w:tab w:val="num" w:pos="720"/>
        </w:tabs>
        <w:ind w:left="720" w:hanging="360"/>
      </w:pPr>
      <w:rPr>
        <w:rFonts w:ascii="Symbol" w:hAnsi="Symbol" w:hint="default"/>
      </w:rPr>
    </w:lvl>
    <w:lvl w:ilvl="1" w:tplc="DD20BDE8" w:tentative="1">
      <w:start w:val="1"/>
      <w:numFmt w:val="bullet"/>
      <w:lvlText w:val=""/>
      <w:lvlJc w:val="left"/>
      <w:pPr>
        <w:tabs>
          <w:tab w:val="num" w:pos="1440"/>
        </w:tabs>
        <w:ind w:left="1440" w:hanging="360"/>
      </w:pPr>
      <w:rPr>
        <w:rFonts w:ascii="Symbol" w:hAnsi="Symbol" w:hint="default"/>
      </w:rPr>
    </w:lvl>
    <w:lvl w:ilvl="2" w:tplc="06903E0E" w:tentative="1">
      <w:start w:val="1"/>
      <w:numFmt w:val="bullet"/>
      <w:lvlText w:val=""/>
      <w:lvlJc w:val="left"/>
      <w:pPr>
        <w:tabs>
          <w:tab w:val="num" w:pos="2160"/>
        </w:tabs>
        <w:ind w:left="2160" w:hanging="360"/>
      </w:pPr>
      <w:rPr>
        <w:rFonts w:ascii="Symbol" w:hAnsi="Symbol" w:hint="default"/>
      </w:rPr>
    </w:lvl>
    <w:lvl w:ilvl="3" w:tplc="FE4682F2" w:tentative="1">
      <w:start w:val="1"/>
      <w:numFmt w:val="bullet"/>
      <w:lvlText w:val=""/>
      <w:lvlJc w:val="left"/>
      <w:pPr>
        <w:tabs>
          <w:tab w:val="num" w:pos="2880"/>
        </w:tabs>
        <w:ind w:left="2880" w:hanging="360"/>
      </w:pPr>
      <w:rPr>
        <w:rFonts w:ascii="Symbol" w:hAnsi="Symbol" w:hint="default"/>
      </w:rPr>
    </w:lvl>
    <w:lvl w:ilvl="4" w:tplc="1BBEB784" w:tentative="1">
      <w:start w:val="1"/>
      <w:numFmt w:val="bullet"/>
      <w:lvlText w:val=""/>
      <w:lvlJc w:val="left"/>
      <w:pPr>
        <w:tabs>
          <w:tab w:val="num" w:pos="3600"/>
        </w:tabs>
        <w:ind w:left="3600" w:hanging="360"/>
      </w:pPr>
      <w:rPr>
        <w:rFonts w:ascii="Symbol" w:hAnsi="Symbol" w:hint="default"/>
      </w:rPr>
    </w:lvl>
    <w:lvl w:ilvl="5" w:tplc="B50AD4D8" w:tentative="1">
      <w:start w:val="1"/>
      <w:numFmt w:val="bullet"/>
      <w:lvlText w:val=""/>
      <w:lvlJc w:val="left"/>
      <w:pPr>
        <w:tabs>
          <w:tab w:val="num" w:pos="4320"/>
        </w:tabs>
        <w:ind w:left="4320" w:hanging="360"/>
      </w:pPr>
      <w:rPr>
        <w:rFonts w:ascii="Symbol" w:hAnsi="Symbol" w:hint="default"/>
      </w:rPr>
    </w:lvl>
    <w:lvl w:ilvl="6" w:tplc="0FC42C20" w:tentative="1">
      <w:start w:val="1"/>
      <w:numFmt w:val="bullet"/>
      <w:lvlText w:val=""/>
      <w:lvlJc w:val="left"/>
      <w:pPr>
        <w:tabs>
          <w:tab w:val="num" w:pos="5040"/>
        </w:tabs>
        <w:ind w:left="5040" w:hanging="360"/>
      </w:pPr>
      <w:rPr>
        <w:rFonts w:ascii="Symbol" w:hAnsi="Symbol" w:hint="default"/>
      </w:rPr>
    </w:lvl>
    <w:lvl w:ilvl="7" w:tplc="1478C54C" w:tentative="1">
      <w:start w:val="1"/>
      <w:numFmt w:val="bullet"/>
      <w:lvlText w:val=""/>
      <w:lvlJc w:val="left"/>
      <w:pPr>
        <w:tabs>
          <w:tab w:val="num" w:pos="5760"/>
        </w:tabs>
        <w:ind w:left="5760" w:hanging="360"/>
      </w:pPr>
      <w:rPr>
        <w:rFonts w:ascii="Symbol" w:hAnsi="Symbol" w:hint="default"/>
      </w:rPr>
    </w:lvl>
    <w:lvl w:ilvl="8" w:tplc="86C0E376" w:tentative="1">
      <w:start w:val="1"/>
      <w:numFmt w:val="bullet"/>
      <w:lvlText w:val=""/>
      <w:lvlJc w:val="left"/>
      <w:pPr>
        <w:tabs>
          <w:tab w:val="num" w:pos="6480"/>
        </w:tabs>
        <w:ind w:left="6480" w:hanging="360"/>
      </w:pPr>
      <w:rPr>
        <w:rFonts w:ascii="Symbol" w:hAnsi="Symbol" w:hint="default"/>
      </w:rPr>
    </w:lvl>
  </w:abstractNum>
  <w:abstractNum w:abstractNumId="9">
    <w:nsid w:val="3FA71C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2075581"/>
    <w:multiLevelType w:val="singleLevel"/>
    <w:tmpl w:val="04090001"/>
    <w:lvl w:ilvl="0">
      <w:start w:val="1"/>
      <w:numFmt w:val="bullet"/>
      <w:lvlText w:val=""/>
      <w:lvlJc w:val="left"/>
      <w:pPr>
        <w:ind w:left="720" w:hanging="360"/>
      </w:pPr>
      <w:rPr>
        <w:rFonts w:ascii="Symbol" w:hAnsi="Symbol" w:hint="default"/>
      </w:rPr>
    </w:lvl>
  </w:abstractNum>
  <w:abstractNum w:abstractNumId="11">
    <w:nsid w:val="43F841CF"/>
    <w:multiLevelType w:val="hybridMultilevel"/>
    <w:tmpl w:val="B00E8AD8"/>
    <w:lvl w:ilvl="0" w:tplc="007287EA">
      <w:start w:val="1"/>
      <w:numFmt w:val="bullet"/>
      <w:lvlText w:val=""/>
      <w:lvlPicBulletId w:val="0"/>
      <w:lvlJc w:val="left"/>
      <w:pPr>
        <w:tabs>
          <w:tab w:val="num" w:pos="720"/>
        </w:tabs>
        <w:ind w:left="720" w:hanging="360"/>
      </w:pPr>
      <w:rPr>
        <w:rFonts w:ascii="Symbol" w:hAnsi="Symbol" w:hint="default"/>
      </w:rPr>
    </w:lvl>
    <w:lvl w:ilvl="1" w:tplc="8B105746" w:tentative="1">
      <w:start w:val="1"/>
      <w:numFmt w:val="bullet"/>
      <w:lvlText w:val=""/>
      <w:lvlJc w:val="left"/>
      <w:pPr>
        <w:tabs>
          <w:tab w:val="num" w:pos="1440"/>
        </w:tabs>
        <w:ind w:left="1440" w:hanging="360"/>
      </w:pPr>
      <w:rPr>
        <w:rFonts w:ascii="Symbol" w:hAnsi="Symbol" w:hint="default"/>
      </w:rPr>
    </w:lvl>
    <w:lvl w:ilvl="2" w:tplc="9F7E0AF4" w:tentative="1">
      <w:start w:val="1"/>
      <w:numFmt w:val="bullet"/>
      <w:lvlText w:val=""/>
      <w:lvlJc w:val="left"/>
      <w:pPr>
        <w:tabs>
          <w:tab w:val="num" w:pos="2160"/>
        </w:tabs>
        <w:ind w:left="2160" w:hanging="360"/>
      </w:pPr>
      <w:rPr>
        <w:rFonts w:ascii="Symbol" w:hAnsi="Symbol" w:hint="default"/>
      </w:rPr>
    </w:lvl>
    <w:lvl w:ilvl="3" w:tplc="B8A8BADA" w:tentative="1">
      <w:start w:val="1"/>
      <w:numFmt w:val="bullet"/>
      <w:lvlText w:val=""/>
      <w:lvlJc w:val="left"/>
      <w:pPr>
        <w:tabs>
          <w:tab w:val="num" w:pos="2880"/>
        </w:tabs>
        <w:ind w:left="2880" w:hanging="360"/>
      </w:pPr>
      <w:rPr>
        <w:rFonts w:ascii="Symbol" w:hAnsi="Symbol" w:hint="default"/>
      </w:rPr>
    </w:lvl>
    <w:lvl w:ilvl="4" w:tplc="D5C45276" w:tentative="1">
      <w:start w:val="1"/>
      <w:numFmt w:val="bullet"/>
      <w:lvlText w:val=""/>
      <w:lvlJc w:val="left"/>
      <w:pPr>
        <w:tabs>
          <w:tab w:val="num" w:pos="3600"/>
        </w:tabs>
        <w:ind w:left="3600" w:hanging="360"/>
      </w:pPr>
      <w:rPr>
        <w:rFonts w:ascii="Symbol" w:hAnsi="Symbol" w:hint="default"/>
      </w:rPr>
    </w:lvl>
    <w:lvl w:ilvl="5" w:tplc="DC982C1E" w:tentative="1">
      <w:start w:val="1"/>
      <w:numFmt w:val="bullet"/>
      <w:lvlText w:val=""/>
      <w:lvlJc w:val="left"/>
      <w:pPr>
        <w:tabs>
          <w:tab w:val="num" w:pos="4320"/>
        </w:tabs>
        <w:ind w:left="4320" w:hanging="360"/>
      </w:pPr>
      <w:rPr>
        <w:rFonts w:ascii="Symbol" w:hAnsi="Symbol" w:hint="default"/>
      </w:rPr>
    </w:lvl>
    <w:lvl w:ilvl="6" w:tplc="DB002788" w:tentative="1">
      <w:start w:val="1"/>
      <w:numFmt w:val="bullet"/>
      <w:lvlText w:val=""/>
      <w:lvlJc w:val="left"/>
      <w:pPr>
        <w:tabs>
          <w:tab w:val="num" w:pos="5040"/>
        </w:tabs>
        <w:ind w:left="5040" w:hanging="360"/>
      </w:pPr>
      <w:rPr>
        <w:rFonts w:ascii="Symbol" w:hAnsi="Symbol" w:hint="default"/>
      </w:rPr>
    </w:lvl>
    <w:lvl w:ilvl="7" w:tplc="E4DA33E4" w:tentative="1">
      <w:start w:val="1"/>
      <w:numFmt w:val="bullet"/>
      <w:lvlText w:val=""/>
      <w:lvlJc w:val="left"/>
      <w:pPr>
        <w:tabs>
          <w:tab w:val="num" w:pos="5760"/>
        </w:tabs>
        <w:ind w:left="5760" w:hanging="360"/>
      </w:pPr>
      <w:rPr>
        <w:rFonts w:ascii="Symbol" w:hAnsi="Symbol" w:hint="default"/>
      </w:rPr>
    </w:lvl>
    <w:lvl w:ilvl="8" w:tplc="37AE9DBC" w:tentative="1">
      <w:start w:val="1"/>
      <w:numFmt w:val="bullet"/>
      <w:lvlText w:val=""/>
      <w:lvlJc w:val="left"/>
      <w:pPr>
        <w:tabs>
          <w:tab w:val="num" w:pos="6480"/>
        </w:tabs>
        <w:ind w:left="6480" w:hanging="360"/>
      </w:pPr>
      <w:rPr>
        <w:rFonts w:ascii="Symbol" w:hAnsi="Symbol" w:hint="default"/>
      </w:rPr>
    </w:lvl>
  </w:abstractNum>
  <w:abstractNum w:abstractNumId="12">
    <w:nsid w:val="48A8245B"/>
    <w:multiLevelType w:val="hybridMultilevel"/>
    <w:tmpl w:val="D47C4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F21DCD"/>
    <w:multiLevelType w:val="hybridMultilevel"/>
    <w:tmpl w:val="042A3442"/>
    <w:lvl w:ilvl="0" w:tplc="4784E3B6">
      <w:start w:val="1"/>
      <w:numFmt w:val="bullet"/>
      <w:lvlText w:val=""/>
      <w:lvlPicBulletId w:val="1"/>
      <w:lvlJc w:val="left"/>
      <w:pPr>
        <w:tabs>
          <w:tab w:val="num" w:pos="720"/>
        </w:tabs>
        <w:ind w:left="720" w:hanging="360"/>
      </w:pPr>
      <w:rPr>
        <w:rFonts w:ascii="Symbol" w:hAnsi="Symbol" w:hint="default"/>
      </w:rPr>
    </w:lvl>
    <w:lvl w:ilvl="1" w:tplc="E2629016" w:tentative="1">
      <w:start w:val="1"/>
      <w:numFmt w:val="bullet"/>
      <w:lvlText w:val=""/>
      <w:lvlJc w:val="left"/>
      <w:pPr>
        <w:tabs>
          <w:tab w:val="num" w:pos="1440"/>
        </w:tabs>
        <w:ind w:left="1440" w:hanging="360"/>
      </w:pPr>
      <w:rPr>
        <w:rFonts w:ascii="Symbol" w:hAnsi="Symbol" w:hint="default"/>
      </w:rPr>
    </w:lvl>
    <w:lvl w:ilvl="2" w:tplc="203CE5FC" w:tentative="1">
      <w:start w:val="1"/>
      <w:numFmt w:val="bullet"/>
      <w:lvlText w:val=""/>
      <w:lvlJc w:val="left"/>
      <w:pPr>
        <w:tabs>
          <w:tab w:val="num" w:pos="2160"/>
        </w:tabs>
        <w:ind w:left="2160" w:hanging="360"/>
      </w:pPr>
      <w:rPr>
        <w:rFonts w:ascii="Symbol" w:hAnsi="Symbol" w:hint="default"/>
      </w:rPr>
    </w:lvl>
    <w:lvl w:ilvl="3" w:tplc="B4CA4ECE" w:tentative="1">
      <w:start w:val="1"/>
      <w:numFmt w:val="bullet"/>
      <w:lvlText w:val=""/>
      <w:lvlJc w:val="left"/>
      <w:pPr>
        <w:tabs>
          <w:tab w:val="num" w:pos="2880"/>
        </w:tabs>
        <w:ind w:left="2880" w:hanging="360"/>
      </w:pPr>
      <w:rPr>
        <w:rFonts w:ascii="Symbol" w:hAnsi="Symbol" w:hint="default"/>
      </w:rPr>
    </w:lvl>
    <w:lvl w:ilvl="4" w:tplc="A90EEE58" w:tentative="1">
      <w:start w:val="1"/>
      <w:numFmt w:val="bullet"/>
      <w:lvlText w:val=""/>
      <w:lvlJc w:val="left"/>
      <w:pPr>
        <w:tabs>
          <w:tab w:val="num" w:pos="3600"/>
        </w:tabs>
        <w:ind w:left="3600" w:hanging="360"/>
      </w:pPr>
      <w:rPr>
        <w:rFonts w:ascii="Symbol" w:hAnsi="Symbol" w:hint="default"/>
      </w:rPr>
    </w:lvl>
    <w:lvl w:ilvl="5" w:tplc="65725998" w:tentative="1">
      <w:start w:val="1"/>
      <w:numFmt w:val="bullet"/>
      <w:lvlText w:val=""/>
      <w:lvlJc w:val="left"/>
      <w:pPr>
        <w:tabs>
          <w:tab w:val="num" w:pos="4320"/>
        </w:tabs>
        <w:ind w:left="4320" w:hanging="360"/>
      </w:pPr>
      <w:rPr>
        <w:rFonts w:ascii="Symbol" w:hAnsi="Symbol" w:hint="default"/>
      </w:rPr>
    </w:lvl>
    <w:lvl w:ilvl="6" w:tplc="B1A0B3BE" w:tentative="1">
      <w:start w:val="1"/>
      <w:numFmt w:val="bullet"/>
      <w:lvlText w:val=""/>
      <w:lvlJc w:val="left"/>
      <w:pPr>
        <w:tabs>
          <w:tab w:val="num" w:pos="5040"/>
        </w:tabs>
        <w:ind w:left="5040" w:hanging="360"/>
      </w:pPr>
      <w:rPr>
        <w:rFonts w:ascii="Symbol" w:hAnsi="Symbol" w:hint="default"/>
      </w:rPr>
    </w:lvl>
    <w:lvl w:ilvl="7" w:tplc="1D4679AE" w:tentative="1">
      <w:start w:val="1"/>
      <w:numFmt w:val="bullet"/>
      <w:lvlText w:val=""/>
      <w:lvlJc w:val="left"/>
      <w:pPr>
        <w:tabs>
          <w:tab w:val="num" w:pos="5760"/>
        </w:tabs>
        <w:ind w:left="5760" w:hanging="360"/>
      </w:pPr>
      <w:rPr>
        <w:rFonts w:ascii="Symbol" w:hAnsi="Symbol" w:hint="default"/>
      </w:rPr>
    </w:lvl>
    <w:lvl w:ilvl="8" w:tplc="8E909584" w:tentative="1">
      <w:start w:val="1"/>
      <w:numFmt w:val="bullet"/>
      <w:lvlText w:val=""/>
      <w:lvlJc w:val="left"/>
      <w:pPr>
        <w:tabs>
          <w:tab w:val="num" w:pos="6480"/>
        </w:tabs>
        <w:ind w:left="6480" w:hanging="360"/>
      </w:pPr>
      <w:rPr>
        <w:rFonts w:ascii="Symbol" w:hAnsi="Symbol" w:hint="default"/>
      </w:rPr>
    </w:lvl>
  </w:abstractNum>
  <w:abstractNum w:abstractNumId="14">
    <w:nsid w:val="4A5D0D19"/>
    <w:multiLevelType w:val="hybridMultilevel"/>
    <w:tmpl w:val="7DD00964"/>
    <w:lvl w:ilvl="0" w:tplc="04090001">
      <w:start w:val="1"/>
      <w:numFmt w:val="bullet"/>
      <w:lvlText w:val=""/>
      <w:lvlJc w:val="left"/>
      <w:pPr>
        <w:ind w:left="720" w:hanging="360"/>
      </w:pPr>
      <w:rPr>
        <w:rFonts w:ascii="Symbol" w:hAnsi="Symbol" w:hint="default"/>
      </w:rPr>
    </w:lvl>
    <w:lvl w:ilvl="1" w:tplc="7C6A94B2">
      <w:numFmt w:val="bullet"/>
      <w:lvlText w:val="-"/>
      <w:lvlJc w:val="left"/>
      <w:pPr>
        <w:ind w:left="1440" w:hanging="360"/>
      </w:pPr>
      <w:rPr>
        <w:rFonts w:hint="default"/>
        <w:b w:val="0"/>
        <w:i w:val="0"/>
      </w:rPr>
    </w:lvl>
    <w:lvl w:ilvl="2" w:tplc="BCCC93A0">
      <w:numFmt w:val="bullet"/>
      <w:lvlText w:val="•"/>
      <w:lvlJc w:val="left"/>
      <w:pPr>
        <w:ind w:left="2160" w:hanging="360"/>
      </w:pPr>
      <w:rPr>
        <w:rFonts w:ascii="Arial" w:eastAsiaTheme="minorEastAsia"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720FBC"/>
    <w:multiLevelType w:val="hybridMultilevel"/>
    <w:tmpl w:val="9CA29CC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nsid w:val="54311E57"/>
    <w:multiLevelType w:val="hybridMultilevel"/>
    <w:tmpl w:val="85E29294"/>
    <w:lvl w:ilvl="0" w:tplc="D69EF218">
      <w:start w:val="1"/>
      <w:numFmt w:val="decimal"/>
      <w:lvlText w:val="%1."/>
      <w:lvlJc w:val="left"/>
      <w:pPr>
        <w:ind w:left="720" w:hanging="360"/>
      </w:pPr>
      <w:rPr>
        <w:rFonts w:asciiTheme="majorHAnsi" w:hAnsiTheme="majorHAnsi" w:hint="default"/>
        <w:b w:val="0"/>
        <w:sz w:val="24"/>
        <w:szCs w:val="24"/>
      </w:rPr>
    </w:lvl>
    <w:lvl w:ilvl="1" w:tplc="04090001">
      <w:start w:val="1"/>
      <w:numFmt w:val="bullet"/>
      <w:lvlText w:val=""/>
      <w:lvlJc w:val="left"/>
      <w:pPr>
        <w:ind w:left="1440" w:hanging="360"/>
      </w:pPr>
      <w:rPr>
        <w:rFonts w:ascii="Symbol" w:hAnsi="Symbol" w:cs="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57CD119A"/>
    <w:multiLevelType w:val="hybridMultilevel"/>
    <w:tmpl w:val="DB0632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D2F2B05"/>
    <w:multiLevelType w:val="hybridMultilevel"/>
    <w:tmpl w:val="2E9451B6"/>
    <w:lvl w:ilvl="0" w:tplc="4A62E5DA">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DB7760"/>
    <w:multiLevelType w:val="singleLevel"/>
    <w:tmpl w:val="041859DE"/>
    <w:lvl w:ilvl="0">
      <w:start w:val="1"/>
      <w:numFmt w:val="bullet"/>
      <w:lvlText w:val="-"/>
      <w:lvlJc w:val="left"/>
      <w:pPr>
        <w:ind w:left="360" w:hanging="360"/>
      </w:pPr>
      <w:rPr>
        <w:rFonts w:ascii="Arial" w:hAnsi="Arial" w:hint="default"/>
        <w:sz w:val="20"/>
        <w:szCs w:val="18"/>
      </w:rPr>
    </w:lvl>
  </w:abstractNum>
  <w:abstractNum w:abstractNumId="20">
    <w:nsid w:val="6FAB4877"/>
    <w:multiLevelType w:val="hybridMultilevel"/>
    <w:tmpl w:val="5546EB6A"/>
    <w:lvl w:ilvl="0" w:tplc="275685AC">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71A75D97"/>
    <w:multiLevelType w:val="hybridMultilevel"/>
    <w:tmpl w:val="1786C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F21669B"/>
    <w:multiLevelType w:val="singleLevel"/>
    <w:tmpl w:val="04090003"/>
    <w:lvl w:ilvl="0">
      <w:start w:val="1"/>
      <w:numFmt w:val="bullet"/>
      <w:lvlText w:val=""/>
      <w:lvlJc w:val="left"/>
      <w:pPr>
        <w:tabs>
          <w:tab w:val="num" w:pos="360"/>
        </w:tabs>
        <w:ind w:left="360" w:hanging="360"/>
      </w:pPr>
      <w:rPr>
        <w:rFonts w:ascii="Symbol" w:hAnsi="Symbol" w:hint="default"/>
      </w:rPr>
    </w:lvl>
  </w:abstractNum>
  <w:num w:numId="1">
    <w:abstractNumId w:val="22"/>
  </w:num>
  <w:num w:numId="2">
    <w:abstractNumId w:val="19"/>
  </w:num>
  <w:num w:numId="3">
    <w:abstractNumId w:val="10"/>
  </w:num>
  <w:num w:numId="4">
    <w:abstractNumId w:val="20"/>
  </w:num>
  <w:num w:numId="5">
    <w:abstractNumId w:val="6"/>
  </w:num>
  <w:num w:numId="6">
    <w:abstractNumId w:val="5"/>
  </w:num>
  <w:num w:numId="7">
    <w:abstractNumId w:val="18"/>
  </w:num>
  <w:num w:numId="8">
    <w:abstractNumId w:val="21"/>
  </w:num>
  <w:num w:numId="9">
    <w:abstractNumId w:val="14"/>
  </w:num>
  <w:num w:numId="10">
    <w:abstractNumId w:val="4"/>
  </w:num>
  <w:num w:numId="11">
    <w:abstractNumId w:val="1"/>
  </w:num>
  <w:num w:numId="12">
    <w:abstractNumId w:val="12"/>
  </w:num>
  <w:num w:numId="13">
    <w:abstractNumId w:val="9"/>
  </w:num>
  <w:num w:numId="14">
    <w:abstractNumId w:val="0"/>
  </w:num>
  <w:num w:numId="15">
    <w:abstractNumId w:val="15"/>
  </w:num>
  <w:num w:numId="16">
    <w:abstractNumId w:val="17"/>
  </w:num>
  <w:num w:numId="17">
    <w:abstractNumId w:val="16"/>
  </w:num>
  <w:num w:numId="18">
    <w:abstractNumId w:val="11"/>
  </w:num>
  <w:num w:numId="19">
    <w:abstractNumId w:val="13"/>
  </w:num>
  <w:num w:numId="20">
    <w:abstractNumId w:val="3"/>
  </w:num>
  <w:num w:numId="21">
    <w:abstractNumId w:val="8"/>
  </w:num>
  <w:num w:numId="22">
    <w:abstractNumId w:val="2"/>
  </w:num>
  <w:num w:numId="23">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pos w:val="sectEnd"/>
    <w:numFmt w:val="lowerLetter"/>
    <w:endnote w:id="-1"/>
    <w:endnote w:id="0"/>
    <w:endnote w:id="1"/>
  </w:endnotePr>
  <w:compat>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1BE"/>
    <w:rsid w:val="00001BA3"/>
    <w:rsid w:val="0000482B"/>
    <w:rsid w:val="00004C2E"/>
    <w:rsid w:val="0000674F"/>
    <w:rsid w:val="00010A03"/>
    <w:rsid w:val="00010CF3"/>
    <w:rsid w:val="00011E27"/>
    <w:rsid w:val="00012066"/>
    <w:rsid w:val="000148BC"/>
    <w:rsid w:val="000168CC"/>
    <w:rsid w:val="00016A40"/>
    <w:rsid w:val="00016DE1"/>
    <w:rsid w:val="0001703E"/>
    <w:rsid w:val="000173E5"/>
    <w:rsid w:val="00024AB8"/>
    <w:rsid w:val="00024CD2"/>
    <w:rsid w:val="00026A30"/>
    <w:rsid w:val="00026D42"/>
    <w:rsid w:val="00030854"/>
    <w:rsid w:val="00030AD3"/>
    <w:rsid w:val="00031E97"/>
    <w:rsid w:val="000351C3"/>
    <w:rsid w:val="00036028"/>
    <w:rsid w:val="000366DC"/>
    <w:rsid w:val="00040036"/>
    <w:rsid w:val="0004093A"/>
    <w:rsid w:val="0004170D"/>
    <w:rsid w:val="000442EB"/>
    <w:rsid w:val="00044642"/>
    <w:rsid w:val="000446B9"/>
    <w:rsid w:val="00044B0C"/>
    <w:rsid w:val="00047E21"/>
    <w:rsid w:val="0005013D"/>
    <w:rsid w:val="000518B6"/>
    <w:rsid w:val="000569C3"/>
    <w:rsid w:val="0006084B"/>
    <w:rsid w:val="000625B0"/>
    <w:rsid w:val="00064A8F"/>
    <w:rsid w:val="00066B0F"/>
    <w:rsid w:val="00067165"/>
    <w:rsid w:val="00070404"/>
    <w:rsid w:val="00071D7C"/>
    <w:rsid w:val="000724F3"/>
    <w:rsid w:val="00073796"/>
    <w:rsid w:val="00075479"/>
    <w:rsid w:val="00080D49"/>
    <w:rsid w:val="00084351"/>
    <w:rsid w:val="00085505"/>
    <w:rsid w:val="0008796E"/>
    <w:rsid w:val="000918A6"/>
    <w:rsid w:val="00092DB3"/>
    <w:rsid w:val="00093327"/>
    <w:rsid w:val="000934C1"/>
    <w:rsid w:val="00093512"/>
    <w:rsid w:val="00093547"/>
    <w:rsid w:val="00097BB8"/>
    <w:rsid w:val="00097F07"/>
    <w:rsid w:val="000A21B5"/>
    <w:rsid w:val="000A32F7"/>
    <w:rsid w:val="000A68B4"/>
    <w:rsid w:val="000A7E41"/>
    <w:rsid w:val="000A7FB1"/>
    <w:rsid w:val="000B1752"/>
    <w:rsid w:val="000B4DCF"/>
    <w:rsid w:val="000B5061"/>
    <w:rsid w:val="000B5329"/>
    <w:rsid w:val="000B5799"/>
    <w:rsid w:val="000B5A9B"/>
    <w:rsid w:val="000B6DF1"/>
    <w:rsid w:val="000C085F"/>
    <w:rsid w:val="000C23D3"/>
    <w:rsid w:val="000C2924"/>
    <w:rsid w:val="000C7021"/>
    <w:rsid w:val="000D353A"/>
    <w:rsid w:val="000D5EF7"/>
    <w:rsid w:val="000D6AA0"/>
    <w:rsid w:val="000D6BBC"/>
    <w:rsid w:val="000D7780"/>
    <w:rsid w:val="000D79B2"/>
    <w:rsid w:val="000E32D0"/>
    <w:rsid w:val="000E387C"/>
    <w:rsid w:val="000E3FE2"/>
    <w:rsid w:val="000E48BA"/>
    <w:rsid w:val="000F0C7A"/>
    <w:rsid w:val="000F4F1E"/>
    <w:rsid w:val="000F63E1"/>
    <w:rsid w:val="000F7801"/>
    <w:rsid w:val="00104920"/>
    <w:rsid w:val="00105929"/>
    <w:rsid w:val="001062A8"/>
    <w:rsid w:val="00110414"/>
    <w:rsid w:val="0011194D"/>
    <w:rsid w:val="00112863"/>
    <w:rsid w:val="001131D5"/>
    <w:rsid w:val="00114BBB"/>
    <w:rsid w:val="00115766"/>
    <w:rsid w:val="00117837"/>
    <w:rsid w:val="00120D77"/>
    <w:rsid w:val="00122004"/>
    <w:rsid w:val="00124A2B"/>
    <w:rsid w:val="001251DD"/>
    <w:rsid w:val="001253F9"/>
    <w:rsid w:val="00127F60"/>
    <w:rsid w:val="001305E1"/>
    <w:rsid w:val="001309AD"/>
    <w:rsid w:val="00132655"/>
    <w:rsid w:val="001366F1"/>
    <w:rsid w:val="00141DB8"/>
    <w:rsid w:val="00142923"/>
    <w:rsid w:val="001468BC"/>
    <w:rsid w:val="0014731A"/>
    <w:rsid w:val="00152057"/>
    <w:rsid w:val="00152DA5"/>
    <w:rsid w:val="00155892"/>
    <w:rsid w:val="00167F62"/>
    <w:rsid w:val="00171EE0"/>
    <w:rsid w:val="00172859"/>
    <w:rsid w:val="00173CCB"/>
    <w:rsid w:val="0017451F"/>
    <w:rsid w:val="00174554"/>
    <w:rsid w:val="0017474A"/>
    <w:rsid w:val="00175066"/>
    <w:rsid w:val="001758C6"/>
    <w:rsid w:val="00177387"/>
    <w:rsid w:val="00180327"/>
    <w:rsid w:val="00181284"/>
    <w:rsid w:val="00182B99"/>
    <w:rsid w:val="001848F2"/>
    <w:rsid w:val="0018607F"/>
    <w:rsid w:val="001871AD"/>
    <w:rsid w:val="0019072E"/>
    <w:rsid w:val="00192848"/>
    <w:rsid w:val="001935AE"/>
    <w:rsid w:val="00193C93"/>
    <w:rsid w:val="00193D63"/>
    <w:rsid w:val="0019481B"/>
    <w:rsid w:val="00194BDA"/>
    <w:rsid w:val="00197BE7"/>
    <w:rsid w:val="001A0080"/>
    <w:rsid w:val="001A1029"/>
    <w:rsid w:val="001A1162"/>
    <w:rsid w:val="001A4AC8"/>
    <w:rsid w:val="001A4B93"/>
    <w:rsid w:val="001A6680"/>
    <w:rsid w:val="001A7768"/>
    <w:rsid w:val="001C0E76"/>
    <w:rsid w:val="001C1851"/>
    <w:rsid w:val="001C370E"/>
    <w:rsid w:val="001C6230"/>
    <w:rsid w:val="001C777F"/>
    <w:rsid w:val="001D09F5"/>
    <w:rsid w:val="001D1447"/>
    <w:rsid w:val="001D204D"/>
    <w:rsid w:val="001D2815"/>
    <w:rsid w:val="001D2983"/>
    <w:rsid w:val="001D4DEC"/>
    <w:rsid w:val="001D5A86"/>
    <w:rsid w:val="001D7A75"/>
    <w:rsid w:val="001E0CF9"/>
    <w:rsid w:val="001E58A2"/>
    <w:rsid w:val="001E628E"/>
    <w:rsid w:val="001E67E1"/>
    <w:rsid w:val="001E76E3"/>
    <w:rsid w:val="001E7952"/>
    <w:rsid w:val="001E7B7C"/>
    <w:rsid w:val="001E7DD1"/>
    <w:rsid w:val="001F1181"/>
    <w:rsid w:val="001F42DB"/>
    <w:rsid w:val="001F4402"/>
    <w:rsid w:val="001F5254"/>
    <w:rsid w:val="001F6751"/>
    <w:rsid w:val="001F7E28"/>
    <w:rsid w:val="00203035"/>
    <w:rsid w:val="00203097"/>
    <w:rsid w:val="00204AD0"/>
    <w:rsid w:val="00204BAB"/>
    <w:rsid w:val="00210AF8"/>
    <w:rsid w:val="0021332C"/>
    <w:rsid w:val="00213982"/>
    <w:rsid w:val="00214D42"/>
    <w:rsid w:val="00217EC3"/>
    <w:rsid w:val="00221A28"/>
    <w:rsid w:val="00224231"/>
    <w:rsid w:val="00224931"/>
    <w:rsid w:val="00231A06"/>
    <w:rsid w:val="00240810"/>
    <w:rsid w:val="00240C00"/>
    <w:rsid w:val="00242246"/>
    <w:rsid w:val="0024416D"/>
    <w:rsid w:val="00244F8C"/>
    <w:rsid w:val="00245294"/>
    <w:rsid w:val="00245AB1"/>
    <w:rsid w:val="002460FC"/>
    <w:rsid w:val="00250A6C"/>
    <w:rsid w:val="002514C8"/>
    <w:rsid w:val="002548BF"/>
    <w:rsid w:val="00257B56"/>
    <w:rsid w:val="002630D0"/>
    <w:rsid w:val="002651C3"/>
    <w:rsid w:val="00266699"/>
    <w:rsid w:val="002706C7"/>
    <w:rsid w:val="002710BF"/>
    <w:rsid w:val="0027189D"/>
    <w:rsid w:val="002734F2"/>
    <w:rsid w:val="002741B1"/>
    <w:rsid w:val="002751FD"/>
    <w:rsid w:val="002800A0"/>
    <w:rsid w:val="002801B3"/>
    <w:rsid w:val="0028098F"/>
    <w:rsid w:val="00281060"/>
    <w:rsid w:val="002841E0"/>
    <w:rsid w:val="002872D1"/>
    <w:rsid w:val="002918E5"/>
    <w:rsid w:val="002923F9"/>
    <w:rsid w:val="00293674"/>
    <w:rsid w:val="002940E8"/>
    <w:rsid w:val="00296A15"/>
    <w:rsid w:val="00297FD2"/>
    <w:rsid w:val="002A0347"/>
    <w:rsid w:val="002A0D60"/>
    <w:rsid w:val="002A1456"/>
    <w:rsid w:val="002A6E50"/>
    <w:rsid w:val="002A73BF"/>
    <w:rsid w:val="002A7B82"/>
    <w:rsid w:val="002B001D"/>
    <w:rsid w:val="002B1257"/>
    <w:rsid w:val="002B1AFE"/>
    <w:rsid w:val="002B1CF4"/>
    <w:rsid w:val="002B422C"/>
    <w:rsid w:val="002B6DB0"/>
    <w:rsid w:val="002B728F"/>
    <w:rsid w:val="002B73A0"/>
    <w:rsid w:val="002B7704"/>
    <w:rsid w:val="002C256A"/>
    <w:rsid w:val="002C594C"/>
    <w:rsid w:val="002C63DE"/>
    <w:rsid w:val="002D0BA4"/>
    <w:rsid w:val="002D125F"/>
    <w:rsid w:val="002D300C"/>
    <w:rsid w:val="002D6F42"/>
    <w:rsid w:val="002D7C8D"/>
    <w:rsid w:val="002E1E3E"/>
    <w:rsid w:val="002E459D"/>
    <w:rsid w:val="002F363E"/>
    <w:rsid w:val="002F4A93"/>
    <w:rsid w:val="002F57BA"/>
    <w:rsid w:val="002F5F97"/>
    <w:rsid w:val="002F61C8"/>
    <w:rsid w:val="002F67FE"/>
    <w:rsid w:val="002F7400"/>
    <w:rsid w:val="002F772E"/>
    <w:rsid w:val="002F7A6A"/>
    <w:rsid w:val="00301BFE"/>
    <w:rsid w:val="00303BED"/>
    <w:rsid w:val="00303EB0"/>
    <w:rsid w:val="00305A7F"/>
    <w:rsid w:val="003074F9"/>
    <w:rsid w:val="0031029C"/>
    <w:rsid w:val="00311B5B"/>
    <w:rsid w:val="00315280"/>
    <w:rsid w:val="003152FE"/>
    <w:rsid w:val="00315FA5"/>
    <w:rsid w:val="00316E1A"/>
    <w:rsid w:val="00316E90"/>
    <w:rsid w:val="00322025"/>
    <w:rsid w:val="00322B6C"/>
    <w:rsid w:val="00325D63"/>
    <w:rsid w:val="00327138"/>
    <w:rsid w:val="00327436"/>
    <w:rsid w:val="0033507D"/>
    <w:rsid w:val="00337C6C"/>
    <w:rsid w:val="00337E0F"/>
    <w:rsid w:val="0034381C"/>
    <w:rsid w:val="0034418C"/>
    <w:rsid w:val="00344BD6"/>
    <w:rsid w:val="00350342"/>
    <w:rsid w:val="00351C1A"/>
    <w:rsid w:val="003533A2"/>
    <w:rsid w:val="0035355A"/>
    <w:rsid w:val="00354992"/>
    <w:rsid w:val="0035523E"/>
    <w:rsid w:val="0035528D"/>
    <w:rsid w:val="003552BF"/>
    <w:rsid w:val="003554AC"/>
    <w:rsid w:val="00355C8E"/>
    <w:rsid w:val="00360B2A"/>
    <w:rsid w:val="00361821"/>
    <w:rsid w:val="00362388"/>
    <w:rsid w:val="00363F3C"/>
    <w:rsid w:val="00364C35"/>
    <w:rsid w:val="0037410D"/>
    <w:rsid w:val="00375696"/>
    <w:rsid w:val="003761E6"/>
    <w:rsid w:val="00376B9E"/>
    <w:rsid w:val="003814A3"/>
    <w:rsid w:val="003822F8"/>
    <w:rsid w:val="0038278F"/>
    <w:rsid w:val="00382A56"/>
    <w:rsid w:val="00382F60"/>
    <w:rsid w:val="00383B83"/>
    <w:rsid w:val="00384845"/>
    <w:rsid w:val="00387275"/>
    <w:rsid w:val="00390C18"/>
    <w:rsid w:val="00391DAF"/>
    <w:rsid w:val="00395670"/>
    <w:rsid w:val="003A0E3F"/>
    <w:rsid w:val="003A4600"/>
    <w:rsid w:val="003B1094"/>
    <w:rsid w:val="003B16E7"/>
    <w:rsid w:val="003B4FA7"/>
    <w:rsid w:val="003B5D92"/>
    <w:rsid w:val="003C1FE5"/>
    <w:rsid w:val="003C3B37"/>
    <w:rsid w:val="003C490E"/>
    <w:rsid w:val="003C4DEC"/>
    <w:rsid w:val="003C54D2"/>
    <w:rsid w:val="003C76FB"/>
    <w:rsid w:val="003D0C77"/>
    <w:rsid w:val="003D0C87"/>
    <w:rsid w:val="003D10E1"/>
    <w:rsid w:val="003D227C"/>
    <w:rsid w:val="003D2B4D"/>
    <w:rsid w:val="003D645C"/>
    <w:rsid w:val="003D7646"/>
    <w:rsid w:val="003E322A"/>
    <w:rsid w:val="003E5A9B"/>
    <w:rsid w:val="003F00F5"/>
    <w:rsid w:val="003F2089"/>
    <w:rsid w:val="003F2267"/>
    <w:rsid w:val="003F7DA5"/>
    <w:rsid w:val="004001F5"/>
    <w:rsid w:val="00400C81"/>
    <w:rsid w:val="004013A6"/>
    <w:rsid w:val="00410026"/>
    <w:rsid w:val="00410973"/>
    <w:rsid w:val="00412F49"/>
    <w:rsid w:val="00413778"/>
    <w:rsid w:val="00414A83"/>
    <w:rsid w:val="00415904"/>
    <w:rsid w:val="00421ED4"/>
    <w:rsid w:val="00422F29"/>
    <w:rsid w:val="00423F90"/>
    <w:rsid w:val="00424F0E"/>
    <w:rsid w:val="00424FD2"/>
    <w:rsid w:val="004250C2"/>
    <w:rsid w:val="00427955"/>
    <w:rsid w:val="0043332D"/>
    <w:rsid w:val="00435039"/>
    <w:rsid w:val="00436078"/>
    <w:rsid w:val="00440D56"/>
    <w:rsid w:val="00444156"/>
    <w:rsid w:val="00444A88"/>
    <w:rsid w:val="00452A99"/>
    <w:rsid w:val="00453788"/>
    <w:rsid w:val="00453F8E"/>
    <w:rsid w:val="0045426E"/>
    <w:rsid w:val="00456CBD"/>
    <w:rsid w:val="004625EB"/>
    <w:rsid w:val="004650BE"/>
    <w:rsid w:val="004653C3"/>
    <w:rsid w:val="00466B2D"/>
    <w:rsid w:val="00466D52"/>
    <w:rsid w:val="004674AB"/>
    <w:rsid w:val="004702CD"/>
    <w:rsid w:val="00471669"/>
    <w:rsid w:val="004716A6"/>
    <w:rsid w:val="00471F5D"/>
    <w:rsid w:val="00472A13"/>
    <w:rsid w:val="00473FF8"/>
    <w:rsid w:val="00474DA4"/>
    <w:rsid w:val="00475600"/>
    <w:rsid w:val="00476B4D"/>
    <w:rsid w:val="004771B6"/>
    <w:rsid w:val="004805FA"/>
    <w:rsid w:val="00484280"/>
    <w:rsid w:val="004849E1"/>
    <w:rsid w:val="004853CA"/>
    <w:rsid w:val="00486C03"/>
    <w:rsid w:val="00487017"/>
    <w:rsid w:val="00487DE8"/>
    <w:rsid w:val="0049254D"/>
    <w:rsid w:val="00496479"/>
    <w:rsid w:val="004A5BFF"/>
    <w:rsid w:val="004A64AD"/>
    <w:rsid w:val="004A7151"/>
    <w:rsid w:val="004A769B"/>
    <w:rsid w:val="004B48F5"/>
    <w:rsid w:val="004B5C5D"/>
    <w:rsid w:val="004B6C9D"/>
    <w:rsid w:val="004C14D5"/>
    <w:rsid w:val="004C1946"/>
    <w:rsid w:val="004C4B08"/>
    <w:rsid w:val="004C60D1"/>
    <w:rsid w:val="004C663F"/>
    <w:rsid w:val="004D02CB"/>
    <w:rsid w:val="004D047D"/>
    <w:rsid w:val="004D075F"/>
    <w:rsid w:val="004D202A"/>
    <w:rsid w:val="004D5A7A"/>
    <w:rsid w:val="004D6112"/>
    <w:rsid w:val="004E0076"/>
    <w:rsid w:val="004E1F17"/>
    <w:rsid w:val="004E1F97"/>
    <w:rsid w:val="004E379D"/>
    <w:rsid w:val="004E536A"/>
    <w:rsid w:val="004E54DB"/>
    <w:rsid w:val="004E5647"/>
    <w:rsid w:val="004F1C08"/>
    <w:rsid w:val="004F1C53"/>
    <w:rsid w:val="004F2670"/>
    <w:rsid w:val="004F2E99"/>
    <w:rsid w:val="004F305A"/>
    <w:rsid w:val="004F4885"/>
    <w:rsid w:val="004F5243"/>
    <w:rsid w:val="004F7AF3"/>
    <w:rsid w:val="004F7DDC"/>
    <w:rsid w:val="0050152C"/>
    <w:rsid w:val="00504F1A"/>
    <w:rsid w:val="0050547F"/>
    <w:rsid w:val="005069BB"/>
    <w:rsid w:val="00507850"/>
    <w:rsid w:val="0051068B"/>
    <w:rsid w:val="005107B4"/>
    <w:rsid w:val="0051113F"/>
    <w:rsid w:val="00512164"/>
    <w:rsid w:val="00512434"/>
    <w:rsid w:val="00512522"/>
    <w:rsid w:val="00513459"/>
    <w:rsid w:val="00515214"/>
    <w:rsid w:val="00520297"/>
    <w:rsid w:val="005203E4"/>
    <w:rsid w:val="005231FF"/>
    <w:rsid w:val="005242B4"/>
    <w:rsid w:val="005307AF"/>
    <w:rsid w:val="00530AC5"/>
    <w:rsid w:val="00530C7A"/>
    <w:rsid w:val="00531DDF"/>
    <w:rsid w:val="00531F1B"/>
    <w:rsid w:val="005338F9"/>
    <w:rsid w:val="00534115"/>
    <w:rsid w:val="005350E2"/>
    <w:rsid w:val="00535CC2"/>
    <w:rsid w:val="00536045"/>
    <w:rsid w:val="0053784C"/>
    <w:rsid w:val="00540156"/>
    <w:rsid w:val="005415F1"/>
    <w:rsid w:val="00541A1F"/>
    <w:rsid w:val="00541ECD"/>
    <w:rsid w:val="0054281C"/>
    <w:rsid w:val="00542AFD"/>
    <w:rsid w:val="00543642"/>
    <w:rsid w:val="005437DE"/>
    <w:rsid w:val="00544AC8"/>
    <w:rsid w:val="005515D9"/>
    <w:rsid w:val="0055268D"/>
    <w:rsid w:val="005560E5"/>
    <w:rsid w:val="005564EB"/>
    <w:rsid w:val="00560A6D"/>
    <w:rsid w:val="00561103"/>
    <w:rsid w:val="0056344C"/>
    <w:rsid w:val="0056416A"/>
    <w:rsid w:val="00565C56"/>
    <w:rsid w:val="00571464"/>
    <w:rsid w:val="005718D6"/>
    <w:rsid w:val="005723B2"/>
    <w:rsid w:val="005739A7"/>
    <w:rsid w:val="00573CEF"/>
    <w:rsid w:val="0057467D"/>
    <w:rsid w:val="00576BE4"/>
    <w:rsid w:val="00576C4A"/>
    <w:rsid w:val="00580AA0"/>
    <w:rsid w:val="005858CD"/>
    <w:rsid w:val="005858F2"/>
    <w:rsid w:val="00586AA3"/>
    <w:rsid w:val="00587EA7"/>
    <w:rsid w:val="0059136E"/>
    <w:rsid w:val="00597BAE"/>
    <w:rsid w:val="005A2946"/>
    <w:rsid w:val="005A400A"/>
    <w:rsid w:val="005A66AF"/>
    <w:rsid w:val="005A76EE"/>
    <w:rsid w:val="005B0DC2"/>
    <w:rsid w:val="005B326C"/>
    <w:rsid w:val="005B33DF"/>
    <w:rsid w:val="005B3E7E"/>
    <w:rsid w:val="005B6A7E"/>
    <w:rsid w:val="005C6CFD"/>
    <w:rsid w:val="005D19B0"/>
    <w:rsid w:val="005D1B47"/>
    <w:rsid w:val="005D2017"/>
    <w:rsid w:val="005D204E"/>
    <w:rsid w:val="005D24EB"/>
    <w:rsid w:val="005D411B"/>
    <w:rsid w:val="005D49EB"/>
    <w:rsid w:val="005D54D0"/>
    <w:rsid w:val="005D775F"/>
    <w:rsid w:val="005E578A"/>
    <w:rsid w:val="005F05B6"/>
    <w:rsid w:val="005F061E"/>
    <w:rsid w:val="005F19C8"/>
    <w:rsid w:val="005F3D6B"/>
    <w:rsid w:val="005F4E07"/>
    <w:rsid w:val="005F6C3E"/>
    <w:rsid w:val="0060042C"/>
    <w:rsid w:val="0060117A"/>
    <w:rsid w:val="0060261D"/>
    <w:rsid w:val="006047CA"/>
    <w:rsid w:val="0060702E"/>
    <w:rsid w:val="006070C5"/>
    <w:rsid w:val="0060763F"/>
    <w:rsid w:val="006119A7"/>
    <w:rsid w:val="00611DF3"/>
    <w:rsid w:val="00611FFB"/>
    <w:rsid w:val="00612379"/>
    <w:rsid w:val="0061555F"/>
    <w:rsid w:val="00615C14"/>
    <w:rsid w:val="0061619C"/>
    <w:rsid w:val="00617D6F"/>
    <w:rsid w:val="006256BC"/>
    <w:rsid w:val="00625A2C"/>
    <w:rsid w:val="00625E13"/>
    <w:rsid w:val="0063163E"/>
    <w:rsid w:val="00632E7D"/>
    <w:rsid w:val="00633717"/>
    <w:rsid w:val="0063461C"/>
    <w:rsid w:val="006363AE"/>
    <w:rsid w:val="00641200"/>
    <w:rsid w:val="006413EC"/>
    <w:rsid w:val="00641564"/>
    <w:rsid w:val="00644E12"/>
    <w:rsid w:val="00646163"/>
    <w:rsid w:val="00646990"/>
    <w:rsid w:val="00650F98"/>
    <w:rsid w:val="00651188"/>
    <w:rsid w:val="00651734"/>
    <w:rsid w:val="00653D58"/>
    <w:rsid w:val="006571AE"/>
    <w:rsid w:val="00660B9F"/>
    <w:rsid w:val="006617CE"/>
    <w:rsid w:val="00663239"/>
    <w:rsid w:val="006655D3"/>
    <w:rsid w:val="006664D4"/>
    <w:rsid w:val="00666F6E"/>
    <w:rsid w:val="00667EB4"/>
    <w:rsid w:val="00667F83"/>
    <w:rsid w:val="006706EC"/>
    <w:rsid w:val="0067078A"/>
    <w:rsid w:val="006723B6"/>
    <w:rsid w:val="006731AE"/>
    <w:rsid w:val="00674189"/>
    <w:rsid w:val="00674F91"/>
    <w:rsid w:val="0068185E"/>
    <w:rsid w:val="0068305C"/>
    <w:rsid w:val="006834F7"/>
    <w:rsid w:val="006859E2"/>
    <w:rsid w:val="00687EB4"/>
    <w:rsid w:val="00692CA7"/>
    <w:rsid w:val="00694F71"/>
    <w:rsid w:val="006A04D8"/>
    <w:rsid w:val="006A0B2D"/>
    <w:rsid w:val="006A3581"/>
    <w:rsid w:val="006A3DA6"/>
    <w:rsid w:val="006B0C29"/>
    <w:rsid w:val="006B17D2"/>
    <w:rsid w:val="006B23B7"/>
    <w:rsid w:val="006B2689"/>
    <w:rsid w:val="006B34F2"/>
    <w:rsid w:val="006B4051"/>
    <w:rsid w:val="006B467F"/>
    <w:rsid w:val="006B5DCD"/>
    <w:rsid w:val="006B5E67"/>
    <w:rsid w:val="006B63D2"/>
    <w:rsid w:val="006C224E"/>
    <w:rsid w:val="006C2491"/>
    <w:rsid w:val="006C6389"/>
    <w:rsid w:val="006C72FF"/>
    <w:rsid w:val="006C794B"/>
    <w:rsid w:val="006D1A2F"/>
    <w:rsid w:val="006D4C52"/>
    <w:rsid w:val="006D54B1"/>
    <w:rsid w:val="006D5546"/>
    <w:rsid w:val="006D6D49"/>
    <w:rsid w:val="006D73C2"/>
    <w:rsid w:val="006D7674"/>
    <w:rsid w:val="006D780A"/>
    <w:rsid w:val="006E1DFB"/>
    <w:rsid w:val="006E3357"/>
    <w:rsid w:val="006E618E"/>
    <w:rsid w:val="006E6B88"/>
    <w:rsid w:val="006E7B7E"/>
    <w:rsid w:val="006F08D6"/>
    <w:rsid w:val="006F2C00"/>
    <w:rsid w:val="006F3648"/>
    <w:rsid w:val="006F4005"/>
    <w:rsid w:val="006F48CF"/>
    <w:rsid w:val="00701658"/>
    <w:rsid w:val="00702115"/>
    <w:rsid w:val="00702B7A"/>
    <w:rsid w:val="00703E88"/>
    <w:rsid w:val="007042B7"/>
    <w:rsid w:val="0070579A"/>
    <w:rsid w:val="00707AAE"/>
    <w:rsid w:val="00712581"/>
    <w:rsid w:val="007142DF"/>
    <w:rsid w:val="00714D16"/>
    <w:rsid w:val="00716BF0"/>
    <w:rsid w:val="0072169B"/>
    <w:rsid w:val="00721A5F"/>
    <w:rsid w:val="00722DF5"/>
    <w:rsid w:val="007328B7"/>
    <w:rsid w:val="00732DEC"/>
    <w:rsid w:val="00735BD5"/>
    <w:rsid w:val="007402B2"/>
    <w:rsid w:val="007405AB"/>
    <w:rsid w:val="00741481"/>
    <w:rsid w:val="007442CB"/>
    <w:rsid w:val="0074499F"/>
    <w:rsid w:val="00745772"/>
    <w:rsid w:val="00746073"/>
    <w:rsid w:val="00746F91"/>
    <w:rsid w:val="00751FC4"/>
    <w:rsid w:val="007526B9"/>
    <w:rsid w:val="00752AA8"/>
    <w:rsid w:val="007556F6"/>
    <w:rsid w:val="00757159"/>
    <w:rsid w:val="007602BD"/>
    <w:rsid w:val="00760EEF"/>
    <w:rsid w:val="00763ECE"/>
    <w:rsid w:val="00765D7F"/>
    <w:rsid w:val="00766B45"/>
    <w:rsid w:val="007715C5"/>
    <w:rsid w:val="007733DA"/>
    <w:rsid w:val="00776417"/>
    <w:rsid w:val="0077671D"/>
    <w:rsid w:val="00777EE5"/>
    <w:rsid w:val="00782AA2"/>
    <w:rsid w:val="00784836"/>
    <w:rsid w:val="00784FE1"/>
    <w:rsid w:val="00787FE8"/>
    <w:rsid w:val="0079023E"/>
    <w:rsid w:val="00790A66"/>
    <w:rsid w:val="007948D4"/>
    <w:rsid w:val="00794EA6"/>
    <w:rsid w:val="007A0539"/>
    <w:rsid w:val="007A13B4"/>
    <w:rsid w:val="007A2854"/>
    <w:rsid w:val="007A6CB6"/>
    <w:rsid w:val="007B1BD6"/>
    <w:rsid w:val="007B460F"/>
    <w:rsid w:val="007B5A4C"/>
    <w:rsid w:val="007C0C22"/>
    <w:rsid w:val="007C14B3"/>
    <w:rsid w:val="007C4599"/>
    <w:rsid w:val="007C515F"/>
    <w:rsid w:val="007C6F52"/>
    <w:rsid w:val="007C745A"/>
    <w:rsid w:val="007D0B9D"/>
    <w:rsid w:val="007D114B"/>
    <w:rsid w:val="007D1662"/>
    <w:rsid w:val="007D19B0"/>
    <w:rsid w:val="007D1EC0"/>
    <w:rsid w:val="007D3994"/>
    <w:rsid w:val="007D5663"/>
    <w:rsid w:val="007E1651"/>
    <w:rsid w:val="007E1EE6"/>
    <w:rsid w:val="007E26B6"/>
    <w:rsid w:val="007E4A41"/>
    <w:rsid w:val="007E51FD"/>
    <w:rsid w:val="007F3B48"/>
    <w:rsid w:val="007F42E1"/>
    <w:rsid w:val="007F498F"/>
    <w:rsid w:val="007F6C67"/>
    <w:rsid w:val="00803866"/>
    <w:rsid w:val="0080679D"/>
    <w:rsid w:val="00806ED3"/>
    <w:rsid w:val="008108B0"/>
    <w:rsid w:val="00811B20"/>
    <w:rsid w:val="00811E03"/>
    <w:rsid w:val="00812625"/>
    <w:rsid w:val="00812B7D"/>
    <w:rsid w:val="0082296E"/>
    <w:rsid w:val="00823D15"/>
    <w:rsid w:val="00824099"/>
    <w:rsid w:val="008271E2"/>
    <w:rsid w:val="0083045D"/>
    <w:rsid w:val="0083250C"/>
    <w:rsid w:val="0083276D"/>
    <w:rsid w:val="00833C16"/>
    <w:rsid w:val="00835F6E"/>
    <w:rsid w:val="00836D09"/>
    <w:rsid w:val="008409A3"/>
    <w:rsid w:val="008423C4"/>
    <w:rsid w:val="00843D76"/>
    <w:rsid w:val="008474B1"/>
    <w:rsid w:val="00851C92"/>
    <w:rsid w:val="00856F9E"/>
    <w:rsid w:val="008571B6"/>
    <w:rsid w:val="00860F8D"/>
    <w:rsid w:val="008625A6"/>
    <w:rsid w:val="0086437B"/>
    <w:rsid w:val="00864D5F"/>
    <w:rsid w:val="00865132"/>
    <w:rsid w:val="00865A2E"/>
    <w:rsid w:val="00865BF6"/>
    <w:rsid w:val="0086621C"/>
    <w:rsid w:val="00867AC1"/>
    <w:rsid w:val="00870D83"/>
    <w:rsid w:val="00871762"/>
    <w:rsid w:val="00871B7B"/>
    <w:rsid w:val="00872F69"/>
    <w:rsid w:val="00873A72"/>
    <w:rsid w:val="00873FF9"/>
    <w:rsid w:val="00874596"/>
    <w:rsid w:val="00875E44"/>
    <w:rsid w:val="00876DEE"/>
    <w:rsid w:val="008771CA"/>
    <w:rsid w:val="008774EC"/>
    <w:rsid w:val="00877DBA"/>
    <w:rsid w:val="00880F01"/>
    <w:rsid w:val="008813C7"/>
    <w:rsid w:val="008821D4"/>
    <w:rsid w:val="0088247B"/>
    <w:rsid w:val="008862B6"/>
    <w:rsid w:val="008865E4"/>
    <w:rsid w:val="0088725A"/>
    <w:rsid w:val="00890496"/>
    <w:rsid w:val="00891B18"/>
    <w:rsid w:val="00892B4A"/>
    <w:rsid w:val="00894DC3"/>
    <w:rsid w:val="00895802"/>
    <w:rsid w:val="008A0AA0"/>
    <w:rsid w:val="008A3C1E"/>
    <w:rsid w:val="008A3C6D"/>
    <w:rsid w:val="008A4833"/>
    <w:rsid w:val="008A53DC"/>
    <w:rsid w:val="008A743F"/>
    <w:rsid w:val="008A7B49"/>
    <w:rsid w:val="008B6473"/>
    <w:rsid w:val="008B78A2"/>
    <w:rsid w:val="008C0970"/>
    <w:rsid w:val="008C1700"/>
    <w:rsid w:val="008C1C5B"/>
    <w:rsid w:val="008C3E0D"/>
    <w:rsid w:val="008C4D98"/>
    <w:rsid w:val="008C79C1"/>
    <w:rsid w:val="008D1435"/>
    <w:rsid w:val="008D2CF7"/>
    <w:rsid w:val="008D2DA3"/>
    <w:rsid w:val="008D6DF5"/>
    <w:rsid w:val="008E09FE"/>
    <w:rsid w:val="008E211B"/>
    <w:rsid w:val="008E5635"/>
    <w:rsid w:val="008E5926"/>
    <w:rsid w:val="008E7912"/>
    <w:rsid w:val="008F46B4"/>
    <w:rsid w:val="008F5543"/>
    <w:rsid w:val="008F78C1"/>
    <w:rsid w:val="00900C26"/>
    <w:rsid w:val="0090197F"/>
    <w:rsid w:val="00901A3F"/>
    <w:rsid w:val="00902F68"/>
    <w:rsid w:val="00906DDC"/>
    <w:rsid w:val="00912164"/>
    <w:rsid w:val="009173E8"/>
    <w:rsid w:val="00920A93"/>
    <w:rsid w:val="00922DEB"/>
    <w:rsid w:val="0092464C"/>
    <w:rsid w:val="009259EE"/>
    <w:rsid w:val="00925E5D"/>
    <w:rsid w:val="009273D5"/>
    <w:rsid w:val="00927489"/>
    <w:rsid w:val="009302EC"/>
    <w:rsid w:val="009316C4"/>
    <w:rsid w:val="00932D59"/>
    <w:rsid w:val="00933419"/>
    <w:rsid w:val="00934E09"/>
    <w:rsid w:val="009357BB"/>
    <w:rsid w:val="00936253"/>
    <w:rsid w:val="0093729B"/>
    <w:rsid w:val="00937331"/>
    <w:rsid w:val="00937958"/>
    <w:rsid w:val="00940F1A"/>
    <w:rsid w:val="00941AA7"/>
    <w:rsid w:val="00947760"/>
    <w:rsid w:val="00950438"/>
    <w:rsid w:val="009525C6"/>
    <w:rsid w:val="00952DD4"/>
    <w:rsid w:val="0095323A"/>
    <w:rsid w:val="00957EDC"/>
    <w:rsid w:val="0096548A"/>
    <w:rsid w:val="0096627E"/>
    <w:rsid w:val="0096765F"/>
    <w:rsid w:val="00970FED"/>
    <w:rsid w:val="00971467"/>
    <w:rsid w:val="009716E1"/>
    <w:rsid w:val="00971B9D"/>
    <w:rsid w:val="00975586"/>
    <w:rsid w:val="00980F06"/>
    <w:rsid w:val="00981CDE"/>
    <w:rsid w:val="00983ADC"/>
    <w:rsid w:val="00983F16"/>
    <w:rsid w:val="0098538D"/>
    <w:rsid w:val="009855CA"/>
    <w:rsid w:val="009863DF"/>
    <w:rsid w:val="00991784"/>
    <w:rsid w:val="00991858"/>
    <w:rsid w:val="00993774"/>
    <w:rsid w:val="0099401B"/>
    <w:rsid w:val="009948BF"/>
    <w:rsid w:val="00994B5F"/>
    <w:rsid w:val="00994C4D"/>
    <w:rsid w:val="00997029"/>
    <w:rsid w:val="009A237D"/>
    <w:rsid w:val="009A371B"/>
    <w:rsid w:val="009A5803"/>
    <w:rsid w:val="009A5FEE"/>
    <w:rsid w:val="009B1AF9"/>
    <w:rsid w:val="009B49C3"/>
    <w:rsid w:val="009B4E4C"/>
    <w:rsid w:val="009B710A"/>
    <w:rsid w:val="009B7FC4"/>
    <w:rsid w:val="009C009A"/>
    <w:rsid w:val="009C17E4"/>
    <w:rsid w:val="009D193A"/>
    <w:rsid w:val="009D1D0A"/>
    <w:rsid w:val="009D2175"/>
    <w:rsid w:val="009D690D"/>
    <w:rsid w:val="009D74AE"/>
    <w:rsid w:val="009D789C"/>
    <w:rsid w:val="009E0368"/>
    <w:rsid w:val="009E0DA3"/>
    <w:rsid w:val="009E1ACD"/>
    <w:rsid w:val="009E1B6C"/>
    <w:rsid w:val="009E21B3"/>
    <w:rsid w:val="009E4A26"/>
    <w:rsid w:val="009E4D70"/>
    <w:rsid w:val="009E54A4"/>
    <w:rsid w:val="009E65B6"/>
    <w:rsid w:val="009F07B6"/>
    <w:rsid w:val="009F0A70"/>
    <w:rsid w:val="009F322C"/>
    <w:rsid w:val="009F36DF"/>
    <w:rsid w:val="009F3837"/>
    <w:rsid w:val="009F4BF8"/>
    <w:rsid w:val="009F5AEA"/>
    <w:rsid w:val="009F6080"/>
    <w:rsid w:val="009F6FBA"/>
    <w:rsid w:val="009F7624"/>
    <w:rsid w:val="009F7A7B"/>
    <w:rsid w:val="009F7D0F"/>
    <w:rsid w:val="00A03019"/>
    <w:rsid w:val="00A0417C"/>
    <w:rsid w:val="00A0479A"/>
    <w:rsid w:val="00A0498B"/>
    <w:rsid w:val="00A071C8"/>
    <w:rsid w:val="00A07347"/>
    <w:rsid w:val="00A075F0"/>
    <w:rsid w:val="00A144CA"/>
    <w:rsid w:val="00A14C4C"/>
    <w:rsid w:val="00A1597D"/>
    <w:rsid w:val="00A172F1"/>
    <w:rsid w:val="00A219ED"/>
    <w:rsid w:val="00A234BF"/>
    <w:rsid w:val="00A26BA8"/>
    <w:rsid w:val="00A26C02"/>
    <w:rsid w:val="00A3026B"/>
    <w:rsid w:val="00A31702"/>
    <w:rsid w:val="00A31D72"/>
    <w:rsid w:val="00A365B6"/>
    <w:rsid w:val="00A37BD5"/>
    <w:rsid w:val="00A42082"/>
    <w:rsid w:val="00A42AC3"/>
    <w:rsid w:val="00A430CF"/>
    <w:rsid w:val="00A44543"/>
    <w:rsid w:val="00A50791"/>
    <w:rsid w:val="00A51580"/>
    <w:rsid w:val="00A51B3B"/>
    <w:rsid w:val="00A541B0"/>
    <w:rsid w:val="00A54309"/>
    <w:rsid w:val="00A56FAA"/>
    <w:rsid w:val="00A602CE"/>
    <w:rsid w:val="00A611A7"/>
    <w:rsid w:val="00A618A6"/>
    <w:rsid w:val="00A623AA"/>
    <w:rsid w:val="00A6329A"/>
    <w:rsid w:val="00A6641A"/>
    <w:rsid w:val="00A6678F"/>
    <w:rsid w:val="00A70641"/>
    <w:rsid w:val="00A70760"/>
    <w:rsid w:val="00A721A9"/>
    <w:rsid w:val="00A7288B"/>
    <w:rsid w:val="00A808A3"/>
    <w:rsid w:val="00A81D37"/>
    <w:rsid w:val="00A84FEE"/>
    <w:rsid w:val="00A90272"/>
    <w:rsid w:val="00A91627"/>
    <w:rsid w:val="00A92733"/>
    <w:rsid w:val="00A92903"/>
    <w:rsid w:val="00A9348F"/>
    <w:rsid w:val="00A96632"/>
    <w:rsid w:val="00AA0BED"/>
    <w:rsid w:val="00AA59AB"/>
    <w:rsid w:val="00AA6710"/>
    <w:rsid w:val="00AA7A81"/>
    <w:rsid w:val="00AB199B"/>
    <w:rsid w:val="00AB2B93"/>
    <w:rsid w:val="00AB58E1"/>
    <w:rsid w:val="00AB7340"/>
    <w:rsid w:val="00AB7929"/>
    <w:rsid w:val="00AB7E5B"/>
    <w:rsid w:val="00AC1A7B"/>
    <w:rsid w:val="00AC1EC8"/>
    <w:rsid w:val="00AC4C2D"/>
    <w:rsid w:val="00AC6AB1"/>
    <w:rsid w:val="00AD0F94"/>
    <w:rsid w:val="00AD7098"/>
    <w:rsid w:val="00AD75A6"/>
    <w:rsid w:val="00AE0E67"/>
    <w:rsid w:val="00AE0EF1"/>
    <w:rsid w:val="00AE183B"/>
    <w:rsid w:val="00AE2937"/>
    <w:rsid w:val="00AE3AEA"/>
    <w:rsid w:val="00AF45D5"/>
    <w:rsid w:val="00AF60E9"/>
    <w:rsid w:val="00AF6AA8"/>
    <w:rsid w:val="00AF7240"/>
    <w:rsid w:val="00AF7905"/>
    <w:rsid w:val="00AF7A6A"/>
    <w:rsid w:val="00B00C26"/>
    <w:rsid w:val="00B03393"/>
    <w:rsid w:val="00B03954"/>
    <w:rsid w:val="00B03FE6"/>
    <w:rsid w:val="00B05041"/>
    <w:rsid w:val="00B050D1"/>
    <w:rsid w:val="00B0679D"/>
    <w:rsid w:val="00B07301"/>
    <w:rsid w:val="00B0763A"/>
    <w:rsid w:val="00B10CB2"/>
    <w:rsid w:val="00B1160A"/>
    <w:rsid w:val="00B1220E"/>
    <w:rsid w:val="00B13058"/>
    <w:rsid w:val="00B224DE"/>
    <w:rsid w:val="00B2483B"/>
    <w:rsid w:val="00B250FE"/>
    <w:rsid w:val="00B30836"/>
    <w:rsid w:val="00B32E7A"/>
    <w:rsid w:val="00B336B7"/>
    <w:rsid w:val="00B33B80"/>
    <w:rsid w:val="00B35EB1"/>
    <w:rsid w:val="00B40CE9"/>
    <w:rsid w:val="00B4257D"/>
    <w:rsid w:val="00B46575"/>
    <w:rsid w:val="00B46886"/>
    <w:rsid w:val="00B47277"/>
    <w:rsid w:val="00B52229"/>
    <w:rsid w:val="00B624E1"/>
    <w:rsid w:val="00B659AE"/>
    <w:rsid w:val="00B65CB2"/>
    <w:rsid w:val="00B707CF"/>
    <w:rsid w:val="00B71EC5"/>
    <w:rsid w:val="00B771D8"/>
    <w:rsid w:val="00B8071C"/>
    <w:rsid w:val="00B81CFB"/>
    <w:rsid w:val="00B839B8"/>
    <w:rsid w:val="00B84BBD"/>
    <w:rsid w:val="00B867C9"/>
    <w:rsid w:val="00B86C42"/>
    <w:rsid w:val="00B87B4B"/>
    <w:rsid w:val="00B90A9D"/>
    <w:rsid w:val="00B91543"/>
    <w:rsid w:val="00B922DC"/>
    <w:rsid w:val="00B9237F"/>
    <w:rsid w:val="00B93915"/>
    <w:rsid w:val="00B93AB8"/>
    <w:rsid w:val="00B97AAB"/>
    <w:rsid w:val="00BA0883"/>
    <w:rsid w:val="00BA249D"/>
    <w:rsid w:val="00BA2D62"/>
    <w:rsid w:val="00BA43FB"/>
    <w:rsid w:val="00BA5AE2"/>
    <w:rsid w:val="00BA6856"/>
    <w:rsid w:val="00BA6FF2"/>
    <w:rsid w:val="00BB109E"/>
    <w:rsid w:val="00BB3FB8"/>
    <w:rsid w:val="00BB50AB"/>
    <w:rsid w:val="00BB60F3"/>
    <w:rsid w:val="00BC127D"/>
    <w:rsid w:val="00BC1A43"/>
    <w:rsid w:val="00BC1FE6"/>
    <w:rsid w:val="00BC31FF"/>
    <w:rsid w:val="00BC5EE5"/>
    <w:rsid w:val="00BD3549"/>
    <w:rsid w:val="00BE1428"/>
    <w:rsid w:val="00BE2C0C"/>
    <w:rsid w:val="00BE5C04"/>
    <w:rsid w:val="00BE66B1"/>
    <w:rsid w:val="00BE7282"/>
    <w:rsid w:val="00BE7C63"/>
    <w:rsid w:val="00BF294D"/>
    <w:rsid w:val="00C0436C"/>
    <w:rsid w:val="00C04B80"/>
    <w:rsid w:val="00C0579C"/>
    <w:rsid w:val="00C061B6"/>
    <w:rsid w:val="00C13703"/>
    <w:rsid w:val="00C16451"/>
    <w:rsid w:val="00C17567"/>
    <w:rsid w:val="00C203B3"/>
    <w:rsid w:val="00C209D9"/>
    <w:rsid w:val="00C2228D"/>
    <w:rsid w:val="00C23E2D"/>
    <w:rsid w:val="00C2446C"/>
    <w:rsid w:val="00C2491C"/>
    <w:rsid w:val="00C24EB3"/>
    <w:rsid w:val="00C26B14"/>
    <w:rsid w:val="00C27138"/>
    <w:rsid w:val="00C279D1"/>
    <w:rsid w:val="00C27ED3"/>
    <w:rsid w:val="00C30BC8"/>
    <w:rsid w:val="00C318AA"/>
    <w:rsid w:val="00C32CC0"/>
    <w:rsid w:val="00C33374"/>
    <w:rsid w:val="00C35341"/>
    <w:rsid w:val="00C369CC"/>
    <w:rsid w:val="00C36AE5"/>
    <w:rsid w:val="00C370F0"/>
    <w:rsid w:val="00C4007C"/>
    <w:rsid w:val="00C4117C"/>
    <w:rsid w:val="00C41F17"/>
    <w:rsid w:val="00C4301A"/>
    <w:rsid w:val="00C431BE"/>
    <w:rsid w:val="00C44B11"/>
    <w:rsid w:val="00C4536E"/>
    <w:rsid w:val="00C460DB"/>
    <w:rsid w:val="00C516E2"/>
    <w:rsid w:val="00C51D44"/>
    <w:rsid w:val="00C5280D"/>
    <w:rsid w:val="00C53563"/>
    <w:rsid w:val="00C54133"/>
    <w:rsid w:val="00C54693"/>
    <w:rsid w:val="00C56F66"/>
    <w:rsid w:val="00C5791C"/>
    <w:rsid w:val="00C60520"/>
    <w:rsid w:val="00C61584"/>
    <w:rsid w:val="00C6205E"/>
    <w:rsid w:val="00C624EE"/>
    <w:rsid w:val="00C631CF"/>
    <w:rsid w:val="00C651CE"/>
    <w:rsid w:val="00C66290"/>
    <w:rsid w:val="00C67712"/>
    <w:rsid w:val="00C72B7A"/>
    <w:rsid w:val="00C7436F"/>
    <w:rsid w:val="00C74837"/>
    <w:rsid w:val="00C77BC6"/>
    <w:rsid w:val="00C8040E"/>
    <w:rsid w:val="00C80B9C"/>
    <w:rsid w:val="00C82CDF"/>
    <w:rsid w:val="00C948BC"/>
    <w:rsid w:val="00C95616"/>
    <w:rsid w:val="00C97334"/>
    <w:rsid w:val="00C973F2"/>
    <w:rsid w:val="00C97A00"/>
    <w:rsid w:val="00CA1C43"/>
    <w:rsid w:val="00CA304C"/>
    <w:rsid w:val="00CA4DA2"/>
    <w:rsid w:val="00CA6F02"/>
    <w:rsid w:val="00CA774A"/>
    <w:rsid w:val="00CA7E8F"/>
    <w:rsid w:val="00CB0CD5"/>
    <w:rsid w:val="00CB1B5E"/>
    <w:rsid w:val="00CB5AF7"/>
    <w:rsid w:val="00CB641C"/>
    <w:rsid w:val="00CC022F"/>
    <w:rsid w:val="00CC11B0"/>
    <w:rsid w:val="00CC2BA2"/>
    <w:rsid w:val="00CD0490"/>
    <w:rsid w:val="00CD68BB"/>
    <w:rsid w:val="00CD6C7A"/>
    <w:rsid w:val="00CD72D4"/>
    <w:rsid w:val="00CE17EB"/>
    <w:rsid w:val="00CE2216"/>
    <w:rsid w:val="00CE2AE7"/>
    <w:rsid w:val="00CE3CEF"/>
    <w:rsid w:val="00CE5FD0"/>
    <w:rsid w:val="00CE6E46"/>
    <w:rsid w:val="00CE77F1"/>
    <w:rsid w:val="00CF6624"/>
    <w:rsid w:val="00CF7E36"/>
    <w:rsid w:val="00D00790"/>
    <w:rsid w:val="00D03064"/>
    <w:rsid w:val="00D03E85"/>
    <w:rsid w:val="00D03F81"/>
    <w:rsid w:val="00D0400F"/>
    <w:rsid w:val="00D04780"/>
    <w:rsid w:val="00D04BEC"/>
    <w:rsid w:val="00D04EA8"/>
    <w:rsid w:val="00D05BC6"/>
    <w:rsid w:val="00D06A3D"/>
    <w:rsid w:val="00D12972"/>
    <w:rsid w:val="00D14973"/>
    <w:rsid w:val="00D24022"/>
    <w:rsid w:val="00D248CF"/>
    <w:rsid w:val="00D25292"/>
    <w:rsid w:val="00D26E49"/>
    <w:rsid w:val="00D26EFC"/>
    <w:rsid w:val="00D271F8"/>
    <w:rsid w:val="00D31043"/>
    <w:rsid w:val="00D31458"/>
    <w:rsid w:val="00D33653"/>
    <w:rsid w:val="00D339E8"/>
    <w:rsid w:val="00D344A9"/>
    <w:rsid w:val="00D358A8"/>
    <w:rsid w:val="00D369F5"/>
    <w:rsid w:val="00D3708D"/>
    <w:rsid w:val="00D3715A"/>
    <w:rsid w:val="00D40426"/>
    <w:rsid w:val="00D41EFA"/>
    <w:rsid w:val="00D4258C"/>
    <w:rsid w:val="00D44522"/>
    <w:rsid w:val="00D45E3B"/>
    <w:rsid w:val="00D4720D"/>
    <w:rsid w:val="00D51065"/>
    <w:rsid w:val="00D51B2A"/>
    <w:rsid w:val="00D53647"/>
    <w:rsid w:val="00D55C44"/>
    <w:rsid w:val="00D55F8E"/>
    <w:rsid w:val="00D567E9"/>
    <w:rsid w:val="00D56822"/>
    <w:rsid w:val="00D57C96"/>
    <w:rsid w:val="00D602B2"/>
    <w:rsid w:val="00D637AF"/>
    <w:rsid w:val="00D64853"/>
    <w:rsid w:val="00D64A5E"/>
    <w:rsid w:val="00D64A65"/>
    <w:rsid w:val="00D67C1F"/>
    <w:rsid w:val="00D72AEF"/>
    <w:rsid w:val="00D74A61"/>
    <w:rsid w:val="00D75B45"/>
    <w:rsid w:val="00D774B4"/>
    <w:rsid w:val="00D805DF"/>
    <w:rsid w:val="00D823C0"/>
    <w:rsid w:val="00D84E23"/>
    <w:rsid w:val="00D87B68"/>
    <w:rsid w:val="00D91203"/>
    <w:rsid w:val="00D9331A"/>
    <w:rsid w:val="00D938AD"/>
    <w:rsid w:val="00D9514D"/>
    <w:rsid w:val="00D95174"/>
    <w:rsid w:val="00D97885"/>
    <w:rsid w:val="00DA3097"/>
    <w:rsid w:val="00DA6F36"/>
    <w:rsid w:val="00DA7E69"/>
    <w:rsid w:val="00DB0501"/>
    <w:rsid w:val="00DB418A"/>
    <w:rsid w:val="00DB5615"/>
    <w:rsid w:val="00DB596E"/>
    <w:rsid w:val="00DB5A46"/>
    <w:rsid w:val="00DB5F77"/>
    <w:rsid w:val="00DB7293"/>
    <w:rsid w:val="00DB7D8A"/>
    <w:rsid w:val="00DC00EA"/>
    <w:rsid w:val="00DC0509"/>
    <w:rsid w:val="00DC0939"/>
    <w:rsid w:val="00DC2968"/>
    <w:rsid w:val="00DC39ED"/>
    <w:rsid w:val="00DC5FDD"/>
    <w:rsid w:val="00DC744E"/>
    <w:rsid w:val="00DD16BA"/>
    <w:rsid w:val="00DD236B"/>
    <w:rsid w:val="00DD63D9"/>
    <w:rsid w:val="00DE2D28"/>
    <w:rsid w:val="00DF71A8"/>
    <w:rsid w:val="00DF7B98"/>
    <w:rsid w:val="00E01686"/>
    <w:rsid w:val="00E02E99"/>
    <w:rsid w:val="00E10597"/>
    <w:rsid w:val="00E11464"/>
    <w:rsid w:val="00E11469"/>
    <w:rsid w:val="00E14ED9"/>
    <w:rsid w:val="00E15270"/>
    <w:rsid w:val="00E16C19"/>
    <w:rsid w:val="00E17122"/>
    <w:rsid w:val="00E171B4"/>
    <w:rsid w:val="00E20DAB"/>
    <w:rsid w:val="00E20FFA"/>
    <w:rsid w:val="00E220A0"/>
    <w:rsid w:val="00E222D4"/>
    <w:rsid w:val="00E22FEE"/>
    <w:rsid w:val="00E25F4D"/>
    <w:rsid w:val="00E2726B"/>
    <w:rsid w:val="00E303BA"/>
    <w:rsid w:val="00E30D75"/>
    <w:rsid w:val="00E32F7E"/>
    <w:rsid w:val="00E3435B"/>
    <w:rsid w:val="00E34398"/>
    <w:rsid w:val="00E42660"/>
    <w:rsid w:val="00E429EF"/>
    <w:rsid w:val="00E43AD5"/>
    <w:rsid w:val="00E444E9"/>
    <w:rsid w:val="00E47A2D"/>
    <w:rsid w:val="00E5159F"/>
    <w:rsid w:val="00E51D87"/>
    <w:rsid w:val="00E51EB6"/>
    <w:rsid w:val="00E52C69"/>
    <w:rsid w:val="00E55F2A"/>
    <w:rsid w:val="00E628A1"/>
    <w:rsid w:val="00E67299"/>
    <w:rsid w:val="00E70626"/>
    <w:rsid w:val="00E7086D"/>
    <w:rsid w:val="00E72D49"/>
    <w:rsid w:val="00E738C6"/>
    <w:rsid w:val="00E73C7D"/>
    <w:rsid w:val="00E73F62"/>
    <w:rsid w:val="00E7593C"/>
    <w:rsid w:val="00E7678A"/>
    <w:rsid w:val="00E806AA"/>
    <w:rsid w:val="00E8566D"/>
    <w:rsid w:val="00E90D9A"/>
    <w:rsid w:val="00E91EB9"/>
    <w:rsid w:val="00E92CEE"/>
    <w:rsid w:val="00E935F1"/>
    <w:rsid w:val="00E94A81"/>
    <w:rsid w:val="00E9542C"/>
    <w:rsid w:val="00E979EE"/>
    <w:rsid w:val="00E97A50"/>
    <w:rsid w:val="00E97DD5"/>
    <w:rsid w:val="00EA1FFB"/>
    <w:rsid w:val="00EA2862"/>
    <w:rsid w:val="00EA6404"/>
    <w:rsid w:val="00EA65F0"/>
    <w:rsid w:val="00EB048E"/>
    <w:rsid w:val="00EB27B4"/>
    <w:rsid w:val="00EB3534"/>
    <w:rsid w:val="00EC03AE"/>
    <w:rsid w:val="00EC30F1"/>
    <w:rsid w:val="00EC40E4"/>
    <w:rsid w:val="00EC4135"/>
    <w:rsid w:val="00EC4B84"/>
    <w:rsid w:val="00EC5566"/>
    <w:rsid w:val="00EC6241"/>
    <w:rsid w:val="00ED14D6"/>
    <w:rsid w:val="00ED151E"/>
    <w:rsid w:val="00ED1548"/>
    <w:rsid w:val="00ED50F0"/>
    <w:rsid w:val="00ED7F3D"/>
    <w:rsid w:val="00EE2E7B"/>
    <w:rsid w:val="00EE3140"/>
    <w:rsid w:val="00EE34DF"/>
    <w:rsid w:val="00EE5422"/>
    <w:rsid w:val="00EE5A36"/>
    <w:rsid w:val="00EE66C5"/>
    <w:rsid w:val="00EE7E8C"/>
    <w:rsid w:val="00EF02A5"/>
    <w:rsid w:val="00EF2F89"/>
    <w:rsid w:val="00EF4A62"/>
    <w:rsid w:val="00EF7168"/>
    <w:rsid w:val="00EF7331"/>
    <w:rsid w:val="00EF77F9"/>
    <w:rsid w:val="00EF7D8B"/>
    <w:rsid w:val="00F005EB"/>
    <w:rsid w:val="00F00638"/>
    <w:rsid w:val="00F01DB5"/>
    <w:rsid w:val="00F01DDE"/>
    <w:rsid w:val="00F05759"/>
    <w:rsid w:val="00F06684"/>
    <w:rsid w:val="00F0772D"/>
    <w:rsid w:val="00F1044C"/>
    <w:rsid w:val="00F10ED4"/>
    <w:rsid w:val="00F11B56"/>
    <w:rsid w:val="00F1237A"/>
    <w:rsid w:val="00F12AD8"/>
    <w:rsid w:val="00F15A20"/>
    <w:rsid w:val="00F16ED6"/>
    <w:rsid w:val="00F20332"/>
    <w:rsid w:val="00F21495"/>
    <w:rsid w:val="00F21869"/>
    <w:rsid w:val="00F22CBD"/>
    <w:rsid w:val="00F23232"/>
    <w:rsid w:val="00F27049"/>
    <w:rsid w:val="00F30F7D"/>
    <w:rsid w:val="00F3121E"/>
    <w:rsid w:val="00F31563"/>
    <w:rsid w:val="00F32A35"/>
    <w:rsid w:val="00F33662"/>
    <w:rsid w:val="00F35119"/>
    <w:rsid w:val="00F415CE"/>
    <w:rsid w:val="00F45372"/>
    <w:rsid w:val="00F46F7B"/>
    <w:rsid w:val="00F47916"/>
    <w:rsid w:val="00F524AF"/>
    <w:rsid w:val="00F52F87"/>
    <w:rsid w:val="00F55958"/>
    <w:rsid w:val="00F560F7"/>
    <w:rsid w:val="00F56C99"/>
    <w:rsid w:val="00F622E6"/>
    <w:rsid w:val="00F6334D"/>
    <w:rsid w:val="00F63C0F"/>
    <w:rsid w:val="00F641A2"/>
    <w:rsid w:val="00F70D8E"/>
    <w:rsid w:val="00F70E80"/>
    <w:rsid w:val="00F73675"/>
    <w:rsid w:val="00F76B7C"/>
    <w:rsid w:val="00F80602"/>
    <w:rsid w:val="00F814CE"/>
    <w:rsid w:val="00F839E1"/>
    <w:rsid w:val="00F91AE0"/>
    <w:rsid w:val="00F953BE"/>
    <w:rsid w:val="00F95EE6"/>
    <w:rsid w:val="00F96328"/>
    <w:rsid w:val="00FA0073"/>
    <w:rsid w:val="00FA0B55"/>
    <w:rsid w:val="00FA49AB"/>
    <w:rsid w:val="00FA6725"/>
    <w:rsid w:val="00FA758F"/>
    <w:rsid w:val="00FB080B"/>
    <w:rsid w:val="00FB13A9"/>
    <w:rsid w:val="00FB36EB"/>
    <w:rsid w:val="00FB4E78"/>
    <w:rsid w:val="00FC088F"/>
    <w:rsid w:val="00FC2942"/>
    <w:rsid w:val="00FC56A7"/>
    <w:rsid w:val="00FC5713"/>
    <w:rsid w:val="00FC71B9"/>
    <w:rsid w:val="00FC7873"/>
    <w:rsid w:val="00FD021B"/>
    <w:rsid w:val="00FD03ED"/>
    <w:rsid w:val="00FD645F"/>
    <w:rsid w:val="00FD7233"/>
    <w:rsid w:val="00FD7720"/>
    <w:rsid w:val="00FE0FFC"/>
    <w:rsid w:val="00FE39C7"/>
    <w:rsid w:val="00FE3D3A"/>
    <w:rsid w:val="00FE6F8D"/>
    <w:rsid w:val="00FF13A4"/>
    <w:rsid w:val="00FF3208"/>
    <w:rsid w:val="00FF3FD8"/>
    <w:rsid w:val="00FF4E15"/>
    <w:rsid w:val="00FF5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703E"/>
    <w:pPr>
      <w:jc w:val="both"/>
    </w:pPr>
    <w:rPr>
      <w:rFonts w:ascii="Arial" w:hAnsi="Arial"/>
    </w:rPr>
  </w:style>
  <w:style w:type="paragraph" w:styleId="Heading1">
    <w:name w:val="heading 1"/>
    <w:next w:val="Normal"/>
    <w:autoRedefine/>
    <w:qFormat/>
    <w:rsid w:val="002D6F42"/>
    <w:pPr>
      <w:keepNext/>
      <w:jc w:val="both"/>
      <w:outlineLvl w:val="0"/>
    </w:pPr>
    <w:rPr>
      <w:rFonts w:ascii="Arial" w:hAnsi="Arial"/>
      <w:caps/>
    </w:rPr>
  </w:style>
  <w:style w:type="paragraph" w:styleId="Heading2">
    <w:name w:val="heading 2"/>
    <w:next w:val="Normal"/>
    <w:autoRedefine/>
    <w:qFormat/>
    <w:rsid w:val="002D6F42"/>
    <w:pPr>
      <w:keepNext/>
      <w:jc w:val="both"/>
      <w:outlineLvl w:val="1"/>
    </w:pPr>
    <w:rPr>
      <w:rFonts w:ascii="Arial" w:hAnsi="Arial"/>
      <w:u w:val="single"/>
    </w:rPr>
  </w:style>
  <w:style w:type="paragraph" w:styleId="Heading3">
    <w:name w:val="heading 3"/>
    <w:next w:val="Normal"/>
    <w:link w:val="Heading3Char"/>
    <w:autoRedefine/>
    <w:qFormat/>
    <w:rsid w:val="0000674F"/>
    <w:pPr>
      <w:keepNext/>
      <w:ind w:left="567" w:hanging="567"/>
      <w:jc w:val="both"/>
      <w:outlineLvl w:val="2"/>
    </w:pPr>
    <w:rPr>
      <w:rFonts w:ascii="Arial" w:hAnsi="Arial"/>
      <w:b/>
      <w:caps/>
      <w:sz w:val="18"/>
    </w:rPr>
  </w:style>
  <w:style w:type="paragraph" w:styleId="Heading4">
    <w:name w:val="heading 4"/>
    <w:next w:val="Normal"/>
    <w:autoRedefine/>
    <w:qFormat/>
    <w:rsid w:val="00CE77F1"/>
    <w:pPr>
      <w:keepNext/>
      <w:ind w:left="567" w:hanging="567"/>
      <w:jc w:val="both"/>
      <w:outlineLvl w:val="3"/>
    </w:pPr>
    <w:rPr>
      <w:rFonts w:ascii="Arial" w:hAnsi="Arial"/>
      <w:b/>
      <w:smallCaps/>
    </w:rPr>
  </w:style>
  <w:style w:type="paragraph" w:styleId="Heading5">
    <w:name w:val="heading 5"/>
    <w:next w:val="Normal"/>
    <w:link w:val="Heading5Char"/>
    <w:autoRedefine/>
    <w:qFormat/>
    <w:rsid w:val="002D6F42"/>
    <w:pPr>
      <w:keepNext/>
      <w:jc w:val="both"/>
      <w:outlineLvl w:val="4"/>
    </w:pPr>
    <w:rPr>
      <w:rFonts w:ascii="Arial" w:hAnsi="Arial"/>
      <w:b/>
      <w:sz w:val="18"/>
    </w:rPr>
  </w:style>
  <w:style w:type="paragraph" w:styleId="Heading6">
    <w:name w:val="heading 6"/>
    <w:basedOn w:val="Normal"/>
    <w:next w:val="Normal"/>
    <w:link w:val="Heading6Char"/>
    <w:autoRedefine/>
    <w:qFormat/>
    <w:rsid w:val="00D33653"/>
    <w:pPr>
      <w:jc w:val="left"/>
      <w:outlineLvl w:val="5"/>
    </w:pPr>
    <w:rPr>
      <w:bCs/>
      <w:caps/>
      <w:sz w:val="18"/>
      <w:szCs w:val="22"/>
    </w:rPr>
  </w:style>
  <w:style w:type="paragraph" w:styleId="Heading7">
    <w:name w:val="heading 7"/>
    <w:basedOn w:val="Normal"/>
    <w:next w:val="Normal"/>
    <w:link w:val="Heading7Char"/>
    <w:autoRedefine/>
    <w:qFormat/>
    <w:rsid w:val="002D6F42"/>
    <w:pPr>
      <w:spacing w:after="240"/>
      <w:outlineLvl w:val="6"/>
    </w:pPr>
    <w:rPr>
      <w:b/>
      <w:sz w:val="18"/>
      <w:szCs w:val="24"/>
    </w:rPr>
  </w:style>
  <w:style w:type="paragraph" w:styleId="Heading8">
    <w:name w:val="heading 8"/>
    <w:basedOn w:val="Normal"/>
    <w:next w:val="Normal"/>
    <w:link w:val="Heading8Char"/>
    <w:qFormat/>
    <w:rsid w:val="00297FD2"/>
    <w:pPr>
      <w:spacing w:after="240"/>
      <w:jc w:val="left"/>
      <w:outlineLvl w:val="7"/>
    </w:pPr>
    <w:rPr>
      <w:iCs/>
      <w:sz w:val="18"/>
      <w:szCs w:val="24"/>
      <w:u w:val="single"/>
    </w:rPr>
  </w:style>
  <w:style w:type="paragraph" w:styleId="Heading9">
    <w:name w:val="heading 9"/>
    <w:basedOn w:val="Normal"/>
    <w:next w:val="Normal"/>
    <w:link w:val="Heading9Char"/>
    <w:qFormat/>
    <w:rsid w:val="002D6F42"/>
    <w:pPr>
      <w:keepNext/>
      <w:spacing w:after="240"/>
      <w:jc w:val="center"/>
      <w:outlineLvl w:val="8"/>
    </w:pPr>
    <w:rPr>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2D6F42"/>
    <w:pPr>
      <w:tabs>
        <w:tab w:val="center" w:pos="4536"/>
        <w:tab w:val="right" w:pos="9072"/>
      </w:tabs>
      <w:jc w:val="center"/>
    </w:pPr>
    <w:rPr>
      <w:rFonts w:ascii="Arial" w:hAnsi="Arial"/>
      <w:lang w:val="fr-FR"/>
    </w:rPr>
  </w:style>
  <w:style w:type="paragraph" w:styleId="Footer">
    <w:name w:val="footer"/>
    <w:aliases w:val="doc_path_name"/>
    <w:autoRedefine/>
    <w:rsid w:val="002D6F42"/>
    <w:pPr>
      <w:jc w:val="both"/>
    </w:pPr>
    <w:rPr>
      <w:rFonts w:ascii="Arial" w:hAnsi="Arial"/>
      <w:sz w:val="14"/>
    </w:rPr>
  </w:style>
  <w:style w:type="character" w:styleId="PageNumber">
    <w:name w:val="page number"/>
    <w:basedOn w:val="DefaultParagraphFont"/>
    <w:rsid w:val="002D6F42"/>
    <w:rPr>
      <w:rFonts w:ascii="Arial" w:hAnsi="Arial"/>
      <w:sz w:val="20"/>
    </w:rPr>
  </w:style>
  <w:style w:type="paragraph" w:styleId="Title">
    <w:name w:val="Title"/>
    <w:basedOn w:val="Normal"/>
    <w:qFormat/>
    <w:rsid w:val="002D6F42"/>
    <w:pPr>
      <w:spacing w:after="300"/>
      <w:jc w:val="center"/>
    </w:pPr>
    <w:rPr>
      <w:b/>
      <w:caps/>
      <w:kern w:val="28"/>
      <w:sz w:val="30"/>
    </w:rPr>
  </w:style>
  <w:style w:type="paragraph" w:customStyle="1" w:styleId="preparedby">
    <w:name w:val="preparedby"/>
    <w:basedOn w:val="Normal"/>
    <w:next w:val="Normal"/>
    <w:semiHidden/>
    <w:rsid w:val="002D6F42"/>
    <w:pPr>
      <w:spacing w:after="600"/>
      <w:jc w:val="center"/>
    </w:pPr>
    <w:rPr>
      <w:i/>
    </w:rPr>
  </w:style>
  <w:style w:type="paragraph" w:customStyle="1" w:styleId="Docoriginal">
    <w:name w:val="Doc_original"/>
    <w:basedOn w:val="Normal"/>
    <w:link w:val="DocoriginalChar"/>
    <w:rsid w:val="002D6F42"/>
    <w:pPr>
      <w:spacing w:line="280" w:lineRule="exact"/>
      <w:ind w:left="1361"/>
    </w:pPr>
    <w:rPr>
      <w:b/>
      <w:bCs/>
      <w:spacing w:val="10"/>
    </w:rPr>
  </w:style>
  <w:style w:type="paragraph" w:customStyle="1" w:styleId="DecisionParagraphs">
    <w:name w:val="DecisionParagraphs"/>
    <w:basedOn w:val="Normal"/>
    <w:link w:val="DecisionParagraphsChar"/>
    <w:rsid w:val="002D6F42"/>
    <w:pPr>
      <w:tabs>
        <w:tab w:val="left" w:pos="5387"/>
      </w:tabs>
      <w:ind w:left="4820"/>
    </w:pPr>
    <w:rPr>
      <w:i/>
    </w:rPr>
  </w:style>
  <w:style w:type="paragraph" w:styleId="FootnoteText">
    <w:name w:val="footnote text"/>
    <w:aliases w:val="fn,Geneva 9,Font: Geneva 9,Boston 10,f,ft,Fotnotstext Char,ft Char,single space,footnote text,FOOTNOTES,ADB,single space1,footnote text1,FOOTNOTES1,fn1,ADB1,single space2"/>
    <w:link w:val="FootnoteTextChar"/>
    <w:rsid w:val="002D6F42"/>
    <w:pPr>
      <w:tabs>
        <w:tab w:val="left" w:pos="284"/>
      </w:tabs>
      <w:spacing w:before="60"/>
      <w:ind w:left="284" w:hanging="284"/>
      <w:jc w:val="both"/>
    </w:pPr>
    <w:rPr>
      <w:rFonts w:ascii="Arial" w:hAnsi="Arial"/>
      <w:sz w:val="16"/>
    </w:rPr>
  </w:style>
  <w:style w:type="character" w:styleId="FootnoteReference">
    <w:name w:val="footnote reference"/>
    <w:basedOn w:val="DefaultParagraphFont"/>
    <w:rsid w:val="002D6F42"/>
    <w:rPr>
      <w:rFonts w:ascii="Arial" w:hAnsi="Arial"/>
      <w:sz w:val="16"/>
      <w:vertAlign w:val="superscript"/>
    </w:rPr>
  </w:style>
  <w:style w:type="paragraph" w:styleId="Closing">
    <w:name w:val="Closing"/>
    <w:basedOn w:val="Normal"/>
    <w:rsid w:val="002D6F42"/>
    <w:pPr>
      <w:ind w:left="4536"/>
      <w:jc w:val="center"/>
    </w:pPr>
  </w:style>
  <w:style w:type="paragraph" w:styleId="Index1">
    <w:name w:val="index 1"/>
    <w:basedOn w:val="Normal"/>
    <w:next w:val="Normal"/>
    <w:semiHidden/>
    <w:rsid w:val="002D6F42"/>
    <w:pPr>
      <w:tabs>
        <w:tab w:val="right" w:leader="dot" w:pos="9071"/>
      </w:tabs>
      <w:ind w:left="284" w:hanging="284"/>
    </w:pPr>
    <w:rPr>
      <w:sz w:val="24"/>
    </w:rPr>
  </w:style>
  <w:style w:type="paragraph" w:styleId="Index2">
    <w:name w:val="index 2"/>
    <w:basedOn w:val="Normal"/>
    <w:next w:val="Normal"/>
    <w:semiHidden/>
    <w:rsid w:val="002D6F42"/>
    <w:pPr>
      <w:tabs>
        <w:tab w:val="right" w:leader="dot" w:pos="9071"/>
      </w:tabs>
      <w:ind w:left="568" w:hanging="284"/>
    </w:pPr>
    <w:rPr>
      <w:sz w:val="24"/>
    </w:rPr>
  </w:style>
  <w:style w:type="paragraph" w:styleId="Index3">
    <w:name w:val="index 3"/>
    <w:basedOn w:val="Normal"/>
    <w:next w:val="Normal"/>
    <w:semiHidden/>
    <w:rsid w:val="002D6F42"/>
    <w:pPr>
      <w:tabs>
        <w:tab w:val="right" w:leader="dot" w:pos="9071"/>
      </w:tabs>
      <w:ind w:left="851" w:hanging="284"/>
    </w:pPr>
    <w:rPr>
      <w:sz w:val="24"/>
    </w:rPr>
  </w:style>
  <w:style w:type="paragraph" w:styleId="MacroText">
    <w:name w:val="macro"/>
    <w:semiHidden/>
    <w:rsid w:val="002D6F42"/>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2D6F42"/>
    <w:pPr>
      <w:ind w:left="4536"/>
      <w:jc w:val="center"/>
    </w:pPr>
  </w:style>
  <w:style w:type="character" w:customStyle="1" w:styleId="Doclang">
    <w:name w:val="Doc_lang"/>
    <w:basedOn w:val="DefaultParagraphFont"/>
    <w:rsid w:val="002D6F42"/>
    <w:rPr>
      <w:rFonts w:ascii="Arial" w:hAnsi="Arial"/>
      <w:sz w:val="20"/>
      <w:lang w:val="en-US"/>
    </w:rPr>
  </w:style>
  <w:style w:type="paragraph" w:customStyle="1" w:styleId="Session">
    <w:name w:val="Session"/>
    <w:basedOn w:val="Normal"/>
    <w:semiHidden/>
    <w:rsid w:val="002D6F42"/>
    <w:pPr>
      <w:spacing w:before="60"/>
      <w:jc w:val="center"/>
    </w:pPr>
    <w:rPr>
      <w:b/>
    </w:rPr>
  </w:style>
  <w:style w:type="paragraph" w:customStyle="1" w:styleId="Organizer">
    <w:name w:val="Organizer"/>
    <w:basedOn w:val="Normal"/>
    <w:semiHidden/>
    <w:rsid w:val="002D6F42"/>
    <w:pPr>
      <w:spacing w:after="600"/>
      <w:ind w:left="-993" w:right="-994"/>
      <w:jc w:val="center"/>
    </w:pPr>
    <w:rPr>
      <w:b/>
      <w:caps/>
      <w:kern w:val="26"/>
      <w:sz w:val="26"/>
    </w:rPr>
  </w:style>
  <w:style w:type="paragraph" w:styleId="BodyText">
    <w:name w:val="Body Text"/>
    <w:basedOn w:val="Normal"/>
    <w:link w:val="BodyTextChar"/>
    <w:rsid w:val="002D6F42"/>
  </w:style>
  <w:style w:type="paragraph" w:customStyle="1" w:styleId="StyleDocoriginalNotBold">
    <w:name w:val="Style Doc_original + Not Bold"/>
    <w:basedOn w:val="Docoriginal"/>
    <w:link w:val="StyleDocoriginalNotBoldChar"/>
    <w:autoRedefine/>
    <w:rsid w:val="002D6F42"/>
    <w:pPr>
      <w:ind w:left="1589"/>
      <w:jc w:val="left"/>
    </w:pPr>
  </w:style>
  <w:style w:type="paragraph" w:customStyle="1" w:styleId="upove">
    <w:name w:val="upov_e"/>
    <w:basedOn w:val="Normal"/>
    <w:rsid w:val="002D6F42"/>
    <w:pPr>
      <w:spacing w:before="60"/>
      <w:jc w:val="center"/>
    </w:pPr>
    <w:rPr>
      <w:b/>
      <w:bCs/>
      <w:spacing w:val="8"/>
      <w:sz w:val="24"/>
    </w:rPr>
  </w:style>
  <w:style w:type="paragraph" w:customStyle="1" w:styleId="TitleofDoc">
    <w:name w:val="Title of Doc"/>
    <w:basedOn w:val="Normal"/>
    <w:semiHidden/>
    <w:rsid w:val="002D6F42"/>
    <w:pPr>
      <w:spacing w:before="1200"/>
      <w:jc w:val="center"/>
    </w:pPr>
    <w:rPr>
      <w:caps/>
    </w:rPr>
  </w:style>
  <w:style w:type="paragraph" w:customStyle="1" w:styleId="preparedby0">
    <w:name w:val="prepared by"/>
    <w:basedOn w:val="Normal"/>
    <w:semiHidden/>
    <w:rsid w:val="002D6F42"/>
    <w:pPr>
      <w:spacing w:before="600" w:after="600"/>
      <w:jc w:val="center"/>
    </w:pPr>
    <w:rPr>
      <w:i/>
    </w:rPr>
  </w:style>
  <w:style w:type="paragraph" w:customStyle="1" w:styleId="PlaceAndDate">
    <w:name w:val="PlaceAndDate"/>
    <w:basedOn w:val="Session"/>
    <w:semiHidden/>
    <w:rsid w:val="002D6F42"/>
  </w:style>
  <w:style w:type="paragraph" w:styleId="EndnoteText">
    <w:name w:val="endnote text"/>
    <w:basedOn w:val="Normal"/>
    <w:semiHidden/>
    <w:rsid w:val="002D6F42"/>
  </w:style>
  <w:style w:type="character" w:styleId="EndnoteReference">
    <w:name w:val="endnote reference"/>
    <w:basedOn w:val="DefaultParagraphFont"/>
    <w:semiHidden/>
    <w:rsid w:val="002D6F42"/>
    <w:rPr>
      <w:vertAlign w:val="superscript"/>
    </w:rPr>
  </w:style>
  <w:style w:type="paragraph" w:customStyle="1" w:styleId="SessionMeetingPlace">
    <w:name w:val="Session_MeetingPlace"/>
    <w:basedOn w:val="Normal"/>
    <w:semiHidden/>
    <w:rsid w:val="002D6F42"/>
    <w:pPr>
      <w:spacing w:before="480"/>
      <w:jc w:val="center"/>
    </w:pPr>
    <w:rPr>
      <w:b/>
      <w:bCs/>
      <w:kern w:val="28"/>
      <w:sz w:val="24"/>
    </w:rPr>
  </w:style>
  <w:style w:type="paragraph" w:customStyle="1" w:styleId="Original">
    <w:name w:val="Original"/>
    <w:basedOn w:val="Normal"/>
    <w:semiHidden/>
    <w:rsid w:val="002D6F42"/>
    <w:pPr>
      <w:spacing w:before="60"/>
      <w:ind w:left="1276"/>
    </w:pPr>
    <w:rPr>
      <w:b/>
      <w:sz w:val="22"/>
    </w:rPr>
  </w:style>
  <w:style w:type="paragraph" w:styleId="Date">
    <w:name w:val="Date"/>
    <w:basedOn w:val="Normal"/>
    <w:semiHidden/>
    <w:rsid w:val="002D6F42"/>
    <w:pPr>
      <w:spacing w:line="340" w:lineRule="exact"/>
      <w:ind w:left="1276"/>
    </w:pPr>
    <w:rPr>
      <w:b/>
      <w:sz w:val="22"/>
    </w:rPr>
  </w:style>
  <w:style w:type="paragraph" w:customStyle="1" w:styleId="Code">
    <w:name w:val="Code"/>
    <w:basedOn w:val="Normal"/>
    <w:link w:val="CodeChar"/>
    <w:semiHidden/>
    <w:rsid w:val="002D6F42"/>
    <w:pPr>
      <w:spacing w:line="340" w:lineRule="atLeast"/>
      <w:ind w:left="1276"/>
    </w:pPr>
    <w:rPr>
      <w:b/>
      <w:bCs/>
      <w:spacing w:val="10"/>
    </w:rPr>
  </w:style>
  <w:style w:type="paragraph" w:customStyle="1" w:styleId="Country">
    <w:name w:val="Country"/>
    <w:basedOn w:val="Normal"/>
    <w:semiHidden/>
    <w:rsid w:val="002D6F42"/>
    <w:pPr>
      <w:spacing w:before="60" w:after="480"/>
      <w:jc w:val="center"/>
    </w:pPr>
  </w:style>
  <w:style w:type="paragraph" w:customStyle="1" w:styleId="Lettrine">
    <w:name w:val="Lettrine"/>
    <w:basedOn w:val="Normal"/>
    <w:rsid w:val="002D6F42"/>
    <w:pPr>
      <w:spacing w:after="120" w:line="340" w:lineRule="atLeast"/>
      <w:jc w:val="right"/>
    </w:pPr>
    <w:rPr>
      <w:b/>
      <w:bCs/>
      <w:sz w:val="56"/>
    </w:rPr>
  </w:style>
  <w:style w:type="paragraph" w:customStyle="1" w:styleId="LogoUPOV">
    <w:name w:val="LogoUPOV"/>
    <w:basedOn w:val="Normal"/>
    <w:rsid w:val="002D6F42"/>
    <w:pPr>
      <w:spacing w:before="720"/>
      <w:jc w:val="center"/>
    </w:pPr>
  </w:style>
  <w:style w:type="paragraph" w:customStyle="1" w:styleId="Sessiontc">
    <w:name w:val="Session_tc"/>
    <w:basedOn w:val="StyleSessionAllcaps"/>
    <w:rsid w:val="002D6F42"/>
    <w:pPr>
      <w:spacing w:before="240"/>
    </w:pPr>
  </w:style>
  <w:style w:type="paragraph" w:customStyle="1" w:styleId="TitreUpov">
    <w:name w:val="TitreUpov"/>
    <w:basedOn w:val="Normal"/>
    <w:semiHidden/>
    <w:rsid w:val="002D6F42"/>
    <w:pPr>
      <w:spacing w:before="60"/>
      <w:jc w:val="center"/>
    </w:pPr>
    <w:rPr>
      <w:b/>
      <w:sz w:val="24"/>
    </w:rPr>
  </w:style>
  <w:style w:type="paragraph" w:customStyle="1" w:styleId="StyleSessionAllcaps">
    <w:name w:val="Style Session + All caps"/>
    <w:basedOn w:val="Session"/>
    <w:semiHidden/>
    <w:rsid w:val="002D6F42"/>
    <w:pPr>
      <w:spacing w:before="480"/>
    </w:pPr>
    <w:rPr>
      <w:bCs/>
      <w:caps/>
      <w:kern w:val="28"/>
      <w:sz w:val="24"/>
    </w:rPr>
  </w:style>
  <w:style w:type="paragraph" w:customStyle="1" w:styleId="plcountry">
    <w:name w:val="plcountry"/>
    <w:basedOn w:val="Normal"/>
    <w:rsid w:val="002D6F42"/>
    <w:pPr>
      <w:keepNext/>
      <w:keepLines/>
      <w:spacing w:before="180" w:after="120"/>
      <w:jc w:val="left"/>
    </w:pPr>
    <w:rPr>
      <w:caps/>
      <w:noProof/>
      <w:snapToGrid w:val="0"/>
      <w:u w:val="single"/>
    </w:rPr>
  </w:style>
  <w:style w:type="paragraph" w:customStyle="1" w:styleId="pldetails">
    <w:name w:val="pldetails"/>
    <w:basedOn w:val="Normal"/>
    <w:rsid w:val="002D6F42"/>
    <w:pPr>
      <w:keepLines/>
      <w:spacing w:before="60" w:after="60"/>
      <w:jc w:val="left"/>
    </w:pPr>
    <w:rPr>
      <w:noProof/>
      <w:snapToGrid w:val="0"/>
    </w:rPr>
  </w:style>
  <w:style w:type="paragraph" w:customStyle="1" w:styleId="plheading">
    <w:name w:val="plheading"/>
    <w:basedOn w:val="Normal"/>
    <w:rsid w:val="002D6F42"/>
    <w:pPr>
      <w:keepNext/>
      <w:spacing w:before="480" w:after="120"/>
      <w:jc w:val="center"/>
    </w:pPr>
    <w:rPr>
      <w:caps/>
      <w:snapToGrid w:val="0"/>
      <w:u w:val="single"/>
    </w:rPr>
  </w:style>
  <w:style w:type="paragraph" w:customStyle="1" w:styleId="Sessiontcplacedate">
    <w:name w:val="Session_tc_place_date"/>
    <w:basedOn w:val="SessionMeetingPlace"/>
    <w:rsid w:val="002D6F42"/>
    <w:pPr>
      <w:spacing w:before="240"/>
    </w:pPr>
  </w:style>
  <w:style w:type="paragraph" w:customStyle="1" w:styleId="Titleofdoc0">
    <w:name w:val="Title_of_doc"/>
    <w:basedOn w:val="Normal"/>
    <w:rsid w:val="002D6F42"/>
    <w:pPr>
      <w:spacing w:before="600"/>
      <w:jc w:val="center"/>
    </w:pPr>
    <w:rPr>
      <w:caps/>
    </w:rPr>
  </w:style>
  <w:style w:type="paragraph" w:customStyle="1" w:styleId="preparedby1">
    <w:name w:val="prepared_by"/>
    <w:basedOn w:val="Normal"/>
    <w:rsid w:val="002D6F42"/>
    <w:pPr>
      <w:spacing w:before="240" w:after="600"/>
      <w:jc w:val="center"/>
    </w:pPr>
    <w:rPr>
      <w:i/>
    </w:rPr>
  </w:style>
  <w:style w:type="character" w:customStyle="1" w:styleId="CodeChar">
    <w:name w:val="Code Char"/>
    <w:basedOn w:val="DefaultParagraphFont"/>
    <w:link w:val="Code"/>
    <w:semiHidden/>
    <w:rsid w:val="002D6F42"/>
    <w:rPr>
      <w:rFonts w:ascii="Arial" w:hAnsi="Arial"/>
      <w:b/>
      <w:bCs/>
      <w:spacing w:val="10"/>
    </w:rPr>
  </w:style>
  <w:style w:type="paragraph" w:customStyle="1" w:styleId="endofdoc">
    <w:name w:val="end_of_doc"/>
    <w:autoRedefine/>
    <w:rsid w:val="002D6F42"/>
    <w:pPr>
      <w:spacing w:before="480"/>
      <w:ind w:left="567" w:hanging="567"/>
      <w:jc w:val="right"/>
    </w:pPr>
    <w:rPr>
      <w:rFonts w:ascii="Arial" w:hAnsi="Arial"/>
    </w:rPr>
  </w:style>
  <w:style w:type="character" w:customStyle="1" w:styleId="DocoriginalChar">
    <w:name w:val="Doc_original Char"/>
    <w:basedOn w:val="DefaultParagraphFont"/>
    <w:link w:val="Docoriginal"/>
    <w:rsid w:val="002D6F42"/>
    <w:rPr>
      <w:rFonts w:ascii="Arial" w:hAnsi="Arial"/>
      <w:b/>
      <w:bCs/>
      <w:spacing w:val="10"/>
    </w:rPr>
  </w:style>
  <w:style w:type="character" w:customStyle="1" w:styleId="StyleDocoriginalNotBoldChar">
    <w:name w:val="Style Doc_original + Not Bold Char"/>
    <w:basedOn w:val="DocoriginalChar"/>
    <w:link w:val="StyleDocoriginalNotBold"/>
    <w:rsid w:val="002D6F42"/>
    <w:rPr>
      <w:rFonts w:ascii="Arial" w:hAnsi="Arial"/>
      <w:b/>
      <w:bCs/>
      <w:spacing w:val="10"/>
    </w:rPr>
  </w:style>
  <w:style w:type="paragraph" w:customStyle="1" w:styleId="StyleDocnumber">
    <w:name w:val="Style Doc_number"/>
    <w:basedOn w:val="Docoriginal"/>
    <w:rsid w:val="002D6F42"/>
    <w:pPr>
      <w:ind w:left="1589"/>
    </w:pPr>
  </w:style>
  <w:style w:type="paragraph" w:customStyle="1" w:styleId="StyleDocoriginal">
    <w:name w:val="Style Doc_original"/>
    <w:basedOn w:val="Docoriginal"/>
    <w:link w:val="StyleDocoriginalChar"/>
    <w:rsid w:val="002D6F42"/>
  </w:style>
  <w:style w:type="character" w:customStyle="1" w:styleId="StyleDocoriginalChar">
    <w:name w:val="Style Doc_original Char"/>
    <w:basedOn w:val="DocoriginalChar"/>
    <w:link w:val="StyleDocoriginal"/>
    <w:rsid w:val="002D6F42"/>
    <w:rPr>
      <w:rFonts w:ascii="Arial" w:hAnsi="Arial"/>
      <w:b/>
      <w:bCs/>
      <w:spacing w:val="10"/>
    </w:rPr>
  </w:style>
  <w:style w:type="paragraph" w:customStyle="1" w:styleId="StyleStyleDocoriginalNotBoldNotBold">
    <w:name w:val="Style Style Doc_original + Not Bold + Not Bold"/>
    <w:basedOn w:val="StyleDocoriginalNotBold"/>
    <w:link w:val="StyleStyleDocoriginalNotBoldNotBoldChar"/>
    <w:rsid w:val="002D6F42"/>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2D6F42"/>
    <w:rPr>
      <w:rFonts w:ascii="Arial" w:hAnsi="Arial"/>
      <w:b w:val="0"/>
      <w:bCs w:val="0"/>
      <w:spacing w:val="10"/>
    </w:rPr>
  </w:style>
  <w:style w:type="character" w:customStyle="1" w:styleId="StyleDocoriginalNotBold1">
    <w:name w:val="Style Doc_original + Not Bold1"/>
    <w:basedOn w:val="DefaultParagraphFont"/>
    <w:rsid w:val="002D6F42"/>
    <w:rPr>
      <w:rFonts w:ascii="Arial" w:hAnsi="Arial"/>
      <w:b/>
      <w:bCs/>
      <w:spacing w:val="10"/>
      <w:lang w:val="en-US" w:eastAsia="en-US" w:bidi="ar-SA"/>
    </w:rPr>
  </w:style>
  <w:style w:type="character" w:customStyle="1" w:styleId="StyleDoclangBold">
    <w:name w:val="Style Doc_lang + Bold"/>
    <w:basedOn w:val="Doclang"/>
    <w:rsid w:val="002D6F42"/>
    <w:rPr>
      <w:rFonts w:ascii="Arial" w:hAnsi="Arial"/>
      <w:b/>
      <w:bCs/>
      <w:sz w:val="20"/>
      <w:lang w:val="en-US"/>
    </w:rPr>
  </w:style>
  <w:style w:type="paragraph" w:styleId="TOC2">
    <w:name w:val="toc 2"/>
    <w:next w:val="Normal"/>
    <w:autoRedefine/>
    <w:uiPriority w:val="39"/>
    <w:rsid w:val="002D6F42"/>
    <w:pPr>
      <w:tabs>
        <w:tab w:val="right" w:leader="dot" w:pos="9639"/>
      </w:tabs>
      <w:spacing w:before="120" w:after="120"/>
      <w:ind w:left="426" w:right="851"/>
      <w:contextualSpacing/>
    </w:pPr>
    <w:rPr>
      <w:rFonts w:ascii="Arial" w:hAnsi="Arial"/>
    </w:rPr>
  </w:style>
  <w:style w:type="paragraph" w:styleId="TOC3">
    <w:name w:val="toc 3"/>
    <w:next w:val="Normal"/>
    <w:autoRedefine/>
    <w:uiPriority w:val="39"/>
    <w:rsid w:val="002D6F42"/>
    <w:pPr>
      <w:tabs>
        <w:tab w:val="right" w:leader="dot" w:pos="9639"/>
      </w:tabs>
      <w:spacing w:before="120" w:after="80"/>
      <w:ind w:right="284"/>
    </w:pPr>
    <w:rPr>
      <w:rFonts w:ascii="Arial" w:hAnsi="Arial"/>
      <w:b/>
      <w:sz w:val="18"/>
      <w:lang w:val="fr-FR"/>
    </w:rPr>
  </w:style>
  <w:style w:type="character" w:styleId="Hyperlink">
    <w:name w:val="Hyperlink"/>
    <w:basedOn w:val="DefaultParagraphFont"/>
    <w:uiPriority w:val="99"/>
    <w:rsid w:val="002D6F42"/>
    <w:rPr>
      <w:rFonts w:ascii="Arial" w:hAnsi="Arial"/>
      <w:color w:val="0000FF"/>
      <w:u w:val="single"/>
    </w:rPr>
  </w:style>
  <w:style w:type="paragraph" w:styleId="TOC4">
    <w:name w:val="toc 4"/>
    <w:next w:val="Normal"/>
    <w:autoRedefine/>
    <w:uiPriority w:val="39"/>
    <w:rsid w:val="0034381C"/>
    <w:pPr>
      <w:tabs>
        <w:tab w:val="right" w:leader="dot" w:pos="9639"/>
      </w:tabs>
      <w:spacing w:before="40" w:after="80"/>
      <w:ind w:left="142" w:right="284"/>
    </w:pPr>
    <w:rPr>
      <w:rFonts w:ascii="Arial" w:hAnsi="Arial"/>
      <w:b/>
      <w:smallCaps/>
      <w:noProof/>
      <w:sz w:val="18"/>
      <w:lang w:val="fr-FR"/>
    </w:rPr>
  </w:style>
  <w:style w:type="paragraph" w:styleId="TOC1">
    <w:name w:val="toc 1"/>
    <w:next w:val="Normal"/>
    <w:autoRedefine/>
    <w:uiPriority w:val="39"/>
    <w:rsid w:val="002D6F42"/>
    <w:pPr>
      <w:tabs>
        <w:tab w:val="left" w:pos="426"/>
        <w:tab w:val="right" w:leader="dot" w:pos="9639"/>
      </w:tabs>
      <w:spacing w:before="120"/>
      <w:ind w:left="425" w:hanging="425"/>
    </w:pPr>
    <w:rPr>
      <w:rFonts w:ascii="Arial" w:hAnsi="Arial"/>
      <w:caps/>
    </w:rPr>
  </w:style>
  <w:style w:type="paragraph" w:styleId="TOC5">
    <w:name w:val="toc 5"/>
    <w:next w:val="Normal"/>
    <w:autoRedefine/>
    <w:uiPriority w:val="39"/>
    <w:rsid w:val="00297FD2"/>
    <w:pPr>
      <w:keepNext/>
      <w:tabs>
        <w:tab w:val="right" w:leader="dot" w:pos="9639"/>
      </w:tabs>
      <w:spacing w:before="40" w:after="40"/>
      <w:ind w:left="284" w:right="284"/>
      <w:jc w:val="both"/>
    </w:pPr>
    <w:rPr>
      <w:rFonts w:ascii="Arial" w:hAnsi="Arial"/>
      <w:b/>
      <w:noProof/>
      <w:sz w:val="18"/>
      <w:szCs w:val="18"/>
      <w:lang w:val="fr-FR"/>
    </w:rPr>
  </w:style>
  <w:style w:type="paragraph" w:styleId="BalloonText">
    <w:name w:val="Balloon Text"/>
    <w:basedOn w:val="Normal"/>
    <w:link w:val="BalloonTextChar"/>
    <w:rsid w:val="002D6F42"/>
    <w:rPr>
      <w:rFonts w:ascii="Tahoma" w:hAnsi="Tahoma" w:cs="Tahoma"/>
      <w:sz w:val="16"/>
      <w:szCs w:val="16"/>
    </w:rPr>
  </w:style>
  <w:style w:type="character" w:customStyle="1" w:styleId="BalloonTextChar">
    <w:name w:val="Balloon Text Char"/>
    <w:basedOn w:val="DefaultParagraphFont"/>
    <w:link w:val="BalloonText"/>
    <w:rsid w:val="002D6F42"/>
    <w:rPr>
      <w:rFonts w:ascii="Tahoma" w:hAnsi="Tahoma" w:cs="Tahoma"/>
      <w:sz w:val="16"/>
      <w:szCs w:val="16"/>
    </w:rPr>
  </w:style>
  <w:style w:type="table" w:styleId="TableGrid">
    <w:name w:val="Table Grid"/>
    <w:basedOn w:val="TableNormal"/>
    <w:rsid w:val="002D6F42"/>
    <w:rPr>
      <w:rFonts w:ascii="CG Times"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D6F42"/>
    <w:pPr>
      <w:ind w:left="720"/>
      <w:contextualSpacing/>
    </w:p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basedOn w:val="DefaultParagraphFont"/>
    <w:link w:val="FootnoteText"/>
    <w:rsid w:val="002D6F42"/>
    <w:rPr>
      <w:rFonts w:ascii="Arial" w:hAnsi="Arial"/>
      <w:sz w:val="16"/>
    </w:rPr>
  </w:style>
  <w:style w:type="character" w:customStyle="1" w:styleId="Heading6Char">
    <w:name w:val="Heading 6 Char"/>
    <w:basedOn w:val="DefaultParagraphFont"/>
    <w:link w:val="Heading6"/>
    <w:rsid w:val="00D33653"/>
    <w:rPr>
      <w:rFonts w:ascii="Arial" w:hAnsi="Arial"/>
      <w:bCs/>
      <w:caps/>
      <w:sz w:val="18"/>
      <w:szCs w:val="22"/>
    </w:rPr>
  </w:style>
  <w:style w:type="character" w:customStyle="1" w:styleId="Heading7Char">
    <w:name w:val="Heading 7 Char"/>
    <w:basedOn w:val="DefaultParagraphFont"/>
    <w:link w:val="Heading7"/>
    <w:rsid w:val="002D6F42"/>
    <w:rPr>
      <w:rFonts w:ascii="Arial" w:hAnsi="Arial"/>
      <w:b/>
      <w:sz w:val="18"/>
      <w:szCs w:val="24"/>
    </w:rPr>
  </w:style>
  <w:style w:type="character" w:customStyle="1" w:styleId="Heading8Char">
    <w:name w:val="Heading 8 Char"/>
    <w:basedOn w:val="DefaultParagraphFont"/>
    <w:link w:val="Heading8"/>
    <w:rsid w:val="00297FD2"/>
    <w:rPr>
      <w:rFonts w:ascii="Arial" w:hAnsi="Arial"/>
      <w:iCs/>
      <w:sz w:val="18"/>
      <w:szCs w:val="24"/>
      <w:u w:val="single"/>
    </w:rPr>
  </w:style>
  <w:style w:type="paragraph" w:styleId="TOC6">
    <w:name w:val="toc 6"/>
    <w:basedOn w:val="Normal"/>
    <w:next w:val="Normal"/>
    <w:autoRedefine/>
    <w:uiPriority w:val="39"/>
    <w:rsid w:val="008C1C5B"/>
    <w:pPr>
      <w:keepNext/>
      <w:tabs>
        <w:tab w:val="right" w:leader="dot" w:pos="9629"/>
      </w:tabs>
      <w:spacing w:before="40" w:after="40"/>
      <w:ind w:left="567" w:right="284"/>
      <w:jc w:val="left"/>
    </w:pPr>
    <w:rPr>
      <w:caps/>
      <w:noProof/>
      <w:sz w:val="18"/>
      <w:szCs w:val="18"/>
    </w:rPr>
  </w:style>
  <w:style w:type="paragraph" w:styleId="TOC7">
    <w:name w:val="toc 7"/>
    <w:basedOn w:val="Normal"/>
    <w:next w:val="Normal"/>
    <w:autoRedefine/>
    <w:uiPriority w:val="39"/>
    <w:rsid w:val="002D6F42"/>
    <w:pPr>
      <w:keepNext/>
      <w:tabs>
        <w:tab w:val="right" w:leader="dot" w:pos="9629"/>
      </w:tabs>
      <w:spacing w:before="40" w:after="40"/>
      <w:ind w:left="851"/>
    </w:pPr>
    <w:rPr>
      <w:i/>
      <w:noProof/>
      <w:sz w:val="18"/>
      <w:szCs w:val="18"/>
    </w:rPr>
  </w:style>
  <w:style w:type="paragraph" w:styleId="TOC8">
    <w:name w:val="toc 8"/>
    <w:basedOn w:val="Normal"/>
    <w:next w:val="Normal"/>
    <w:autoRedefine/>
    <w:uiPriority w:val="39"/>
    <w:rsid w:val="004013A6"/>
    <w:pPr>
      <w:tabs>
        <w:tab w:val="right" w:leader="dot" w:pos="9629"/>
      </w:tabs>
      <w:spacing w:after="40"/>
      <w:ind w:left="1134" w:right="284"/>
      <w:jc w:val="left"/>
    </w:pPr>
    <w:rPr>
      <w:noProof/>
      <w:sz w:val="18"/>
      <w:szCs w:val="18"/>
    </w:rPr>
  </w:style>
  <w:style w:type="paragraph" w:styleId="TOC9">
    <w:name w:val="toc 9"/>
    <w:basedOn w:val="Normal"/>
    <w:next w:val="Normal"/>
    <w:autoRedefine/>
    <w:uiPriority w:val="39"/>
    <w:rsid w:val="002A1456"/>
    <w:pPr>
      <w:tabs>
        <w:tab w:val="right" w:leader="dot" w:pos="9629"/>
      </w:tabs>
      <w:spacing w:before="40" w:after="40"/>
      <w:ind w:left="1701" w:right="284"/>
      <w:contextualSpacing/>
      <w:jc w:val="left"/>
    </w:pPr>
    <w:rPr>
      <w:noProof/>
      <w:sz w:val="18"/>
      <w:szCs w:val="18"/>
    </w:rPr>
  </w:style>
  <w:style w:type="character" w:customStyle="1" w:styleId="BodyTextChar">
    <w:name w:val="Body Text Char"/>
    <w:basedOn w:val="DefaultParagraphFont"/>
    <w:link w:val="BodyText"/>
    <w:locked/>
    <w:rsid w:val="002D6F42"/>
    <w:rPr>
      <w:rFonts w:ascii="Arial" w:hAnsi="Arial"/>
    </w:rPr>
  </w:style>
  <w:style w:type="paragraph" w:styleId="CommentText">
    <w:name w:val="annotation text"/>
    <w:basedOn w:val="Normal"/>
    <w:link w:val="CommentTextChar"/>
    <w:rsid w:val="002D6F42"/>
    <w:pPr>
      <w:jc w:val="left"/>
    </w:pPr>
    <w:rPr>
      <w:rFonts w:ascii="Times New Roman" w:hAnsi="Times New Roman"/>
      <w:sz w:val="22"/>
    </w:rPr>
  </w:style>
  <w:style w:type="character" w:customStyle="1" w:styleId="CommentTextChar">
    <w:name w:val="Comment Text Char"/>
    <w:basedOn w:val="DefaultParagraphFont"/>
    <w:link w:val="CommentText"/>
    <w:rsid w:val="002D6F42"/>
    <w:rPr>
      <w:sz w:val="22"/>
    </w:rPr>
  </w:style>
  <w:style w:type="character" w:customStyle="1" w:styleId="DecisionParagraphsChar">
    <w:name w:val="DecisionParagraphs Char"/>
    <w:basedOn w:val="DefaultParagraphFont"/>
    <w:link w:val="DecisionParagraphs"/>
    <w:rsid w:val="002D6F42"/>
    <w:rPr>
      <w:rFonts w:ascii="Arial" w:hAnsi="Arial"/>
      <w:i/>
    </w:rPr>
  </w:style>
  <w:style w:type="paragraph" w:customStyle="1" w:styleId="Draft">
    <w:name w:val="Draft"/>
    <w:basedOn w:val="Normal"/>
    <w:next w:val="preparedby"/>
    <w:rsid w:val="002D6F42"/>
    <w:pPr>
      <w:spacing w:before="720" w:after="480"/>
      <w:jc w:val="center"/>
    </w:pPr>
    <w:rPr>
      <w:rFonts w:ascii="Times New Roman" w:hAnsi="Times New Roman"/>
      <w:caps/>
      <w:sz w:val="28"/>
    </w:rPr>
  </w:style>
  <w:style w:type="paragraph" w:customStyle="1" w:styleId="Committee">
    <w:name w:val="Committee"/>
    <w:basedOn w:val="Title"/>
    <w:rsid w:val="002D6F42"/>
    <w:rPr>
      <w:caps w:val="0"/>
    </w:rPr>
  </w:style>
  <w:style w:type="paragraph" w:styleId="BodyTextIndent">
    <w:name w:val="Body Text Indent"/>
    <w:basedOn w:val="Normal"/>
    <w:link w:val="BodyTextIndentChar"/>
    <w:rsid w:val="002D6F42"/>
    <w:rPr>
      <w:rFonts w:ascii="Times New Roman" w:hAnsi="Times New Roman"/>
      <w:sz w:val="24"/>
      <w:u w:val="single"/>
    </w:rPr>
  </w:style>
  <w:style w:type="character" w:customStyle="1" w:styleId="BodyTextIndentChar">
    <w:name w:val="Body Text Indent Char"/>
    <w:basedOn w:val="DefaultParagraphFont"/>
    <w:link w:val="BodyTextIndent"/>
    <w:rsid w:val="002D6F42"/>
    <w:rPr>
      <w:sz w:val="24"/>
      <w:u w:val="single"/>
    </w:rPr>
  </w:style>
  <w:style w:type="table" w:customStyle="1" w:styleId="TableGrid1">
    <w:name w:val="Table Grid1"/>
    <w:basedOn w:val="TableNormal"/>
    <w:next w:val="TableGrid"/>
    <w:rsid w:val="00DC744E"/>
    <w:rPr>
      <w:rFonts w:ascii="CG Times" w:eastAsiaTheme="minorEastAsia"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9Char">
    <w:name w:val="Heading 9 Char"/>
    <w:basedOn w:val="DefaultParagraphFont"/>
    <w:link w:val="Heading9"/>
    <w:rsid w:val="00093547"/>
    <w:rPr>
      <w:rFonts w:ascii="Arial" w:hAnsi="Arial"/>
      <w:b/>
      <w:sz w:val="18"/>
    </w:rPr>
  </w:style>
  <w:style w:type="paragraph" w:customStyle="1" w:styleId="Default">
    <w:name w:val="Default"/>
    <w:rsid w:val="00E171B4"/>
    <w:pPr>
      <w:autoSpaceDE w:val="0"/>
      <w:autoSpaceDN w:val="0"/>
      <w:adjustRightInd w:val="0"/>
    </w:pPr>
    <w:rPr>
      <w:rFonts w:ascii="Arial" w:eastAsiaTheme="minorEastAsia" w:hAnsi="Arial" w:cs="Arial"/>
      <w:color w:val="000000"/>
      <w:sz w:val="24"/>
      <w:szCs w:val="24"/>
    </w:rPr>
  </w:style>
  <w:style w:type="paragraph" w:styleId="BodyText3">
    <w:name w:val="Body Text 3"/>
    <w:basedOn w:val="Normal"/>
    <w:link w:val="BodyText3Char"/>
    <w:rsid w:val="00515214"/>
    <w:pPr>
      <w:spacing w:after="120"/>
      <w:jc w:val="left"/>
    </w:pPr>
    <w:rPr>
      <w:rFonts w:ascii="Times New Roman" w:hAnsi="Times New Roman"/>
      <w:sz w:val="16"/>
      <w:szCs w:val="16"/>
    </w:rPr>
  </w:style>
  <w:style w:type="character" w:customStyle="1" w:styleId="BodyText3Char">
    <w:name w:val="Body Text 3 Char"/>
    <w:basedOn w:val="DefaultParagraphFont"/>
    <w:link w:val="BodyText3"/>
    <w:rsid w:val="00515214"/>
    <w:rPr>
      <w:sz w:val="16"/>
      <w:szCs w:val="16"/>
    </w:rPr>
  </w:style>
  <w:style w:type="paragraph" w:customStyle="1" w:styleId="BodyTextKeep">
    <w:name w:val="Body Text Keep"/>
    <w:basedOn w:val="BodyText"/>
    <w:rsid w:val="00515214"/>
    <w:pPr>
      <w:keepNext/>
      <w:spacing w:after="160"/>
      <w:jc w:val="left"/>
    </w:pPr>
    <w:rPr>
      <w:rFonts w:ascii="Times New Roman" w:hAnsi="Times New Roman"/>
    </w:rPr>
  </w:style>
  <w:style w:type="character" w:customStyle="1" w:styleId="Heading3Char">
    <w:name w:val="Heading 3 Char"/>
    <w:basedOn w:val="DefaultParagraphFont"/>
    <w:link w:val="Heading3"/>
    <w:rsid w:val="00920A93"/>
    <w:rPr>
      <w:rFonts w:ascii="Arial" w:hAnsi="Arial"/>
      <w:b/>
      <w:caps/>
      <w:sz w:val="18"/>
    </w:rPr>
  </w:style>
  <w:style w:type="character" w:customStyle="1" w:styleId="Heading5Char">
    <w:name w:val="Heading 5 Char"/>
    <w:basedOn w:val="DefaultParagraphFont"/>
    <w:link w:val="Heading5"/>
    <w:rsid w:val="00812B7D"/>
    <w:rPr>
      <w:rFonts w:ascii="Arial" w:hAnsi="Arial"/>
      <w:b/>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703E"/>
    <w:pPr>
      <w:jc w:val="both"/>
    </w:pPr>
    <w:rPr>
      <w:rFonts w:ascii="Arial" w:hAnsi="Arial"/>
    </w:rPr>
  </w:style>
  <w:style w:type="paragraph" w:styleId="Heading1">
    <w:name w:val="heading 1"/>
    <w:next w:val="Normal"/>
    <w:autoRedefine/>
    <w:qFormat/>
    <w:rsid w:val="002D6F42"/>
    <w:pPr>
      <w:keepNext/>
      <w:jc w:val="both"/>
      <w:outlineLvl w:val="0"/>
    </w:pPr>
    <w:rPr>
      <w:rFonts w:ascii="Arial" w:hAnsi="Arial"/>
      <w:caps/>
    </w:rPr>
  </w:style>
  <w:style w:type="paragraph" w:styleId="Heading2">
    <w:name w:val="heading 2"/>
    <w:next w:val="Normal"/>
    <w:autoRedefine/>
    <w:qFormat/>
    <w:rsid w:val="002D6F42"/>
    <w:pPr>
      <w:keepNext/>
      <w:jc w:val="both"/>
      <w:outlineLvl w:val="1"/>
    </w:pPr>
    <w:rPr>
      <w:rFonts w:ascii="Arial" w:hAnsi="Arial"/>
      <w:u w:val="single"/>
    </w:rPr>
  </w:style>
  <w:style w:type="paragraph" w:styleId="Heading3">
    <w:name w:val="heading 3"/>
    <w:next w:val="Normal"/>
    <w:link w:val="Heading3Char"/>
    <w:autoRedefine/>
    <w:qFormat/>
    <w:rsid w:val="0000674F"/>
    <w:pPr>
      <w:keepNext/>
      <w:ind w:left="567" w:hanging="567"/>
      <w:jc w:val="both"/>
      <w:outlineLvl w:val="2"/>
    </w:pPr>
    <w:rPr>
      <w:rFonts w:ascii="Arial" w:hAnsi="Arial"/>
      <w:b/>
      <w:caps/>
      <w:sz w:val="18"/>
    </w:rPr>
  </w:style>
  <w:style w:type="paragraph" w:styleId="Heading4">
    <w:name w:val="heading 4"/>
    <w:next w:val="Normal"/>
    <w:autoRedefine/>
    <w:qFormat/>
    <w:rsid w:val="00CE77F1"/>
    <w:pPr>
      <w:keepNext/>
      <w:ind w:left="567" w:hanging="567"/>
      <w:jc w:val="both"/>
      <w:outlineLvl w:val="3"/>
    </w:pPr>
    <w:rPr>
      <w:rFonts w:ascii="Arial" w:hAnsi="Arial"/>
      <w:b/>
      <w:smallCaps/>
    </w:rPr>
  </w:style>
  <w:style w:type="paragraph" w:styleId="Heading5">
    <w:name w:val="heading 5"/>
    <w:next w:val="Normal"/>
    <w:link w:val="Heading5Char"/>
    <w:autoRedefine/>
    <w:qFormat/>
    <w:rsid w:val="002D6F42"/>
    <w:pPr>
      <w:keepNext/>
      <w:jc w:val="both"/>
      <w:outlineLvl w:val="4"/>
    </w:pPr>
    <w:rPr>
      <w:rFonts w:ascii="Arial" w:hAnsi="Arial"/>
      <w:b/>
      <w:sz w:val="18"/>
    </w:rPr>
  </w:style>
  <w:style w:type="paragraph" w:styleId="Heading6">
    <w:name w:val="heading 6"/>
    <w:basedOn w:val="Normal"/>
    <w:next w:val="Normal"/>
    <w:link w:val="Heading6Char"/>
    <w:autoRedefine/>
    <w:qFormat/>
    <w:rsid w:val="00D33653"/>
    <w:pPr>
      <w:jc w:val="left"/>
      <w:outlineLvl w:val="5"/>
    </w:pPr>
    <w:rPr>
      <w:bCs/>
      <w:caps/>
      <w:sz w:val="18"/>
      <w:szCs w:val="22"/>
    </w:rPr>
  </w:style>
  <w:style w:type="paragraph" w:styleId="Heading7">
    <w:name w:val="heading 7"/>
    <w:basedOn w:val="Normal"/>
    <w:next w:val="Normal"/>
    <w:link w:val="Heading7Char"/>
    <w:autoRedefine/>
    <w:qFormat/>
    <w:rsid w:val="002D6F42"/>
    <w:pPr>
      <w:spacing w:after="240"/>
      <w:outlineLvl w:val="6"/>
    </w:pPr>
    <w:rPr>
      <w:b/>
      <w:sz w:val="18"/>
      <w:szCs w:val="24"/>
    </w:rPr>
  </w:style>
  <w:style w:type="paragraph" w:styleId="Heading8">
    <w:name w:val="heading 8"/>
    <w:basedOn w:val="Normal"/>
    <w:next w:val="Normal"/>
    <w:link w:val="Heading8Char"/>
    <w:qFormat/>
    <w:rsid w:val="00297FD2"/>
    <w:pPr>
      <w:spacing w:after="240"/>
      <w:jc w:val="left"/>
      <w:outlineLvl w:val="7"/>
    </w:pPr>
    <w:rPr>
      <w:iCs/>
      <w:sz w:val="18"/>
      <w:szCs w:val="24"/>
      <w:u w:val="single"/>
    </w:rPr>
  </w:style>
  <w:style w:type="paragraph" w:styleId="Heading9">
    <w:name w:val="heading 9"/>
    <w:basedOn w:val="Normal"/>
    <w:next w:val="Normal"/>
    <w:link w:val="Heading9Char"/>
    <w:qFormat/>
    <w:rsid w:val="002D6F42"/>
    <w:pPr>
      <w:keepNext/>
      <w:spacing w:after="240"/>
      <w:jc w:val="center"/>
      <w:outlineLvl w:val="8"/>
    </w:pPr>
    <w:rPr>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2D6F42"/>
    <w:pPr>
      <w:tabs>
        <w:tab w:val="center" w:pos="4536"/>
        <w:tab w:val="right" w:pos="9072"/>
      </w:tabs>
      <w:jc w:val="center"/>
    </w:pPr>
    <w:rPr>
      <w:rFonts w:ascii="Arial" w:hAnsi="Arial"/>
      <w:lang w:val="fr-FR"/>
    </w:rPr>
  </w:style>
  <w:style w:type="paragraph" w:styleId="Footer">
    <w:name w:val="footer"/>
    <w:aliases w:val="doc_path_name"/>
    <w:autoRedefine/>
    <w:rsid w:val="002D6F42"/>
    <w:pPr>
      <w:jc w:val="both"/>
    </w:pPr>
    <w:rPr>
      <w:rFonts w:ascii="Arial" w:hAnsi="Arial"/>
      <w:sz w:val="14"/>
    </w:rPr>
  </w:style>
  <w:style w:type="character" w:styleId="PageNumber">
    <w:name w:val="page number"/>
    <w:basedOn w:val="DefaultParagraphFont"/>
    <w:rsid w:val="002D6F42"/>
    <w:rPr>
      <w:rFonts w:ascii="Arial" w:hAnsi="Arial"/>
      <w:sz w:val="20"/>
    </w:rPr>
  </w:style>
  <w:style w:type="paragraph" w:styleId="Title">
    <w:name w:val="Title"/>
    <w:basedOn w:val="Normal"/>
    <w:qFormat/>
    <w:rsid w:val="002D6F42"/>
    <w:pPr>
      <w:spacing w:after="300"/>
      <w:jc w:val="center"/>
    </w:pPr>
    <w:rPr>
      <w:b/>
      <w:caps/>
      <w:kern w:val="28"/>
      <w:sz w:val="30"/>
    </w:rPr>
  </w:style>
  <w:style w:type="paragraph" w:customStyle="1" w:styleId="preparedby">
    <w:name w:val="preparedby"/>
    <w:basedOn w:val="Normal"/>
    <w:next w:val="Normal"/>
    <w:semiHidden/>
    <w:rsid w:val="002D6F42"/>
    <w:pPr>
      <w:spacing w:after="600"/>
      <w:jc w:val="center"/>
    </w:pPr>
    <w:rPr>
      <w:i/>
    </w:rPr>
  </w:style>
  <w:style w:type="paragraph" w:customStyle="1" w:styleId="Docoriginal">
    <w:name w:val="Doc_original"/>
    <w:basedOn w:val="Normal"/>
    <w:link w:val="DocoriginalChar"/>
    <w:rsid w:val="002D6F42"/>
    <w:pPr>
      <w:spacing w:line="280" w:lineRule="exact"/>
      <w:ind w:left="1361"/>
    </w:pPr>
    <w:rPr>
      <w:b/>
      <w:bCs/>
      <w:spacing w:val="10"/>
    </w:rPr>
  </w:style>
  <w:style w:type="paragraph" w:customStyle="1" w:styleId="DecisionParagraphs">
    <w:name w:val="DecisionParagraphs"/>
    <w:basedOn w:val="Normal"/>
    <w:link w:val="DecisionParagraphsChar"/>
    <w:rsid w:val="002D6F42"/>
    <w:pPr>
      <w:tabs>
        <w:tab w:val="left" w:pos="5387"/>
      </w:tabs>
      <w:ind w:left="4820"/>
    </w:pPr>
    <w:rPr>
      <w:i/>
    </w:rPr>
  </w:style>
  <w:style w:type="paragraph" w:styleId="FootnoteText">
    <w:name w:val="footnote text"/>
    <w:aliases w:val="fn,Geneva 9,Font: Geneva 9,Boston 10,f,ft,Fotnotstext Char,ft Char,single space,footnote text,FOOTNOTES,ADB,single space1,footnote text1,FOOTNOTES1,fn1,ADB1,single space2"/>
    <w:link w:val="FootnoteTextChar"/>
    <w:rsid w:val="002D6F42"/>
    <w:pPr>
      <w:tabs>
        <w:tab w:val="left" w:pos="284"/>
      </w:tabs>
      <w:spacing w:before="60"/>
      <w:ind w:left="284" w:hanging="284"/>
      <w:jc w:val="both"/>
    </w:pPr>
    <w:rPr>
      <w:rFonts w:ascii="Arial" w:hAnsi="Arial"/>
      <w:sz w:val="16"/>
    </w:rPr>
  </w:style>
  <w:style w:type="character" w:styleId="FootnoteReference">
    <w:name w:val="footnote reference"/>
    <w:basedOn w:val="DefaultParagraphFont"/>
    <w:rsid w:val="002D6F42"/>
    <w:rPr>
      <w:rFonts w:ascii="Arial" w:hAnsi="Arial"/>
      <w:sz w:val="16"/>
      <w:vertAlign w:val="superscript"/>
    </w:rPr>
  </w:style>
  <w:style w:type="paragraph" w:styleId="Closing">
    <w:name w:val="Closing"/>
    <w:basedOn w:val="Normal"/>
    <w:rsid w:val="002D6F42"/>
    <w:pPr>
      <w:ind w:left="4536"/>
      <w:jc w:val="center"/>
    </w:pPr>
  </w:style>
  <w:style w:type="paragraph" w:styleId="Index1">
    <w:name w:val="index 1"/>
    <w:basedOn w:val="Normal"/>
    <w:next w:val="Normal"/>
    <w:semiHidden/>
    <w:rsid w:val="002D6F42"/>
    <w:pPr>
      <w:tabs>
        <w:tab w:val="right" w:leader="dot" w:pos="9071"/>
      </w:tabs>
      <w:ind w:left="284" w:hanging="284"/>
    </w:pPr>
    <w:rPr>
      <w:sz w:val="24"/>
    </w:rPr>
  </w:style>
  <w:style w:type="paragraph" w:styleId="Index2">
    <w:name w:val="index 2"/>
    <w:basedOn w:val="Normal"/>
    <w:next w:val="Normal"/>
    <w:semiHidden/>
    <w:rsid w:val="002D6F42"/>
    <w:pPr>
      <w:tabs>
        <w:tab w:val="right" w:leader="dot" w:pos="9071"/>
      </w:tabs>
      <w:ind w:left="568" w:hanging="284"/>
    </w:pPr>
    <w:rPr>
      <w:sz w:val="24"/>
    </w:rPr>
  </w:style>
  <w:style w:type="paragraph" w:styleId="Index3">
    <w:name w:val="index 3"/>
    <w:basedOn w:val="Normal"/>
    <w:next w:val="Normal"/>
    <w:semiHidden/>
    <w:rsid w:val="002D6F42"/>
    <w:pPr>
      <w:tabs>
        <w:tab w:val="right" w:leader="dot" w:pos="9071"/>
      </w:tabs>
      <w:ind w:left="851" w:hanging="284"/>
    </w:pPr>
    <w:rPr>
      <w:sz w:val="24"/>
    </w:rPr>
  </w:style>
  <w:style w:type="paragraph" w:styleId="MacroText">
    <w:name w:val="macro"/>
    <w:semiHidden/>
    <w:rsid w:val="002D6F42"/>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2D6F42"/>
    <w:pPr>
      <w:ind w:left="4536"/>
      <w:jc w:val="center"/>
    </w:pPr>
  </w:style>
  <w:style w:type="character" w:customStyle="1" w:styleId="Doclang">
    <w:name w:val="Doc_lang"/>
    <w:basedOn w:val="DefaultParagraphFont"/>
    <w:rsid w:val="002D6F42"/>
    <w:rPr>
      <w:rFonts w:ascii="Arial" w:hAnsi="Arial"/>
      <w:sz w:val="20"/>
      <w:lang w:val="en-US"/>
    </w:rPr>
  </w:style>
  <w:style w:type="paragraph" w:customStyle="1" w:styleId="Session">
    <w:name w:val="Session"/>
    <w:basedOn w:val="Normal"/>
    <w:semiHidden/>
    <w:rsid w:val="002D6F42"/>
    <w:pPr>
      <w:spacing w:before="60"/>
      <w:jc w:val="center"/>
    </w:pPr>
    <w:rPr>
      <w:b/>
    </w:rPr>
  </w:style>
  <w:style w:type="paragraph" w:customStyle="1" w:styleId="Organizer">
    <w:name w:val="Organizer"/>
    <w:basedOn w:val="Normal"/>
    <w:semiHidden/>
    <w:rsid w:val="002D6F42"/>
    <w:pPr>
      <w:spacing w:after="600"/>
      <w:ind w:left="-993" w:right="-994"/>
      <w:jc w:val="center"/>
    </w:pPr>
    <w:rPr>
      <w:b/>
      <w:caps/>
      <w:kern w:val="26"/>
      <w:sz w:val="26"/>
    </w:rPr>
  </w:style>
  <w:style w:type="paragraph" w:styleId="BodyText">
    <w:name w:val="Body Text"/>
    <w:basedOn w:val="Normal"/>
    <w:link w:val="BodyTextChar"/>
    <w:rsid w:val="002D6F42"/>
  </w:style>
  <w:style w:type="paragraph" w:customStyle="1" w:styleId="StyleDocoriginalNotBold">
    <w:name w:val="Style Doc_original + Not Bold"/>
    <w:basedOn w:val="Docoriginal"/>
    <w:link w:val="StyleDocoriginalNotBoldChar"/>
    <w:autoRedefine/>
    <w:rsid w:val="002D6F42"/>
    <w:pPr>
      <w:ind w:left="1589"/>
      <w:jc w:val="left"/>
    </w:pPr>
  </w:style>
  <w:style w:type="paragraph" w:customStyle="1" w:styleId="upove">
    <w:name w:val="upov_e"/>
    <w:basedOn w:val="Normal"/>
    <w:rsid w:val="002D6F42"/>
    <w:pPr>
      <w:spacing w:before="60"/>
      <w:jc w:val="center"/>
    </w:pPr>
    <w:rPr>
      <w:b/>
      <w:bCs/>
      <w:spacing w:val="8"/>
      <w:sz w:val="24"/>
    </w:rPr>
  </w:style>
  <w:style w:type="paragraph" w:customStyle="1" w:styleId="TitleofDoc">
    <w:name w:val="Title of Doc"/>
    <w:basedOn w:val="Normal"/>
    <w:semiHidden/>
    <w:rsid w:val="002D6F42"/>
    <w:pPr>
      <w:spacing w:before="1200"/>
      <w:jc w:val="center"/>
    </w:pPr>
    <w:rPr>
      <w:caps/>
    </w:rPr>
  </w:style>
  <w:style w:type="paragraph" w:customStyle="1" w:styleId="preparedby0">
    <w:name w:val="prepared by"/>
    <w:basedOn w:val="Normal"/>
    <w:semiHidden/>
    <w:rsid w:val="002D6F42"/>
    <w:pPr>
      <w:spacing w:before="600" w:after="600"/>
      <w:jc w:val="center"/>
    </w:pPr>
    <w:rPr>
      <w:i/>
    </w:rPr>
  </w:style>
  <w:style w:type="paragraph" w:customStyle="1" w:styleId="PlaceAndDate">
    <w:name w:val="PlaceAndDate"/>
    <w:basedOn w:val="Session"/>
    <w:semiHidden/>
    <w:rsid w:val="002D6F42"/>
  </w:style>
  <w:style w:type="paragraph" w:styleId="EndnoteText">
    <w:name w:val="endnote text"/>
    <w:basedOn w:val="Normal"/>
    <w:semiHidden/>
    <w:rsid w:val="002D6F42"/>
  </w:style>
  <w:style w:type="character" w:styleId="EndnoteReference">
    <w:name w:val="endnote reference"/>
    <w:basedOn w:val="DefaultParagraphFont"/>
    <w:semiHidden/>
    <w:rsid w:val="002D6F42"/>
    <w:rPr>
      <w:vertAlign w:val="superscript"/>
    </w:rPr>
  </w:style>
  <w:style w:type="paragraph" w:customStyle="1" w:styleId="SessionMeetingPlace">
    <w:name w:val="Session_MeetingPlace"/>
    <w:basedOn w:val="Normal"/>
    <w:semiHidden/>
    <w:rsid w:val="002D6F42"/>
    <w:pPr>
      <w:spacing w:before="480"/>
      <w:jc w:val="center"/>
    </w:pPr>
    <w:rPr>
      <w:b/>
      <w:bCs/>
      <w:kern w:val="28"/>
      <w:sz w:val="24"/>
    </w:rPr>
  </w:style>
  <w:style w:type="paragraph" w:customStyle="1" w:styleId="Original">
    <w:name w:val="Original"/>
    <w:basedOn w:val="Normal"/>
    <w:semiHidden/>
    <w:rsid w:val="002D6F42"/>
    <w:pPr>
      <w:spacing w:before="60"/>
      <w:ind w:left="1276"/>
    </w:pPr>
    <w:rPr>
      <w:b/>
      <w:sz w:val="22"/>
    </w:rPr>
  </w:style>
  <w:style w:type="paragraph" w:styleId="Date">
    <w:name w:val="Date"/>
    <w:basedOn w:val="Normal"/>
    <w:semiHidden/>
    <w:rsid w:val="002D6F42"/>
    <w:pPr>
      <w:spacing w:line="340" w:lineRule="exact"/>
      <w:ind w:left="1276"/>
    </w:pPr>
    <w:rPr>
      <w:b/>
      <w:sz w:val="22"/>
    </w:rPr>
  </w:style>
  <w:style w:type="paragraph" w:customStyle="1" w:styleId="Code">
    <w:name w:val="Code"/>
    <w:basedOn w:val="Normal"/>
    <w:link w:val="CodeChar"/>
    <w:semiHidden/>
    <w:rsid w:val="002D6F42"/>
    <w:pPr>
      <w:spacing w:line="340" w:lineRule="atLeast"/>
      <w:ind w:left="1276"/>
    </w:pPr>
    <w:rPr>
      <w:b/>
      <w:bCs/>
      <w:spacing w:val="10"/>
    </w:rPr>
  </w:style>
  <w:style w:type="paragraph" w:customStyle="1" w:styleId="Country">
    <w:name w:val="Country"/>
    <w:basedOn w:val="Normal"/>
    <w:semiHidden/>
    <w:rsid w:val="002D6F42"/>
    <w:pPr>
      <w:spacing w:before="60" w:after="480"/>
      <w:jc w:val="center"/>
    </w:pPr>
  </w:style>
  <w:style w:type="paragraph" w:customStyle="1" w:styleId="Lettrine">
    <w:name w:val="Lettrine"/>
    <w:basedOn w:val="Normal"/>
    <w:rsid w:val="002D6F42"/>
    <w:pPr>
      <w:spacing w:after="120" w:line="340" w:lineRule="atLeast"/>
      <w:jc w:val="right"/>
    </w:pPr>
    <w:rPr>
      <w:b/>
      <w:bCs/>
      <w:sz w:val="56"/>
    </w:rPr>
  </w:style>
  <w:style w:type="paragraph" w:customStyle="1" w:styleId="LogoUPOV">
    <w:name w:val="LogoUPOV"/>
    <w:basedOn w:val="Normal"/>
    <w:rsid w:val="002D6F42"/>
    <w:pPr>
      <w:spacing w:before="720"/>
      <w:jc w:val="center"/>
    </w:pPr>
  </w:style>
  <w:style w:type="paragraph" w:customStyle="1" w:styleId="Sessiontc">
    <w:name w:val="Session_tc"/>
    <w:basedOn w:val="StyleSessionAllcaps"/>
    <w:rsid w:val="002D6F42"/>
    <w:pPr>
      <w:spacing w:before="240"/>
    </w:pPr>
  </w:style>
  <w:style w:type="paragraph" w:customStyle="1" w:styleId="TitreUpov">
    <w:name w:val="TitreUpov"/>
    <w:basedOn w:val="Normal"/>
    <w:semiHidden/>
    <w:rsid w:val="002D6F42"/>
    <w:pPr>
      <w:spacing w:before="60"/>
      <w:jc w:val="center"/>
    </w:pPr>
    <w:rPr>
      <w:b/>
      <w:sz w:val="24"/>
    </w:rPr>
  </w:style>
  <w:style w:type="paragraph" w:customStyle="1" w:styleId="StyleSessionAllcaps">
    <w:name w:val="Style Session + All caps"/>
    <w:basedOn w:val="Session"/>
    <w:semiHidden/>
    <w:rsid w:val="002D6F42"/>
    <w:pPr>
      <w:spacing w:before="480"/>
    </w:pPr>
    <w:rPr>
      <w:bCs/>
      <w:caps/>
      <w:kern w:val="28"/>
      <w:sz w:val="24"/>
    </w:rPr>
  </w:style>
  <w:style w:type="paragraph" w:customStyle="1" w:styleId="plcountry">
    <w:name w:val="plcountry"/>
    <w:basedOn w:val="Normal"/>
    <w:rsid w:val="002D6F42"/>
    <w:pPr>
      <w:keepNext/>
      <w:keepLines/>
      <w:spacing w:before="180" w:after="120"/>
      <w:jc w:val="left"/>
    </w:pPr>
    <w:rPr>
      <w:caps/>
      <w:noProof/>
      <w:snapToGrid w:val="0"/>
      <w:u w:val="single"/>
    </w:rPr>
  </w:style>
  <w:style w:type="paragraph" w:customStyle="1" w:styleId="pldetails">
    <w:name w:val="pldetails"/>
    <w:basedOn w:val="Normal"/>
    <w:rsid w:val="002D6F42"/>
    <w:pPr>
      <w:keepLines/>
      <w:spacing w:before="60" w:after="60"/>
      <w:jc w:val="left"/>
    </w:pPr>
    <w:rPr>
      <w:noProof/>
      <w:snapToGrid w:val="0"/>
    </w:rPr>
  </w:style>
  <w:style w:type="paragraph" w:customStyle="1" w:styleId="plheading">
    <w:name w:val="plheading"/>
    <w:basedOn w:val="Normal"/>
    <w:rsid w:val="002D6F42"/>
    <w:pPr>
      <w:keepNext/>
      <w:spacing w:before="480" w:after="120"/>
      <w:jc w:val="center"/>
    </w:pPr>
    <w:rPr>
      <w:caps/>
      <w:snapToGrid w:val="0"/>
      <w:u w:val="single"/>
    </w:rPr>
  </w:style>
  <w:style w:type="paragraph" w:customStyle="1" w:styleId="Sessiontcplacedate">
    <w:name w:val="Session_tc_place_date"/>
    <w:basedOn w:val="SessionMeetingPlace"/>
    <w:rsid w:val="002D6F42"/>
    <w:pPr>
      <w:spacing w:before="240"/>
    </w:pPr>
  </w:style>
  <w:style w:type="paragraph" w:customStyle="1" w:styleId="Titleofdoc0">
    <w:name w:val="Title_of_doc"/>
    <w:basedOn w:val="Normal"/>
    <w:rsid w:val="002D6F42"/>
    <w:pPr>
      <w:spacing w:before="600"/>
      <w:jc w:val="center"/>
    </w:pPr>
    <w:rPr>
      <w:caps/>
    </w:rPr>
  </w:style>
  <w:style w:type="paragraph" w:customStyle="1" w:styleId="preparedby1">
    <w:name w:val="prepared_by"/>
    <w:basedOn w:val="Normal"/>
    <w:rsid w:val="002D6F42"/>
    <w:pPr>
      <w:spacing w:before="240" w:after="600"/>
      <w:jc w:val="center"/>
    </w:pPr>
    <w:rPr>
      <w:i/>
    </w:rPr>
  </w:style>
  <w:style w:type="character" w:customStyle="1" w:styleId="CodeChar">
    <w:name w:val="Code Char"/>
    <w:basedOn w:val="DefaultParagraphFont"/>
    <w:link w:val="Code"/>
    <w:semiHidden/>
    <w:rsid w:val="002D6F42"/>
    <w:rPr>
      <w:rFonts w:ascii="Arial" w:hAnsi="Arial"/>
      <w:b/>
      <w:bCs/>
      <w:spacing w:val="10"/>
    </w:rPr>
  </w:style>
  <w:style w:type="paragraph" w:customStyle="1" w:styleId="endofdoc">
    <w:name w:val="end_of_doc"/>
    <w:autoRedefine/>
    <w:rsid w:val="002D6F42"/>
    <w:pPr>
      <w:spacing w:before="480"/>
      <w:ind w:left="567" w:hanging="567"/>
      <w:jc w:val="right"/>
    </w:pPr>
    <w:rPr>
      <w:rFonts w:ascii="Arial" w:hAnsi="Arial"/>
    </w:rPr>
  </w:style>
  <w:style w:type="character" w:customStyle="1" w:styleId="DocoriginalChar">
    <w:name w:val="Doc_original Char"/>
    <w:basedOn w:val="DefaultParagraphFont"/>
    <w:link w:val="Docoriginal"/>
    <w:rsid w:val="002D6F42"/>
    <w:rPr>
      <w:rFonts w:ascii="Arial" w:hAnsi="Arial"/>
      <w:b/>
      <w:bCs/>
      <w:spacing w:val="10"/>
    </w:rPr>
  </w:style>
  <w:style w:type="character" w:customStyle="1" w:styleId="StyleDocoriginalNotBoldChar">
    <w:name w:val="Style Doc_original + Not Bold Char"/>
    <w:basedOn w:val="DocoriginalChar"/>
    <w:link w:val="StyleDocoriginalNotBold"/>
    <w:rsid w:val="002D6F42"/>
    <w:rPr>
      <w:rFonts w:ascii="Arial" w:hAnsi="Arial"/>
      <w:b/>
      <w:bCs/>
      <w:spacing w:val="10"/>
    </w:rPr>
  </w:style>
  <w:style w:type="paragraph" w:customStyle="1" w:styleId="StyleDocnumber">
    <w:name w:val="Style Doc_number"/>
    <w:basedOn w:val="Docoriginal"/>
    <w:rsid w:val="002D6F42"/>
    <w:pPr>
      <w:ind w:left="1589"/>
    </w:pPr>
  </w:style>
  <w:style w:type="paragraph" w:customStyle="1" w:styleId="StyleDocoriginal">
    <w:name w:val="Style Doc_original"/>
    <w:basedOn w:val="Docoriginal"/>
    <w:link w:val="StyleDocoriginalChar"/>
    <w:rsid w:val="002D6F42"/>
  </w:style>
  <w:style w:type="character" w:customStyle="1" w:styleId="StyleDocoriginalChar">
    <w:name w:val="Style Doc_original Char"/>
    <w:basedOn w:val="DocoriginalChar"/>
    <w:link w:val="StyleDocoriginal"/>
    <w:rsid w:val="002D6F42"/>
    <w:rPr>
      <w:rFonts w:ascii="Arial" w:hAnsi="Arial"/>
      <w:b/>
      <w:bCs/>
      <w:spacing w:val="10"/>
    </w:rPr>
  </w:style>
  <w:style w:type="paragraph" w:customStyle="1" w:styleId="StyleStyleDocoriginalNotBoldNotBold">
    <w:name w:val="Style Style Doc_original + Not Bold + Not Bold"/>
    <w:basedOn w:val="StyleDocoriginalNotBold"/>
    <w:link w:val="StyleStyleDocoriginalNotBoldNotBoldChar"/>
    <w:rsid w:val="002D6F42"/>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2D6F42"/>
    <w:rPr>
      <w:rFonts w:ascii="Arial" w:hAnsi="Arial"/>
      <w:b w:val="0"/>
      <w:bCs w:val="0"/>
      <w:spacing w:val="10"/>
    </w:rPr>
  </w:style>
  <w:style w:type="character" w:customStyle="1" w:styleId="StyleDocoriginalNotBold1">
    <w:name w:val="Style Doc_original + Not Bold1"/>
    <w:basedOn w:val="DefaultParagraphFont"/>
    <w:rsid w:val="002D6F42"/>
    <w:rPr>
      <w:rFonts w:ascii="Arial" w:hAnsi="Arial"/>
      <w:b/>
      <w:bCs/>
      <w:spacing w:val="10"/>
      <w:lang w:val="en-US" w:eastAsia="en-US" w:bidi="ar-SA"/>
    </w:rPr>
  </w:style>
  <w:style w:type="character" w:customStyle="1" w:styleId="StyleDoclangBold">
    <w:name w:val="Style Doc_lang + Bold"/>
    <w:basedOn w:val="Doclang"/>
    <w:rsid w:val="002D6F42"/>
    <w:rPr>
      <w:rFonts w:ascii="Arial" w:hAnsi="Arial"/>
      <w:b/>
      <w:bCs/>
      <w:sz w:val="20"/>
      <w:lang w:val="en-US"/>
    </w:rPr>
  </w:style>
  <w:style w:type="paragraph" w:styleId="TOC2">
    <w:name w:val="toc 2"/>
    <w:next w:val="Normal"/>
    <w:autoRedefine/>
    <w:uiPriority w:val="39"/>
    <w:rsid w:val="002D6F42"/>
    <w:pPr>
      <w:tabs>
        <w:tab w:val="right" w:leader="dot" w:pos="9639"/>
      </w:tabs>
      <w:spacing w:before="120" w:after="120"/>
      <w:ind w:left="426" w:right="851"/>
      <w:contextualSpacing/>
    </w:pPr>
    <w:rPr>
      <w:rFonts w:ascii="Arial" w:hAnsi="Arial"/>
    </w:rPr>
  </w:style>
  <w:style w:type="paragraph" w:styleId="TOC3">
    <w:name w:val="toc 3"/>
    <w:next w:val="Normal"/>
    <w:autoRedefine/>
    <w:uiPriority w:val="39"/>
    <w:rsid w:val="002D6F42"/>
    <w:pPr>
      <w:tabs>
        <w:tab w:val="right" w:leader="dot" w:pos="9639"/>
      </w:tabs>
      <w:spacing w:before="120" w:after="80"/>
      <w:ind w:right="284"/>
    </w:pPr>
    <w:rPr>
      <w:rFonts w:ascii="Arial" w:hAnsi="Arial"/>
      <w:b/>
      <w:sz w:val="18"/>
      <w:lang w:val="fr-FR"/>
    </w:rPr>
  </w:style>
  <w:style w:type="character" w:styleId="Hyperlink">
    <w:name w:val="Hyperlink"/>
    <w:basedOn w:val="DefaultParagraphFont"/>
    <w:uiPriority w:val="99"/>
    <w:rsid w:val="002D6F42"/>
    <w:rPr>
      <w:rFonts w:ascii="Arial" w:hAnsi="Arial"/>
      <w:color w:val="0000FF"/>
      <w:u w:val="single"/>
    </w:rPr>
  </w:style>
  <w:style w:type="paragraph" w:styleId="TOC4">
    <w:name w:val="toc 4"/>
    <w:next w:val="Normal"/>
    <w:autoRedefine/>
    <w:uiPriority w:val="39"/>
    <w:rsid w:val="0034381C"/>
    <w:pPr>
      <w:tabs>
        <w:tab w:val="right" w:leader="dot" w:pos="9639"/>
      </w:tabs>
      <w:spacing w:before="40" w:after="80"/>
      <w:ind w:left="142" w:right="284"/>
    </w:pPr>
    <w:rPr>
      <w:rFonts w:ascii="Arial" w:hAnsi="Arial"/>
      <w:b/>
      <w:smallCaps/>
      <w:noProof/>
      <w:sz w:val="18"/>
      <w:lang w:val="fr-FR"/>
    </w:rPr>
  </w:style>
  <w:style w:type="paragraph" w:styleId="TOC1">
    <w:name w:val="toc 1"/>
    <w:next w:val="Normal"/>
    <w:autoRedefine/>
    <w:uiPriority w:val="39"/>
    <w:rsid w:val="002D6F42"/>
    <w:pPr>
      <w:tabs>
        <w:tab w:val="left" w:pos="426"/>
        <w:tab w:val="right" w:leader="dot" w:pos="9639"/>
      </w:tabs>
      <w:spacing w:before="120"/>
      <w:ind w:left="425" w:hanging="425"/>
    </w:pPr>
    <w:rPr>
      <w:rFonts w:ascii="Arial" w:hAnsi="Arial"/>
      <w:caps/>
    </w:rPr>
  </w:style>
  <w:style w:type="paragraph" w:styleId="TOC5">
    <w:name w:val="toc 5"/>
    <w:next w:val="Normal"/>
    <w:autoRedefine/>
    <w:uiPriority w:val="39"/>
    <w:rsid w:val="00297FD2"/>
    <w:pPr>
      <w:keepNext/>
      <w:tabs>
        <w:tab w:val="right" w:leader="dot" w:pos="9639"/>
      </w:tabs>
      <w:spacing w:before="40" w:after="40"/>
      <w:ind w:left="284" w:right="284"/>
      <w:jc w:val="both"/>
    </w:pPr>
    <w:rPr>
      <w:rFonts w:ascii="Arial" w:hAnsi="Arial"/>
      <w:b/>
      <w:noProof/>
      <w:sz w:val="18"/>
      <w:szCs w:val="18"/>
      <w:lang w:val="fr-FR"/>
    </w:rPr>
  </w:style>
  <w:style w:type="paragraph" w:styleId="BalloonText">
    <w:name w:val="Balloon Text"/>
    <w:basedOn w:val="Normal"/>
    <w:link w:val="BalloonTextChar"/>
    <w:rsid w:val="002D6F42"/>
    <w:rPr>
      <w:rFonts w:ascii="Tahoma" w:hAnsi="Tahoma" w:cs="Tahoma"/>
      <w:sz w:val="16"/>
      <w:szCs w:val="16"/>
    </w:rPr>
  </w:style>
  <w:style w:type="character" w:customStyle="1" w:styleId="BalloonTextChar">
    <w:name w:val="Balloon Text Char"/>
    <w:basedOn w:val="DefaultParagraphFont"/>
    <w:link w:val="BalloonText"/>
    <w:rsid w:val="002D6F42"/>
    <w:rPr>
      <w:rFonts w:ascii="Tahoma" w:hAnsi="Tahoma" w:cs="Tahoma"/>
      <w:sz w:val="16"/>
      <w:szCs w:val="16"/>
    </w:rPr>
  </w:style>
  <w:style w:type="table" w:styleId="TableGrid">
    <w:name w:val="Table Grid"/>
    <w:basedOn w:val="TableNormal"/>
    <w:rsid w:val="002D6F42"/>
    <w:rPr>
      <w:rFonts w:ascii="CG Times"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D6F42"/>
    <w:pPr>
      <w:ind w:left="720"/>
      <w:contextualSpacing/>
    </w:p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basedOn w:val="DefaultParagraphFont"/>
    <w:link w:val="FootnoteText"/>
    <w:rsid w:val="002D6F42"/>
    <w:rPr>
      <w:rFonts w:ascii="Arial" w:hAnsi="Arial"/>
      <w:sz w:val="16"/>
    </w:rPr>
  </w:style>
  <w:style w:type="character" w:customStyle="1" w:styleId="Heading6Char">
    <w:name w:val="Heading 6 Char"/>
    <w:basedOn w:val="DefaultParagraphFont"/>
    <w:link w:val="Heading6"/>
    <w:rsid w:val="00D33653"/>
    <w:rPr>
      <w:rFonts w:ascii="Arial" w:hAnsi="Arial"/>
      <w:bCs/>
      <w:caps/>
      <w:sz w:val="18"/>
      <w:szCs w:val="22"/>
    </w:rPr>
  </w:style>
  <w:style w:type="character" w:customStyle="1" w:styleId="Heading7Char">
    <w:name w:val="Heading 7 Char"/>
    <w:basedOn w:val="DefaultParagraphFont"/>
    <w:link w:val="Heading7"/>
    <w:rsid w:val="002D6F42"/>
    <w:rPr>
      <w:rFonts w:ascii="Arial" w:hAnsi="Arial"/>
      <w:b/>
      <w:sz w:val="18"/>
      <w:szCs w:val="24"/>
    </w:rPr>
  </w:style>
  <w:style w:type="character" w:customStyle="1" w:styleId="Heading8Char">
    <w:name w:val="Heading 8 Char"/>
    <w:basedOn w:val="DefaultParagraphFont"/>
    <w:link w:val="Heading8"/>
    <w:rsid w:val="00297FD2"/>
    <w:rPr>
      <w:rFonts w:ascii="Arial" w:hAnsi="Arial"/>
      <w:iCs/>
      <w:sz w:val="18"/>
      <w:szCs w:val="24"/>
      <w:u w:val="single"/>
    </w:rPr>
  </w:style>
  <w:style w:type="paragraph" w:styleId="TOC6">
    <w:name w:val="toc 6"/>
    <w:basedOn w:val="Normal"/>
    <w:next w:val="Normal"/>
    <w:autoRedefine/>
    <w:uiPriority w:val="39"/>
    <w:rsid w:val="008C1C5B"/>
    <w:pPr>
      <w:keepNext/>
      <w:tabs>
        <w:tab w:val="right" w:leader="dot" w:pos="9629"/>
      </w:tabs>
      <w:spacing w:before="40" w:after="40"/>
      <w:ind w:left="567" w:right="284"/>
      <w:jc w:val="left"/>
    </w:pPr>
    <w:rPr>
      <w:caps/>
      <w:noProof/>
      <w:sz w:val="18"/>
      <w:szCs w:val="18"/>
    </w:rPr>
  </w:style>
  <w:style w:type="paragraph" w:styleId="TOC7">
    <w:name w:val="toc 7"/>
    <w:basedOn w:val="Normal"/>
    <w:next w:val="Normal"/>
    <w:autoRedefine/>
    <w:uiPriority w:val="39"/>
    <w:rsid w:val="002D6F42"/>
    <w:pPr>
      <w:keepNext/>
      <w:tabs>
        <w:tab w:val="right" w:leader="dot" w:pos="9629"/>
      </w:tabs>
      <w:spacing w:before="40" w:after="40"/>
      <w:ind w:left="851"/>
    </w:pPr>
    <w:rPr>
      <w:i/>
      <w:noProof/>
      <w:sz w:val="18"/>
      <w:szCs w:val="18"/>
    </w:rPr>
  </w:style>
  <w:style w:type="paragraph" w:styleId="TOC8">
    <w:name w:val="toc 8"/>
    <w:basedOn w:val="Normal"/>
    <w:next w:val="Normal"/>
    <w:autoRedefine/>
    <w:uiPriority w:val="39"/>
    <w:rsid w:val="004013A6"/>
    <w:pPr>
      <w:tabs>
        <w:tab w:val="right" w:leader="dot" w:pos="9629"/>
      </w:tabs>
      <w:spacing w:after="40"/>
      <w:ind w:left="1134" w:right="284"/>
      <w:jc w:val="left"/>
    </w:pPr>
    <w:rPr>
      <w:noProof/>
      <w:sz w:val="18"/>
      <w:szCs w:val="18"/>
    </w:rPr>
  </w:style>
  <w:style w:type="paragraph" w:styleId="TOC9">
    <w:name w:val="toc 9"/>
    <w:basedOn w:val="Normal"/>
    <w:next w:val="Normal"/>
    <w:autoRedefine/>
    <w:uiPriority w:val="39"/>
    <w:rsid w:val="002A1456"/>
    <w:pPr>
      <w:tabs>
        <w:tab w:val="right" w:leader="dot" w:pos="9629"/>
      </w:tabs>
      <w:spacing w:before="40" w:after="40"/>
      <w:ind w:left="1701" w:right="284"/>
      <w:contextualSpacing/>
      <w:jc w:val="left"/>
    </w:pPr>
    <w:rPr>
      <w:noProof/>
      <w:sz w:val="18"/>
      <w:szCs w:val="18"/>
    </w:rPr>
  </w:style>
  <w:style w:type="character" w:customStyle="1" w:styleId="BodyTextChar">
    <w:name w:val="Body Text Char"/>
    <w:basedOn w:val="DefaultParagraphFont"/>
    <w:link w:val="BodyText"/>
    <w:locked/>
    <w:rsid w:val="002D6F42"/>
    <w:rPr>
      <w:rFonts w:ascii="Arial" w:hAnsi="Arial"/>
    </w:rPr>
  </w:style>
  <w:style w:type="paragraph" w:styleId="CommentText">
    <w:name w:val="annotation text"/>
    <w:basedOn w:val="Normal"/>
    <w:link w:val="CommentTextChar"/>
    <w:rsid w:val="002D6F42"/>
    <w:pPr>
      <w:jc w:val="left"/>
    </w:pPr>
    <w:rPr>
      <w:rFonts w:ascii="Times New Roman" w:hAnsi="Times New Roman"/>
      <w:sz w:val="22"/>
    </w:rPr>
  </w:style>
  <w:style w:type="character" w:customStyle="1" w:styleId="CommentTextChar">
    <w:name w:val="Comment Text Char"/>
    <w:basedOn w:val="DefaultParagraphFont"/>
    <w:link w:val="CommentText"/>
    <w:rsid w:val="002D6F42"/>
    <w:rPr>
      <w:sz w:val="22"/>
    </w:rPr>
  </w:style>
  <w:style w:type="character" w:customStyle="1" w:styleId="DecisionParagraphsChar">
    <w:name w:val="DecisionParagraphs Char"/>
    <w:basedOn w:val="DefaultParagraphFont"/>
    <w:link w:val="DecisionParagraphs"/>
    <w:rsid w:val="002D6F42"/>
    <w:rPr>
      <w:rFonts w:ascii="Arial" w:hAnsi="Arial"/>
      <w:i/>
    </w:rPr>
  </w:style>
  <w:style w:type="paragraph" w:customStyle="1" w:styleId="Draft">
    <w:name w:val="Draft"/>
    <w:basedOn w:val="Normal"/>
    <w:next w:val="preparedby"/>
    <w:rsid w:val="002D6F42"/>
    <w:pPr>
      <w:spacing w:before="720" w:after="480"/>
      <w:jc w:val="center"/>
    </w:pPr>
    <w:rPr>
      <w:rFonts w:ascii="Times New Roman" w:hAnsi="Times New Roman"/>
      <w:caps/>
      <w:sz w:val="28"/>
    </w:rPr>
  </w:style>
  <w:style w:type="paragraph" w:customStyle="1" w:styleId="Committee">
    <w:name w:val="Committee"/>
    <w:basedOn w:val="Title"/>
    <w:rsid w:val="002D6F42"/>
    <w:rPr>
      <w:caps w:val="0"/>
    </w:rPr>
  </w:style>
  <w:style w:type="paragraph" w:styleId="BodyTextIndent">
    <w:name w:val="Body Text Indent"/>
    <w:basedOn w:val="Normal"/>
    <w:link w:val="BodyTextIndentChar"/>
    <w:rsid w:val="002D6F42"/>
    <w:rPr>
      <w:rFonts w:ascii="Times New Roman" w:hAnsi="Times New Roman"/>
      <w:sz w:val="24"/>
      <w:u w:val="single"/>
    </w:rPr>
  </w:style>
  <w:style w:type="character" w:customStyle="1" w:styleId="BodyTextIndentChar">
    <w:name w:val="Body Text Indent Char"/>
    <w:basedOn w:val="DefaultParagraphFont"/>
    <w:link w:val="BodyTextIndent"/>
    <w:rsid w:val="002D6F42"/>
    <w:rPr>
      <w:sz w:val="24"/>
      <w:u w:val="single"/>
    </w:rPr>
  </w:style>
  <w:style w:type="table" w:customStyle="1" w:styleId="TableGrid1">
    <w:name w:val="Table Grid1"/>
    <w:basedOn w:val="TableNormal"/>
    <w:next w:val="TableGrid"/>
    <w:rsid w:val="00DC744E"/>
    <w:rPr>
      <w:rFonts w:ascii="CG Times" w:eastAsiaTheme="minorEastAsia"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9Char">
    <w:name w:val="Heading 9 Char"/>
    <w:basedOn w:val="DefaultParagraphFont"/>
    <w:link w:val="Heading9"/>
    <w:rsid w:val="00093547"/>
    <w:rPr>
      <w:rFonts w:ascii="Arial" w:hAnsi="Arial"/>
      <w:b/>
      <w:sz w:val="18"/>
    </w:rPr>
  </w:style>
  <w:style w:type="paragraph" w:customStyle="1" w:styleId="Default">
    <w:name w:val="Default"/>
    <w:rsid w:val="00E171B4"/>
    <w:pPr>
      <w:autoSpaceDE w:val="0"/>
      <w:autoSpaceDN w:val="0"/>
      <w:adjustRightInd w:val="0"/>
    </w:pPr>
    <w:rPr>
      <w:rFonts w:ascii="Arial" w:eastAsiaTheme="minorEastAsia" w:hAnsi="Arial" w:cs="Arial"/>
      <w:color w:val="000000"/>
      <w:sz w:val="24"/>
      <w:szCs w:val="24"/>
    </w:rPr>
  </w:style>
  <w:style w:type="paragraph" w:styleId="BodyText3">
    <w:name w:val="Body Text 3"/>
    <w:basedOn w:val="Normal"/>
    <w:link w:val="BodyText3Char"/>
    <w:rsid w:val="00515214"/>
    <w:pPr>
      <w:spacing w:after="120"/>
      <w:jc w:val="left"/>
    </w:pPr>
    <w:rPr>
      <w:rFonts w:ascii="Times New Roman" w:hAnsi="Times New Roman"/>
      <w:sz w:val="16"/>
      <w:szCs w:val="16"/>
    </w:rPr>
  </w:style>
  <w:style w:type="character" w:customStyle="1" w:styleId="BodyText3Char">
    <w:name w:val="Body Text 3 Char"/>
    <w:basedOn w:val="DefaultParagraphFont"/>
    <w:link w:val="BodyText3"/>
    <w:rsid w:val="00515214"/>
    <w:rPr>
      <w:sz w:val="16"/>
      <w:szCs w:val="16"/>
    </w:rPr>
  </w:style>
  <w:style w:type="paragraph" w:customStyle="1" w:styleId="BodyTextKeep">
    <w:name w:val="Body Text Keep"/>
    <w:basedOn w:val="BodyText"/>
    <w:rsid w:val="00515214"/>
    <w:pPr>
      <w:keepNext/>
      <w:spacing w:after="160"/>
      <w:jc w:val="left"/>
    </w:pPr>
    <w:rPr>
      <w:rFonts w:ascii="Times New Roman" w:hAnsi="Times New Roman"/>
    </w:rPr>
  </w:style>
  <w:style w:type="character" w:customStyle="1" w:styleId="Heading3Char">
    <w:name w:val="Heading 3 Char"/>
    <w:basedOn w:val="DefaultParagraphFont"/>
    <w:link w:val="Heading3"/>
    <w:rsid w:val="00920A93"/>
    <w:rPr>
      <w:rFonts w:ascii="Arial" w:hAnsi="Arial"/>
      <w:b/>
      <w:caps/>
      <w:sz w:val="18"/>
    </w:rPr>
  </w:style>
  <w:style w:type="character" w:customStyle="1" w:styleId="Heading5Char">
    <w:name w:val="Heading 5 Char"/>
    <w:basedOn w:val="DefaultParagraphFont"/>
    <w:link w:val="Heading5"/>
    <w:rsid w:val="00812B7D"/>
    <w:rPr>
      <w:rFonts w:ascii="Arial" w:hAnsi="Arial"/>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86467">
      <w:bodyDiv w:val="1"/>
      <w:marLeft w:val="0"/>
      <w:marRight w:val="0"/>
      <w:marTop w:val="0"/>
      <w:marBottom w:val="0"/>
      <w:divBdr>
        <w:top w:val="none" w:sz="0" w:space="0" w:color="auto"/>
        <w:left w:val="none" w:sz="0" w:space="0" w:color="auto"/>
        <w:bottom w:val="none" w:sz="0" w:space="0" w:color="auto"/>
        <w:right w:val="none" w:sz="0" w:space="0" w:color="auto"/>
      </w:divBdr>
    </w:div>
    <w:div w:id="165754138">
      <w:bodyDiv w:val="1"/>
      <w:marLeft w:val="0"/>
      <w:marRight w:val="0"/>
      <w:marTop w:val="0"/>
      <w:marBottom w:val="0"/>
      <w:divBdr>
        <w:top w:val="none" w:sz="0" w:space="0" w:color="auto"/>
        <w:left w:val="none" w:sz="0" w:space="0" w:color="auto"/>
        <w:bottom w:val="none" w:sz="0" w:space="0" w:color="auto"/>
        <w:right w:val="none" w:sz="0" w:space="0" w:color="auto"/>
      </w:divBdr>
    </w:div>
    <w:div w:id="229464384">
      <w:bodyDiv w:val="1"/>
      <w:marLeft w:val="0"/>
      <w:marRight w:val="0"/>
      <w:marTop w:val="0"/>
      <w:marBottom w:val="0"/>
      <w:divBdr>
        <w:top w:val="none" w:sz="0" w:space="0" w:color="auto"/>
        <w:left w:val="none" w:sz="0" w:space="0" w:color="auto"/>
        <w:bottom w:val="none" w:sz="0" w:space="0" w:color="auto"/>
        <w:right w:val="none" w:sz="0" w:space="0" w:color="auto"/>
      </w:divBdr>
    </w:div>
    <w:div w:id="365914827">
      <w:bodyDiv w:val="1"/>
      <w:marLeft w:val="0"/>
      <w:marRight w:val="0"/>
      <w:marTop w:val="0"/>
      <w:marBottom w:val="0"/>
      <w:divBdr>
        <w:top w:val="none" w:sz="0" w:space="0" w:color="auto"/>
        <w:left w:val="none" w:sz="0" w:space="0" w:color="auto"/>
        <w:bottom w:val="none" w:sz="0" w:space="0" w:color="auto"/>
        <w:right w:val="none" w:sz="0" w:space="0" w:color="auto"/>
      </w:divBdr>
    </w:div>
    <w:div w:id="421725646">
      <w:bodyDiv w:val="1"/>
      <w:marLeft w:val="0"/>
      <w:marRight w:val="0"/>
      <w:marTop w:val="0"/>
      <w:marBottom w:val="0"/>
      <w:divBdr>
        <w:top w:val="none" w:sz="0" w:space="0" w:color="auto"/>
        <w:left w:val="none" w:sz="0" w:space="0" w:color="auto"/>
        <w:bottom w:val="none" w:sz="0" w:space="0" w:color="auto"/>
        <w:right w:val="none" w:sz="0" w:space="0" w:color="auto"/>
      </w:divBdr>
    </w:div>
    <w:div w:id="787090300">
      <w:bodyDiv w:val="1"/>
      <w:marLeft w:val="0"/>
      <w:marRight w:val="0"/>
      <w:marTop w:val="0"/>
      <w:marBottom w:val="0"/>
      <w:divBdr>
        <w:top w:val="none" w:sz="0" w:space="0" w:color="auto"/>
        <w:left w:val="none" w:sz="0" w:space="0" w:color="auto"/>
        <w:bottom w:val="none" w:sz="0" w:space="0" w:color="auto"/>
        <w:right w:val="none" w:sz="0" w:space="0" w:color="auto"/>
      </w:divBdr>
    </w:div>
    <w:div w:id="798379285">
      <w:bodyDiv w:val="1"/>
      <w:marLeft w:val="0"/>
      <w:marRight w:val="0"/>
      <w:marTop w:val="0"/>
      <w:marBottom w:val="0"/>
      <w:divBdr>
        <w:top w:val="none" w:sz="0" w:space="0" w:color="auto"/>
        <w:left w:val="none" w:sz="0" w:space="0" w:color="auto"/>
        <w:bottom w:val="none" w:sz="0" w:space="0" w:color="auto"/>
        <w:right w:val="none" w:sz="0" w:space="0" w:color="auto"/>
      </w:divBdr>
    </w:div>
    <w:div w:id="925771790">
      <w:bodyDiv w:val="1"/>
      <w:marLeft w:val="0"/>
      <w:marRight w:val="0"/>
      <w:marTop w:val="0"/>
      <w:marBottom w:val="0"/>
      <w:divBdr>
        <w:top w:val="none" w:sz="0" w:space="0" w:color="auto"/>
        <w:left w:val="none" w:sz="0" w:space="0" w:color="auto"/>
        <w:bottom w:val="none" w:sz="0" w:space="0" w:color="auto"/>
        <w:right w:val="none" w:sz="0" w:space="0" w:color="auto"/>
      </w:divBdr>
    </w:div>
    <w:div w:id="1230308410">
      <w:bodyDiv w:val="1"/>
      <w:marLeft w:val="0"/>
      <w:marRight w:val="0"/>
      <w:marTop w:val="0"/>
      <w:marBottom w:val="0"/>
      <w:divBdr>
        <w:top w:val="none" w:sz="0" w:space="0" w:color="auto"/>
        <w:left w:val="none" w:sz="0" w:space="0" w:color="auto"/>
        <w:bottom w:val="none" w:sz="0" w:space="0" w:color="auto"/>
        <w:right w:val="none" w:sz="0" w:space="0" w:color="auto"/>
      </w:divBdr>
    </w:div>
    <w:div w:id="1756894841">
      <w:bodyDiv w:val="1"/>
      <w:marLeft w:val="0"/>
      <w:marRight w:val="0"/>
      <w:marTop w:val="0"/>
      <w:marBottom w:val="0"/>
      <w:divBdr>
        <w:top w:val="none" w:sz="0" w:space="0" w:color="auto"/>
        <w:left w:val="none" w:sz="0" w:space="0" w:color="auto"/>
        <w:bottom w:val="none" w:sz="0" w:space="0" w:color="auto"/>
        <w:right w:val="none" w:sz="0" w:space="0" w:color="auto"/>
      </w:divBdr>
    </w:div>
    <w:div w:id="19585604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7.xml"/><Relationship Id="rId26" Type="http://schemas.openxmlformats.org/officeDocument/2006/relationships/chart" Target="charts/chart13.xml"/><Relationship Id="rId39" Type="http://schemas.openxmlformats.org/officeDocument/2006/relationships/hyperlink" Target="http://www.upov.int/meetings/en/details.jsp?meeting_id=26104" TargetMode="External"/><Relationship Id="rId21" Type="http://schemas.openxmlformats.org/officeDocument/2006/relationships/chart" Target="charts/chart10.xml"/><Relationship Id="rId34" Type="http://schemas.openxmlformats.org/officeDocument/2006/relationships/chart" Target="charts/chart21.xml"/><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chart" Target="charts/chart24.xml"/><Relationship Id="rId63" Type="http://schemas.openxmlformats.org/officeDocument/2006/relationships/hyperlink" Target="http://www.upov.int/about/en/benefits_upov_system.html" TargetMode="External"/><Relationship Id="rId68" Type="http://schemas.openxmlformats.org/officeDocument/2006/relationships/image" Target="media/image29.png"/><Relationship Id="rId76" Type="http://schemas.openxmlformats.org/officeDocument/2006/relationships/package" Target="embeddings/Microsoft_Excel_Worksheet4.xlsx"/><Relationship Id="rId84" Type="http://schemas.openxmlformats.org/officeDocument/2006/relationships/image" Target="media/image37.emf"/><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6.xml"/><Relationship Id="rId11" Type="http://schemas.openxmlformats.org/officeDocument/2006/relationships/chart" Target="charts/chart1.xml"/><Relationship Id="rId24" Type="http://schemas.openxmlformats.org/officeDocument/2006/relationships/image" Target="media/image9.jpg"/><Relationship Id="rId32" Type="http://schemas.openxmlformats.org/officeDocument/2006/relationships/chart" Target="charts/chart19.xml"/><Relationship Id="rId37" Type="http://schemas.openxmlformats.org/officeDocument/2006/relationships/image" Target="media/image12.png"/><Relationship Id="rId40" Type="http://schemas.openxmlformats.org/officeDocument/2006/relationships/hyperlink" Target="http://www.upov.int/about/en/benefits_upov_system.html" TargetMode="External"/><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5.png"/><Relationship Id="rId66" Type="http://schemas.openxmlformats.org/officeDocument/2006/relationships/image" Target="media/image27.jpeg"/><Relationship Id="rId74" Type="http://schemas.openxmlformats.org/officeDocument/2006/relationships/package" Target="embeddings/Microsoft_Excel_Worksheet3.xlsx"/><Relationship Id="rId79" Type="http://schemas.openxmlformats.org/officeDocument/2006/relationships/image" Target="media/image35.emf"/><Relationship Id="rId87"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chart" Target="charts/chart28.xml"/><Relationship Id="rId82" Type="http://schemas.openxmlformats.org/officeDocument/2006/relationships/package" Target="embeddings/Microsoft_Excel_Worksheet7.xlsx"/><Relationship Id="rId19"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image" Target="media/image6.png"/><Relationship Id="rId14" Type="http://schemas.openxmlformats.org/officeDocument/2006/relationships/chart" Target="charts/chart4.xml"/><Relationship Id="rId22" Type="http://schemas.openxmlformats.org/officeDocument/2006/relationships/chart" Target="charts/chart11.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image" Target="media/image10.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chart" Target="charts/chart25.xml"/><Relationship Id="rId64" Type="http://schemas.openxmlformats.org/officeDocument/2006/relationships/hyperlink" Target="http://www.upov.int/meetings/en/details.jsp?meeting_id=29782" TargetMode="External"/><Relationship Id="rId69" Type="http://schemas.openxmlformats.org/officeDocument/2006/relationships/image" Target="media/image30.emf"/><Relationship Id="rId77" Type="http://schemas.openxmlformats.org/officeDocument/2006/relationships/image" Target="media/image34.emf"/><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package" Target="embeddings/Microsoft_Excel_Worksheet2.xlsx"/><Relationship Id="rId80" Type="http://schemas.openxmlformats.org/officeDocument/2006/relationships/package" Target="embeddings/Microsoft_Excel_Worksheet6.xlsx"/><Relationship Id="rId85" Type="http://schemas.openxmlformats.org/officeDocument/2006/relationships/package" Target="embeddings/Microsoft_Excel_Worksheet8.xlsx"/><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8.jpeg"/><Relationship Id="rId25" Type="http://schemas.openxmlformats.org/officeDocument/2006/relationships/hyperlink" Target="https://www3.wipo.int/pluto/user/en/index.jsp" TargetMode="External"/><Relationship Id="rId33" Type="http://schemas.openxmlformats.org/officeDocument/2006/relationships/chart" Target="charts/chart20.xml"/><Relationship Id="rId38" Type="http://schemas.openxmlformats.org/officeDocument/2006/relationships/chart" Target="charts/chart22.xml"/><Relationship Id="rId46" Type="http://schemas.openxmlformats.org/officeDocument/2006/relationships/image" Target="media/image17.png"/><Relationship Id="rId59" Type="http://schemas.openxmlformats.org/officeDocument/2006/relationships/image" Target="media/image26.png"/><Relationship Id="rId67" Type="http://schemas.openxmlformats.org/officeDocument/2006/relationships/image" Target="media/image28.jpg"/><Relationship Id="rId20" Type="http://schemas.openxmlformats.org/officeDocument/2006/relationships/chart" Target="charts/chart9.xml"/><Relationship Id="rId41" Type="http://schemas.openxmlformats.org/officeDocument/2006/relationships/hyperlink" Target="http://www.upov.int/meetings/en/details.jsp?meeting_id=29782" TargetMode="External"/><Relationship Id="rId54" Type="http://schemas.openxmlformats.org/officeDocument/2006/relationships/chart" Target="charts/chart23.xml"/><Relationship Id="rId62" Type="http://schemas.openxmlformats.org/officeDocument/2006/relationships/hyperlink" Target="http://www.upov.int/meetings/en/details.jsp?meeting_id=26104" TargetMode="External"/><Relationship Id="rId70" Type="http://schemas.openxmlformats.org/officeDocument/2006/relationships/package" Target="embeddings/Microsoft_Excel_Worksheet1.xlsx"/><Relationship Id="rId75" Type="http://schemas.openxmlformats.org/officeDocument/2006/relationships/image" Target="media/image33.emf"/><Relationship Id="rId83" Type="http://schemas.openxmlformats.org/officeDocument/2006/relationships/chart" Target="charts/chart29.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5.xml"/><Relationship Id="rId36" Type="http://schemas.openxmlformats.org/officeDocument/2006/relationships/image" Target="media/image11.png"/><Relationship Id="rId49" Type="http://schemas.openxmlformats.org/officeDocument/2006/relationships/image" Target="media/image20.png"/><Relationship Id="rId57" Type="http://schemas.openxmlformats.org/officeDocument/2006/relationships/chart" Target="charts/chart26.xml"/><Relationship Id="rId10" Type="http://schemas.openxmlformats.org/officeDocument/2006/relationships/image" Target="media/image7.png"/><Relationship Id="rId31" Type="http://schemas.openxmlformats.org/officeDocument/2006/relationships/chart" Target="charts/chart18.xm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chart" Target="charts/chart27.xml"/><Relationship Id="rId65" Type="http://schemas.openxmlformats.org/officeDocument/2006/relationships/hyperlink" Target="http://www.upov.int/news/en/pressroom/" TargetMode="External"/><Relationship Id="rId73" Type="http://schemas.openxmlformats.org/officeDocument/2006/relationships/image" Target="media/image32.emf"/><Relationship Id="rId78" Type="http://schemas.openxmlformats.org/officeDocument/2006/relationships/package" Target="embeddings/Microsoft_Excel_Worksheet5.xlsx"/><Relationship Id="rId81" Type="http://schemas.openxmlformats.org/officeDocument/2006/relationships/image" Target="media/image36.emf"/><Relationship Id="rId86" Type="http://schemas.openxmlformats.org/officeDocument/2006/relationships/header" Target="head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oleObject" Target="file:///\\Wipogvafs01\DAT1\OrgUPOV\Shared\Document\C\C48\c_48_12_Performance_Report\c_48_12_tables.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Wipogvafs01\DAT1\OrgUPOV\Shared\Document\C\C48\c_48_12_Performance_Report\c_48_12_figur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Wipogvafs01\DAT1\OrgUPOV\Shared\Document\C\C48\c_48_12_Performance_Report\c_48_12_figur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Wipogvafs01\DAT1\OrgUPOV\Shared\Document\C\C48\c_48_12_Performance_Report\c_48_12_figures_FINA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Wipogvafs01\DAT1\OrgUPOV\Shared\Document\C\C48\c_48_12_Performance_Report\c_48_12_figure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Wipogvafs01\DAT1\OrgUPOV\Shared\Document\C\C48\c_48_12_Performance_Report\c_48_12_figure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Wipogvafs01\DAT1\OrgUPOV\Shared\Models-Forms\TC-TWP%20documents\TC_TWP_analysis\TWP%20participation%20analysi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Wipogvafs01\DAT1\OrgUPOV\Shared\Models-Forms\TC-TWP%20documents\TC_TWP_analysis\TWP%20participation%20analysi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Wipogvafs01\DAT1\OrgUPOV\Shared\Models-Forms\TC-TWP%20documents\TC_TWP_analysis\TWP%20participation%20analysi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Wipogvafs01\DAT1\OrgUPOV\Shared\Victoria\c_48_12_figure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Wipogvafs01\DAT1\OrgUPOV\Shared\Document\C\C48\c_48_12_Performance_Report\c_48_12_figures.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Wipogvafs01\DAT1\OrgUPOV\Shared\Document\C\C48\c_48_12_Performance_Report\c_48_12_tables.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Wipogvafs01\DAT1\OrgUPOV\Shared\Victoria\c_48_12_figure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Wipogvafs01\DAT1\OrgUPOV\Shared\Present-speeches\_Model%20Presentations%20&amp;Speeches\_Graphs\c_46_02_figures_UPDATED.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Wipogvafs01\DAT1\OrgUPOV\Shared\Document\C\C48\c_48_12_Performance_Report\c_48_12_figure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Wipogvafs01\DAT1\OrgUPOV\Shared\Document\C\C48\c_48_12_Performance_Report\c_48_12_figures_FINAL.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Wipogvafs01\DAT1\OrgUPOV\Shared\Document\C\C48\c_48_12_Performance_Report\c_48_12_figure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Wipogvafs01\DAT1\OrgUPOV\Shared\Victoria\_back_up_c_48_12_figures_06_08_14_VL.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Wipogvafs01\DAT1\OrgUPOV\Shared\Victoria\c_48_12_figure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Wipogvafs01\DAT1\OrgUPOV\Shared\Distance%20Learning\DL-205\Statistics\students_sessions_languages_cats_results.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Wipogvafs01\DAT1\OrgUPOV\Shared\Distance%20Learning\DL-205\Statistics\students_sessions_languages_cats_results.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Users\longV\AppData\Local\Microsoft\Windows\Temporary%20Internet%20Files\Content.Outlook\81GJ7YJ3\Copy%20of%20c_48_12_tables%20(corrections)_sps_12%20Aug%2014_final_pb.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ipogvafs01\DAT1\OrgUPOV\Shared\Document\C\C48\c_48_12_Performance_Report\_back_up_c_48_12_figures_06_08_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Wipogvafs01\DAT1\OrgUPOV\Shared\Document\C\C48\c_48_12_Performance_Report\c_48_12_tabl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Wipogvafs01\DAT1\OrgUPOV\Shared\Victoria\FINAL_c_48_12_figur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Wipogvafs01\DAT1\OrgUPOV\Shared\Document\C\C48\c_48_12_Performance_Report\c_48_12_figur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Wipogvafs01\DAT1\OrgUPOV\Shared\Document\C\C48\c_48_02_annual_report\c_48_02_figure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Wipogvafs01\DAT1\OrgUPOV\Shared\Document\C\C48\c_48_12_Performance_Report\c_48_12_figur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Wipogvafs01\DAT1\OrgUPOV\Shared\Document\C\C48\c_48_12_Performance_Report\c_48_12_fig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372165828669006E-2"/>
          <c:y val="3.4658943494132191E-2"/>
          <c:w val="0.89756088922619615"/>
          <c:h val="0.81120262266067311"/>
        </c:manualLayout>
      </c:layout>
      <c:barChart>
        <c:barDir val="col"/>
        <c:grouping val="clustered"/>
        <c:varyColors val="0"/>
        <c:ser>
          <c:idx val="1"/>
          <c:order val="0"/>
          <c:tx>
            <c:strRef>
              <c:f>fig.1_Council!$C$5</c:f>
              <c:strCache>
                <c:ptCount val="1"/>
                <c:pt idx="0">
                  <c:v>Observer States</c:v>
                </c:pt>
              </c:strCache>
            </c:strRef>
          </c:tx>
          <c:spPr>
            <a:solidFill>
              <a:srgbClr val="FFFF99"/>
            </a:solidFill>
            <a:ln>
              <a:solidFill>
                <a:srgbClr val="000000"/>
              </a:solidFill>
            </a:ln>
          </c:spPr>
          <c:invertIfNegative val="0"/>
          <c:cat>
            <c:numRef>
              <c:f>fig.1_Council!$A$6:$A$19</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fig.1_Council!$C$6:$C$19</c:f>
              <c:numCache>
                <c:formatCode>General</c:formatCode>
                <c:ptCount val="14"/>
                <c:pt idx="0">
                  <c:v>17</c:v>
                </c:pt>
                <c:pt idx="1">
                  <c:v>14</c:v>
                </c:pt>
                <c:pt idx="2">
                  <c:v>10</c:v>
                </c:pt>
                <c:pt idx="3">
                  <c:v>15</c:v>
                </c:pt>
                <c:pt idx="4">
                  <c:v>11</c:v>
                </c:pt>
                <c:pt idx="5">
                  <c:v>7</c:v>
                </c:pt>
                <c:pt idx="6">
                  <c:v>7</c:v>
                </c:pt>
                <c:pt idx="7">
                  <c:v>9</c:v>
                </c:pt>
                <c:pt idx="8">
                  <c:v>10</c:v>
                </c:pt>
                <c:pt idx="9">
                  <c:v>4</c:v>
                </c:pt>
                <c:pt idx="10">
                  <c:v>7</c:v>
                </c:pt>
                <c:pt idx="11">
                  <c:v>1</c:v>
                </c:pt>
                <c:pt idx="12">
                  <c:v>8</c:v>
                </c:pt>
                <c:pt idx="13">
                  <c:v>6</c:v>
                </c:pt>
              </c:numCache>
            </c:numRef>
          </c:val>
        </c:ser>
        <c:ser>
          <c:idx val="2"/>
          <c:order val="1"/>
          <c:tx>
            <c:strRef>
              <c:f>fig.1_Council!$D$5</c:f>
              <c:strCache>
                <c:ptCount val="1"/>
                <c:pt idx="0">
                  <c:v>Observer Organizations</c:v>
                </c:pt>
              </c:strCache>
            </c:strRef>
          </c:tx>
          <c:spPr>
            <a:ln>
              <a:solidFill>
                <a:srgbClr val="000000"/>
              </a:solidFill>
            </a:ln>
          </c:spPr>
          <c:invertIfNegative val="0"/>
          <c:cat>
            <c:numRef>
              <c:f>fig.1_Council!$A$6:$A$19</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fig.1_Council!$D$6:$D$19</c:f>
              <c:numCache>
                <c:formatCode>General</c:formatCode>
                <c:ptCount val="14"/>
                <c:pt idx="0">
                  <c:v>8</c:v>
                </c:pt>
                <c:pt idx="1">
                  <c:v>7</c:v>
                </c:pt>
                <c:pt idx="2">
                  <c:v>8</c:v>
                </c:pt>
                <c:pt idx="3">
                  <c:v>12</c:v>
                </c:pt>
                <c:pt idx="4">
                  <c:v>11</c:v>
                </c:pt>
                <c:pt idx="5">
                  <c:v>7</c:v>
                </c:pt>
                <c:pt idx="6">
                  <c:v>6</c:v>
                </c:pt>
                <c:pt idx="7">
                  <c:v>6</c:v>
                </c:pt>
                <c:pt idx="8">
                  <c:v>7</c:v>
                </c:pt>
                <c:pt idx="9">
                  <c:v>4</c:v>
                </c:pt>
                <c:pt idx="10">
                  <c:v>4</c:v>
                </c:pt>
                <c:pt idx="11">
                  <c:v>12</c:v>
                </c:pt>
                <c:pt idx="12">
                  <c:v>10</c:v>
                </c:pt>
                <c:pt idx="13">
                  <c:v>9</c:v>
                </c:pt>
              </c:numCache>
            </c:numRef>
          </c:val>
        </c:ser>
        <c:ser>
          <c:idx val="0"/>
          <c:order val="2"/>
          <c:tx>
            <c:strRef>
              <c:f>fig.1_Council!$B$5</c:f>
              <c:strCache>
                <c:ptCount val="1"/>
                <c:pt idx="0">
                  <c:v>Members</c:v>
                </c:pt>
              </c:strCache>
            </c:strRef>
          </c:tx>
          <c:spPr>
            <a:solidFill>
              <a:schemeClr val="accent2">
                <a:lumMod val="75000"/>
              </a:schemeClr>
            </a:solidFill>
            <a:ln>
              <a:solidFill>
                <a:sysClr val="windowText" lastClr="000000"/>
              </a:solidFill>
            </a:ln>
          </c:spPr>
          <c:invertIfNegative val="0"/>
          <c:cat>
            <c:numRef>
              <c:f>fig.1_Council!$A$6:$A$19</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fig.1_Council!$B$6:$B$19</c:f>
              <c:numCache>
                <c:formatCode>General</c:formatCode>
                <c:ptCount val="14"/>
                <c:pt idx="0">
                  <c:v>39</c:v>
                </c:pt>
                <c:pt idx="1">
                  <c:v>37</c:v>
                </c:pt>
                <c:pt idx="2">
                  <c:v>40</c:v>
                </c:pt>
                <c:pt idx="3">
                  <c:v>45</c:v>
                </c:pt>
                <c:pt idx="4">
                  <c:v>46</c:v>
                </c:pt>
                <c:pt idx="5">
                  <c:v>48</c:v>
                </c:pt>
                <c:pt idx="6">
                  <c:v>43</c:v>
                </c:pt>
                <c:pt idx="7">
                  <c:v>49</c:v>
                </c:pt>
                <c:pt idx="8">
                  <c:v>43</c:v>
                </c:pt>
                <c:pt idx="9">
                  <c:v>42</c:v>
                </c:pt>
                <c:pt idx="10">
                  <c:v>42</c:v>
                </c:pt>
                <c:pt idx="11">
                  <c:v>49</c:v>
                </c:pt>
                <c:pt idx="12">
                  <c:v>47</c:v>
                </c:pt>
                <c:pt idx="13">
                  <c:v>42</c:v>
                </c:pt>
              </c:numCache>
            </c:numRef>
          </c:val>
        </c:ser>
        <c:dLbls>
          <c:showLegendKey val="0"/>
          <c:showVal val="0"/>
          <c:showCatName val="0"/>
          <c:showSerName val="0"/>
          <c:showPercent val="0"/>
          <c:showBubbleSize val="0"/>
        </c:dLbls>
        <c:gapWidth val="88"/>
        <c:overlap val="28"/>
        <c:axId val="125328000"/>
        <c:axId val="126506880"/>
      </c:barChart>
      <c:lineChart>
        <c:grouping val="standard"/>
        <c:varyColors val="0"/>
        <c:ser>
          <c:idx val="3"/>
          <c:order val="3"/>
          <c:tx>
            <c:v>Number of UPOV members</c:v>
          </c:tx>
          <c:spPr>
            <a:ln w="25400">
              <a:solidFill>
                <a:schemeClr val="tx2"/>
              </a:solidFill>
            </a:ln>
          </c:spPr>
          <c:marker>
            <c:symbol val="none"/>
          </c:marker>
          <c:dLbls>
            <c:dLbl>
              <c:idx val="0"/>
              <c:dLblPos val="t"/>
              <c:showLegendKey val="0"/>
              <c:showVal val="1"/>
              <c:showCatName val="0"/>
              <c:showSerName val="0"/>
              <c:showPercent val="0"/>
              <c:showBubbleSize val="0"/>
            </c:dLbl>
            <c:dLbl>
              <c:idx val="13"/>
              <c:dLblPos val="t"/>
              <c:showLegendKey val="0"/>
              <c:showVal val="1"/>
              <c:showCatName val="0"/>
              <c:showSerName val="0"/>
              <c:showPercent val="0"/>
              <c:showBubbleSize val="0"/>
            </c:dLbl>
            <c:dLbl>
              <c:idx val="14"/>
              <c:tx>
                <c:rich>
                  <a:bodyPr/>
                  <a:lstStyle/>
                  <a:p>
                    <a:r>
                      <a:rPr lang="en-US"/>
                      <a:t>71</a:t>
                    </a:r>
                  </a:p>
                </c:rich>
              </c:tx>
              <c:dLblPos val="t"/>
              <c:showLegendKey val="0"/>
              <c:showVal val="1"/>
              <c:showCatName val="0"/>
              <c:showSerName val="0"/>
              <c:showPercent val="0"/>
              <c:showBubbleSize val="0"/>
            </c:dLbl>
            <c:dLbl>
              <c:idx val="27"/>
              <c:dLblPos val="t"/>
              <c:showLegendKey val="0"/>
              <c:showVal val="1"/>
              <c:showCatName val="0"/>
              <c:showSerName val="0"/>
              <c:showPercent val="0"/>
              <c:showBubbleSize val="0"/>
            </c:dLbl>
            <c:dLblPos val="t"/>
            <c:showLegendKey val="0"/>
            <c:showVal val="0"/>
            <c:showCatName val="0"/>
            <c:showSerName val="0"/>
            <c:showPercent val="0"/>
            <c:showBubbleSize val="0"/>
          </c:dLbls>
          <c:val>
            <c:numRef>
              <c:f>members!$C$7:$C$20</c:f>
              <c:numCache>
                <c:formatCode>General</c:formatCode>
                <c:ptCount val="14"/>
                <c:pt idx="0">
                  <c:v>46</c:v>
                </c:pt>
                <c:pt idx="1">
                  <c:v>49</c:v>
                </c:pt>
                <c:pt idx="2">
                  <c:v>51</c:v>
                </c:pt>
                <c:pt idx="3">
                  <c:v>54</c:v>
                </c:pt>
                <c:pt idx="4">
                  <c:v>58</c:v>
                </c:pt>
                <c:pt idx="5">
                  <c:v>60</c:v>
                </c:pt>
                <c:pt idx="6">
                  <c:v>63</c:v>
                </c:pt>
                <c:pt idx="7">
                  <c:v>65</c:v>
                </c:pt>
                <c:pt idx="8">
                  <c:v>66</c:v>
                </c:pt>
                <c:pt idx="9">
                  <c:v>68</c:v>
                </c:pt>
                <c:pt idx="10">
                  <c:v>68</c:v>
                </c:pt>
                <c:pt idx="11">
                  <c:v>70</c:v>
                </c:pt>
                <c:pt idx="12">
                  <c:v>70</c:v>
                </c:pt>
                <c:pt idx="13">
                  <c:v>71</c:v>
                </c:pt>
              </c:numCache>
            </c:numRef>
          </c:val>
          <c:smooth val="0"/>
        </c:ser>
        <c:dLbls>
          <c:showLegendKey val="0"/>
          <c:showVal val="0"/>
          <c:showCatName val="0"/>
          <c:showSerName val="0"/>
          <c:showPercent val="0"/>
          <c:showBubbleSize val="0"/>
        </c:dLbls>
        <c:marker val="1"/>
        <c:smooth val="0"/>
        <c:axId val="125328000"/>
        <c:axId val="126506880"/>
      </c:lineChart>
      <c:catAx>
        <c:axId val="125328000"/>
        <c:scaling>
          <c:orientation val="minMax"/>
        </c:scaling>
        <c:delete val="0"/>
        <c:axPos val="b"/>
        <c:numFmt formatCode="General" sourceLinked="1"/>
        <c:majorTickMark val="out"/>
        <c:minorTickMark val="none"/>
        <c:tickLblPos val="nextTo"/>
        <c:crossAx val="126506880"/>
        <c:crosses val="autoZero"/>
        <c:auto val="0"/>
        <c:lblAlgn val="ctr"/>
        <c:lblOffset val="100"/>
        <c:noMultiLvlLbl val="0"/>
      </c:catAx>
      <c:valAx>
        <c:axId val="126506880"/>
        <c:scaling>
          <c:orientation val="minMax"/>
        </c:scaling>
        <c:delete val="0"/>
        <c:axPos val="l"/>
        <c:majorGridlines/>
        <c:title>
          <c:tx>
            <c:rich>
              <a:bodyPr rot="-5400000" vert="horz"/>
              <a:lstStyle/>
              <a:p>
                <a:pPr>
                  <a:defRPr/>
                </a:pPr>
                <a:r>
                  <a:rPr lang="en-US"/>
                  <a:t>Number of members/observers </a:t>
                </a:r>
              </a:p>
            </c:rich>
          </c:tx>
          <c:layout>
            <c:manualLayout>
              <c:xMode val="edge"/>
              <c:yMode val="edge"/>
              <c:x val="1.2575656958542837E-3"/>
              <c:y val="0.30973758923511152"/>
            </c:manualLayout>
          </c:layout>
          <c:overlay val="0"/>
        </c:title>
        <c:numFmt formatCode="General" sourceLinked="1"/>
        <c:majorTickMark val="out"/>
        <c:minorTickMark val="none"/>
        <c:tickLblPos val="nextTo"/>
        <c:crossAx val="125328000"/>
        <c:crosses val="autoZero"/>
        <c:crossBetween val="between"/>
      </c:valAx>
      <c:spPr>
        <a:noFill/>
        <a:ln w="9525">
          <a:solidFill>
            <a:srgbClr val="808080"/>
          </a:solidFill>
        </a:ln>
      </c:spPr>
    </c:plotArea>
    <c:legend>
      <c:legendPos val="b"/>
      <c:layout>
        <c:manualLayout>
          <c:xMode val="edge"/>
          <c:yMode val="edge"/>
          <c:x val="0.11071283559434589"/>
          <c:y val="0.90433503734299059"/>
          <c:w val="0.83365246814027749"/>
          <c:h val="7.3066120972166609E-2"/>
        </c:manualLayout>
      </c:layout>
      <c:overlay val="0"/>
    </c:legend>
    <c:plotVisOnly val="1"/>
    <c:dispBlanksAs val="gap"/>
    <c:showDLblsOverMax val="0"/>
  </c:chart>
  <c:spPr>
    <a:ln>
      <a:noFill/>
    </a:ln>
  </c:spPr>
  <c:txPr>
    <a:bodyPr/>
    <a:lstStyle/>
    <a:p>
      <a:pPr>
        <a:defRPr sz="500">
          <a:latin typeface="Arial" pitchFamily="34" charset="0"/>
          <a:cs typeface="Arial"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940433293295967E-2"/>
          <c:y val="7.175417483294938E-2"/>
          <c:w val="0.87163495867364404"/>
          <c:h val="0.83901553289445374"/>
        </c:manualLayout>
      </c:layout>
      <c:lineChart>
        <c:grouping val="standard"/>
        <c:varyColors val="0"/>
        <c:ser>
          <c:idx val="0"/>
          <c:order val="0"/>
          <c:tx>
            <c:strRef>
              <c:f>'Fig.9+11 per region'!$D$72</c:f>
              <c:strCache>
                <c:ptCount val="1"/>
                <c:pt idx="0">
                  <c:v>Africa</c:v>
                </c:pt>
              </c:strCache>
            </c:strRef>
          </c:tx>
          <c:marker>
            <c:symbol val="none"/>
          </c:marker>
          <c:cat>
            <c:numRef>
              <c:f>'Fig.9+11 per region'!$E$71:$R$71</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'Fig.9+11 per region'!$E$72:$R$72</c:f>
              <c:numCache>
                <c:formatCode>General</c:formatCode>
                <c:ptCount val="14"/>
                <c:pt idx="0">
                  <c:v>1</c:v>
                </c:pt>
                <c:pt idx="1">
                  <c:v>1</c:v>
                </c:pt>
                <c:pt idx="2">
                  <c:v>0</c:v>
                </c:pt>
                <c:pt idx="3">
                  <c:v>3</c:v>
                </c:pt>
                <c:pt idx="4">
                  <c:v>1</c:v>
                </c:pt>
                <c:pt idx="5">
                  <c:v>0</c:v>
                </c:pt>
                <c:pt idx="6">
                  <c:v>1.5</c:v>
                </c:pt>
                <c:pt idx="7">
                  <c:v>0.5</c:v>
                </c:pt>
                <c:pt idx="8">
                  <c:v>0</c:v>
                </c:pt>
                <c:pt idx="9">
                  <c:v>1</c:v>
                </c:pt>
                <c:pt idx="10">
                  <c:v>1.5</c:v>
                </c:pt>
                <c:pt idx="11">
                  <c:v>3</c:v>
                </c:pt>
                <c:pt idx="12">
                  <c:v>0</c:v>
                </c:pt>
                <c:pt idx="13">
                  <c:v>1</c:v>
                </c:pt>
              </c:numCache>
            </c:numRef>
          </c:val>
          <c:smooth val="0"/>
        </c:ser>
        <c:ser>
          <c:idx val="1"/>
          <c:order val="1"/>
          <c:tx>
            <c:strRef>
              <c:f>'Fig.9+11 per region'!$D$73</c:f>
              <c:strCache>
                <c:ptCount val="1"/>
                <c:pt idx="0">
                  <c:v>Americas</c:v>
                </c:pt>
              </c:strCache>
            </c:strRef>
          </c:tx>
          <c:marker>
            <c:symbol val="none"/>
          </c:marker>
          <c:cat>
            <c:numRef>
              <c:f>'Fig.9+11 per region'!$E$71:$R$71</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'Fig.9+11 per region'!$E$73:$R$73</c:f>
              <c:numCache>
                <c:formatCode>General</c:formatCode>
                <c:ptCount val="14"/>
                <c:pt idx="0">
                  <c:v>2</c:v>
                </c:pt>
                <c:pt idx="1">
                  <c:v>4</c:v>
                </c:pt>
                <c:pt idx="2">
                  <c:v>1</c:v>
                </c:pt>
                <c:pt idx="3">
                  <c:v>0.5</c:v>
                </c:pt>
                <c:pt idx="4">
                  <c:v>2</c:v>
                </c:pt>
                <c:pt idx="5">
                  <c:v>1</c:v>
                </c:pt>
                <c:pt idx="6">
                  <c:v>2</c:v>
                </c:pt>
                <c:pt idx="7">
                  <c:v>3.5</c:v>
                </c:pt>
                <c:pt idx="8">
                  <c:v>5</c:v>
                </c:pt>
                <c:pt idx="9">
                  <c:v>1</c:v>
                </c:pt>
                <c:pt idx="10">
                  <c:v>3</c:v>
                </c:pt>
                <c:pt idx="11">
                  <c:v>2</c:v>
                </c:pt>
                <c:pt idx="12">
                  <c:v>0</c:v>
                </c:pt>
                <c:pt idx="13">
                  <c:v>2.5</c:v>
                </c:pt>
              </c:numCache>
            </c:numRef>
          </c:val>
          <c:smooth val="0"/>
        </c:ser>
        <c:ser>
          <c:idx val="2"/>
          <c:order val="2"/>
          <c:tx>
            <c:strRef>
              <c:f>'Fig.9+11 per region'!$D$74</c:f>
              <c:strCache>
                <c:ptCount val="1"/>
                <c:pt idx="0">
                  <c:v>Asia/Pac</c:v>
                </c:pt>
              </c:strCache>
            </c:strRef>
          </c:tx>
          <c:marker>
            <c:symbol val="none"/>
          </c:marker>
          <c:cat>
            <c:numRef>
              <c:f>'Fig.9+11 per region'!$E$71:$R$71</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'Fig.9+11 per region'!$E$74:$R$74</c:f>
              <c:numCache>
                <c:formatCode>General</c:formatCode>
                <c:ptCount val="14"/>
                <c:pt idx="0">
                  <c:v>1</c:v>
                </c:pt>
                <c:pt idx="1">
                  <c:v>6.5</c:v>
                </c:pt>
                <c:pt idx="2">
                  <c:v>1</c:v>
                </c:pt>
                <c:pt idx="3">
                  <c:v>6</c:v>
                </c:pt>
                <c:pt idx="4">
                  <c:v>2</c:v>
                </c:pt>
                <c:pt idx="5">
                  <c:v>4</c:v>
                </c:pt>
                <c:pt idx="6">
                  <c:v>1</c:v>
                </c:pt>
                <c:pt idx="7">
                  <c:v>2</c:v>
                </c:pt>
                <c:pt idx="8" formatCode="0">
                  <c:v>4.99</c:v>
                </c:pt>
                <c:pt idx="9">
                  <c:v>2.5</c:v>
                </c:pt>
                <c:pt idx="10">
                  <c:v>1</c:v>
                </c:pt>
                <c:pt idx="11">
                  <c:v>5.5</c:v>
                </c:pt>
                <c:pt idx="12">
                  <c:v>4.5</c:v>
                </c:pt>
                <c:pt idx="13">
                  <c:v>8</c:v>
                </c:pt>
              </c:numCache>
            </c:numRef>
          </c:val>
          <c:smooth val="0"/>
        </c:ser>
        <c:ser>
          <c:idx val="3"/>
          <c:order val="3"/>
          <c:tx>
            <c:strRef>
              <c:f>'Fig.9+11 per region'!$D$75</c:f>
              <c:strCache>
                <c:ptCount val="1"/>
                <c:pt idx="0">
                  <c:v>Europe</c:v>
                </c:pt>
              </c:strCache>
            </c:strRef>
          </c:tx>
          <c:marker>
            <c:symbol val="none"/>
          </c:marker>
          <c:cat>
            <c:numRef>
              <c:f>'Fig.9+11 per region'!$E$71:$R$71</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'Fig.9+11 per region'!$E$75:$R$75</c:f>
              <c:numCache>
                <c:formatCode>General</c:formatCode>
                <c:ptCount val="14"/>
                <c:pt idx="0">
                  <c:v>4</c:v>
                </c:pt>
                <c:pt idx="1">
                  <c:v>6</c:v>
                </c:pt>
                <c:pt idx="2">
                  <c:v>19</c:v>
                </c:pt>
                <c:pt idx="3">
                  <c:v>16</c:v>
                </c:pt>
                <c:pt idx="4">
                  <c:v>14</c:v>
                </c:pt>
                <c:pt idx="5">
                  <c:v>8</c:v>
                </c:pt>
                <c:pt idx="6">
                  <c:v>18.5</c:v>
                </c:pt>
                <c:pt idx="7" formatCode="0">
                  <c:v>11.99</c:v>
                </c:pt>
                <c:pt idx="8">
                  <c:v>12</c:v>
                </c:pt>
                <c:pt idx="9">
                  <c:v>7.5</c:v>
                </c:pt>
                <c:pt idx="10">
                  <c:v>8</c:v>
                </c:pt>
                <c:pt idx="11">
                  <c:v>10.5</c:v>
                </c:pt>
                <c:pt idx="12">
                  <c:v>11.5</c:v>
                </c:pt>
                <c:pt idx="13">
                  <c:v>12</c:v>
                </c:pt>
              </c:numCache>
            </c:numRef>
          </c:val>
          <c:smooth val="0"/>
        </c:ser>
        <c:ser>
          <c:idx val="4"/>
          <c:order val="4"/>
          <c:tx>
            <c:strRef>
              <c:f>'Fig.9+11 per region'!$D$76</c:f>
              <c:strCache>
                <c:ptCount val="1"/>
                <c:pt idx="0">
                  <c:v>Near/Middle East</c:v>
                </c:pt>
              </c:strCache>
            </c:strRef>
          </c:tx>
          <c:marker>
            <c:symbol val="none"/>
          </c:marker>
          <c:cat>
            <c:numRef>
              <c:f>'Fig.9+11 per region'!$E$71:$R$71</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'Fig.9+11 per region'!$E$76:$R$76</c:f>
              <c:numCache>
                <c:formatCode>General</c:formatCode>
                <c:ptCount val="14"/>
                <c:pt idx="0">
                  <c:v>0</c:v>
                </c:pt>
                <c:pt idx="1">
                  <c:v>1.5</c:v>
                </c:pt>
                <c:pt idx="2">
                  <c:v>0</c:v>
                </c:pt>
                <c:pt idx="3">
                  <c:v>0.5</c:v>
                </c:pt>
                <c:pt idx="4">
                  <c:v>0</c:v>
                </c:pt>
                <c:pt idx="5">
                  <c:v>0</c:v>
                </c:pt>
                <c:pt idx="6">
                  <c:v>0</c:v>
                </c:pt>
                <c:pt idx="7">
                  <c:v>0</c:v>
                </c:pt>
                <c:pt idx="8">
                  <c:v>0</c:v>
                </c:pt>
                <c:pt idx="9">
                  <c:v>0</c:v>
                </c:pt>
                <c:pt idx="10">
                  <c:v>0.5</c:v>
                </c:pt>
                <c:pt idx="11">
                  <c:v>0</c:v>
                </c:pt>
                <c:pt idx="12">
                  <c:v>0</c:v>
                </c:pt>
                <c:pt idx="13">
                  <c:v>0.5</c:v>
                </c:pt>
              </c:numCache>
            </c:numRef>
          </c:val>
          <c:smooth val="0"/>
        </c:ser>
        <c:dLbls>
          <c:showLegendKey val="0"/>
          <c:showVal val="0"/>
          <c:showCatName val="0"/>
          <c:showSerName val="0"/>
          <c:showPercent val="0"/>
          <c:showBubbleSize val="0"/>
        </c:dLbls>
        <c:marker val="1"/>
        <c:smooth val="0"/>
        <c:axId val="89365888"/>
        <c:axId val="89371776"/>
      </c:lineChart>
      <c:catAx>
        <c:axId val="89365888"/>
        <c:scaling>
          <c:orientation val="minMax"/>
        </c:scaling>
        <c:delete val="0"/>
        <c:axPos val="b"/>
        <c:numFmt formatCode="General" sourceLinked="1"/>
        <c:majorTickMark val="out"/>
        <c:minorTickMark val="none"/>
        <c:tickLblPos val="nextTo"/>
        <c:txPr>
          <a:bodyPr rot="-5400000" vert="horz"/>
          <a:lstStyle/>
          <a:p>
            <a:pPr>
              <a:defRPr sz="500"/>
            </a:pPr>
            <a:endParaRPr lang="en-US"/>
          </a:p>
        </c:txPr>
        <c:crossAx val="89371776"/>
        <c:crosses val="autoZero"/>
        <c:auto val="0"/>
        <c:lblAlgn val="ctr"/>
        <c:lblOffset val="100"/>
        <c:noMultiLvlLbl val="0"/>
      </c:catAx>
      <c:valAx>
        <c:axId val="89371776"/>
        <c:scaling>
          <c:orientation val="minMax"/>
        </c:scaling>
        <c:delete val="0"/>
        <c:axPos val="l"/>
        <c:majorGridlines/>
        <c:numFmt formatCode="General" sourceLinked="1"/>
        <c:majorTickMark val="out"/>
        <c:minorTickMark val="none"/>
        <c:tickLblPos val="nextTo"/>
        <c:crossAx val="89365888"/>
        <c:crosses val="autoZero"/>
        <c:crossBetween val="midCat"/>
      </c:valAx>
    </c:plotArea>
    <c:legend>
      <c:legendPos val="r"/>
      <c:layout>
        <c:manualLayout>
          <c:xMode val="edge"/>
          <c:yMode val="edge"/>
          <c:x val="0.61072268140395491"/>
          <c:y val="3.7800438879566287E-2"/>
          <c:w val="0.27333528961053782"/>
          <c:h val="0.22623597247194493"/>
        </c:manualLayout>
      </c:layout>
      <c:overlay val="0"/>
      <c:spPr>
        <a:solidFill>
          <a:schemeClr val="bg1"/>
        </a:solidFill>
        <a:ln>
          <a:solidFill>
            <a:schemeClr val="tx1"/>
          </a:solidFill>
        </a:ln>
      </c:spPr>
      <c:txPr>
        <a:bodyPr/>
        <a:lstStyle/>
        <a:p>
          <a:pPr>
            <a:defRPr sz="500"/>
          </a:pPr>
          <a:endParaRPr lang="en-US"/>
        </a:p>
      </c:txPr>
    </c:legend>
    <c:plotVisOnly val="1"/>
    <c:dispBlanksAs val="gap"/>
    <c:showDLblsOverMax val="0"/>
  </c:chart>
  <c:spPr>
    <a:ln>
      <a:noFill/>
    </a:ln>
  </c:spPr>
  <c:txPr>
    <a:bodyPr/>
    <a:lstStyle/>
    <a:p>
      <a:pPr>
        <a:defRPr sz="6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638641244224641E-2"/>
          <c:y val="2.730433863552291E-2"/>
          <c:w val="0.90847973934725901"/>
          <c:h val="0.86271312542625078"/>
        </c:manualLayout>
      </c:layout>
      <c:lineChart>
        <c:grouping val="standard"/>
        <c:varyColors val="0"/>
        <c:ser>
          <c:idx val="0"/>
          <c:order val="0"/>
          <c:tx>
            <c:strRef>
              <c:f>'Fig.9+11 per region'!$B$5</c:f>
              <c:strCache>
                <c:ptCount val="1"/>
                <c:pt idx="0">
                  <c:v>Africa</c:v>
                </c:pt>
              </c:strCache>
            </c:strRef>
          </c:tx>
          <c:marker>
            <c:symbol val="none"/>
          </c:marker>
          <c:cat>
            <c:numRef>
              <c:f>'Fig.9+11 per region'!$C$4:$P$4</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'Fig.9+11 per region'!$C$5:$P$5</c:f>
              <c:numCache>
                <c:formatCode>General</c:formatCode>
                <c:ptCount val="14"/>
                <c:pt idx="0">
                  <c:v>1</c:v>
                </c:pt>
                <c:pt idx="1">
                  <c:v>5</c:v>
                </c:pt>
                <c:pt idx="2">
                  <c:v>5.5</c:v>
                </c:pt>
                <c:pt idx="3">
                  <c:v>2</c:v>
                </c:pt>
                <c:pt idx="4">
                  <c:v>3</c:v>
                </c:pt>
                <c:pt idx="5">
                  <c:v>3</c:v>
                </c:pt>
                <c:pt idx="6">
                  <c:v>3</c:v>
                </c:pt>
                <c:pt idx="7">
                  <c:v>2.25</c:v>
                </c:pt>
                <c:pt idx="8">
                  <c:v>2</c:v>
                </c:pt>
                <c:pt idx="9">
                  <c:v>4</c:v>
                </c:pt>
                <c:pt idx="10">
                  <c:v>5</c:v>
                </c:pt>
                <c:pt idx="11">
                  <c:v>3.5</c:v>
                </c:pt>
                <c:pt idx="12">
                  <c:v>6.5</c:v>
                </c:pt>
                <c:pt idx="13">
                  <c:v>2.5</c:v>
                </c:pt>
              </c:numCache>
            </c:numRef>
          </c:val>
          <c:smooth val="0"/>
        </c:ser>
        <c:ser>
          <c:idx val="1"/>
          <c:order val="1"/>
          <c:tx>
            <c:strRef>
              <c:f>'Fig.9+11 per region'!$B$6</c:f>
              <c:strCache>
                <c:ptCount val="1"/>
                <c:pt idx="0">
                  <c:v>Americas</c:v>
                </c:pt>
              </c:strCache>
            </c:strRef>
          </c:tx>
          <c:marker>
            <c:symbol val="none"/>
          </c:marker>
          <c:cat>
            <c:numRef>
              <c:f>'Fig.9+11 per region'!$C$4:$P$4</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'Fig.9+11 per region'!$C$6:$P$6</c:f>
              <c:numCache>
                <c:formatCode>General</c:formatCode>
                <c:ptCount val="14"/>
                <c:pt idx="0">
                  <c:v>5</c:v>
                </c:pt>
                <c:pt idx="1">
                  <c:v>6</c:v>
                </c:pt>
                <c:pt idx="2">
                  <c:v>7.5</c:v>
                </c:pt>
                <c:pt idx="3">
                  <c:v>11</c:v>
                </c:pt>
                <c:pt idx="4">
                  <c:v>11.5</c:v>
                </c:pt>
                <c:pt idx="5">
                  <c:v>15.5</c:v>
                </c:pt>
                <c:pt idx="6">
                  <c:v>16</c:v>
                </c:pt>
                <c:pt idx="7">
                  <c:v>18.5</c:v>
                </c:pt>
                <c:pt idx="8">
                  <c:v>11</c:v>
                </c:pt>
                <c:pt idx="9">
                  <c:v>9</c:v>
                </c:pt>
                <c:pt idx="10">
                  <c:v>4.5</c:v>
                </c:pt>
                <c:pt idx="11">
                  <c:v>8</c:v>
                </c:pt>
                <c:pt idx="12">
                  <c:v>11</c:v>
                </c:pt>
                <c:pt idx="13">
                  <c:v>8.5</c:v>
                </c:pt>
              </c:numCache>
            </c:numRef>
          </c:val>
          <c:smooth val="0"/>
        </c:ser>
        <c:ser>
          <c:idx val="2"/>
          <c:order val="2"/>
          <c:tx>
            <c:v>Asia/Pacific</c:v>
          </c:tx>
          <c:marker>
            <c:symbol val="none"/>
          </c:marker>
          <c:cat>
            <c:numRef>
              <c:f>'Fig.9+11 per region'!$C$4:$P$4</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'Fig.9+11 per region'!$C$7:$P$7</c:f>
              <c:numCache>
                <c:formatCode>General</c:formatCode>
                <c:ptCount val="14"/>
                <c:pt idx="0">
                  <c:v>5</c:v>
                </c:pt>
                <c:pt idx="1">
                  <c:v>8</c:v>
                </c:pt>
                <c:pt idx="2">
                  <c:v>11</c:v>
                </c:pt>
                <c:pt idx="3">
                  <c:v>8</c:v>
                </c:pt>
                <c:pt idx="4">
                  <c:v>7</c:v>
                </c:pt>
                <c:pt idx="5">
                  <c:v>3.5</c:v>
                </c:pt>
                <c:pt idx="6">
                  <c:v>10.5</c:v>
                </c:pt>
                <c:pt idx="7">
                  <c:v>15.25</c:v>
                </c:pt>
                <c:pt idx="8">
                  <c:v>18</c:v>
                </c:pt>
                <c:pt idx="9">
                  <c:v>26.5</c:v>
                </c:pt>
                <c:pt idx="10">
                  <c:v>19</c:v>
                </c:pt>
                <c:pt idx="11">
                  <c:v>17</c:v>
                </c:pt>
                <c:pt idx="12">
                  <c:v>16</c:v>
                </c:pt>
                <c:pt idx="13">
                  <c:v>13</c:v>
                </c:pt>
              </c:numCache>
            </c:numRef>
          </c:val>
          <c:smooth val="0"/>
        </c:ser>
        <c:ser>
          <c:idx val="3"/>
          <c:order val="3"/>
          <c:tx>
            <c:strRef>
              <c:f>'Fig.9+11 per region'!$B$8</c:f>
              <c:strCache>
                <c:ptCount val="1"/>
                <c:pt idx="0">
                  <c:v>Europe</c:v>
                </c:pt>
              </c:strCache>
            </c:strRef>
          </c:tx>
          <c:marker>
            <c:symbol val="none"/>
          </c:marker>
          <c:cat>
            <c:numRef>
              <c:f>'Fig.9+11 per region'!$C$4:$P$4</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'Fig.9+11 per region'!$C$8:$P$8</c:f>
              <c:numCache>
                <c:formatCode>General</c:formatCode>
                <c:ptCount val="14"/>
                <c:pt idx="0">
                  <c:v>30</c:v>
                </c:pt>
                <c:pt idx="1">
                  <c:v>25</c:v>
                </c:pt>
                <c:pt idx="2">
                  <c:v>30.5</c:v>
                </c:pt>
                <c:pt idx="3">
                  <c:v>31</c:v>
                </c:pt>
                <c:pt idx="4">
                  <c:v>28.5</c:v>
                </c:pt>
                <c:pt idx="5">
                  <c:v>37</c:v>
                </c:pt>
                <c:pt idx="6">
                  <c:v>39</c:v>
                </c:pt>
                <c:pt idx="7">
                  <c:v>37</c:v>
                </c:pt>
                <c:pt idx="8">
                  <c:v>38</c:v>
                </c:pt>
                <c:pt idx="9">
                  <c:v>40</c:v>
                </c:pt>
                <c:pt idx="10">
                  <c:v>33</c:v>
                </c:pt>
                <c:pt idx="11">
                  <c:v>31</c:v>
                </c:pt>
                <c:pt idx="12">
                  <c:v>28</c:v>
                </c:pt>
                <c:pt idx="13">
                  <c:v>25</c:v>
                </c:pt>
              </c:numCache>
            </c:numRef>
          </c:val>
          <c:smooth val="0"/>
        </c:ser>
        <c:ser>
          <c:idx val="4"/>
          <c:order val="4"/>
          <c:tx>
            <c:v>Near/Middle East</c:v>
          </c:tx>
          <c:marker>
            <c:symbol val="none"/>
          </c:marker>
          <c:cat>
            <c:numRef>
              <c:f>'Fig.9+11 per region'!$C$4:$P$4</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'Fig.9+11 per region'!$C$9:$P$9</c:f>
              <c:numCache>
                <c:formatCode>General</c:formatCode>
                <c:ptCount val="14"/>
                <c:pt idx="0">
                  <c:v>1</c:v>
                </c:pt>
                <c:pt idx="1">
                  <c:v>1</c:v>
                </c:pt>
                <c:pt idx="2">
                  <c:v>2.5</c:v>
                </c:pt>
                <c:pt idx="3">
                  <c:v>4</c:v>
                </c:pt>
                <c:pt idx="4">
                  <c:v>4</c:v>
                </c:pt>
                <c:pt idx="5">
                  <c:v>3.5</c:v>
                </c:pt>
                <c:pt idx="6">
                  <c:v>3.5</c:v>
                </c:pt>
                <c:pt idx="7">
                  <c:v>5</c:v>
                </c:pt>
                <c:pt idx="8">
                  <c:v>5</c:v>
                </c:pt>
                <c:pt idx="9">
                  <c:v>2.5</c:v>
                </c:pt>
                <c:pt idx="10">
                  <c:v>0.5</c:v>
                </c:pt>
                <c:pt idx="11">
                  <c:v>0.5</c:v>
                </c:pt>
                <c:pt idx="12">
                  <c:v>0.5</c:v>
                </c:pt>
                <c:pt idx="13">
                  <c:v>0</c:v>
                </c:pt>
              </c:numCache>
            </c:numRef>
          </c:val>
          <c:smooth val="0"/>
        </c:ser>
        <c:dLbls>
          <c:showLegendKey val="0"/>
          <c:showVal val="0"/>
          <c:showCatName val="0"/>
          <c:showSerName val="0"/>
          <c:showPercent val="0"/>
          <c:showBubbleSize val="0"/>
        </c:dLbls>
        <c:marker val="1"/>
        <c:smooth val="0"/>
        <c:axId val="109027328"/>
        <c:axId val="109028864"/>
      </c:lineChart>
      <c:catAx>
        <c:axId val="109027328"/>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109028864"/>
        <c:crosses val="autoZero"/>
        <c:auto val="1"/>
        <c:lblAlgn val="ctr"/>
        <c:lblOffset val="100"/>
        <c:noMultiLvlLbl val="0"/>
      </c:catAx>
      <c:valAx>
        <c:axId val="109028864"/>
        <c:scaling>
          <c:orientation val="minMax"/>
        </c:scaling>
        <c:delete val="0"/>
        <c:axPos val="l"/>
        <c:majorGridlines/>
        <c:numFmt formatCode="General" sourceLinked="1"/>
        <c:majorTickMark val="out"/>
        <c:minorTickMark val="none"/>
        <c:tickLblPos val="nextTo"/>
        <c:crossAx val="109027328"/>
        <c:crosses val="autoZero"/>
        <c:crossBetween val="midCat"/>
      </c:valAx>
      <c:spPr>
        <a:ln>
          <a:noFill/>
        </a:ln>
      </c:spPr>
    </c:plotArea>
    <c:legend>
      <c:legendPos val="r"/>
      <c:layout>
        <c:manualLayout>
          <c:xMode val="edge"/>
          <c:yMode val="edge"/>
          <c:x val="7.8104020206328825E-2"/>
          <c:y val="7.4123214913096478E-3"/>
          <c:w val="0.2817200560033894"/>
          <c:h val="0.22391138115609566"/>
        </c:manualLayout>
      </c:layout>
      <c:overlay val="0"/>
      <c:spPr>
        <a:solidFill>
          <a:schemeClr val="bg1"/>
        </a:solidFill>
        <a:ln>
          <a:solidFill>
            <a:schemeClr val="tx1"/>
          </a:solidFill>
        </a:ln>
      </c:spPr>
      <c:txPr>
        <a:bodyPr/>
        <a:lstStyle/>
        <a:p>
          <a:pPr>
            <a:defRPr sz="500"/>
          </a:pPr>
          <a:endParaRPr lang="en-US"/>
        </a:p>
      </c:txPr>
    </c:legend>
    <c:plotVisOnly val="1"/>
    <c:dispBlanksAs val="gap"/>
    <c:showDLblsOverMax val="0"/>
  </c:chart>
  <c:spPr>
    <a:ln>
      <a:noFill/>
    </a:ln>
  </c:spPr>
  <c:txPr>
    <a:bodyPr/>
    <a:lstStyle/>
    <a:p>
      <a:pPr>
        <a:defRPr sz="6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218771422042804E-2"/>
          <c:y val="8.5031763973957911E-2"/>
          <c:w val="0.88525055567480737"/>
          <c:h val="0.8075725313915687"/>
        </c:manualLayout>
      </c:layout>
      <c:barChart>
        <c:barDir val="col"/>
        <c:grouping val="clustered"/>
        <c:varyColors val="0"/>
        <c:ser>
          <c:idx val="0"/>
          <c:order val="0"/>
          <c:tx>
            <c:v>Number of UPOV members</c:v>
          </c:tx>
          <c:spPr>
            <a:solidFill>
              <a:schemeClr val="bg1">
                <a:lumMod val="65000"/>
              </a:schemeClr>
            </a:solidFill>
          </c:spPr>
          <c:invertIfNegative val="0"/>
          <c:cat>
            <c:numRef>
              <c:f>'Fig.8+9+12'!$AB$25:$AB$38</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'Fig.8+9+12'!$V$25:$V$38</c:f>
              <c:numCache>
                <c:formatCode>General</c:formatCode>
                <c:ptCount val="14"/>
                <c:pt idx="0">
                  <c:v>46</c:v>
                </c:pt>
                <c:pt idx="1">
                  <c:v>49</c:v>
                </c:pt>
                <c:pt idx="2">
                  <c:v>51</c:v>
                </c:pt>
                <c:pt idx="3">
                  <c:v>54</c:v>
                </c:pt>
                <c:pt idx="4">
                  <c:v>58</c:v>
                </c:pt>
                <c:pt idx="5">
                  <c:v>60</c:v>
                </c:pt>
                <c:pt idx="6">
                  <c:v>63</c:v>
                </c:pt>
                <c:pt idx="7">
                  <c:v>65</c:v>
                </c:pt>
                <c:pt idx="8">
                  <c:v>66</c:v>
                </c:pt>
                <c:pt idx="9">
                  <c:v>68</c:v>
                </c:pt>
                <c:pt idx="10">
                  <c:v>68</c:v>
                </c:pt>
                <c:pt idx="11">
                  <c:v>70</c:v>
                </c:pt>
                <c:pt idx="12">
                  <c:v>70</c:v>
                </c:pt>
                <c:pt idx="13">
                  <c:v>71</c:v>
                </c:pt>
              </c:numCache>
            </c:numRef>
          </c:val>
        </c:ser>
        <c:dLbls>
          <c:showLegendKey val="0"/>
          <c:showVal val="0"/>
          <c:showCatName val="0"/>
          <c:showSerName val="0"/>
          <c:showPercent val="0"/>
          <c:showBubbleSize val="0"/>
        </c:dLbls>
        <c:gapWidth val="150"/>
        <c:axId val="111020672"/>
        <c:axId val="111038848"/>
      </c:barChart>
      <c:lineChart>
        <c:grouping val="standard"/>
        <c:varyColors val="0"/>
        <c:ser>
          <c:idx val="1"/>
          <c:order val="1"/>
          <c:tx>
            <c:v>Number of UPOV members involved in drafting TGs</c:v>
          </c:tx>
          <c:spPr>
            <a:ln w="41275"/>
          </c:spPr>
          <c:marker>
            <c:symbol val="none"/>
          </c:marker>
          <c:cat>
            <c:numRef>
              <c:f>'Fig.8+9+12'!$AB$25:$AB$38</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'Fig.8+9+12'!$AA$25:$AA$38</c:f>
              <c:numCache>
                <c:formatCode>General</c:formatCode>
                <c:ptCount val="14"/>
                <c:pt idx="0">
                  <c:v>17</c:v>
                </c:pt>
                <c:pt idx="1">
                  <c:v>16</c:v>
                </c:pt>
                <c:pt idx="2">
                  <c:v>17</c:v>
                </c:pt>
                <c:pt idx="3">
                  <c:v>21</c:v>
                </c:pt>
                <c:pt idx="4">
                  <c:v>22</c:v>
                </c:pt>
                <c:pt idx="5">
                  <c:v>24</c:v>
                </c:pt>
                <c:pt idx="6">
                  <c:v>25</c:v>
                </c:pt>
                <c:pt idx="7">
                  <c:v>23</c:v>
                </c:pt>
                <c:pt idx="8">
                  <c:v>20</c:v>
                </c:pt>
                <c:pt idx="9">
                  <c:v>21</c:v>
                </c:pt>
                <c:pt idx="10">
                  <c:v>21</c:v>
                </c:pt>
                <c:pt idx="11">
                  <c:v>20</c:v>
                </c:pt>
                <c:pt idx="12">
                  <c:v>19</c:v>
                </c:pt>
                <c:pt idx="13">
                  <c:v>17</c:v>
                </c:pt>
              </c:numCache>
            </c:numRef>
          </c:val>
          <c:smooth val="0"/>
        </c:ser>
        <c:dLbls>
          <c:showLegendKey val="0"/>
          <c:showVal val="0"/>
          <c:showCatName val="0"/>
          <c:showSerName val="0"/>
          <c:showPercent val="0"/>
          <c:showBubbleSize val="0"/>
        </c:dLbls>
        <c:marker val="1"/>
        <c:smooth val="0"/>
        <c:axId val="111020672"/>
        <c:axId val="111038848"/>
      </c:lineChart>
      <c:catAx>
        <c:axId val="111020672"/>
        <c:scaling>
          <c:orientation val="minMax"/>
        </c:scaling>
        <c:delete val="0"/>
        <c:axPos val="b"/>
        <c:numFmt formatCode="General" sourceLinked="1"/>
        <c:majorTickMark val="out"/>
        <c:minorTickMark val="none"/>
        <c:tickLblPos val="nextTo"/>
        <c:crossAx val="111038848"/>
        <c:crosses val="autoZero"/>
        <c:auto val="1"/>
        <c:lblAlgn val="ctr"/>
        <c:lblOffset val="100"/>
        <c:noMultiLvlLbl val="0"/>
      </c:catAx>
      <c:valAx>
        <c:axId val="111038848"/>
        <c:scaling>
          <c:orientation val="minMax"/>
        </c:scaling>
        <c:delete val="0"/>
        <c:axPos val="l"/>
        <c:majorGridlines/>
        <c:numFmt formatCode="General" sourceLinked="1"/>
        <c:majorTickMark val="out"/>
        <c:minorTickMark val="none"/>
        <c:tickLblPos val="nextTo"/>
        <c:crossAx val="111020672"/>
        <c:crosses val="autoZero"/>
        <c:crossBetween val="between"/>
      </c:valAx>
    </c:plotArea>
    <c:legend>
      <c:legendPos val="r"/>
      <c:layout>
        <c:manualLayout>
          <c:xMode val="edge"/>
          <c:yMode val="edge"/>
          <c:x val="8.8075980193197512E-2"/>
          <c:y val="3.5962503351670401E-2"/>
          <c:w val="0.39250285466893958"/>
          <c:h val="0.18483219597550307"/>
        </c:manualLayout>
      </c:layout>
      <c:overlay val="0"/>
      <c:spPr>
        <a:solidFill>
          <a:schemeClr val="bg1"/>
        </a:solidFill>
        <a:ln>
          <a:solidFill>
            <a:schemeClr val="tx1"/>
          </a:solidFill>
        </a:ln>
      </c:spPr>
      <c:txPr>
        <a:bodyPr/>
        <a:lstStyle/>
        <a:p>
          <a:pPr>
            <a:defRPr sz="800"/>
          </a:pPr>
          <a:endParaRPr lang="en-US"/>
        </a:p>
      </c:txPr>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372165828669006E-2"/>
          <c:y val="4.4875944992824414E-2"/>
          <c:w val="0.89756088922619615"/>
          <c:h val="0.69929068633222524"/>
        </c:manualLayout>
      </c:layout>
      <c:barChart>
        <c:barDir val="col"/>
        <c:grouping val="clustered"/>
        <c:varyColors val="0"/>
        <c:ser>
          <c:idx val="1"/>
          <c:order val="0"/>
          <c:tx>
            <c:strRef>
              <c:f>fig.13_CAJ!$C$5</c:f>
              <c:strCache>
                <c:ptCount val="1"/>
                <c:pt idx="0">
                  <c:v>Observer States</c:v>
                </c:pt>
              </c:strCache>
            </c:strRef>
          </c:tx>
          <c:spPr>
            <a:solidFill>
              <a:srgbClr val="FFFF99"/>
            </a:solidFill>
            <a:ln>
              <a:solidFill>
                <a:srgbClr val="000000"/>
              </a:solidFill>
            </a:ln>
          </c:spPr>
          <c:invertIfNegative val="0"/>
          <c:cat>
            <c:strRef>
              <c:f>fig.13_CAJ!$A$6:$A$33</c:f>
              <c:strCache>
                <c:ptCount val="28"/>
                <c:pt idx="0">
                  <c:v>March/Apr. 2000</c:v>
                </c:pt>
                <c:pt idx="1">
                  <c:v>Oct./Nov. 2000</c:v>
                </c:pt>
                <c:pt idx="2">
                  <c:v>March/Apr. 2001</c:v>
                </c:pt>
                <c:pt idx="3">
                  <c:v>Oct./Nov. 2001</c:v>
                </c:pt>
                <c:pt idx="4">
                  <c:v>March/Apr. 2002</c:v>
                </c:pt>
                <c:pt idx="5">
                  <c:v>Oct./Nov. 2002</c:v>
                </c:pt>
                <c:pt idx="6">
                  <c:v>March/Apr. 2003</c:v>
                </c:pt>
                <c:pt idx="7">
                  <c:v>Oct./Nov. 2003</c:v>
                </c:pt>
                <c:pt idx="8">
                  <c:v>March/Apr. 2004</c:v>
                </c:pt>
                <c:pt idx="9">
                  <c:v>Oct./Nov. 2004</c:v>
                </c:pt>
                <c:pt idx="10">
                  <c:v>March/Apr. 2005</c:v>
                </c:pt>
                <c:pt idx="11">
                  <c:v>Oct./Nov. 2005</c:v>
                </c:pt>
                <c:pt idx="12">
                  <c:v>March/Apr. 2006</c:v>
                </c:pt>
                <c:pt idx="13">
                  <c:v>Oct./Nov. 2006</c:v>
                </c:pt>
                <c:pt idx="14">
                  <c:v>March/Apr. 2007</c:v>
                </c:pt>
                <c:pt idx="15">
                  <c:v>Oct./Nov. 2007</c:v>
                </c:pt>
                <c:pt idx="16">
                  <c:v>March/Apr. 2008</c:v>
                </c:pt>
                <c:pt idx="17">
                  <c:v>Oct./Nov. 2008</c:v>
                </c:pt>
                <c:pt idx="18">
                  <c:v>March/Apr. 2009</c:v>
                </c:pt>
                <c:pt idx="19">
                  <c:v>Oct./Nov. 2009</c:v>
                </c:pt>
                <c:pt idx="20">
                  <c:v>March/Apr. 2010</c:v>
                </c:pt>
                <c:pt idx="21">
                  <c:v>Oct./Nov. 2010</c:v>
                </c:pt>
                <c:pt idx="22">
                  <c:v>March/Apr. 2011</c:v>
                </c:pt>
                <c:pt idx="23">
                  <c:v>Oct./Nov. 2011</c:v>
                </c:pt>
                <c:pt idx="24">
                  <c:v>March/Apr. 2012</c:v>
                </c:pt>
                <c:pt idx="25">
                  <c:v>Oct./Nov. 2012</c:v>
                </c:pt>
                <c:pt idx="26">
                  <c:v>March/Apr. 2013</c:v>
                </c:pt>
                <c:pt idx="27">
                  <c:v>Oct./Nov. 2013</c:v>
                </c:pt>
              </c:strCache>
            </c:strRef>
          </c:cat>
          <c:val>
            <c:numRef>
              <c:f>fig.13_CAJ!$C$6:$C$33</c:f>
              <c:numCache>
                <c:formatCode>General</c:formatCode>
                <c:ptCount val="28"/>
                <c:pt idx="0">
                  <c:v>6</c:v>
                </c:pt>
                <c:pt idx="1">
                  <c:v>6</c:v>
                </c:pt>
                <c:pt idx="2">
                  <c:v>4</c:v>
                </c:pt>
                <c:pt idx="3">
                  <c:v>7</c:v>
                </c:pt>
                <c:pt idx="4">
                  <c:v>4</c:v>
                </c:pt>
                <c:pt idx="5">
                  <c:v>7</c:v>
                </c:pt>
                <c:pt idx="6">
                  <c:v>3</c:v>
                </c:pt>
                <c:pt idx="7">
                  <c:v>8</c:v>
                </c:pt>
                <c:pt idx="8">
                  <c:v>4</c:v>
                </c:pt>
                <c:pt idx="9">
                  <c:v>3</c:v>
                </c:pt>
                <c:pt idx="10">
                  <c:v>4</c:v>
                </c:pt>
                <c:pt idx="11">
                  <c:v>4</c:v>
                </c:pt>
                <c:pt idx="12">
                  <c:v>6</c:v>
                </c:pt>
                <c:pt idx="13">
                  <c:v>4</c:v>
                </c:pt>
                <c:pt idx="14">
                  <c:v>8</c:v>
                </c:pt>
                <c:pt idx="15">
                  <c:v>4</c:v>
                </c:pt>
                <c:pt idx="16">
                  <c:v>3</c:v>
                </c:pt>
                <c:pt idx="17">
                  <c:v>7</c:v>
                </c:pt>
                <c:pt idx="18">
                  <c:v>2</c:v>
                </c:pt>
                <c:pt idx="19">
                  <c:v>3</c:v>
                </c:pt>
                <c:pt idx="20">
                  <c:v>3</c:v>
                </c:pt>
                <c:pt idx="21">
                  <c:v>4</c:v>
                </c:pt>
                <c:pt idx="22">
                  <c:v>11</c:v>
                </c:pt>
                <c:pt idx="23">
                  <c:v>1</c:v>
                </c:pt>
                <c:pt idx="24">
                  <c:v>4</c:v>
                </c:pt>
                <c:pt idx="25">
                  <c:v>3</c:v>
                </c:pt>
                <c:pt idx="26">
                  <c:v>7</c:v>
                </c:pt>
                <c:pt idx="27">
                  <c:v>5</c:v>
                </c:pt>
              </c:numCache>
            </c:numRef>
          </c:val>
        </c:ser>
        <c:ser>
          <c:idx val="2"/>
          <c:order val="1"/>
          <c:tx>
            <c:strRef>
              <c:f>fig.13_CAJ!$D$5</c:f>
              <c:strCache>
                <c:ptCount val="1"/>
                <c:pt idx="0">
                  <c:v>Observer Organizations</c:v>
                </c:pt>
              </c:strCache>
            </c:strRef>
          </c:tx>
          <c:spPr>
            <a:ln>
              <a:solidFill>
                <a:srgbClr val="000000"/>
              </a:solidFill>
            </a:ln>
          </c:spPr>
          <c:invertIfNegative val="0"/>
          <c:cat>
            <c:strRef>
              <c:f>fig.13_CAJ!$A$6:$A$33</c:f>
              <c:strCache>
                <c:ptCount val="28"/>
                <c:pt idx="0">
                  <c:v>March/Apr. 2000</c:v>
                </c:pt>
                <c:pt idx="1">
                  <c:v>Oct./Nov. 2000</c:v>
                </c:pt>
                <c:pt idx="2">
                  <c:v>March/Apr. 2001</c:v>
                </c:pt>
                <c:pt idx="3">
                  <c:v>Oct./Nov. 2001</c:v>
                </c:pt>
                <c:pt idx="4">
                  <c:v>March/Apr. 2002</c:v>
                </c:pt>
                <c:pt idx="5">
                  <c:v>Oct./Nov. 2002</c:v>
                </c:pt>
                <c:pt idx="6">
                  <c:v>March/Apr. 2003</c:v>
                </c:pt>
                <c:pt idx="7">
                  <c:v>Oct./Nov. 2003</c:v>
                </c:pt>
                <c:pt idx="8">
                  <c:v>March/Apr. 2004</c:v>
                </c:pt>
                <c:pt idx="9">
                  <c:v>Oct./Nov. 2004</c:v>
                </c:pt>
                <c:pt idx="10">
                  <c:v>March/Apr. 2005</c:v>
                </c:pt>
                <c:pt idx="11">
                  <c:v>Oct./Nov. 2005</c:v>
                </c:pt>
                <c:pt idx="12">
                  <c:v>March/Apr. 2006</c:v>
                </c:pt>
                <c:pt idx="13">
                  <c:v>Oct./Nov. 2006</c:v>
                </c:pt>
                <c:pt idx="14">
                  <c:v>March/Apr. 2007</c:v>
                </c:pt>
                <c:pt idx="15">
                  <c:v>Oct./Nov. 2007</c:v>
                </c:pt>
                <c:pt idx="16">
                  <c:v>March/Apr. 2008</c:v>
                </c:pt>
                <c:pt idx="17">
                  <c:v>Oct./Nov. 2008</c:v>
                </c:pt>
                <c:pt idx="18">
                  <c:v>March/Apr. 2009</c:v>
                </c:pt>
                <c:pt idx="19">
                  <c:v>Oct./Nov. 2009</c:v>
                </c:pt>
                <c:pt idx="20">
                  <c:v>March/Apr. 2010</c:v>
                </c:pt>
                <c:pt idx="21">
                  <c:v>Oct./Nov. 2010</c:v>
                </c:pt>
                <c:pt idx="22">
                  <c:v>March/Apr. 2011</c:v>
                </c:pt>
                <c:pt idx="23">
                  <c:v>Oct./Nov. 2011</c:v>
                </c:pt>
                <c:pt idx="24">
                  <c:v>March/Apr. 2012</c:v>
                </c:pt>
                <c:pt idx="25">
                  <c:v>Oct./Nov. 2012</c:v>
                </c:pt>
                <c:pt idx="26">
                  <c:v>March/Apr. 2013</c:v>
                </c:pt>
                <c:pt idx="27">
                  <c:v>Oct./Nov. 2013</c:v>
                </c:pt>
              </c:strCache>
            </c:strRef>
          </c:cat>
          <c:val>
            <c:numRef>
              <c:f>fig.13_CAJ!$D$6:$D$33</c:f>
              <c:numCache>
                <c:formatCode>General</c:formatCode>
                <c:ptCount val="28"/>
                <c:pt idx="0">
                  <c:v>4</c:v>
                </c:pt>
                <c:pt idx="1">
                  <c:v>4</c:v>
                </c:pt>
                <c:pt idx="2">
                  <c:v>3</c:v>
                </c:pt>
                <c:pt idx="3">
                  <c:v>4</c:v>
                </c:pt>
                <c:pt idx="4">
                  <c:v>4</c:v>
                </c:pt>
                <c:pt idx="5">
                  <c:v>6</c:v>
                </c:pt>
                <c:pt idx="6">
                  <c:v>4</c:v>
                </c:pt>
                <c:pt idx="7">
                  <c:v>6</c:v>
                </c:pt>
                <c:pt idx="8">
                  <c:v>5</c:v>
                </c:pt>
                <c:pt idx="9">
                  <c:v>6</c:v>
                </c:pt>
                <c:pt idx="10">
                  <c:v>6</c:v>
                </c:pt>
                <c:pt idx="11">
                  <c:v>2</c:v>
                </c:pt>
                <c:pt idx="12">
                  <c:v>4</c:v>
                </c:pt>
                <c:pt idx="13">
                  <c:v>3</c:v>
                </c:pt>
                <c:pt idx="14">
                  <c:v>4</c:v>
                </c:pt>
                <c:pt idx="15">
                  <c:v>5</c:v>
                </c:pt>
                <c:pt idx="16">
                  <c:v>4</c:v>
                </c:pt>
                <c:pt idx="17">
                  <c:v>4</c:v>
                </c:pt>
                <c:pt idx="18">
                  <c:v>5</c:v>
                </c:pt>
                <c:pt idx="19">
                  <c:v>6</c:v>
                </c:pt>
                <c:pt idx="20">
                  <c:v>4</c:v>
                </c:pt>
                <c:pt idx="21">
                  <c:v>5</c:v>
                </c:pt>
                <c:pt idx="22">
                  <c:v>7</c:v>
                </c:pt>
                <c:pt idx="23">
                  <c:v>7</c:v>
                </c:pt>
                <c:pt idx="24">
                  <c:v>7</c:v>
                </c:pt>
                <c:pt idx="25">
                  <c:v>7</c:v>
                </c:pt>
                <c:pt idx="26">
                  <c:v>5</c:v>
                </c:pt>
                <c:pt idx="27">
                  <c:v>7</c:v>
                </c:pt>
              </c:numCache>
            </c:numRef>
          </c:val>
        </c:ser>
        <c:ser>
          <c:idx val="0"/>
          <c:order val="2"/>
          <c:tx>
            <c:strRef>
              <c:f>fig.13_CAJ!$B$5</c:f>
              <c:strCache>
                <c:ptCount val="1"/>
                <c:pt idx="0">
                  <c:v>Members</c:v>
                </c:pt>
              </c:strCache>
            </c:strRef>
          </c:tx>
          <c:spPr>
            <a:solidFill>
              <a:schemeClr val="accent2">
                <a:lumMod val="75000"/>
              </a:schemeClr>
            </a:solidFill>
            <a:ln>
              <a:solidFill>
                <a:sysClr val="windowText" lastClr="000000"/>
              </a:solidFill>
            </a:ln>
          </c:spPr>
          <c:invertIfNegative val="0"/>
          <c:dLbls>
            <c:dLbl>
              <c:idx val="0"/>
              <c:showLegendKey val="0"/>
              <c:showVal val="1"/>
              <c:showCatName val="0"/>
              <c:showSerName val="0"/>
              <c:showPercent val="0"/>
              <c:showBubbleSize val="0"/>
            </c:dLbl>
            <c:dLbl>
              <c:idx val="15"/>
              <c:showLegendKey val="0"/>
              <c:showVal val="1"/>
              <c:showCatName val="0"/>
              <c:showSerName val="0"/>
              <c:showPercent val="0"/>
              <c:showBubbleSize val="0"/>
            </c:dLbl>
            <c:dLbl>
              <c:idx val="27"/>
              <c:showLegendKey val="0"/>
              <c:showVal val="1"/>
              <c:showCatName val="0"/>
              <c:showSerName val="0"/>
              <c:showPercent val="0"/>
              <c:showBubbleSize val="0"/>
            </c:dLbl>
            <c:showLegendKey val="0"/>
            <c:showVal val="0"/>
            <c:showCatName val="0"/>
            <c:showSerName val="0"/>
            <c:showPercent val="0"/>
            <c:showBubbleSize val="0"/>
          </c:dLbls>
          <c:cat>
            <c:strRef>
              <c:f>fig.13_CAJ!$A$6:$A$33</c:f>
              <c:strCache>
                <c:ptCount val="28"/>
                <c:pt idx="0">
                  <c:v>March/Apr. 2000</c:v>
                </c:pt>
                <c:pt idx="1">
                  <c:v>Oct./Nov. 2000</c:v>
                </c:pt>
                <c:pt idx="2">
                  <c:v>March/Apr. 2001</c:v>
                </c:pt>
                <c:pt idx="3">
                  <c:v>Oct./Nov. 2001</c:v>
                </c:pt>
                <c:pt idx="4">
                  <c:v>March/Apr. 2002</c:v>
                </c:pt>
                <c:pt idx="5">
                  <c:v>Oct./Nov. 2002</c:v>
                </c:pt>
                <c:pt idx="6">
                  <c:v>March/Apr. 2003</c:v>
                </c:pt>
                <c:pt idx="7">
                  <c:v>Oct./Nov. 2003</c:v>
                </c:pt>
                <c:pt idx="8">
                  <c:v>March/Apr. 2004</c:v>
                </c:pt>
                <c:pt idx="9">
                  <c:v>Oct./Nov. 2004</c:v>
                </c:pt>
                <c:pt idx="10">
                  <c:v>March/Apr. 2005</c:v>
                </c:pt>
                <c:pt idx="11">
                  <c:v>Oct./Nov. 2005</c:v>
                </c:pt>
                <c:pt idx="12">
                  <c:v>March/Apr. 2006</c:v>
                </c:pt>
                <c:pt idx="13">
                  <c:v>Oct./Nov. 2006</c:v>
                </c:pt>
                <c:pt idx="14">
                  <c:v>March/Apr. 2007</c:v>
                </c:pt>
                <c:pt idx="15">
                  <c:v>Oct./Nov. 2007</c:v>
                </c:pt>
                <c:pt idx="16">
                  <c:v>March/Apr. 2008</c:v>
                </c:pt>
                <c:pt idx="17">
                  <c:v>Oct./Nov. 2008</c:v>
                </c:pt>
                <c:pt idx="18">
                  <c:v>March/Apr. 2009</c:v>
                </c:pt>
                <c:pt idx="19">
                  <c:v>Oct./Nov. 2009</c:v>
                </c:pt>
                <c:pt idx="20">
                  <c:v>March/Apr. 2010</c:v>
                </c:pt>
                <c:pt idx="21">
                  <c:v>Oct./Nov. 2010</c:v>
                </c:pt>
                <c:pt idx="22">
                  <c:v>March/Apr. 2011</c:v>
                </c:pt>
                <c:pt idx="23">
                  <c:v>Oct./Nov. 2011</c:v>
                </c:pt>
                <c:pt idx="24">
                  <c:v>March/Apr. 2012</c:v>
                </c:pt>
                <c:pt idx="25">
                  <c:v>Oct./Nov. 2012</c:v>
                </c:pt>
                <c:pt idx="26">
                  <c:v>March/Apr. 2013</c:v>
                </c:pt>
                <c:pt idx="27">
                  <c:v>Oct./Nov. 2013</c:v>
                </c:pt>
              </c:strCache>
            </c:strRef>
          </c:cat>
          <c:val>
            <c:numRef>
              <c:f>fig.13_CAJ!$B$6:$B$33</c:f>
              <c:numCache>
                <c:formatCode>General</c:formatCode>
                <c:ptCount val="28"/>
                <c:pt idx="0">
                  <c:v>35</c:v>
                </c:pt>
                <c:pt idx="1">
                  <c:v>39</c:v>
                </c:pt>
                <c:pt idx="2">
                  <c:v>37</c:v>
                </c:pt>
                <c:pt idx="3">
                  <c:v>35</c:v>
                </c:pt>
                <c:pt idx="4">
                  <c:v>40</c:v>
                </c:pt>
                <c:pt idx="5">
                  <c:v>39</c:v>
                </c:pt>
                <c:pt idx="6">
                  <c:v>41</c:v>
                </c:pt>
                <c:pt idx="7">
                  <c:v>42</c:v>
                </c:pt>
                <c:pt idx="8">
                  <c:v>41</c:v>
                </c:pt>
                <c:pt idx="9">
                  <c:v>42</c:v>
                </c:pt>
                <c:pt idx="10">
                  <c:v>46</c:v>
                </c:pt>
                <c:pt idx="11">
                  <c:v>46</c:v>
                </c:pt>
                <c:pt idx="12">
                  <c:v>44</c:v>
                </c:pt>
                <c:pt idx="13">
                  <c:v>44</c:v>
                </c:pt>
                <c:pt idx="14">
                  <c:v>43</c:v>
                </c:pt>
                <c:pt idx="15">
                  <c:v>48</c:v>
                </c:pt>
                <c:pt idx="16">
                  <c:v>45</c:v>
                </c:pt>
                <c:pt idx="17">
                  <c:v>41</c:v>
                </c:pt>
                <c:pt idx="18">
                  <c:v>40</c:v>
                </c:pt>
                <c:pt idx="19">
                  <c:v>44</c:v>
                </c:pt>
                <c:pt idx="20">
                  <c:v>42</c:v>
                </c:pt>
                <c:pt idx="21">
                  <c:v>39</c:v>
                </c:pt>
                <c:pt idx="22">
                  <c:v>36</c:v>
                </c:pt>
                <c:pt idx="23">
                  <c:v>36</c:v>
                </c:pt>
                <c:pt idx="24">
                  <c:v>39</c:v>
                </c:pt>
                <c:pt idx="25">
                  <c:v>36</c:v>
                </c:pt>
                <c:pt idx="26">
                  <c:v>37</c:v>
                </c:pt>
                <c:pt idx="27">
                  <c:v>37</c:v>
                </c:pt>
              </c:numCache>
            </c:numRef>
          </c:val>
        </c:ser>
        <c:dLbls>
          <c:showLegendKey val="0"/>
          <c:showVal val="0"/>
          <c:showCatName val="0"/>
          <c:showSerName val="0"/>
          <c:showPercent val="0"/>
          <c:showBubbleSize val="0"/>
        </c:dLbls>
        <c:gapWidth val="88"/>
        <c:overlap val="28"/>
        <c:axId val="111060096"/>
        <c:axId val="111061632"/>
      </c:barChart>
      <c:lineChart>
        <c:grouping val="standard"/>
        <c:varyColors val="0"/>
        <c:ser>
          <c:idx val="3"/>
          <c:order val="3"/>
          <c:tx>
            <c:v>Number of UPOV members</c:v>
          </c:tx>
          <c:spPr>
            <a:ln w="25400">
              <a:solidFill>
                <a:schemeClr val="tx2"/>
              </a:solidFill>
            </a:ln>
          </c:spPr>
          <c:marker>
            <c:symbol val="none"/>
          </c:marker>
          <c:dLbls>
            <c:dLbl>
              <c:idx val="0"/>
              <c:dLblPos val="t"/>
              <c:showLegendKey val="0"/>
              <c:showVal val="1"/>
              <c:showCatName val="0"/>
              <c:showSerName val="0"/>
              <c:showPercent val="0"/>
              <c:showBubbleSize val="0"/>
            </c:dLbl>
            <c:dLbl>
              <c:idx val="27"/>
              <c:dLblPos val="t"/>
              <c:showLegendKey val="0"/>
              <c:showVal val="1"/>
              <c:showCatName val="0"/>
              <c:showSerName val="0"/>
              <c:showPercent val="0"/>
              <c:showBubbleSize val="0"/>
            </c:dLbl>
            <c:dLblPos val="t"/>
            <c:showLegendKey val="0"/>
            <c:showVal val="0"/>
            <c:showCatName val="0"/>
            <c:showSerName val="0"/>
            <c:showPercent val="0"/>
            <c:showBubbleSize val="0"/>
          </c:dLbls>
          <c:val>
            <c:numRef>
              <c:f>members!$C$30:$C$57</c:f>
              <c:numCache>
                <c:formatCode>General</c:formatCode>
                <c:ptCount val="28"/>
                <c:pt idx="0">
                  <c:v>46</c:v>
                </c:pt>
                <c:pt idx="1">
                  <c:v>46</c:v>
                </c:pt>
                <c:pt idx="2">
                  <c:v>49</c:v>
                </c:pt>
                <c:pt idx="3">
                  <c:v>49</c:v>
                </c:pt>
                <c:pt idx="4">
                  <c:v>51</c:v>
                </c:pt>
                <c:pt idx="5">
                  <c:v>51</c:v>
                </c:pt>
                <c:pt idx="6">
                  <c:v>54</c:v>
                </c:pt>
                <c:pt idx="7">
                  <c:v>54</c:v>
                </c:pt>
                <c:pt idx="8">
                  <c:v>58</c:v>
                </c:pt>
                <c:pt idx="9">
                  <c:v>58</c:v>
                </c:pt>
                <c:pt idx="10">
                  <c:v>60</c:v>
                </c:pt>
                <c:pt idx="11">
                  <c:v>60</c:v>
                </c:pt>
                <c:pt idx="12">
                  <c:v>63</c:v>
                </c:pt>
                <c:pt idx="13">
                  <c:v>63</c:v>
                </c:pt>
                <c:pt idx="14">
                  <c:v>65</c:v>
                </c:pt>
                <c:pt idx="15">
                  <c:v>65</c:v>
                </c:pt>
                <c:pt idx="16">
                  <c:v>66</c:v>
                </c:pt>
                <c:pt idx="17">
                  <c:v>66</c:v>
                </c:pt>
                <c:pt idx="18">
                  <c:v>68</c:v>
                </c:pt>
                <c:pt idx="19">
                  <c:v>68</c:v>
                </c:pt>
                <c:pt idx="20">
                  <c:v>68</c:v>
                </c:pt>
                <c:pt idx="21">
                  <c:v>68</c:v>
                </c:pt>
                <c:pt idx="22">
                  <c:v>70</c:v>
                </c:pt>
                <c:pt idx="23">
                  <c:v>70</c:v>
                </c:pt>
                <c:pt idx="24">
                  <c:v>70</c:v>
                </c:pt>
                <c:pt idx="25">
                  <c:v>70</c:v>
                </c:pt>
                <c:pt idx="26">
                  <c:v>71</c:v>
                </c:pt>
                <c:pt idx="27">
                  <c:v>71</c:v>
                </c:pt>
              </c:numCache>
            </c:numRef>
          </c:val>
          <c:smooth val="0"/>
        </c:ser>
        <c:dLbls>
          <c:showLegendKey val="0"/>
          <c:showVal val="0"/>
          <c:showCatName val="0"/>
          <c:showSerName val="0"/>
          <c:showPercent val="0"/>
          <c:showBubbleSize val="0"/>
        </c:dLbls>
        <c:marker val="1"/>
        <c:smooth val="0"/>
        <c:axId val="111060096"/>
        <c:axId val="111061632"/>
      </c:lineChart>
      <c:catAx>
        <c:axId val="111060096"/>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111061632"/>
        <c:crosses val="autoZero"/>
        <c:auto val="0"/>
        <c:lblAlgn val="ctr"/>
        <c:lblOffset val="100"/>
        <c:noMultiLvlLbl val="0"/>
      </c:catAx>
      <c:valAx>
        <c:axId val="111061632"/>
        <c:scaling>
          <c:orientation val="minMax"/>
        </c:scaling>
        <c:delete val="0"/>
        <c:axPos val="l"/>
        <c:majorGridlines/>
        <c:title>
          <c:tx>
            <c:rich>
              <a:bodyPr rot="-5400000" vert="horz"/>
              <a:lstStyle/>
              <a:p>
                <a:pPr>
                  <a:defRPr/>
                </a:pPr>
                <a:r>
                  <a:rPr lang="en-US"/>
                  <a:t>Number of members/observers </a:t>
                </a:r>
              </a:p>
            </c:rich>
          </c:tx>
          <c:layout>
            <c:manualLayout>
              <c:xMode val="edge"/>
              <c:yMode val="edge"/>
              <c:x val="1.2575656958542837E-3"/>
              <c:y val="0.30973758923511152"/>
            </c:manualLayout>
          </c:layout>
          <c:overlay val="0"/>
        </c:title>
        <c:numFmt formatCode="General" sourceLinked="1"/>
        <c:majorTickMark val="out"/>
        <c:minorTickMark val="none"/>
        <c:tickLblPos val="nextTo"/>
        <c:crossAx val="111060096"/>
        <c:crosses val="autoZero"/>
        <c:crossBetween val="between"/>
      </c:valAx>
      <c:spPr>
        <a:noFill/>
        <a:ln w="9525">
          <a:solidFill>
            <a:srgbClr val="808080"/>
          </a:solidFill>
        </a:ln>
      </c:spPr>
    </c:plotArea>
    <c:legend>
      <c:legendPos val="b"/>
      <c:layout>
        <c:manualLayout>
          <c:xMode val="edge"/>
          <c:yMode val="edge"/>
          <c:x val="0.11071290001793255"/>
          <c:y val="0.91940094624584534"/>
          <c:w val="0.83365246814027749"/>
          <c:h val="7.3066120972166609E-2"/>
        </c:manualLayout>
      </c:layout>
      <c:overlay val="0"/>
    </c:legend>
    <c:plotVisOnly val="1"/>
    <c:dispBlanksAs val="gap"/>
    <c:showDLblsOverMax val="0"/>
  </c:chart>
  <c:spPr>
    <a:ln>
      <a:noFill/>
    </a:ln>
  </c:spPr>
  <c:txPr>
    <a:bodyPr/>
    <a:lstStyle/>
    <a:p>
      <a:pPr>
        <a:defRPr sz="600">
          <a:latin typeface="Arial" pitchFamily="34" charset="0"/>
          <a:cs typeface="Arial"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974550059845608E-2"/>
          <c:y val="7.1596625421822255E-2"/>
          <c:w val="0.92803666138365981"/>
          <c:h val="0.73759214880748603"/>
        </c:manualLayout>
      </c:layout>
      <c:barChart>
        <c:barDir val="col"/>
        <c:grouping val="clustered"/>
        <c:varyColors val="0"/>
        <c:ser>
          <c:idx val="2"/>
          <c:order val="0"/>
          <c:tx>
            <c:v>Observer Organizations</c:v>
          </c:tx>
          <c:spPr>
            <a:solidFill>
              <a:srgbClr val="FFFFCC"/>
            </a:solidFill>
            <a:ln w="12700">
              <a:solidFill>
                <a:srgbClr val="000000"/>
              </a:solidFill>
              <a:prstDash val="solid"/>
            </a:ln>
          </c:spPr>
          <c:invertIfNegative val="0"/>
          <c:cat>
            <c:numRef>
              <c:f>'Fig.15+16 Particip'!$C$8:$C$31</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'Fig.15+16 Particip'!$Y$8:$Y$31</c:f>
              <c:numCache>
                <c:formatCode>General</c:formatCode>
                <c:ptCount val="24"/>
                <c:pt idx="0">
                  <c:v>1</c:v>
                </c:pt>
                <c:pt idx="1">
                  <c:v>1</c:v>
                </c:pt>
                <c:pt idx="2">
                  <c:v>1</c:v>
                </c:pt>
                <c:pt idx="3">
                  <c:v>1</c:v>
                </c:pt>
                <c:pt idx="4">
                  <c:v>6</c:v>
                </c:pt>
                <c:pt idx="5">
                  <c:v>5</c:v>
                </c:pt>
                <c:pt idx="6">
                  <c:v>4</c:v>
                </c:pt>
                <c:pt idx="7">
                  <c:v>0</c:v>
                </c:pt>
                <c:pt idx="8">
                  <c:v>3</c:v>
                </c:pt>
                <c:pt idx="9">
                  <c:v>4</c:v>
                </c:pt>
                <c:pt idx="10">
                  <c:v>4</c:v>
                </c:pt>
                <c:pt idx="11">
                  <c:v>6</c:v>
                </c:pt>
                <c:pt idx="12">
                  <c:v>6</c:v>
                </c:pt>
                <c:pt idx="13">
                  <c:v>5</c:v>
                </c:pt>
                <c:pt idx="14">
                  <c:v>3</c:v>
                </c:pt>
                <c:pt idx="15">
                  <c:v>6</c:v>
                </c:pt>
                <c:pt idx="16">
                  <c:v>5</c:v>
                </c:pt>
                <c:pt idx="17">
                  <c:v>3</c:v>
                </c:pt>
                <c:pt idx="18">
                  <c:v>3</c:v>
                </c:pt>
                <c:pt idx="19">
                  <c:v>2</c:v>
                </c:pt>
                <c:pt idx="20">
                  <c:v>3</c:v>
                </c:pt>
                <c:pt idx="21">
                  <c:v>3</c:v>
                </c:pt>
                <c:pt idx="22">
                  <c:v>6</c:v>
                </c:pt>
                <c:pt idx="23">
                  <c:v>5</c:v>
                </c:pt>
              </c:numCache>
            </c:numRef>
          </c:val>
        </c:ser>
        <c:ser>
          <c:idx val="1"/>
          <c:order val="1"/>
          <c:tx>
            <c:v>Observer States</c:v>
          </c:tx>
          <c:spPr>
            <a:solidFill>
              <a:srgbClr val="993366"/>
            </a:solidFill>
            <a:ln w="12700">
              <a:solidFill>
                <a:srgbClr val="000000"/>
              </a:solidFill>
              <a:prstDash val="solid"/>
            </a:ln>
          </c:spPr>
          <c:invertIfNegative val="0"/>
          <c:cat>
            <c:numRef>
              <c:f>'Fig.15+16 Particip'!$C$8:$C$31</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'Fig.15+16 Particip'!$Q$8:$Q$31</c:f>
              <c:numCache>
                <c:formatCode>General</c:formatCode>
                <c:ptCount val="24"/>
                <c:pt idx="0">
                  <c:v>0</c:v>
                </c:pt>
                <c:pt idx="1">
                  <c:v>0</c:v>
                </c:pt>
                <c:pt idx="2">
                  <c:v>0</c:v>
                </c:pt>
                <c:pt idx="3">
                  <c:v>1</c:v>
                </c:pt>
                <c:pt idx="4">
                  <c:v>2</c:v>
                </c:pt>
                <c:pt idx="5">
                  <c:v>5</c:v>
                </c:pt>
                <c:pt idx="6">
                  <c:v>5</c:v>
                </c:pt>
                <c:pt idx="7">
                  <c:v>0</c:v>
                </c:pt>
                <c:pt idx="8">
                  <c:v>4</c:v>
                </c:pt>
                <c:pt idx="9">
                  <c:v>3</c:v>
                </c:pt>
                <c:pt idx="10">
                  <c:v>6</c:v>
                </c:pt>
                <c:pt idx="11">
                  <c:v>2</c:v>
                </c:pt>
                <c:pt idx="12">
                  <c:v>2</c:v>
                </c:pt>
                <c:pt idx="13">
                  <c:v>1</c:v>
                </c:pt>
                <c:pt idx="14">
                  <c:v>2</c:v>
                </c:pt>
                <c:pt idx="15">
                  <c:v>1</c:v>
                </c:pt>
                <c:pt idx="16">
                  <c:v>6</c:v>
                </c:pt>
                <c:pt idx="17">
                  <c:v>3</c:v>
                </c:pt>
                <c:pt idx="18">
                  <c:v>1</c:v>
                </c:pt>
                <c:pt idx="19">
                  <c:v>1</c:v>
                </c:pt>
                <c:pt idx="20">
                  <c:v>10</c:v>
                </c:pt>
                <c:pt idx="21">
                  <c:v>8</c:v>
                </c:pt>
                <c:pt idx="22">
                  <c:v>4</c:v>
                </c:pt>
                <c:pt idx="23">
                  <c:v>7</c:v>
                </c:pt>
              </c:numCache>
            </c:numRef>
          </c:val>
        </c:ser>
        <c:ser>
          <c:idx val="0"/>
          <c:order val="2"/>
          <c:tx>
            <c:v>Members</c:v>
          </c:tx>
          <c:spPr>
            <a:solidFill>
              <a:srgbClr val="9999FF"/>
            </a:solidFill>
            <a:ln w="12700">
              <a:noFill/>
              <a:prstDash val="solid"/>
            </a:ln>
          </c:spPr>
          <c:invertIfNegative val="0"/>
          <c:cat>
            <c:numRef>
              <c:f>'Fig.15+16 Particip'!$C$8:$C$31</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'Fig.15+16 Particip'!$I$8:$I$31</c:f>
              <c:numCache>
                <c:formatCode>General</c:formatCode>
                <c:ptCount val="24"/>
                <c:pt idx="0">
                  <c:v>13</c:v>
                </c:pt>
                <c:pt idx="1">
                  <c:v>14</c:v>
                </c:pt>
                <c:pt idx="2">
                  <c:v>15</c:v>
                </c:pt>
                <c:pt idx="3">
                  <c:v>21</c:v>
                </c:pt>
                <c:pt idx="4">
                  <c:v>21</c:v>
                </c:pt>
                <c:pt idx="5">
                  <c:v>25</c:v>
                </c:pt>
                <c:pt idx="6">
                  <c:v>28</c:v>
                </c:pt>
                <c:pt idx="7">
                  <c:v>29</c:v>
                </c:pt>
                <c:pt idx="8">
                  <c:v>30</c:v>
                </c:pt>
                <c:pt idx="9">
                  <c:v>30</c:v>
                </c:pt>
                <c:pt idx="10">
                  <c:v>32</c:v>
                </c:pt>
                <c:pt idx="11">
                  <c:v>32</c:v>
                </c:pt>
                <c:pt idx="12">
                  <c:v>38</c:v>
                </c:pt>
                <c:pt idx="13">
                  <c:v>39</c:v>
                </c:pt>
                <c:pt idx="14">
                  <c:v>38</c:v>
                </c:pt>
                <c:pt idx="15">
                  <c:v>45</c:v>
                </c:pt>
                <c:pt idx="16">
                  <c:v>45</c:v>
                </c:pt>
                <c:pt idx="17">
                  <c:v>44</c:v>
                </c:pt>
                <c:pt idx="18">
                  <c:v>44</c:v>
                </c:pt>
                <c:pt idx="19">
                  <c:v>41</c:v>
                </c:pt>
                <c:pt idx="20">
                  <c:v>40</c:v>
                </c:pt>
                <c:pt idx="21">
                  <c:v>37</c:v>
                </c:pt>
                <c:pt idx="22">
                  <c:v>42</c:v>
                </c:pt>
                <c:pt idx="23">
                  <c:v>36</c:v>
                </c:pt>
              </c:numCache>
            </c:numRef>
          </c:val>
        </c:ser>
        <c:dLbls>
          <c:showLegendKey val="0"/>
          <c:showVal val="0"/>
          <c:showCatName val="0"/>
          <c:showSerName val="0"/>
          <c:showPercent val="0"/>
          <c:showBubbleSize val="0"/>
        </c:dLbls>
        <c:gapWidth val="150"/>
        <c:axId val="111092864"/>
        <c:axId val="111094400"/>
      </c:barChart>
      <c:lineChart>
        <c:grouping val="standard"/>
        <c:varyColors val="0"/>
        <c:ser>
          <c:idx val="3"/>
          <c:order val="3"/>
          <c:tx>
            <c:v>Number of UPOV members</c:v>
          </c:tx>
          <c:spPr>
            <a:ln w="25400">
              <a:solidFill>
                <a:schemeClr val="tx2"/>
              </a:solidFill>
            </a:ln>
          </c:spPr>
          <c:marker>
            <c:symbol val="none"/>
          </c:marker>
          <c:dLbls>
            <c:dLbl>
              <c:idx val="0"/>
              <c:layout>
                <c:manualLayout>
                  <c:x val="-1.7914268236623201E-2"/>
                  <c:y val="-0.05"/>
                </c:manualLayout>
              </c:layout>
              <c:spPr/>
              <c:txPr>
                <a:bodyPr/>
                <a:lstStyle/>
                <a:p>
                  <a:pPr>
                    <a:defRPr/>
                  </a:pPr>
                  <a:endParaRPr lang="en-US"/>
                </a:p>
              </c:txPr>
              <c:dLblPos val="r"/>
              <c:showLegendKey val="0"/>
              <c:showVal val="1"/>
              <c:showCatName val="0"/>
              <c:showSerName val="0"/>
              <c:showPercent val="0"/>
              <c:showBubbleSize val="0"/>
            </c:dLbl>
            <c:dLbl>
              <c:idx val="23"/>
              <c:layout>
                <c:manualLayout>
                  <c:x val="-1.791426823662319E-2"/>
                  <c:y val="-3.3333333333333333E-2"/>
                </c:manualLayout>
              </c:layout>
              <c:spPr/>
              <c:txPr>
                <a:bodyPr/>
                <a:lstStyle/>
                <a:p>
                  <a:pPr>
                    <a:defRPr/>
                  </a:pPr>
                  <a:endParaRPr lang="en-US"/>
                </a:p>
              </c:txPr>
              <c:dLblPos val="r"/>
              <c:showLegendKey val="0"/>
              <c:showVal val="1"/>
              <c:showCatName val="0"/>
              <c:showSerName val="0"/>
              <c:showPercent val="0"/>
              <c:showBubbleSize val="0"/>
            </c:dLbl>
            <c:showLegendKey val="0"/>
            <c:showVal val="0"/>
            <c:showCatName val="0"/>
            <c:showSerName val="0"/>
            <c:showPercent val="0"/>
            <c:showBubbleSize val="0"/>
          </c:dLbls>
          <c:cat>
            <c:numRef>
              <c:f>'Fig.15+16 Particip'!$C$8:$C$31</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'Fig.15+16 Particip'!$A$8:$A$31</c:f>
              <c:numCache>
                <c:formatCode>General</c:formatCode>
                <c:ptCount val="24"/>
                <c:pt idx="0">
                  <c:v>19</c:v>
                </c:pt>
                <c:pt idx="1">
                  <c:v>20</c:v>
                </c:pt>
                <c:pt idx="2">
                  <c:v>20</c:v>
                </c:pt>
                <c:pt idx="3">
                  <c:v>24</c:v>
                </c:pt>
                <c:pt idx="4">
                  <c:v>27</c:v>
                </c:pt>
                <c:pt idx="5">
                  <c:v>29</c:v>
                </c:pt>
                <c:pt idx="6">
                  <c:v>31</c:v>
                </c:pt>
                <c:pt idx="7">
                  <c:v>34</c:v>
                </c:pt>
                <c:pt idx="8">
                  <c:v>38</c:v>
                </c:pt>
                <c:pt idx="9">
                  <c:v>44</c:v>
                </c:pt>
                <c:pt idx="10">
                  <c:v>46</c:v>
                </c:pt>
                <c:pt idx="11">
                  <c:v>49</c:v>
                </c:pt>
                <c:pt idx="12">
                  <c:v>51</c:v>
                </c:pt>
                <c:pt idx="13">
                  <c:v>54</c:v>
                </c:pt>
                <c:pt idx="14">
                  <c:v>58</c:v>
                </c:pt>
                <c:pt idx="15">
                  <c:v>60</c:v>
                </c:pt>
                <c:pt idx="16">
                  <c:v>63</c:v>
                </c:pt>
                <c:pt idx="17">
                  <c:v>65</c:v>
                </c:pt>
                <c:pt idx="18">
                  <c:v>66</c:v>
                </c:pt>
                <c:pt idx="19">
                  <c:v>68</c:v>
                </c:pt>
                <c:pt idx="20">
                  <c:v>68</c:v>
                </c:pt>
                <c:pt idx="21">
                  <c:v>70</c:v>
                </c:pt>
                <c:pt idx="22">
                  <c:v>70</c:v>
                </c:pt>
                <c:pt idx="23">
                  <c:v>71</c:v>
                </c:pt>
              </c:numCache>
            </c:numRef>
          </c:val>
          <c:smooth val="0"/>
        </c:ser>
        <c:dLbls>
          <c:showLegendKey val="0"/>
          <c:showVal val="0"/>
          <c:showCatName val="0"/>
          <c:showSerName val="0"/>
          <c:showPercent val="0"/>
          <c:showBubbleSize val="0"/>
        </c:dLbls>
        <c:marker val="1"/>
        <c:smooth val="0"/>
        <c:axId val="111092864"/>
        <c:axId val="111094400"/>
      </c:lineChart>
      <c:catAx>
        <c:axId val="111092864"/>
        <c:scaling>
          <c:orientation val="minMax"/>
        </c:scaling>
        <c:delete val="0"/>
        <c:axPos val="b"/>
        <c:numFmt formatCode="General" sourceLinked="1"/>
        <c:majorTickMark val="out"/>
        <c:minorTickMark val="none"/>
        <c:tickLblPos val="low"/>
        <c:spPr>
          <a:ln w="3175">
            <a:solidFill>
              <a:srgbClr val="000000"/>
            </a:solidFill>
            <a:prstDash val="solid"/>
          </a:ln>
        </c:spPr>
        <c:txPr>
          <a:bodyPr rot="-5400000" vert="horz"/>
          <a:lstStyle/>
          <a:p>
            <a:pPr>
              <a:defRPr/>
            </a:pPr>
            <a:endParaRPr lang="en-US"/>
          </a:p>
        </c:txPr>
        <c:crossAx val="111094400"/>
        <c:crosses val="autoZero"/>
        <c:auto val="1"/>
        <c:lblAlgn val="ctr"/>
        <c:lblOffset val="100"/>
        <c:noMultiLvlLbl val="1"/>
      </c:catAx>
      <c:valAx>
        <c:axId val="11109440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111092864"/>
        <c:crosses val="autoZero"/>
        <c:crossBetween val="between"/>
      </c:valAx>
      <c:spPr>
        <a:noFill/>
        <a:ln w="12700">
          <a:solidFill>
            <a:srgbClr val="808080"/>
          </a:solidFill>
          <a:prstDash val="solid"/>
        </a:ln>
      </c:spPr>
    </c:plotArea>
    <c:legend>
      <c:legendPos val="b"/>
      <c:layout>
        <c:manualLayout>
          <c:xMode val="edge"/>
          <c:yMode val="edge"/>
          <c:x val="3.9486169997981019E-2"/>
          <c:y val="0.90351490039404303"/>
          <c:w val="0.92618776009889225"/>
          <c:h val="9.5686164229471321E-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600" b="0" i="0" u="none" strike="noStrike" baseline="0">
          <a:solidFill>
            <a:srgbClr val="000000"/>
          </a:solidFill>
          <a:latin typeface="Arial"/>
          <a:ea typeface="Arial"/>
          <a:cs typeface="Arial"/>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603889470096036E-2"/>
          <c:y val="5.3191673563807496E-2"/>
          <c:w val="0.90157180048064045"/>
          <c:h val="0.81205954974079453"/>
        </c:manualLayout>
      </c:layout>
      <c:barChart>
        <c:barDir val="col"/>
        <c:grouping val="clustered"/>
        <c:varyColors val="0"/>
        <c:ser>
          <c:idx val="5"/>
          <c:order val="6"/>
          <c:tx>
            <c:v>BMT</c:v>
          </c:tx>
          <c:spPr>
            <a:solidFill>
              <a:schemeClr val="bg1">
                <a:lumMod val="50000"/>
                <a:alpha val="67000"/>
              </a:schemeClr>
            </a:solidFill>
          </c:spPr>
          <c:invertIfNegative val="0"/>
          <c:cat>
            <c:numRef>
              <c:f>'COUNT TYPE'!$AD$8:$AD$31</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'COUNT TYPE'!$AE$8:$AE$31</c:f>
              <c:numCache>
                <c:formatCode>General</c:formatCode>
                <c:ptCount val="24"/>
                <c:pt idx="0">
                  <c:v>0</c:v>
                </c:pt>
                <c:pt idx="1">
                  <c:v>0</c:v>
                </c:pt>
                <c:pt idx="2">
                  <c:v>0</c:v>
                </c:pt>
                <c:pt idx="3">
                  <c:v>21</c:v>
                </c:pt>
                <c:pt idx="4">
                  <c:v>16</c:v>
                </c:pt>
                <c:pt idx="5">
                  <c:v>18</c:v>
                </c:pt>
                <c:pt idx="6">
                  <c:v>0</c:v>
                </c:pt>
                <c:pt idx="7">
                  <c:v>22</c:v>
                </c:pt>
                <c:pt idx="8">
                  <c:v>17</c:v>
                </c:pt>
                <c:pt idx="9">
                  <c:v>0</c:v>
                </c:pt>
                <c:pt idx="10">
                  <c:v>26</c:v>
                </c:pt>
                <c:pt idx="11">
                  <c:v>21</c:v>
                </c:pt>
                <c:pt idx="12">
                  <c:v>0</c:v>
                </c:pt>
                <c:pt idx="13">
                  <c:v>23</c:v>
                </c:pt>
                <c:pt idx="14">
                  <c:v>0</c:v>
                </c:pt>
                <c:pt idx="15">
                  <c:v>21</c:v>
                </c:pt>
                <c:pt idx="16">
                  <c:v>20</c:v>
                </c:pt>
                <c:pt idx="17">
                  <c:v>0</c:v>
                </c:pt>
                <c:pt idx="18">
                  <c:v>28</c:v>
                </c:pt>
                <c:pt idx="19">
                  <c:v>0</c:v>
                </c:pt>
                <c:pt idx="20">
                  <c:v>16</c:v>
                </c:pt>
                <c:pt idx="21">
                  <c:v>17</c:v>
                </c:pt>
                <c:pt idx="22">
                  <c:v>0</c:v>
                </c:pt>
                <c:pt idx="23">
                  <c:v>0</c:v>
                </c:pt>
              </c:numCache>
            </c:numRef>
          </c:val>
        </c:ser>
        <c:dLbls>
          <c:showLegendKey val="0"/>
          <c:showVal val="0"/>
          <c:showCatName val="0"/>
          <c:showSerName val="0"/>
          <c:showPercent val="0"/>
          <c:showBubbleSize val="0"/>
        </c:dLbls>
        <c:gapWidth val="150"/>
        <c:axId val="111151360"/>
        <c:axId val="111153152"/>
      </c:barChart>
      <c:lineChart>
        <c:grouping val="standard"/>
        <c:varyColors val="0"/>
        <c:ser>
          <c:idx val="0"/>
          <c:order val="0"/>
          <c:tx>
            <c:strRef>
              <c:f>'COUNT TYPE'!$AF$7</c:f>
              <c:strCache>
                <c:ptCount val="1"/>
                <c:pt idx="0">
                  <c:v>TWA</c:v>
                </c:pt>
              </c:strCache>
            </c:strRef>
          </c:tx>
          <c:spPr>
            <a:ln w="25400">
              <a:solidFill>
                <a:srgbClr val="000080"/>
              </a:solidFill>
              <a:prstDash val="solid"/>
            </a:ln>
          </c:spPr>
          <c:marker>
            <c:symbol val="none"/>
          </c:marker>
          <c:cat>
            <c:numRef>
              <c:f>'COUNT TYPE'!$C$8:$C$31</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'COUNT TYPE'!$AF$8:$AF$31</c:f>
              <c:numCache>
                <c:formatCode>General</c:formatCode>
                <c:ptCount val="24"/>
                <c:pt idx="0">
                  <c:v>11</c:v>
                </c:pt>
                <c:pt idx="1">
                  <c:v>10</c:v>
                </c:pt>
                <c:pt idx="2">
                  <c:v>16</c:v>
                </c:pt>
                <c:pt idx="3">
                  <c:v>14</c:v>
                </c:pt>
                <c:pt idx="4">
                  <c:v>19</c:v>
                </c:pt>
                <c:pt idx="5">
                  <c:v>18</c:v>
                </c:pt>
                <c:pt idx="6">
                  <c:v>24</c:v>
                </c:pt>
                <c:pt idx="7">
                  <c:v>22</c:v>
                </c:pt>
                <c:pt idx="8">
                  <c:v>21</c:v>
                </c:pt>
                <c:pt idx="9">
                  <c:v>20</c:v>
                </c:pt>
                <c:pt idx="10">
                  <c:v>29</c:v>
                </c:pt>
                <c:pt idx="11">
                  <c:v>25</c:v>
                </c:pt>
                <c:pt idx="12">
                  <c:v>24</c:v>
                </c:pt>
                <c:pt idx="13">
                  <c:v>28</c:v>
                </c:pt>
                <c:pt idx="14">
                  <c:v>31</c:v>
                </c:pt>
                <c:pt idx="15">
                  <c:v>23</c:v>
                </c:pt>
                <c:pt idx="16">
                  <c:v>22</c:v>
                </c:pt>
                <c:pt idx="17">
                  <c:v>31</c:v>
                </c:pt>
                <c:pt idx="18">
                  <c:v>27</c:v>
                </c:pt>
                <c:pt idx="19">
                  <c:v>24</c:v>
                </c:pt>
                <c:pt idx="20">
                  <c:v>27</c:v>
                </c:pt>
                <c:pt idx="21">
                  <c:v>27</c:v>
                </c:pt>
                <c:pt idx="22">
                  <c:v>29</c:v>
                </c:pt>
                <c:pt idx="23">
                  <c:v>32</c:v>
                </c:pt>
              </c:numCache>
            </c:numRef>
          </c:val>
          <c:smooth val="0"/>
        </c:ser>
        <c:ser>
          <c:idx val="1"/>
          <c:order val="1"/>
          <c:tx>
            <c:strRef>
              <c:f>'COUNT TYPE'!$AG$7</c:f>
              <c:strCache>
                <c:ptCount val="1"/>
                <c:pt idx="0">
                  <c:v>TWC</c:v>
                </c:pt>
              </c:strCache>
            </c:strRef>
          </c:tx>
          <c:spPr>
            <a:ln w="25400">
              <a:solidFill>
                <a:srgbClr val="FF00FF"/>
              </a:solidFill>
              <a:prstDash val="solid"/>
            </a:ln>
          </c:spPr>
          <c:marker>
            <c:symbol val="none"/>
          </c:marker>
          <c:cat>
            <c:numRef>
              <c:f>'COUNT TYPE'!$C$8:$C$31</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'COUNT TYPE'!$AG$8:$AG$31</c:f>
              <c:numCache>
                <c:formatCode>General</c:formatCode>
                <c:ptCount val="24"/>
                <c:pt idx="0">
                  <c:v>11</c:v>
                </c:pt>
                <c:pt idx="1">
                  <c:v>7</c:v>
                </c:pt>
                <c:pt idx="2">
                  <c:v>10</c:v>
                </c:pt>
                <c:pt idx="3">
                  <c:v>8</c:v>
                </c:pt>
                <c:pt idx="4">
                  <c:v>13</c:v>
                </c:pt>
                <c:pt idx="5">
                  <c:v>12</c:v>
                </c:pt>
                <c:pt idx="6">
                  <c:v>12</c:v>
                </c:pt>
                <c:pt idx="7">
                  <c:v>18</c:v>
                </c:pt>
                <c:pt idx="8">
                  <c:v>15</c:v>
                </c:pt>
                <c:pt idx="9">
                  <c:v>18</c:v>
                </c:pt>
                <c:pt idx="10">
                  <c:v>17</c:v>
                </c:pt>
                <c:pt idx="11">
                  <c:v>21</c:v>
                </c:pt>
                <c:pt idx="12">
                  <c:v>12</c:v>
                </c:pt>
                <c:pt idx="13">
                  <c:v>18</c:v>
                </c:pt>
                <c:pt idx="14">
                  <c:v>11</c:v>
                </c:pt>
                <c:pt idx="15">
                  <c:v>15</c:v>
                </c:pt>
                <c:pt idx="16">
                  <c:v>16</c:v>
                </c:pt>
                <c:pt idx="17">
                  <c:v>14</c:v>
                </c:pt>
                <c:pt idx="18">
                  <c:v>15</c:v>
                </c:pt>
                <c:pt idx="19">
                  <c:v>18</c:v>
                </c:pt>
                <c:pt idx="20">
                  <c:v>16</c:v>
                </c:pt>
                <c:pt idx="21">
                  <c:v>16</c:v>
                </c:pt>
                <c:pt idx="22">
                  <c:v>20</c:v>
                </c:pt>
                <c:pt idx="23">
                  <c:v>12</c:v>
                </c:pt>
              </c:numCache>
            </c:numRef>
          </c:val>
          <c:smooth val="0"/>
        </c:ser>
        <c:ser>
          <c:idx val="2"/>
          <c:order val="2"/>
          <c:tx>
            <c:strRef>
              <c:f>'COUNT TYPE'!$AH$7</c:f>
              <c:strCache>
                <c:ptCount val="1"/>
                <c:pt idx="0">
                  <c:v>TWF</c:v>
                </c:pt>
              </c:strCache>
            </c:strRef>
          </c:tx>
          <c:spPr>
            <a:ln w="25400">
              <a:solidFill>
                <a:srgbClr val="FF9900"/>
              </a:solidFill>
              <a:prstDash val="solid"/>
            </a:ln>
          </c:spPr>
          <c:marker>
            <c:symbol val="none"/>
          </c:marker>
          <c:cat>
            <c:numRef>
              <c:f>'COUNT TYPE'!$C$8:$C$31</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'COUNT TYPE'!$AH$8:$AH$31</c:f>
              <c:numCache>
                <c:formatCode>General</c:formatCode>
                <c:ptCount val="24"/>
                <c:pt idx="0">
                  <c:v>9</c:v>
                </c:pt>
                <c:pt idx="1">
                  <c:v>10</c:v>
                </c:pt>
                <c:pt idx="2">
                  <c:v>14</c:v>
                </c:pt>
                <c:pt idx="3">
                  <c:v>10</c:v>
                </c:pt>
                <c:pt idx="4">
                  <c:v>8</c:v>
                </c:pt>
                <c:pt idx="5">
                  <c:v>15</c:v>
                </c:pt>
                <c:pt idx="6">
                  <c:v>12</c:v>
                </c:pt>
                <c:pt idx="7">
                  <c:v>18</c:v>
                </c:pt>
                <c:pt idx="8">
                  <c:v>15</c:v>
                </c:pt>
                <c:pt idx="9">
                  <c:v>18</c:v>
                </c:pt>
                <c:pt idx="10">
                  <c:v>15</c:v>
                </c:pt>
                <c:pt idx="11">
                  <c:v>21</c:v>
                </c:pt>
                <c:pt idx="12">
                  <c:v>16</c:v>
                </c:pt>
                <c:pt idx="13">
                  <c:v>17</c:v>
                </c:pt>
                <c:pt idx="14">
                  <c:v>22</c:v>
                </c:pt>
                <c:pt idx="15">
                  <c:v>19</c:v>
                </c:pt>
                <c:pt idx="16">
                  <c:v>18</c:v>
                </c:pt>
                <c:pt idx="17">
                  <c:v>12</c:v>
                </c:pt>
                <c:pt idx="18">
                  <c:v>21</c:v>
                </c:pt>
                <c:pt idx="19">
                  <c:v>18</c:v>
                </c:pt>
                <c:pt idx="20">
                  <c:v>17</c:v>
                </c:pt>
                <c:pt idx="21">
                  <c:v>22</c:v>
                </c:pt>
                <c:pt idx="22">
                  <c:v>20</c:v>
                </c:pt>
                <c:pt idx="23">
                  <c:v>20</c:v>
                </c:pt>
              </c:numCache>
            </c:numRef>
          </c:val>
          <c:smooth val="0"/>
        </c:ser>
        <c:ser>
          <c:idx val="3"/>
          <c:order val="3"/>
          <c:tx>
            <c:strRef>
              <c:f>'COUNT TYPE'!$AI$7</c:f>
              <c:strCache>
                <c:ptCount val="1"/>
                <c:pt idx="0">
                  <c:v>TWO</c:v>
                </c:pt>
              </c:strCache>
            </c:strRef>
          </c:tx>
          <c:spPr>
            <a:ln w="25400">
              <a:solidFill>
                <a:srgbClr val="00FFFF"/>
              </a:solidFill>
              <a:prstDash val="solid"/>
            </a:ln>
          </c:spPr>
          <c:marker>
            <c:symbol val="none"/>
          </c:marker>
          <c:cat>
            <c:numRef>
              <c:f>'COUNT TYPE'!$C$8:$C$31</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'COUNT TYPE'!$AI$8:$AI$31</c:f>
              <c:numCache>
                <c:formatCode>General</c:formatCode>
                <c:ptCount val="24"/>
                <c:pt idx="0">
                  <c:v>13</c:v>
                </c:pt>
                <c:pt idx="1">
                  <c:v>10</c:v>
                </c:pt>
                <c:pt idx="2">
                  <c:v>10</c:v>
                </c:pt>
                <c:pt idx="3">
                  <c:v>12</c:v>
                </c:pt>
                <c:pt idx="4">
                  <c:v>11</c:v>
                </c:pt>
                <c:pt idx="5">
                  <c:v>11</c:v>
                </c:pt>
                <c:pt idx="6">
                  <c:v>12</c:v>
                </c:pt>
                <c:pt idx="7">
                  <c:v>14</c:v>
                </c:pt>
                <c:pt idx="8">
                  <c:v>14</c:v>
                </c:pt>
                <c:pt idx="9">
                  <c:v>17</c:v>
                </c:pt>
                <c:pt idx="10">
                  <c:v>17</c:v>
                </c:pt>
                <c:pt idx="11">
                  <c:v>14</c:v>
                </c:pt>
                <c:pt idx="12">
                  <c:v>17</c:v>
                </c:pt>
                <c:pt idx="13">
                  <c:v>17</c:v>
                </c:pt>
                <c:pt idx="14">
                  <c:v>19</c:v>
                </c:pt>
                <c:pt idx="15">
                  <c:v>20</c:v>
                </c:pt>
                <c:pt idx="16">
                  <c:v>19</c:v>
                </c:pt>
                <c:pt idx="17">
                  <c:v>20</c:v>
                </c:pt>
                <c:pt idx="18">
                  <c:v>22</c:v>
                </c:pt>
                <c:pt idx="19">
                  <c:v>18</c:v>
                </c:pt>
                <c:pt idx="20">
                  <c:v>17</c:v>
                </c:pt>
                <c:pt idx="21">
                  <c:v>23</c:v>
                </c:pt>
                <c:pt idx="22">
                  <c:v>21</c:v>
                </c:pt>
                <c:pt idx="23">
                  <c:v>22</c:v>
                </c:pt>
              </c:numCache>
            </c:numRef>
          </c:val>
          <c:smooth val="0"/>
        </c:ser>
        <c:ser>
          <c:idx val="4"/>
          <c:order val="4"/>
          <c:tx>
            <c:strRef>
              <c:f>'COUNT TYPE'!$AJ$7</c:f>
              <c:strCache>
                <c:ptCount val="1"/>
                <c:pt idx="0">
                  <c:v>TWV</c:v>
                </c:pt>
              </c:strCache>
            </c:strRef>
          </c:tx>
          <c:spPr>
            <a:ln w="25400">
              <a:solidFill>
                <a:srgbClr val="800080"/>
              </a:solidFill>
              <a:prstDash val="solid"/>
            </a:ln>
          </c:spPr>
          <c:marker>
            <c:symbol val="none"/>
          </c:marker>
          <c:cat>
            <c:numRef>
              <c:f>'COUNT TYPE'!$C$8:$C$31</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'COUNT TYPE'!$AJ$8:$AJ$31</c:f>
              <c:numCache>
                <c:formatCode>General</c:formatCode>
                <c:ptCount val="24"/>
                <c:pt idx="0">
                  <c:v>10</c:v>
                </c:pt>
                <c:pt idx="1">
                  <c:v>11</c:v>
                </c:pt>
                <c:pt idx="2">
                  <c:v>10</c:v>
                </c:pt>
                <c:pt idx="3">
                  <c:v>10</c:v>
                </c:pt>
                <c:pt idx="4">
                  <c:v>12</c:v>
                </c:pt>
                <c:pt idx="5">
                  <c:v>13</c:v>
                </c:pt>
                <c:pt idx="6">
                  <c:v>14</c:v>
                </c:pt>
                <c:pt idx="7">
                  <c:v>14</c:v>
                </c:pt>
                <c:pt idx="8">
                  <c:v>15</c:v>
                </c:pt>
                <c:pt idx="9">
                  <c:v>18</c:v>
                </c:pt>
                <c:pt idx="10">
                  <c:v>17</c:v>
                </c:pt>
                <c:pt idx="11">
                  <c:v>19</c:v>
                </c:pt>
                <c:pt idx="12">
                  <c:v>24</c:v>
                </c:pt>
                <c:pt idx="13">
                  <c:v>21</c:v>
                </c:pt>
                <c:pt idx="14">
                  <c:v>14</c:v>
                </c:pt>
                <c:pt idx="15">
                  <c:v>21</c:v>
                </c:pt>
                <c:pt idx="16">
                  <c:v>17</c:v>
                </c:pt>
                <c:pt idx="17">
                  <c:v>17</c:v>
                </c:pt>
                <c:pt idx="18">
                  <c:v>23</c:v>
                </c:pt>
                <c:pt idx="19">
                  <c:v>18</c:v>
                </c:pt>
                <c:pt idx="20">
                  <c:v>19</c:v>
                </c:pt>
                <c:pt idx="21">
                  <c:v>15</c:v>
                </c:pt>
                <c:pt idx="22">
                  <c:v>18</c:v>
                </c:pt>
                <c:pt idx="23">
                  <c:v>21</c:v>
                </c:pt>
              </c:numCache>
            </c:numRef>
          </c:val>
          <c:smooth val="0"/>
        </c:ser>
        <c:dLbls>
          <c:showLegendKey val="0"/>
          <c:showVal val="0"/>
          <c:showCatName val="0"/>
          <c:showSerName val="0"/>
          <c:showPercent val="0"/>
          <c:showBubbleSize val="0"/>
        </c:dLbls>
        <c:marker val="1"/>
        <c:smooth val="0"/>
        <c:axId val="111131648"/>
        <c:axId val="111149824"/>
      </c:lineChart>
      <c:lineChart>
        <c:grouping val="standard"/>
        <c:varyColors val="0"/>
        <c:ser>
          <c:idx val="6"/>
          <c:order val="5"/>
          <c:tx>
            <c:v>UPOV Members</c:v>
          </c:tx>
          <c:spPr>
            <a:ln w="28575">
              <a:solidFill>
                <a:schemeClr val="tx1">
                  <a:lumMod val="75000"/>
                  <a:lumOff val="25000"/>
                </a:schemeClr>
              </a:solidFill>
              <a:prstDash val="sysDash"/>
            </a:ln>
          </c:spPr>
          <c:marker>
            <c:symbol val="none"/>
          </c:marker>
          <c:cat>
            <c:numRef>
              <c:f>'COUNT TYPE'!$AD$8:$AD$31</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'COUNT TYPE'!$B$8:$B$31</c:f>
              <c:numCache>
                <c:formatCode>General</c:formatCode>
                <c:ptCount val="24"/>
                <c:pt idx="0">
                  <c:v>19</c:v>
                </c:pt>
                <c:pt idx="1">
                  <c:v>20</c:v>
                </c:pt>
                <c:pt idx="2">
                  <c:v>20</c:v>
                </c:pt>
                <c:pt idx="3">
                  <c:v>24</c:v>
                </c:pt>
                <c:pt idx="4">
                  <c:v>27</c:v>
                </c:pt>
                <c:pt idx="5">
                  <c:v>29</c:v>
                </c:pt>
                <c:pt idx="6">
                  <c:v>31</c:v>
                </c:pt>
                <c:pt idx="7">
                  <c:v>34</c:v>
                </c:pt>
                <c:pt idx="8">
                  <c:v>38</c:v>
                </c:pt>
                <c:pt idx="9">
                  <c:v>44</c:v>
                </c:pt>
                <c:pt idx="10">
                  <c:v>46</c:v>
                </c:pt>
                <c:pt idx="11">
                  <c:v>49</c:v>
                </c:pt>
                <c:pt idx="12">
                  <c:v>51</c:v>
                </c:pt>
                <c:pt idx="13">
                  <c:v>54</c:v>
                </c:pt>
                <c:pt idx="14">
                  <c:v>58</c:v>
                </c:pt>
                <c:pt idx="15">
                  <c:v>60</c:v>
                </c:pt>
                <c:pt idx="16">
                  <c:v>63</c:v>
                </c:pt>
                <c:pt idx="17">
                  <c:v>65</c:v>
                </c:pt>
                <c:pt idx="18">
                  <c:v>66</c:v>
                </c:pt>
                <c:pt idx="19">
                  <c:v>68</c:v>
                </c:pt>
                <c:pt idx="20">
                  <c:v>68</c:v>
                </c:pt>
                <c:pt idx="21">
                  <c:v>70</c:v>
                </c:pt>
                <c:pt idx="22">
                  <c:v>70</c:v>
                </c:pt>
                <c:pt idx="23">
                  <c:v>71</c:v>
                </c:pt>
              </c:numCache>
            </c:numRef>
          </c:val>
          <c:smooth val="0"/>
        </c:ser>
        <c:dLbls>
          <c:showLegendKey val="0"/>
          <c:showVal val="0"/>
          <c:showCatName val="0"/>
          <c:showSerName val="0"/>
          <c:showPercent val="0"/>
          <c:showBubbleSize val="0"/>
        </c:dLbls>
        <c:marker val="1"/>
        <c:smooth val="0"/>
        <c:axId val="111151360"/>
        <c:axId val="111153152"/>
      </c:lineChart>
      <c:catAx>
        <c:axId val="111131648"/>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en-US"/>
          </a:p>
        </c:txPr>
        <c:crossAx val="111149824"/>
        <c:crossesAt val="0"/>
        <c:auto val="1"/>
        <c:lblAlgn val="ctr"/>
        <c:lblOffset val="100"/>
        <c:tickLblSkip val="1"/>
        <c:tickMarkSkip val="1"/>
        <c:noMultiLvlLbl val="0"/>
      </c:catAx>
      <c:valAx>
        <c:axId val="111149824"/>
        <c:scaling>
          <c:orientation val="minMax"/>
          <c:max val="75"/>
          <c:min val="0"/>
        </c:scaling>
        <c:delete val="0"/>
        <c:axPos val="l"/>
        <c:majorGridlines>
          <c:spPr>
            <a:ln w="9525" cap="flat" cmpd="sng" algn="ctr">
              <a:solidFill>
                <a:schemeClr val="dk1">
                  <a:shade val="95000"/>
                  <a:satMod val="105000"/>
                </a:schemeClr>
              </a:solidFill>
              <a:prstDash val="solid"/>
            </a:ln>
            <a:effectLst/>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11131648"/>
        <c:crosses val="autoZero"/>
        <c:crossBetween val="between"/>
        <c:majorUnit val="5"/>
        <c:minorUnit val="2"/>
      </c:valAx>
      <c:catAx>
        <c:axId val="111151360"/>
        <c:scaling>
          <c:orientation val="minMax"/>
        </c:scaling>
        <c:delete val="1"/>
        <c:axPos val="b"/>
        <c:numFmt formatCode="General" sourceLinked="1"/>
        <c:majorTickMark val="out"/>
        <c:minorTickMark val="none"/>
        <c:tickLblPos val="nextTo"/>
        <c:crossAx val="111153152"/>
        <c:crosses val="autoZero"/>
        <c:auto val="1"/>
        <c:lblAlgn val="ctr"/>
        <c:lblOffset val="100"/>
        <c:noMultiLvlLbl val="0"/>
      </c:catAx>
      <c:valAx>
        <c:axId val="111153152"/>
        <c:scaling>
          <c:orientation val="minMax"/>
          <c:max val="80"/>
          <c:min val="0"/>
        </c:scaling>
        <c:delete val="1"/>
        <c:axPos val="r"/>
        <c:numFmt formatCode="General" sourceLinked="1"/>
        <c:majorTickMark val="cross"/>
        <c:minorTickMark val="none"/>
        <c:tickLblPos val="nextTo"/>
        <c:crossAx val="111151360"/>
        <c:crosses val="max"/>
        <c:crossBetween val="between"/>
        <c:majorUnit val="10"/>
        <c:minorUnit val="2"/>
      </c:valAx>
      <c:spPr>
        <a:noFill/>
        <a:ln w="3175">
          <a:solidFill>
            <a:srgbClr val="808080"/>
          </a:solidFill>
          <a:prstDash val="solid"/>
        </a:ln>
      </c:spPr>
    </c:plotArea>
    <c:legend>
      <c:legendPos val="r"/>
      <c:layout>
        <c:manualLayout>
          <c:xMode val="edge"/>
          <c:yMode val="edge"/>
          <c:x val="9.4804492421040637E-2"/>
          <c:y val="8.127474442599246E-2"/>
          <c:w val="0.22044098025659009"/>
          <c:h val="0.21823061669152535"/>
        </c:manualLayout>
      </c:layout>
      <c:overlay val="0"/>
      <c:spPr>
        <a:solidFill>
          <a:srgbClr val="FFFFFF"/>
        </a:solidFill>
        <a:ln w="3175">
          <a:solidFill>
            <a:schemeClr val="tx1"/>
          </a:solidFill>
        </a:ln>
      </c:spPr>
      <c:txPr>
        <a:bodyPr/>
        <a:lstStyle/>
        <a:p>
          <a:pPr>
            <a:defRPr sz="53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6350">
      <a:noFill/>
    </a:ln>
  </c:spPr>
  <c:txPr>
    <a:bodyPr/>
    <a:lstStyle/>
    <a:p>
      <a:pPr>
        <a:defRPr sz="975" b="0" i="0" u="none" strike="noStrike" baseline="0">
          <a:solidFill>
            <a:srgbClr val="000000"/>
          </a:solidFill>
          <a:latin typeface="Arial"/>
          <a:ea typeface="Arial"/>
          <a:cs typeface="Aria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395725001125176E-2"/>
          <c:y val="5.0056445829753694E-2"/>
          <c:w val="0.71488497498289716"/>
          <c:h val="0.81316643354657314"/>
        </c:manualLayout>
      </c:layout>
      <c:barChart>
        <c:barDir val="col"/>
        <c:grouping val="stacked"/>
        <c:varyColors val="0"/>
        <c:ser>
          <c:idx val="0"/>
          <c:order val="0"/>
          <c:tx>
            <c:v>members</c:v>
          </c:tx>
          <c:invertIfNegative val="0"/>
          <c:cat>
            <c:strRef>
              <c:f>'Prep WS'!$BL$5:$BV$6</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'Prep WS'!$BL$8:$BV$8</c:f>
              <c:numCache>
                <c:formatCode>General</c:formatCode>
                <c:ptCount val="11"/>
                <c:pt idx="0">
                  <c:v>55</c:v>
                </c:pt>
                <c:pt idx="1">
                  <c:v>69</c:v>
                </c:pt>
                <c:pt idx="2">
                  <c:v>130</c:v>
                </c:pt>
                <c:pt idx="3">
                  <c:v>136</c:v>
                </c:pt>
                <c:pt idx="4">
                  <c:v>167</c:v>
                </c:pt>
                <c:pt idx="5">
                  <c:v>162</c:v>
                </c:pt>
                <c:pt idx="6">
                  <c:v>95</c:v>
                </c:pt>
                <c:pt idx="7">
                  <c:v>117</c:v>
                </c:pt>
                <c:pt idx="8">
                  <c:v>115</c:v>
                </c:pt>
                <c:pt idx="9">
                  <c:v>114</c:v>
                </c:pt>
                <c:pt idx="10">
                  <c:v>125</c:v>
                </c:pt>
              </c:numCache>
            </c:numRef>
          </c:val>
        </c:ser>
        <c:ser>
          <c:idx val="1"/>
          <c:order val="1"/>
          <c:tx>
            <c:v>Observer States</c:v>
          </c:tx>
          <c:invertIfNegative val="0"/>
          <c:cat>
            <c:strRef>
              <c:f>'Prep WS'!$BL$5:$BV$6</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'Prep WS'!$BL$11:$BV$11</c:f>
              <c:numCache>
                <c:formatCode>General</c:formatCode>
                <c:ptCount val="11"/>
                <c:pt idx="0">
                  <c:v>10</c:v>
                </c:pt>
                <c:pt idx="1">
                  <c:v>2</c:v>
                </c:pt>
                <c:pt idx="2">
                  <c:v>3</c:v>
                </c:pt>
                <c:pt idx="4">
                  <c:v>3</c:v>
                </c:pt>
                <c:pt idx="5">
                  <c:v>3</c:v>
                </c:pt>
                <c:pt idx="8">
                  <c:v>15</c:v>
                </c:pt>
                <c:pt idx="9">
                  <c:v>8</c:v>
                </c:pt>
                <c:pt idx="10">
                  <c:v>12</c:v>
                </c:pt>
              </c:numCache>
            </c:numRef>
          </c:val>
        </c:ser>
        <c:ser>
          <c:idx val="2"/>
          <c:order val="2"/>
          <c:tx>
            <c:v>Observer Organizations</c:v>
          </c:tx>
          <c:invertIfNegative val="0"/>
          <c:cat>
            <c:strRef>
              <c:f>'Prep WS'!$BL$5:$BV$6</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'Prep WS'!$BL$14:$BV$14</c:f>
              <c:numCache>
                <c:formatCode>General</c:formatCode>
                <c:ptCount val="11"/>
                <c:pt idx="0">
                  <c:v>3</c:v>
                </c:pt>
                <c:pt idx="1">
                  <c:v>2</c:v>
                </c:pt>
                <c:pt idx="2">
                  <c:v>5</c:v>
                </c:pt>
                <c:pt idx="3">
                  <c:v>2</c:v>
                </c:pt>
                <c:pt idx="4">
                  <c:v>4</c:v>
                </c:pt>
                <c:pt idx="5">
                  <c:v>25</c:v>
                </c:pt>
                <c:pt idx="6">
                  <c:v>3</c:v>
                </c:pt>
                <c:pt idx="7">
                  <c:v>10</c:v>
                </c:pt>
                <c:pt idx="8">
                  <c:v>5</c:v>
                </c:pt>
                <c:pt idx="9">
                  <c:v>2</c:v>
                </c:pt>
                <c:pt idx="10">
                  <c:v>4</c:v>
                </c:pt>
              </c:numCache>
            </c:numRef>
          </c:val>
        </c:ser>
        <c:dLbls>
          <c:showLegendKey val="0"/>
          <c:showVal val="0"/>
          <c:showCatName val="0"/>
          <c:showSerName val="0"/>
          <c:showPercent val="0"/>
          <c:showBubbleSize val="0"/>
        </c:dLbls>
        <c:gapWidth val="150"/>
        <c:overlap val="100"/>
        <c:axId val="111108096"/>
        <c:axId val="111162496"/>
      </c:barChart>
      <c:catAx>
        <c:axId val="111108096"/>
        <c:scaling>
          <c:orientation val="minMax"/>
        </c:scaling>
        <c:delete val="0"/>
        <c:axPos val="b"/>
        <c:majorTickMark val="out"/>
        <c:minorTickMark val="none"/>
        <c:tickLblPos val="nextTo"/>
        <c:crossAx val="111162496"/>
        <c:crosses val="autoZero"/>
        <c:auto val="1"/>
        <c:lblAlgn val="ctr"/>
        <c:lblOffset val="100"/>
        <c:noMultiLvlLbl val="0"/>
      </c:catAx>
      <c:valAx>
        <c:axId val="111162496"/>
        <c:scaling>
          <c:orientation val="minMax"/>
        </c:scaling>
        <c:delete val="0"/>
        <c:axPos val="l"/>
        <c:majorGridlines/>
        <c:numFmt formatCode="General" sourceLinked="1"/>
        <c:majorTickMark val="out"/>
        <c:minorTickMark val="none"/>
        <c:tickLblPos val="nextTo"/>
        <c:crossAx val="111108096"/>
        <c:crosses val="autoZero"/>
        <c:crossBetween val="between"/>
      </c:valAx>
    </c:plotArea>
    <c:legend>
      <c:legendPos val="r"/>
      <c:layout>
        <c:manualLayout>
          <c:xMode val="edge"/>
          <c:yMode val="edge"/>
          <c:x val="0.81438552719240587"/>
          <c:y val="0.28356813506419803"/>
          <c:w val="0.15608585963791566"/>
          <c:h val="0.40652585656522666"/>
        </c:manualLayout>
      </c:layout>
      <c:overlay val="0"/>
      <c:spPr>
        <a:solidFill>
          <a:schemeClr val="bg1"/>
        </a:solidFill>
      </c:spPr>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1"/>
          <c:order val="0"/>
          <c:tx>
            <c:v>TWA</c:v>
          </c:tx>
          <c:invertIfNegative val="0"/>
          <c:cat>
            <c:numRef>
              <c:f>'Prep WS'!$CC$9:$CC$17</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'Prep WS'!$CE$9:$CE$17</c:f>
              <c:numCache>
                <c:formatCode>General</c:formatCode>
                <c:ptCount val="9"/>
                <c:pt idx="0">
                  <c:v>9</c:v>
                </c:pt>
                <c:pt idx="1">
                  <c:v>23</c:v>
                </c:pt>
                <c:pt idx="2">
                  <c:v>26</c:v>
                </c:pt>
                <c:pt idx="3">
                  <c:v>25</c:v>
                </c:pt>
                <c:pt idx="4">
                  <c:v>33</c:v>
                </c:pt>
                <c:pt idx="5">
                  <c:v>16</c:v>
                </c:pt>
                <c:pt idx="6">
                  <c:v>26</c:v>
                </c:pt>
                <c:pt idx="7">
                  <c:v>20</c:v>
                </c:pt>
                <c:pt idx="8">
                  <c:v>34</c:v>
                </c:pt>
              </c:numCache>
            </c:numRef>
          </c:val>
        </c:ser>
        <c:ser>
          <c:idx val="2"/>
          <c:order val="1"/>
          <c:tx>
            <c:v>TWC</c:v>
          </c:tx>
          <c:invertIfNegative val="0"/>
          <c:cat>
            <c:numRef>
              <c:f>'Prep WS'!$CC$9:$CC$17</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'Prep WS'!$CF$9:$CF$17</c:f>
              <c:numCache>
                <c:formatCode>General</c:formatCode>
                <c:ptCount val="9"/>
                <c:pt idx="0">
                  <c:v>7</c:v>
                </c:pt>
                <c:pt idx="1">
                  <c:v>11</c:v>
                </c:pt>
                <c:pt idx="2">
                  <c:v>13</c:v>
                </c:pt>
                <c:pt idx="3">
                  <c:v>9</c:v>
                </c:pt>
                <c:pt idx="4">
                  <c:v>12</c:v>
                </c:pt>
                <c:pt idx="5">
                  <c:v>13</c:v>
                </c:pt>
                <c:pt idx="6">
                  <c:v>13</c:v>
                </c:pt>
                <c:pt idx="7">
                  <c:v>24</c:v>
                </c:pt>
                <c:pt idx="8">
                  <c:v>23</c:v>
                </c:pt>
              </c:numCache>
            </c:numRef>
          </c:val>
        </c:ser>
        <c:ser>
          <c:idx val="3"/>
          <c:order val="2"/>
          <c:tx>
            <c:v>TWF</c:v>
          </c:tx>
          <c:invertIfNegative val="0"/>
          <c:cat>
            <c:numRef>
              <c:f>'Prep WS'!$CC$9:$CC$17</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'Prep WS'!$CG$9:$CG$17</c:f>
              <c:numCache>
                <c:formatCode>General</c:formatCode>
                <c:ptCount val="9"/>
                <c:pt idx="0">
                  <c:v>26</c:v>
                </c:pt>
                <c:pt idx="1">
                  <c:v>12</c:v>
                </c:pt>
                <c:pt idx="2">
                  <c:v>36</c:v>
                </c:pt>
                <c:pt idx="3">
                  <c:v>19</c:v>
                </c:pt>
                <c:pt idx="4">
                  <c:v>9</c:v>
                </c:pt>
                <c:pt idx="5">
                  <c:v>11</c:v>
                </c:pt>
                <c:pt idx="6">
                  <c:v>24</c:v>
                </c:pt>
                <c:pt idx="7">
                  <c:v>28</c:v>
                </c:pt>
                <c:pt idx="8">
                  <c:v>39</c:v>
                </c:pt>
              </c:numCache>
            </c:numRef>
          </c:val>
        </c:ser>
        <c:ser>
          <c:idx val="4"/>
          <c:order val="3"/>
          <c:tx>
            <c:v>TWO</c:v>
          </c:tx>
          <c:invertIfNegative val="0"/>
          <c:cat>
            <c:numRef>
              <c:f>'Prep WS'!$CC$9:$CC$17</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'Prep WS'!$CH$9:$CH$17</c:f>
              <c:numCache>
                <c:formatCode>General</c:formatCode>
                <c:ptCount val="9"/>
                <c:pt idx="0">
                  <c:v>44</c:v>
                </c:pt>
                <c:pt idx="1">
                  <c:v>16</c:v>
                </c:pt>
                <c:pt idx="2">
                  <c:v>79</c:v>
                </c:pt>
                <c:pt idx="3">
                  <c:v>41</c:v>
                </c:pt>
                <c:pt idx="4">
                  <c:v>26</c:v>
                </c:pt>
                <c:pt idx="5">
                  <c:v>22</c:v>
                </c:pt>
                <c:pt idx="6">
                  <c:v>34</c:v>
                </c:pt>
                <c:pt idx="7">
                  <c:v>34</c:v>
                </c:pt>
                <c:pt idx="8">
                  <c:v>30</c:v>
                </c:pt>
              </c:numCache>
            </c:numRef>
          </c:val>
        </c:ser>
        <c:ser>
          <c:idx val="5"/>
          <c:order val="4"/>
          <c:tx>
            <c:v>TWV</c:v>
          </c:tx>
          <c:invertIfNegative val="0"/>
          <c:cat>
            <c:numRef>
              <c:f>'Prep WS'!$CC$9:$CC$17</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'Prep WS'!$CI$9:$CI$17</c:f>
              <c:numCache>
                <c:formatCode>General</c:formatCode>
                <c:ptCount val="9"/>
                <c:pt idx="0">
                  <c:v>28</c:v>
                </c:pt>
                <c:pt idx="1">
                  <c:v>47</c:v>
                </c:pt>
                <c:pt idx="2">
                  <c:v>20</c:v>
                </c:pt>
                <c:pt idx="3">
                  <c:v>26</c:v>
                </c:pt>
                <c:pt idx="4">
                  <c:v>17</c:v>
                </c:pt>
                <c:pt idx="5">
                  <c:v>32</c:v>
                </c:pt>
                <c:pt idx="6">
                  <c:v>14</c:v>
                </c:pt>
                <c:pt idx="7">
                  <c:v>15</c:v>
                </c:pt>
                <c:pt idx="8">
                  <c:v>20</c:v>
                </c:pt>
              </c:numCache>
            </c:numRef>
          </c:val>
        </c:ser>
        <c:ser>
          <c:idx val="0"/>
          <c:order val="5"/>
          <c:tx>
            <c:v>BMT</c:v>
          </c:tx>
          <c:invertIfNegative val="0"/>
          <c:cat>
            <c:numRef>
              <c:f>'Prep WS'!$CC$9:$CC$17</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'Prep WS'!$CD$9:$CD$17</c:f>
              <c:numCache>
                <c:formatCode>General</c:formatCode>
                <c:ptCount val="9"/>
                <c:pt idx="0">
                  <c:v>24</c:v>
                </c:pt>
                <c:pt idx="1">
                  <c:v>31</c:v>
                </c:pt>
                <c:pt idx="2">
                  <c:v>0</c:v>
                </c:pt>
                <c:pt idx="3">
                  <c:v>70</c:v>
                </c:pt>
                <c:pt idx="4">
                  <c:v>0</c:v>
                </c:pt>
                <c:pt idx="5">
                  <c:v>44</c:v>
                </c:pt>
                <c:pt idx="6">
                  <c:v>22</c:v>
                </c:pt>
                <c:pt idx="7">
                  <c:v>0</c:v>
                </c:pt>
                <c:pt idx="8">
                  <c:v>0</c:v>
                </c:pt>
              </c:numCache>
            </c:numRef>
          </c:val>
        </c:ser>
        <c:dLbls>
          <c:showLegendKey val="0"/>
          <c:showVal val="0"/>
          <c:showCatName val="0"/>
          <c:showSerName val="0"/>
          <c:showPercent val="0"/>
          <c:showBubbleSize val="0"/>
        </c:dLbls>
        <c:gapWidth val="150"/>
        <c:overlap val="100"/>
        <c:axId val="111284992"/>
        <c:axId val="111286528"/>
      </c:barChart>
      <c:catAx>
        <c:axId val="111284992"/>
        <c:scaling>
          <c:orientation val="minMax"/>
        </c:scaling>
        <c:delete val="0"/>
        <c:axPos val="b"/>
        <c:numFmt formatCode="General" sourceLinked="1"/>
        <c:majorTickMark val="out"/>
        <c:minorTickMark val="none"/>
        <c:tickLblPos val="nextTo"/>
        <c:crossAx val="111286528"/>
        <c:crosses val="autoZero"/>
        <c:auto val="1"/>
        <c:lblAlgn val="ctr"/>
        <c:lblOffset val="100"/>
        <c:noMultiLvlLbl val="0"/>
      </c:catAx>
      <c:valAx>
        <c:axId val="111286528"/>
        <c:scaling>
          <c:orientation val="minMax"/>
        </c:scaling>
        <c:delete val="0"/>
        <c:axPos val="l"/>
        <c:majorGridlines/>
        <c:numFmt formatCode="General" sourceLinked="1"/>
        <c:majorTickMark val="out"/>
        <c:minorTickMark val="none"/>
        <c:tickLblPos val="nextTo"/>
        <c:crossAx val="111284992"/>
        <c:crosses val="autoZero"/>
        <c:crossBetween val="between"/>
      </c:valAx>
    </c:plotArea>
    <c:legend>
      <c:legendPos val="r"/>
      <c:layout>
        <c:manualLayout>
          <c:xMode val="edge"/>
          <c:yMode val="edge"/>
          <c:x val="0.87901097090897107"/>
          <c:y val="0.25290922556338397"/>
          <c:w val="0.12098902909102889"/>
          <c:h val="0.49418119022983664"/>
        </c:manualLayout>
      </c:layout>
      <c:overlay val="0"/>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042342342342344E-2"/>
          <c:y val="4.2043132336917408E-2"/>
          <c:w val="0.65821381381381383"/>
          <c:h val="0.87146440245883106"/>
        </c:manualLayout>
      </c:layout>
      <c:areaChart>
        <c:grouping val="stacked"/>
        <c:varyColors val="0"/>
        <c:ser>
          <c:idx val="0"/>
          <c:order val="0"/>
          <c:tx>
            <c:strRef>
              <c:f>fig_17_PBR_appl!$I$1</c:f>
              <c:strCache>
                <c:ptCount val="1"/>
                <c:pt idx="0">
                  <c:v>Africa</c:v>
                </c:pt>
              </c:strCache>
            </c:strRef>
          </c:tx>
          <c:cat>
            <c:numRef>
              <c:f>fig_17_PBR_appl!$H$2:$H$46</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fig_17_PBR_appl!$I$2:$I$46</c:f>
              <c:numCache>
                <c:formatCode>#\ ###\ ###</c:formatCode>
                <c:ptCount val="45"/>
                <c:pt idx="0">
                  <c:v>0</c:v>
                </c:pt>
                <c:pt idx="1">
                  <c:v>0</c:v>
                </c:pt>
                <c:pt idx="2">
                  <c:v>0</c:v>
                </c:pt>
                <c:pt idx="3">
                  <c:v>0</c:v>
                </c:pt>
                <c:pt idx="4">
                  <c:v>0</c:v>
                </c:pt>
                <c:pt idx="5">
                  <c:v>0</c:v>
                </c:pt>
                <c:pt idx="6">
                  <c:v>0</c:v>
                </c:pt>
                <c:pt idx="7">
                  <c:v>0</c:v>
                </c:pt>
                <c:pt idx="8">
                  <c:v>0</c:v>
                </c:pt>
                <c:pt idx="9">
                  <c:v>28</c:v>
                </c:pt>
                <c:pt idx="10">
                  <c:v>4</c:v>
                </c:pt>
                <c:pt idx="11" formatCode="#,##0">
                  <c:v>21</c:v>
                </c:pt>
                <c:pt idx="12" formatCode="#,##0">
                  <c:v>22</c:v>
                </c:pt>
                <c:pt idx="13" formatCode="#,##0">
                  <c:v>7</c:v>
                </c:pt>
                <c:pt idx="14" formatCode="#,##0">
                  <c:v>21</c:v>
                </c:pt>
                <c:pt idx="15" formatCode="#,##0">
                  <c:v>16</c:v>
                </c:pt>
                <c:pt idx="16" formatCode="#,##0">
                  <c:v>23</c:v>
                </c:pt>
                <c:pt idx="17" formatCode="#,##0">
                  <c:v>20</c:v>
                </c:pt>
                <c:pt idx="18" formatCode="#,##0">
                  <c:v>47</c:v>
                </c:pt>
                <c:pt idx="19" formatCode="#,##0">
                  <c:v>56</c:v>
                </c:pt>
                <c:pt idx="20" formatCode="#,##0">
                  <c:v>43</c:v>
                </c:pt>
                <c:pt idx="21" formatCode="#,##0">
                  <c:v>74</c:v>
                </c:pt>
                <c:pt idx="22" formatCode="#,##0">
                  <c:v>100</c:v>
                </c:pt>
                <c:pt idx="23" formatCode="#,##0">
                  <c:v>39</c:v>
                </c:pt>
                <c:pt idx="24" formatCode="#,##0">
                  <c:v>67</c:v>
                </c:pt>
                <c:pt idx="25" formatCode="#,##0">
                  <c:v>65</c:v>
                </c:pt>
                <c:pt idx="26" formatCode="#,##0">
                  <c:v>76</c:v>
                </c:pt>
                <c:pt idx="27" formatCode="#,##0">
                  <c:v>64</c:v>
                </c:pt>
                <c:pt idx="28" formatCode="#,##0">
                  <c:v>82</c:v>
                </c:pt>
                <c:pt idx="29" formatCode="#,##0">
                  <c:v>60</c:v>
                </c:pt>
                <c:pt idx="30" formatCode="#,##0">
                  <c:v>78</c:v>
                </c:pt>
                <c:pt idx="31" formatCode="#,##0">
                  <c:v>69</c:v>
                </c:pt>
                <c:pt idx="32" formatCode="#,##0">
                  <c:v>68</c:v>
                </c:pt>
                <c:pt idx="33" formatCode="#,##0">
                  <c:v>239</c:v>
                </c:pt>
                <c:pt idx="34" formatCode="#,##0">
                  <c:v>104</c:v>
                </c:pt>
                <c:pt idx="35" formatCode="#,##0">
                  <c:v>104</c:v>
                </c:pt>
                <c:pt idx="36" formatCode="#,##0">
                  <c:v>110</c:v>
                </c:pt>
                <c:pt idx="37" formatCode="#,##0">
                  <c:v>122</c:v>
                </c:pt>
                <c:pt idx="38" formatCode="#,##0">
                  <c:v>84</c:v>
                </c:pt>
                <c:pt idx="39" formatCode="#,##0">
                  <c:v>173</c:v>
                </c:pt>
                <c:pt idx="40" formatCode="#,##0">
                  <c:v>108</c:v>
                </c:pt>
                <c:pt idx="41" formatCode="#,##0">
                  <c:v>95</c:v>
                </c:pt>
                <c:pt idx="42" formatCode="#,##0">
                  <c:v>178</c:v>
                </c:pt>
                <c:pt idx="43" formatCode="#,##0">
                  <c:v>106</c:v>
                </c:pt>
                <c:pt idx="44" formatCode="#,##0">
                  <c:v>178</c:v>
                </c:pt>
              </c:numCache>
            </c:numRef>
          </c:val>
        </c:ser>
        <c:ser>
          <c:idx val="1"/>
          <c:order val="1"/>
          <c:tx>
            <c:strRef>
              <c:f>fig_17_PBR_appl!$J$1</c:f>
              <c:strCache>
                <c:ptCount val="1"/>
                <c:pt idx="0">
                  <c:v>Near/Middle East</c:v>
                </c:pt>
              </c:strCache>
            </c:strRef>
          </c:tx>
          <c:cat>
            <c:numRef>
              <c:f>fig_17_PBR_appl!$H$2:$H$46</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fig_17_PBR_appl!$J$2:$J$46</c:f>
              <c:numCache>
                <c:formatCode>General</c:formatCode>
                <c:ptCount val="45"/>
                <c:pt idx="11" formatCode="#,##0">
                  <c:v>25</c:v>
                </c:pt>
                <c:pt idx="12" formatCode="#,##0">
                  <c:v>19</c:v>
                </c:pt>
                <c:pt idx="13" formatCode="#,##0">
                  <c:v>31</c:v>
                </c:pt>
                <c:pt idx="14" formatCode="#,##0">
                  <c:v>57</c:v>
                </c:pt>
                <c:pt idx="15" formatCode="#,##0">
                  <c:v>24</c:v>
                </c:pt>
                <c:pt idx="16" formatCode="#,##0">
                  <c:v>47</c:v>
                </c:pt>
                <c:pt idx="17" formatCode="#,##0">
                  <c:v>52</c:v>
                </c:pt>
                <c:pt idx="18" formatCode="#,##0">
                  <c:v>98</c:v>
                </c:pt>
                <c:pt idx="19" formatCode="#,##0">
                  <c:v>122</c:v>
                </c:pt>
                <c:pt idx="20" formatCode="#,##0">
                  <c:v>122</c:v>
                </c:pt>
                <c:pt idx="21" formatCode="#,##0">
                  <c:v>80</c:v>
                </c:pt>
                <c:pt idx="22" formatCode="#,##0">
                  <c:v>54</c:v>
                </c:pt>
                <c:pt idx="23" formatCode="#,##0">
                  <c:v>60</c:v>
                </c:pt>
                <c:pt idx="24" formatCode="#,##0">
                  <c:v>63</c:v>
                </c:pt>
                <c:pt idx="25" formatCode="#,##0">
                  <c:v>70</c:v>
                </c:pt>
                <c:pt idx="26" formatCode="#,##0">
                  <c:v>33</c:v>
                </c:pt>
                <c:pt idx="27" formatCode="#,##0">
                  <c:v>72</c:v>
                </c:pt>
                <c:pt idx="28" formatCode="#,##0">
                  <c:v>67</c:v>
                </c:pt>
                <c:pt idx="29" formatCode="#,##0">
                  <c:v>41</c:v>
                </c:pt>
                <c:pt idx="30" formatCode="#,##0">
                  <c:v>40</c:v>
                </c:pt>
                <c:pt idx="31" formatCode="#,##0">
                  <c:v>41</c:v>
                </c:pt>
                <c:pt idx="32" formatCode="#,##0">
                  <c:v>33</c:v>
                </c:pt>
                <c:pt idx="33" formatCode="#,##0">
                  <c:v>20</c:v>
                </c:pt>
                <c:pt idx="34" formatCode="#,##0">
                  <c:v>43</c:v>
                </c:pt>
                <c:pt idx="35" formatCode="#,##0">
                  <c:v>48</c:v>
                </c:pt>
                <c:pt idx="36" formatCode="#,##0">
                  <c:v>46</c:v>
                </c:pt>
                <c:pt idx="37" formatCode="#,##0">
                  <c:v>46</c:v>
                </c:pt>
                <c:pt idx="38" formatCode="#,##0">
                  <c:v>25</c:v>
                </c:pt>
                <c:pt idx="39" formatCode="#,##0">
                  <c:v>62</c:v>
                </c:pt>
                <c:pt idx="40" formatCode="#,##0">
                  <c:v>26</c:v>
                </c:pt>
                <c:pt idx="41" formatCode="#,##0">
                  <c:v>36</c:v>
                </c:pt>
                <c:pt idx="42" formatCode="#,##0">
                  <c:v>51</c:v>
                </c:pt>
                <c:pt idx="43" formatCode="#,##0">
                  <c:v>202</c:v>
                </c:pt>
                <c:pt idx="44" formatCode="#,##0">
                  <c:v>22</c:v>
                </c:pt>
              </c:numCache>
            </c:numRef>
          </c:val>
        </c:ser>
        <c:ser>
          <c:idx val="2"/>
          <c:order val="2"/>
          <c:tx>
            <c:strRef>
              <c:f>fig_17_PBR_appl!$K$1</c:f>
              <c:strCache>
                <c:ptCount val="1"/>
                <c:pt idx="0">
                  <c:v>Latin America</c:v>
                </c:pt>
              </c:strCache>
            </c:strRef>
          </c:tx>
          <c:spPr>
            <a:solidFill>
              <a:srgbClr val="FFFF99"/>
            </a:solidFill>
          </c:spPr>
          <c:cat>
            <c:numRef>
              <c:f>fig_17_PBR_appl!$H$2:$H$46</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fig_17_PBR_appl!$K$2:$K$46</c:f>
              <c:numCache>
                <c:formatCode>#,##0</c:formatCode>
                <c:ptCount val="4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114</c:v>
                </c:pt>
                <c:pt idx="27">
                  <c:v>137</c:v>
                </c:pt>
                <c:pt idx="28">
                  <c:v>105</c:v>
                </c:pt>
                <c:pt idx="29">
                  <c:v>190</c:v>
                </c:pt>
                <c:pt idx="30">
                  <c:v>140</c:v>
                </c:pt>
                <c:pt idx="31">
                  <c:v>226</c:v>
                </c:pt>
                <c:pt idx="32">
                  <c:v>267</c:v>
                </c:pt>
                <c:pt idx="33">
                  <c:v>221</c:v>
                </c:pt>
                <c:pt idx="34">
                  <c:v>242</c:v>
                </c:pt>
                <c:pt idx="35">
                  <c:v>269</c:v>
                </c:pt>
                <c:pt idx="36">
                  <c:v>289</c:v>
                </c:pt>
                <c:pt idx="37">
                  <c:v>279</c:v>
                </c:pt>
                <c:pt idx="38">
                  <c:v>374</c:v>
                </c:pt>
                <c:pt idx="39">
                  <c:v>344</c:v>
                </c:pt>
                <c:pt idx="40">
                  <c:v>473</c:v>
                </c:pt>
                <c:pt idx="41">
                  <c:v>561</c:v>
                </c:pt>
                <c:pt idx="42">
                  <c:v>396</c:v>
                </c:pt>
                <c:pt idx="43">
                  <c:v>273</c:v>
                </c:pt>
                <c:pt idx="44">
                  <c:v>314</c:v>
                </c:pt>
              </c:numCache>
            </c:numRef>
          </c:val>
        </c:ser>
        <c:ser>
          <c:idx val="3"/>
          <c:order val="3"/>
          <c:tx>
            <c:strRef>
              <c:f>fig_17_PBR_appl!$L$1</c:f>
              <c:strCache>
                <c:ptCount val="1"/>
                <c:pt idx="0">
                  <c:v>North America</c:v>
                </c:pt>
              </c:strCache>
            </c:strRef>
          </c:tx>
          <c:cat>
            <c:numRef>
              <c:f>fig_17_PBR_appl!$H$2:$H$46</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fig_17_PBR_appl!$L$2:$L$46</c:f>
              <c:numCache>
                <c:formatCode>General</c:formatCode>
                <c:ptCount val="45"/>
                <c:pt idx="13" formatCode="#,##0">
                  <c:v>291</c:v>
                </c:pt>
                <c:pt idx="14" formatCode="#,##0">
                  <c:v>316</c:v>
                </c:pt>
                <c:pt idx="15" formatCode="#,##0">
                  <c:v>306</c:v>
                </c:pt>
                <c:pt idx="16" formatCode="#,##0">
                  <c:v>159</c:v>
                </c:pt>
                <c:pt idx="17" formatCode="#,##0">
                  <c:v>357</c:v>
                </c:pt>
                <c:pt idx="18" formatCode="#,##0">
                  <c:v>339</c:v>
                </c:pt>
                <c:pt idx="19" formatCode="#,##0">
                  <c:v>431</c:v>
                </c:pt>
                <c:pt idx="20" formatCode="#,##0">
                  <c:v>481.5</c:v>
                </c:pt>
                <c:pt idx="21" formatCode="#,##0">
                  <c:v>482</c:v>
                </c:pt>
                <c:pt idx="22" formatCode="#,##0">
                  <c:v>509</c:v>
                </c:pt>
                <c:pt idx="23" formatCode="#,##0">
                  <c:v>484</c:v>
                </c:pt>
                <c:pt idx="24" formatCode="#,##0">
                  <c:v>477</c:v>
                </c:pt>
                <c:pt idx="25" formatCode="#,##0">
                  <c:v>532</c:v>
                </c:pt>
                <c:pt idx="26" formatCode="#,##0">
                  <c:v>574</c:v>
                </c:pt>
                <c:pt idx="27" formatCode="#,##0">
                  <c:v>625</c:v>
                </c:pt>
                <c:pt idx="28" formatCode="#,##0">
                  <c:v>776</c:v>
                </c:pt>
                <c:pt idx="29" formatCode="#,##0">
                  <c:v>682</c:v>
                </c:pt>
                <c:pt idx="30" formatCode="#,##0">
                  <c:v>814</c:v>
                </c:pt>
                <c:pt idx="31" formatCode="#,##0">
                  <c:v>907</c:v>
                </c:pt>
                <c:pt idx="32" formatCode="#,##0">
                  <c:v>656</c:v>
                </c:pt>
                <c:pt idx="33" formatCode="#,##0">
                  <c:v>751</c:v>
                </c:pt>
                <c:pt idx="34" formatCode="#,##0">
                  <c:v>773</c:v>
                </c:pt>
                <c:pt idx="35" formatCode="#,##0">
                  <c:v>747</c:v>
                </c:pt>
                <c:pt idx="36" formatCode="#,##0">
                  <c:v>779</c:v>
                </c:pt>
                <c:pt idx="37" formatCode="#,##0">
                  <c:v>843</c:v>
                </c:pt>
                <c:pt idx="38" formatCode="#,##0">
                  <c:v>727</c:v>
                </c:pt>
                <c:pt idx="39" formatCode="#,##0">
                  <c:v>755</c:v>
                </c:pt>
                <c:pt idx="40" formatCode="#,##0">
                  <c:v>893</c:v>
                </c:pt>
                <c:pt idx="41" formatCode="#,##0">
                  <c:v>855</c:v>
                </c:pt>
                <c:pt idx="42" formatCode="#,##0">
                  <c:v>1044</c:v>
                </c:pt>
                <c:pt idx="43" formatCode="#,##0">
                  <c:v>878</c:v>
                </c:pt>
                <c:pt idx="44" formatCode="#,##0">
                  <c:v>879</c:v>
                </c:pt>
              </c:numCache>
            </c:numRef>
          </c:val>
        </c:ser>
        <c:ser>
          <c:idx val="4"/>
          <c:order val="4"/>
          <c:tx>
            <c:strRef>
              <c:f>fig_17_PBR_appl!$M$1</c:f>
              <c:strCache>
                <c:ptCount val="1"/>
                <c:pt idx="0">
                  <c:v>Asia Pacific</c:v>
                </c:pt>
              </c:strCache>
            </c:strRef>
          </c:tx>
          <c:cat>
            <c:numRef>
              <c:f>fig_17_PBR_appl!$H$2:$H$46</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fig_17_PBR_appl!$M$2:$M$46</c:f>
              <c:numCache>
                <c:formatCode>General</c:formatCode>
                <c:ptCount val="45"/>
                <c:pt idx="13" formatCode="#,##0">
                  <c:v>61</c:v>
                </c:pt>
                <c:pt idx="14" formatCode="#,##0">
                  <c:v>271</c:v>
                </c:pt>
                <c:pt idx="15" formatCode="#,##0">
                  <c:v>374</c:v>
                </c:pt>
                <c:pt idx="16" formatCode="#,##0">
                  <c:v>352</c:v>
                </c:pt>
                <c:pt idx="17" formatCode="#,##0">
                  <c:v>402</c:v>
                </c:pt>
                <c:pt idx="18" formatCode="#,##0">
                  <c:v>352</c:v>
                </c:pt>
                <c:pt idx="19" formatCode="#,##0">
                  <c:v>447</c:v>
                </c:pt>
                <c:pt idx="20" formatCode="#,##0">
                  <c:v>543</c:v>
                </c:pt>
                <c:pt idx="21" formatCode="#,##0">
                  <c:v>528</c:v>
                </c:pt>
                <c:pt idx="22" formatCode="#,##0">
                  <c:v>490</c:v>
                </c:pt>
                <c:pt idx="23" formatCode="#,##0">
                  <c:v>692</c:v>
                </c:pt>
                <c:pt idx="24" formatCode="#,##0">
                  <c:v>712</c:v>
                </c:pt>
                <c:pt idx="25" formatCode="#,##0">
                  <c:v>685</c:v>
                </c:pt>
                <c:pt idx="26" formatCode="#,##0">
                  <c:v>871</c:v>
                </c:pt>
                <c:pt idx="27" formatCode="#,##0">
                  <c:v>987</c:v>
                </c:pt>
                <c:pt idx="28" formatCode="#,##0">
                  <c:v>967</c:v>
                </c:pt>
                <c:pt idx="29" formatCode="#,##0">
                  <c:v>1091</c:v>
                </c:pt>
                <c:pt idx="30" formatCode="#,##0">
                  <c:v>969</c:v>
                </c:pt>
                <c:pt idx="31" formatCode="#,##0">
                  <c:v>1139</c:v>
                </c:pt>
                <c:pt idx="32" formatCode="#,##0">
                  <c:v>994</c:v>
                </c:pt>
                <c:pt idx="33" formatCode="#,##0">
                  <c:v>1334</c:v>
                </c:pt>
                <c:pt idx="34" formatCode="#,##0">
                  <c:v>1557</c:v>
                </c:pt>
                <c:pt idx="35" formatCode="#,##0">
                  <c:v>1806</c:v>
                </c:pt>
                <c:pt idx="36" formatCode="#,##0">
                  <c:v>2133</c:v>
                </c:pt>
                <c:pt idx="37" formatCode="#,##0">
                  <c:v>2389</c:v>
                </c:pt>
                <c:pt idx="38" formatCode="#,##0">
                  <c:v>2342</c:v>
                </c:pt>
                <c:pt idx="39" formatCode="#,##0">
                  <c:v>2459</c:v>
                </c:pt>
                <c:pt idx="40" formatCode="#,##0">
                  <c:v>2420</c:v>
                </c:pt>
                <c:pt idx="41" formatCode="#,##0">
                  <c:v>2559</c:v>
                </c:pt>
                <c:pt idx="42" formatCode="#,##0">
                  <c:v>2591</c:v>
                </c:pt>
                <c:pt idx="43" formatCode="#,##0">
                  <c:v>2779</c:v>
                </c:pt>
                <c:pt idx="44" formatCode="#,##0">
                  <c:v>2993</c:v>
                </c:pt>
              </c:numCache>
            </c:numRef>
          </c:val>
        </c:ser>
        <c:ser>
          <c:idx val="5"/>
          <c:order val="5"/>
          <c:tx>
            <c:strRef>
              <c:f>fig_17_PBR_appl!$N$1</c:f>
              <c:strCache>
                <c:ptCount val="1"/>
                <c:pt idx="0">
                  <c:v>Europe (excluding EU)</c:v>
                </c:pt>
              </c:strCache>
            </c:strRef>
          </c:tx>
          <c:spPr>
            <a:solidFill>
              <a:schemeClr val="bg2">
                <a:lumMod val="50000"/>
              </a:schemeClr>
            </a:solidFill>
          </c:spPr>
          <c:cat>
            <c:numRef>
              <c:f>fig_17_PBR_appl!$H$2:$H$46</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fig_17_PBR_appl!$N$2:$N$46</c:f>
              <c:numCache>
                <c:formatCode>General</c:formatCode>
                <c:ptCount val="45"/>
                <c:pt idx="9" formatCode="#,##0">
                  <c:v>5</c:v>
                </c:pt>
                <c:pt idx="11" formatCode="#,##0">
                  <c:v>2</c:v>
                </c:pt>
                <c:pt idx="12" formatCode="#,##0">
                  <c:v>13</c:v>
                </c:pt>
                <c:pt idx="13" formatCode="#,##0">
                  <c:v>3</c:v>
                </c:pt>
                <c:pt idx="14" formatCode="#,##0">
                  <c:v>13</c:v>
                </c:pt>
                <c:pt idx="15" formatCode="#,##0">
                  <c:v>10</c:v>
                </c:pt>
                <c:pt idx="16" formatCode="#,##0">
                  <c:v>20</c:v>
                </c:pt>
                <c:pt idx="17" formatCode="#,##0">
                  <c:v>6</c:v>
                </c:pt>
                <c:pt idx="18" formatCode="#,##0">
                  <c:v>7</c:v>
                </c:pt>
                <c:pt idx="19" formatCode="#,##0">
                  <c:v>8</c:v>
                </c:pt>
                <c:pt idx="20" formatCode="#,##0">
                  <c:v>6</c:v>
                </c:pt>
                <c:pt idx="21" formatCode="#,##0">
                  <c:v>8</c:v>
                </c:pt>
                <c:pt idx="22" formatCode="#,##0">
                  <c:v>17</c:v>
                </c:pt>
                <c:pt idx="23" formatCode="#,##0">
                  <c:v>12</c:v>
                </c:pt>
                <c:pt idx="24" formatCode="#,##0">
                  <c:v>5</c:v>
                </c:pt>
                <c:pt idx="25" formatCode="#,##0">
                  <c:v>18</c:v>
                </c:pt>
                <c:pt idx="26" formatCode="#,##0">
                  <c:v>15</c:v>
                </c:pt>
                <c:pt idx="27" formatCode="#,##0">
                  <c:v>29</c:v>
                </c:pt>
                <c:pt idx="28" formatCode="#,##0">
                  <c:v>21</c:v>
                </c:pt>
                <c:pt idx="29" formatCode="#,##0">
                  <c:v>51</c:v>
                </c:pt>
                <c:pt idx="30" formatCode="#,##0">
                  <c:v>245</c:v>
                </c:pt>
                <c:pt idx="31" formatCode="#,##0">
                  <c:v>412</c:v>
                </c:pt>
                <c:pt idx="32" formatCode="#,##0">
                  <c:v>431</c:v>
                </c:pt>
                <c:pt idx="33" formatCode="#,##0">
                  <c:v>880</c:v>
                </c:pt>
                <c:pt idx="34" formatCode="#,##0">
                  <c:v>728</c:v>
                </c:pt>
                <c:pt idx="35" formatCode="#,##0">
                  <c:v>944</c:v>
                </c:pt>
                <c:pt idx="36" formatCode="#,##0">
                  <c:v>951</c:v>
                </c:pt>
                <c:pt idx="37" formatCode="#,##0">
                  <c:v>1130</c:v>
                </c:pt>
                <c:pt idx="38" formatCode="#,##0">
                  <c:v>1036</c:v>
                </c:pt>
                <c:pt idx="39" formatCode="#,##0">
                  <c:v>1157</c:v>
                </c:pt>
                <c:pt idx="40" formatCode="#,##0">
                  <c:v>779</c:v>
                </c:pt>
                <c:pt idx="41" formatCode="#,##0">
                  <c:v>1307</c:v>
                </c:pt>
                <c:pt idx="42" formatCode="#,##0">
                  <c:v>1109</c:v>
                </c:pt>
                <c:pt idx="43" formatCode="#,##0">
                  <c:v>992</c:v>
                </c:pt>
                <c:pt idx="44" formatCode="#,##0">
                  <c:v>1075</c:v>
                </c:pt>
              </c:numCache>
            </c:numRef>
          </c:val>
        </c:ser>
        <c:ser>
          <c:idx val="6"/>
          <c:order val="6"/>
          <c:tx>
            <c:strRef>
              <c:f>fig_17_PBR_appl!$O$1</c:f>
              <c:strCache>
                <c:ptCount val="1"/>
                <c:pt idx="0">
                  <c:v>European Union (EU)</c:v>
                </c:pt>
              </c:strCache>
            </c:strRef>
          </c:tx>
          <c:spPr>
            <a:solidFill>
              <a:srgbClr val="0066FF"/>
            </a:solidFill>
          </c:spPr>
          <c:cat>
            <c:numRef>
              <c:f>fig_17_PBR_appl!$H$2:$H$46</c:f>
              <c:numCache>
                <c:formatCode>General</c:formatCode>
                <c:ptCount val="45"/>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numCache>
            </c:numRef>
          </c:cat>
          <c:val>
            <c:numRef>
              <c:f>fig_17_PBR_appl!$O$2:$O$46</c:f>
              <c:numCache>
                <c:formatCode>#,##0</c:formatCode>
                <c:ptCount val="45"/>
                <c:pt idx="0">
                  <c:v>718</c:v>
                </c:pt>
                <c:pt idx="1">
                  <c:v>617</c:v>
                </c:pt>
                <c:pt idx="2">
                  <c:v>676</c:v>
                </c:pt>
                <c:pt idx="3">
                  <c:v>826</c:v>
                </c:pt>
                <c:pt idx="4">
                  <c:v>1116</c:v>
                </c:pt>
                <c:pt idx="5">
                  <c:v>722</c:v>
                </c:pt>
                <c:pt idx="6">
                  <c:v>890</c:v>
                </c:pt>
                <c:pt idx="7">
                  <c:v>1114</c:v>
                </c:pt>
                <c:pt idx="8">
                  <c:v>1026</c:v>
                </c:pt>
                <c:pt idx="9">
                  <c:v>1472</c:v>
                </c:pt>
                <c:pt idx="10">
                  <c:v>1397</c:v>
                </c:pt>
                <c:pt idx="11">
                  <c:v>1369</c:v>
                </c:pt>
                <c:pt idx="12">
                  <c:v>1467</c:v>
                </c:pt>
                <c:pt idx="13">
                  <c:v>1501</c:v>
                </c:pt>
                <c:pt idx="14">
                  <c:v>1711</c:v>
                </c:pt>
                <c:pt idx="15">
                  <c:v>1761</c:v>
                </c:pt>
                <c:pt idx="16">
                  <c:v>1869</c:v>
                </c:pt>
                <c:pt idx="17">
                  <c:v>2232</c:v>
                </c:pt>
                <c:pt idx="18">
                  <c:v>2075</c:v>
                </c:pt>
                <c:pt idx="19">
                  <c:v>2171</c:v>
                </c:pt>
                <c:pt idx="20">
                  <c:v>2564</c:v>
                </c:pt>
                <c:pt idx="21">
                  <c:v>2778</c:v>
                </c:pt>
                <c:pt idx="22">
                  <c:v>3215</c:v>
                </c:pt>
                <c:pt idx="23">
                  <c:v>3149</c:v>
                </c:pt>
                <c:pt idx="24">
                  <c:v>3005</c:v>
                </c:pt>
                <c:pt idx="25">
                  <c:v>3206</c:v>
                </c:pt>
                <c:pt idx="26">
                  <c:v>3219</c:v>
                </c:pt>
                <c:pt idx="27">
                  <c:v>5277</c:v>
                </c:pt>
                <c:pt idx="28">
                  <c:v>3499</c:v>
                </c:pt>
                <c:pt idx="29">
                  <c:v>3498</c:v>
                </c:pt>
                <c:pt idx="30">
                  <c:v>3732</c:v>
                </c:pt>
                <c:pt idx="31">
                  <c:v>3740</c:v>
                </c:pt>
                <c:pt idx="32">
                  <c:v>3593</c:v>
                </c:pt>
                <c:pt idx="33">
                  <c:v>3693</c:v>
                </c:pt>
                <c:pt idx="34">
                  <c:v>3497</c:v>
                </c:pt>
                <c:pt idx="35">
                  <c:v>3760</c:v>
                </c:pt>
                <c:pt idx="36">
                  <c:v>3567</c:v>
                </c:pt>
                <c:pt idx="37">
                  <c:v>3432</c:v>
                </c:pt>
                <c:pt idx="38">
                  <c:v>3033</c:v>
                </c:pt>
                <c:pt idx="39">
                  <c:v>3503</c:v>
                </c:pt>
                <c:pt idx="40">
                  <c:v>3558</c:v>
                </c:pt>
                <c:pt idx="41">
                  <c:v>3357</c:v>
                </c:pt>
                <c:pt idx="42">
                  <c:v>3543</c:v>
                </c:pt>
                <c:pt idx="43">
                  <c:v>3583</c:v>
                </c:pt>
                <c:pt idx="44">
                  <c:v>3290</c:v>
                </c:pt>
              </c:numCache>
            </c:numRef>
          </c:val>
        </c:ser>
        <c:dLbls>
          <c:showLegendKey val="0"/>
          <c:showVal val="0"/>
          <c:showCatName val="0"/>
          <c:showSerName val="0"/>
          <c:showPercent val="0"/>
          <c:showBubbleSize val="0"/>
        </c:dLbls>
        <c:axId val="125342080"/>
        <c:axId val="125343616"/>
      </c:areaChart>
      <c:catAx>
        <c:axId val="125342080"/>
        <c:scaling>
          <c:orientation val="minMax"/>
        </c:scaling>
        <c:delete val="0"/>
        <c:axPos val="b"/>
        <c:numFmt formatCode="General" sourceLinked="1"/>
        <c:majorTickMark val="out"/>
        <c:minorTickMark val="none"/>
        <c:tickLblPos val="nextTo"/>
        <c:crossAx val="125343616"/>
        <c:crosses val="autoZero"/>
        <c:auto val="1"/>
        <c:lblAlgn val="ctr"/>
        <c:lblOffset val="100"/>
        <c:noMultiLvlLbl val="0"/>
      </c:catAx>
      <c:valAx>
        <c:axId val="125343616"/>
        <c:scaling>
          <c:orientation val="minMax"/>
        </c:scaling>
        <c:delete val="0"/>
        <c:axPos val="l"/>
        <c:majorGridlines/>
        <c:numFmt formatCode="#\ ###\ ###" sourceLinked="1"/>
        <c:majorTickMark val="out"/>
        <c:minorTickMark val="none"/>
        <c:tickLblPos val="nextTo"/>
        <c:crossAx val="125342080"/>
        <c:crosses val="autoZero"/>
        <c:crossBetween val="midCat"/>
      </c:valAx>
      <c:spPr>
        <a:solidFill>
          <a:schemeClr val="bg1">
            <a:lumMod val="75000"/>
          </a:schemeClr>
        </a:solidFill>
      </c:spPr>
    </c:plotArea>
    <c:legend>
      <c:legendPos val="r"/>
      <c:layout>
        <c:manualLayout>
          <c:xMode val="edge"/>
          <c:yMode val="edge"/>
          <c:x val="0.10734296424329072"/>
          <c:y val="6.3381392394443847E-2"/>
          <c:w val="0.25934831316817109"/>
          <c:h val="0.46648497704910175"/>
        </c:manualLayout>
      </c:layout>
      <c:overlay val="0"/>
      <c:spPr>
        <a:solidFill>
          <a:sysClr val="window" lastClr="FFFFFF"/>
        </a:solidFill>
      </c:spPr>
    </c:legend>
    <c:plotVisOnly val="1"/>
    <c:dispBlanksAs val="zero"/>
    <c:showDLblsOverMax val="0"/>
  </c:chart>
  <c:spPr>
    <a:ln>
      <a:noFill/>
    </a:ln>
  </c:spPr>
  <c:txPr>
    <a:bodyPr/>
    <a:lstStyle/>
    <a:p>
      <a:pPr>
        <a:defRPr sz="600"/>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566669907002371E-2"/>
          <c:y val="4.7510636512901633E-2"/>
          <c:w val="0.78937720747869478"/>
          <c:h val="0.84037919917544546"/>
        </c:manualLayout>
      </c:layout>
      <c:barChart>
        <c:barDir val="col"/>
        <c:grouping val="clustered"/>
        <c:varyColors val="0"/>
        <c:ser>
          <c:idx val="1"/>
          <c:order val="0"/>
          <c:tx>
            <c:strRef>
              <c:f>fig_19_PBR_titles!$D$5</c:f>
              <c:strCache>
                <c:ptCount val="1"/>
                <c:pt idx="0">
                  <c:v>Titles in Force</c:v>
                </c:pt>
              </c:strCache>
            </c:strRef>
          </c:tx>
          <c:spPr>
            <a:solidFill>
              <a:srgbClr val="993366"/>
            </a:solidFill>
            <a:ln w="12700">
              <a:solidFill>
                <a:srgbClr val="000000"/>
              </a:solidFill>
              <a:prstDash val="solid"/>
            </a:ln>
          </c:spPr>
          <c:invertIfNegative val="0"/>
          <c:cat>
            <c:numRef>
              <c:f>fig_19_PBR_titles!$B$12:$B$50</c:f>
              <c:numCache>
                <c:formatCode>General</c:formatCode>
                <c:ptCount val="39"/>
                <c:pt idx="0">
                  <c:v>1974</c:v>
                </c:pt>
                <c:pt idx="1">
                  <c:v>1975</c:v>
                </c:pt>
                <c:pt idx="2">
                  <c:v>1976</c:v>
                </c:pt>
                <c:pt idx="3">
                  <c:v>1977</c:v>
                </c:pt>
                <c:pt idx="4">
                  <c:v>1978</c:v>
                </c:pt>
                <c:pt idx="5">
                  <c:v>1979</c:v>
                </c:pt>
                <c:pt idx="6">
                  <c:v>1980</c:v>
                </c:pt>
                <c:pt idx="7">
                  <c:v>1981</c:v>
                </c:pt>
                <c:pt idx="8">
                  <c:v>1982</c:v>
                </c:pt>
                <c:pt idx="9">
                  <c:v>1983</c:v>
                </c:pt>
                <c:pt idx="10">
                  <c:v>1984</c:v>
                </c:pt>
                <c:pt idx="11">
                  <c:v>1985</c:v>
                </c:pt>
                <c:pt idx="12">
                  <c:v>1986</c:v>
                </c:pt>
                <c:pt idx="13">
                  <c:v>1987</c:v>
                </c:pt>
                <c:pt idx="14">
                  <c:v>1988</c:v>
                </c:pt>
                <c:pt idx="15">
                  <c:v>1989</c:v>
                </c:pt>
                <c:pt idx="16">
                  <c:v>1990</c:v>
                </c:pt>
                <c:pt idx="17">
                  <c:v>1991</c:v>
                </c:pt>
                <c:pt idx="18">
                  <c:v>1992</c:v>
                </c:pt>
                <c:pt idx="19">
                  <c:v>1993</c:v>
                </c:pt>
                <c:pt idx="20">
                  <c:v>1994</c:v>
                </c:pt>
                <c:pt idx="21">
                  <c:v>1995</c:v>
                </c:pt>
                <c:pt idx="22">
                  <c:v>1996</c:v>
                </c:pt>
                <c:pt idx="23">
                  <c:v>1997</c:v>
                </c:pt>
                <c:pt idx="24">
                  <c:v>1998</c:v>
                </c:pt>
                <c:pt idx="25">
                  <c:v>1999</c:v>
                </c:pt>
                <c:pt idx="26">
                  <c:v>2000</c:v>
                </c:pt>
                <c:pt idx="27">
                  <c:v>2001</c:v>
                </c:pt>
                <c:pt idx="28">
                  <c:v>2002</c:v>
                </c:pt>
                <c:pt idx="29">
                  <c:v>2003</c:v>
                </c:pt>
                <c:pt idx="30">
                  <c:v>2004</c:v>
                </c:pt>
                <c:pt idx="31">
                  <c:v>2005</c:v>
                </c:pt>
                <c:pt idx="32">
                  <c:v>2006</c:v>
                </c:pt>
                <c:pt idx="33">
                  <c:v>2007</c:v>
                </c:pt>
                <c:pt idx="34">
                  <c:v>2008</c:v>
                </c:pt>
                <c:pt idx="35">
                  <c:v>2009</c:v>
                </c:pt>
                <c:pt idx="36">
                  <c:v>2010</c:v>
                </c:pt>
                <c:pt idx="37">
                  <c:v>2011</c:v>
                </c:pt>
                <c:pt idx="38">
                  <c:v>2012</c:v>
                </c:pt>
              </c:numCache>
            </c:numRef>
          </c:cat>
          <c:val>
            <c:numRef>
              <c:f>fig_19_PBR_titles!$D$12:$D$50</c:f>
              <c:numCache>
                <c:formatCode>#,##0</c:formatCode>
                <c:ptCount val="39"/>
                <c:pt idx="0">
                  <c:v>3640</c:v>
                </c:pt>
                <c:pt idx="1">
                  <c:v>4257</c:v>
                </c:pt>
                <c:pt idx="2">
                  <c:v>4765</c:v>
                </c:pt>
                <c:pt idx="3">
                  <c:v>5272</c:v>
                </c:pt>
                <c:pt idx="4">
                  <c:v>5867</c:v>
                </c:pt>
                <c:pt idx="5">
                  <c:v>6410</c:v>
                </c:pt>
                <c:pt idx="6">
                  <c:v>7165</c:v>
                </c:pt>
                <c:pt idx="7">
                  <c:v>11254</c:v>
                </c:pt>
                <c:pt idx="8">
                  <c:v>12343</c:v>
                </c:pt>
                <c:pt idx="9">
                  <c:v>13448</c:v>
                </c:pt>
                <c:pt idx="10">
                  <c:v>13303</c:v>
                </c:pt>
                <c:pt idx="11">
                  <c:v>16419</c:v>
                </c:pt>
                <c:pt idx="12">
                  <c:v>18153</c:v>
                </c:pt>
                <c:pt idx="13">
                  <c:v>19780</c:v>
                </c:pt>
                <c:pt idx="14">
                  <c:v>22155</c:v>
                </c:pt>
                <c:pt idx="15">
                  <c:v>24052</c:v>
                </c:pt>
                <c:pt idx="16">
                  <c:v>26651</c:v>
                </c:pt>
                <c:pt idx="17">
                  <c:v>28527</c:v>
                </c:pt>
                <c:pt idx="18">
                  <c:v>30357</c:v>
                </c:pt>
                <c:pt idx="19">
                  <c:v>32287</c:v>
                </c:pt>
                <c:pt idx="20">
                  <c:v>36449</c:v>
                </c:pt>
                <c:pt idx="21">
                  <c:v>39454</c:v>
                </c:pt>
                <c:pt idx="22">
                  <c:v>42193</c:v>
                </c:pt>
                <c:pt idx="23">
                  <c:v>43197</c:v>
                </c:pt>
                <c:pt idx="24">
                  <c:v>46449</c:v>
                </c:pt>
                <c:pt idx="25">
                  <c:v>49284</c:v>
                </c:pt>
                <c:pt idx="26">
                  <c:v>51405</c:v>
                </c:pt>
                <c:pt idx="27">
                  <c:v>54621</c:v>
                </c:pt>
                <c:pt idx="28">
                  <c:v>58453</c:v>
                </c:pt>
                <c:pt idx="29">
                  <c:v>61478</c:v>
                </c:pt>
                <c:pt idx="30">
                  <c:v>64276</c:v>
                </c:pt>
                <c:pt idx="31">
                  <c:v>66915</c:v>
                </c:pt>
                <c:pt idx="32">
                  <c:v>70810</c:v>
                </c:pt>
                <c:pt idx="33">
                  <c:v>76511</c:v>
                </c:pt>
                <c:pt idx="34">
                  <c:v>81595</c:v>
                </c:pt>
                <c:pt idx="35">
                  <c:v>86484</c:v>
                </c:pt>
                <c:pt idx="36">
                  <c:v>90344</c:v>
                </c:pt>
                <c:pt idx="37">
                  <c:v>95041</c:v>
                </c:pt>
                <c:pt idx="38">
                  <c:v>99409</c:v>
                </c:pt>
              </c:numCache>
            </c:numRef>
          </c:val>
        </c:ser>
        <c:dLbls>
          <c:showLegendKey val="0"/>
          <c:showVal val="0"/>
          <c:showCatName val="0"/>
          <c:showSerName val="0"/>
          <c:showPercent val="0"/>
          <c:showBubbleSize val="0"/>
        </c:dLbls>
        <c:gapWidth val="150"/>
        <c:axId val="126528512"/>
        <c:axId val="126530688"/>
      </c:barChart>
      <c:lineChart>
        <c:grouping val="standard"/>
        <c:varyColors val="0"/>
        <c:ser>
          <c:idx val="0"/>
          <c:order val="1"/>
          <c:tx>
            <c:v>Number of UPOV members</c:v>
          </c:tx>
          <c:spPr>
            <a:ln w="12700">
              <a:solidFill>
                <a:srgbClr val="000080"/>
              </a:solidFill>
              <a:prstDash val="solid"/>
            </a:ln>
          </c:spPr>
          <c:marker>
            <c:symbol val="diamond"/>
            <c:size val="2"/>
            <c:spPr>
              <a:solidFill>
                <a:srgbClr val="000080"/>
              </a:solidFill>
              <a:ln>
                <a:solidFill>
                  <a:srgbClr val="000080"/>
                </a:solidFill>
                <a:prstDash val="solid"/>
              </a:ln>
            </c:spPr>
          </c:marker>
          <c:cat>
            <c:numRef>
              <c:f>fig_19_PBR_titles!$C$12:$C$50</c:f>
              <c:numCache>
                <c:formatCode>General</c:formatCode>
                <c:ptCount val="39"/>
                <c:pt idx="0">
                  <c:v>6</c:v>
                </c:pt>
                <c:pt idx="1">
                  <c:v>6</c:v>
                </c:pt>
                <c:pt idx="2">
                  <c:v>7</c:v>
                </c:pt>
                <c:pt idx="3">
                  <c:v>10</c:v>
                </c:pt>
                <c:pt idx="4">
                  <c:v>10</c:v>
                </c:pt>
                <c:pt idx="5">
                  <c:v>11</c:v>
                </c:pt>
                <c:pt idx="6">
                  <c:v>12</c:v>
                </c:pt>
                <c:pt idx="7">
                  <c:v>15</c:v>
                </c:pt>
                <c:pt idx="8">
                  <c:v>16</c:v>
                </c:pt>
                <c:pt idx="9">
                  <c:v>17</c:v>
                </c:pt>
                <c:pt idx="10">
                  <c:v>17</c:v>
                </c:pt>
                <c:pt idx="11">
                  <c:v>17</c:v>
                </c:pt>
                <c:pt idx="12">
                  <c:v>17</c:v>
                </c:pt>
                <c:pt idx="13">
                  <c:v>17</c:v>
                </c:pt>
                <c:pt idx="14">
                  <c:v>17</c:v>
                </c:pt>
                <c:pt idx="15">
                  <c:v>19</c:v>
                </c:pt>
                <c:pt idx="16">
                  <c:v>19</c:v>
                </c:pt>
                <c:pt idx="17">
                  <c:v>20</c:v>
                </c:pt>
                <c:pt idx="18">
                  <c:v>20</c:v>
                </c:pt>
                <c:pt idx="19">
                  <c:v>24</c:v>
                </c:pt>
                <c:pt idx="20">
                  <c:v>27</c:v>
                </c:pt>
                <c:pt idx="21">
                  <c:v>29</c:v>
                </c:pt>
                <c:pt idx="22">
                  <c:v>31</c:v>
                </c:pt>
                <c:pt idx="23">
                  <c:v>34</c:v>
                </c:pt>
                <c:pt idx="24">
                  <c:v>38</c:v>
                </c:pt>
                <c:pt idx="25">
                  <c:v>44</c:v>
                </c:pt>
                <c:pt idx="26">
                  <c:v>46</c:v>
                </c:pt>
                <c:pt idx="27">
                  <c:v>49</c:v>
                </c:pt>
                <c:pt idx="28">
                  <c:v>51</c:v>
                </c:pt>
                <c:pt idx="29">
                  <c:v>54</c:v>
                </c:pt>
                <c:pt idx="30">
                  <c:v>58</c:v>
                </c:pt>
                <c:pt idx="31">
                  <c:v>60</c:v>
                </c:pt>
                <c:pt idx="32">
                  <c:v>63</c:v>
                </c:pt>
                <c:pt idx="33">
                  <c:v>65</c:v>
                </c:pt>
                <c:pt idx="34">
                  <c:v>66</c:v>
                </c:pt>
                <c:pt idx="35">
                  <c:v>68</c:v>
                </c:pt>
                <c:pt idx="36">
                  <c:v>68</c:v>
                </c:pt>
                <c:pt idx="37">
                  <c:v>70</c:v>
                </c:pt>
                <c:pt idx="38">
                  <c:v>70</c:v>
                </c:pt>
              </c:numCache>
            </c:numRef>
          </c:cat>
          <c:val>
            <c:numRef>
              <c:f>fig_19_PBR_titles!$C$12:$C$50</c:f>
              <c:numCache>
                <c:formatCode>General</c:formatCode>
                <c:ptCount val="39"/>
                <c:pt idx="0">
                  <c:v>6</c:v>
                </c:pt>
                <c:pt idx="1">
                  <c:v>6</c:v>
                </c:pt>
                <c:pt idx="2">
                  <c:v>7</c:v>
                </c:pt>
                <c:pt idx="3">
                  <c:v>10</c:v>
                </c:pt>
                <c:pt idx="4">
                  <c:v>10</c:v>
                </c:pt>
                <c:pt idx="5">
                  <c:v>11</c:v>
                </c:pt>
                <c:pt idx="6">
                  <c:v>12</c:v>
                </c:pt>
                <c:pt idx="7">
                  <c:v>15</c:v>
                </c:pt>
                <c:pt idx="8">
                  <c:v>16</c:v>
                </c:pt>
                <c:pt idx="9">
                  <c:v>17</c:v>
                </c:pt>
                <c:pt idx="10">
                  <c:v>17</c:v>
                </c:pt>
                <c:pt idx="11">
                  <c:v>17</c:v>
                </c:pt>
                <c:pt idx="12">
                  <c:v>17</c:v>
                </c:pt>
                <c:pt idx="13">
                  <c:v>17</c:v>
                </c:pt>
                <c:pt idx="14">
                  <c:v>17</c:v>
                </c:pt>
                <c:pt idx="15">
                  <c:v>19</c:v>
                </c:pt>
                <c:pt idx="16">
                  <c:v>19</c:v>
                </c:pt>
                <c:pt idx="17">
                  <c:v>20</c:v>
                </c:pt>
                <c:pt idx="18">
                  <c:v>20</c:v>
                </c:pt>
                <c:pt idx="19">
                  <c:v>24</c:v>
                </c:pt>
                <c:pt idx="20">
                  <c:v>27</c:v>
                </c:pt>
                <c:pt idx="21">
                  <c:v>29</c:v>
                </c:pt>
                <c:pt idx="22">
                  <c:v>31</c:v>
                </c:pt>
                <c:pt idx="23">
                  <c:v>34</c:v>
                </c:pt>
                <c:pt idx="24">
                  <c:v>38</c:v>
                </c:pt>
                <c:pt idx="25">
                  <c:v>44</c:v>
                </c:pt>
                <c:pt idx="26">
                  <c:v>46</c:v>
                </c:pt>
                <c:pt idx="27">
                  <c:v>49</c:v>
                </c:pt>
                <c:pt idx="28">
                  <c:v>51</c:v>
                </c:pt>
                <c:pt idx="29">
                  <c:v>54</c:v>
                </c:pt>
                <c:pt idx="30">
                  <c:v>58</c:v>
                </c:pt>
                <c:pt idx="31">
                  <c:v>60</c:v>
                </c:pt>
                <c:pt idx="32">
                  <c:v>63</c:v>
                </c:pt>
                <c:pt idx="33">
                  <c:v>65</c:v>
                </c:pt>
                <c:pt idx="34">
                  <c:v>66</c:v>
                </c:pt>
                <c:pt idx="35">
                  <c:v>68</c:v>
                </c:pt>
                <c:pt idx="36">
                  <c:v>68</c:v>
                </c:pt>
                <c:pt idx="37">
                  <c:v>70</c:v>
                </c:pt>
                <c:pt idx="38">
                  <c:v>70</c:v>
                </c:pt>
              </c:numCache>
            </c:numRef>
          </c:val>
          <c:smooth val="0"/>
        </c:ser>
        <c:dLbls>
          <c:showLegendKey val="0"/>
          <c:showVal val="0"/>
          <c:showCatName val="0"/>
          <c:showSerName val="0"/>
          <c:showPercent val="0"/>
          <c:showBubbleSize val="0"/>
        </c:dLbls>
        <c:marker val="1"/>
        <c:smooth val="0"/>
        <c:axId val="126532608"/>
        <c:axId val="126538496"/>
      </c:lineChart>
      <c:catAx>
        <c:axId val="126528512"/>
        <c:scaling>
          <c:orientation val="minMax"/>
        </c:scaling>
        <c:delete val="0"/>
        <c:axPos val="b"/>
        <c:numFmt formatCode="General" sourceLinked="1"/>
        <c:majorTickMark val="cross"/>
        <c:minorTickMark val="none"/>
        <c:tickLblPos val="nextTo"/>
        <c:spPr>
          <a:ln w="3175">
            <a:solidFill>
              <a:srgbClr val="000000"/>
            </a:solidFill>
            <a:prstDash val="solid"/>
          </a:ln>
        </c:spPr>
        <c:txPr>
          <a:bodyPr rot="-5400000" vert="horz"/>
          <a:lstStyle/>
          <a:p>
            <a:pPr>
              <a:defRPr/>
            </a:pPr>
            <a:endParaRPr lang="en-US"/>
          </a:p>
        </c:txPr>
        <c:crossAx val="126530688"/>
        <c:crosses val="autoZero"/>
        <c:auto val="0"/>
        <c:lblAlgn val="ctr"/>
        <c:lblOffset val="100"/>
        <c:tickLblSkip val="2"/>
        <c:tickMarkSkip val="1"/>
        <c:noMultiLvlLbl val="0"/>
      </c:catAx>
      <c:valAx>
        <c:axId val="126530688"/>
        <c:scaling>
          <c:orientation val="minMax"/>
        </c:scaling>
        <c:delete val="0"/>
        <c:axPos val="r"/>
        <c:title>
          <c:tx>
            <c:rich>
              <a:bodyPr/>
              <a:lstStyle/>
              <a:p>
                <a:pPr>
                  <a:defRPr/>
                </a:pPr>
                <a:r>
                  <a:rPr lang="en-US"/>
                  <a:t>Total number of titles in force</a:t>
                </a:r>
              </a:p>
            </c:rich>
          </c:tx>
          <c:layout>
            <c:manualLayout>
              <c:xMode val="edge"/>
              <c:yMode val="edge"/>
              <c:x val="0.97074604883022719"/>
              <c:y val="0.28767733147280639"/>
            </c:manualLayout>
          </c:layout>
          <c:overlay val="0"/>
          <c:spPr>
            <a:noFill/>
            <a:ln w="25400">
              <a:noFill/>
            </a:ln>
          </c:spPr>
        </c:title>
        <c:numFmt formatCode="#,##0" sourceLinked="1"/>
        <c:majorTickMark val="cross"/>
        <c:minorTickMark val="none"/>
        <c:tickLblPos val="nextTo"/>
        <c:spPr>
          <a:ln w="3175">
            <a:solidFill>
              <a:srgbClr val="000000"/>
            </a:solidFill>
            <a:prstDash val="solid"/>
          </a:ln>
        </c:spPr>
        <c:txPr>
          <a:bodyPr rot="0" vert="horz"/>
          <a:lstStyle/>
          <a:p>
            <a:pPr>
              <a:defRPr/>
            </a:pPr>
            <a:endParaRPr lang="en-US"/>
          </a:p>
        </c:txPr>
        <c:crossAx val="126528512"/>
        <c:crosses val="max"/>
        <c:crossBetween val="between"/>
        <c:majorUnit val="10000"/>
      </c:valAx>
      <c:catAx>
        <c:axId val="126532608"/>
        <c:scaling>
          <c:orientation val="minMax"/>
        </c:scaling>
        <c:delete val="1"/>
        <c:axPos val="t"/>
        <c:numFmt formatCode="General" sourceLinked="1"/>
        <c:majorTickMark val="out"/>
        <c:minorTickMark val="none"/>
        <c:tickLblPos val="nextTo"/>
        <c:crossAx val="126538496"/>
        <c:crosses val="max"/>
        <c:auto val="0"/>
        <c:lblAlgn val="ctr"/>
        <c:lblOffset val="100"/>
        <c:noMultiLvlLbl val="0"/>
      </c:catAx>
      <c:valAx>
        <c:axId val="126538496"/>
        <c:scaling>
          <c:orientation val="minMax"/>
        </c:scaling>
        <c:delete val="0"/>
        <c:axPos val="l"/>
        <c:title>
          <c:tx>
            <c:rich>
              <a:bodyPr/>
              <a:lstStyle/>
              <a:p>
                <a:pPr>
                  <a:defRPr/>
                </a:pPr>
                <a:r>
                  <a:rPr lang="en-US"/>
                  <a:t>Number of UPOV members</a:t>
                </a:r>
              </a:p>
            </c:rich>
          </c:tx>
          <c:layout>
            <c:manualLayout>
              <c:xMode val="edge"/>
              <c:yMode val="edge"/>
              <c:x val="6.0096153846153849E-3"/>
              <c:y val="0.3113880871652609"/>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a:pPr>
            <a:endParaRPr lang="en-US"/>
          </a:p>
        </c:txPr>
        <c:crossAx val="126532608"/>
        <c:crosses val="autoZero"/>
        <c:crossBetween val="between"/>
      </c:valAx>
      <c:spPr>
        <a:solidFill>
          <a:srgbClr val="C0C0C0"/>
        </a:solidFill>
        <a:ln w="12700">
          <a:solidFill>
            <a:srgbClr val="808080"/>
          </a:solidFill>
          <a:prstDash val="solid"/>
        </a:ln>
      </c:spPr>
    </c:plotArea>
    <c:legend>
      <c:legendPos val="r"/>
      <c:layout>
        <c:manualLayout>
          <c:xMode val="edge"/>
          <c:yMode val="edge"/>
          <c:x val="0.10081818476394154"/>
          <c:y val="0.19835700443986556"/>
          <c:w val="0.40711091669096916"/>
          <c:h val="0.10321387396668874"/>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noFill/>
      <a:prstDash val="solid"/>
    </a:ln>
  </c:spPr>
  <c:txPr>
    <a:bodyPr/>
    <a:lstStyle/>
    <a:p>
      <a:pPr>
        <a:defRPr sz="5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72977993135472E-2"/>
          <c:y val="3.3440492030412855E-2"/>
          <c:w val="0.90024534625479502"/>
          <c:h val="0.80991220924970586"/>
        </c:manualLayout>
      </c:layout>
      <c:barChart>
        <c:barDir val="col"/>
        <c:grouping val="clustered"/>
        <c:varyColors val="0"/>
        <c:ser>
          <c:idx val="1"/>
          <c:order val="0"/>
          <c:tx>
            <c:strRef>
              <c:f>'fig.2_C(Extr)'!$C$5</c:f>
              <c:strCache>
                <c:ptCount val="1"/>
                <c:pt idx="0">
                  <c:v>Observer States</c:v>
                </c:pt>
              </c:strCache>
            </c:strRef>
          </c:tx>
          <c:spPr>
            <a:solidFill>
              <a:srgbClr val="FFFF99"/>
            </a:solidFill>
            <a:ln>
              <a:solidFill>
                <a:srgbClr val="000000"/>
              </a:solidFill>
            </a:ln>
          </c:spPr>
          <c:invertIfNegative val="0"/>
          <c:cat>
            <c:numRef>
              <c:f>'fig.2_C(Extr)'!$A$6:$A$20</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'fig.2_C(Extr)'!$C$6:$C$19</c:f>
              <c:numCache>
                <c:formatCode>General</c:formatCode>
                <c:ptCount val="14"/>
                <c:pt idx="0">
                  <c:v>1</c:v>
                </c:pt>
                <c:pt idx="5">
                  <c:v>1</c:v>
                </c:pt>
                <c:pt idx="6">
                  <c:v>10</c:v>
                </c:pt>
                <c:pt idx="7">
                  <c:v>9</c:v>
                </c:pt>
                <c:pt idx="8">
                  <c:v>5</c:v>
                </c:pt>
                <c:pt idx="9">
                  <c:v>2</c:v>
                </c:pt>
                <c:pt idx="11">
                  <c:v>13</c:v>
                </c:pt>
                <c:pt idx="12">
                  <c:v>6</c:v>
                </c:pt>
                <c:pt idx="13">
                  <c:v>5</c:v>
                </c:pt>
              </c:numCache>
            </c:numRef>
          </c:val>
        </c:ser>
        <c:ser>
          <c:idx val="2"/>
          <c:order val="1"/>
          <c:tx>
            <c:strRef>
              <c:f>'fig.2_C(Extr)'!$D$5</c:f>
              <c:strCache>
                <c:ptCount val="1"/>
                <c:pt idx="0">
                  <c:v>Observer Organizations</c:v>
                </c:pt>
              </c:strCache>
            </c:strRef>
          </c:tx>
          <c:spPr>
            <a:ln>
              <a:solidFill>
                <a:srgbClr val="000000"/>
              </a:solidFill>
            </a:ln>
          </c:spPr>
          <c:invertIfNegative val="0"/>
          <c:cat>
            <c:numRef>
              <c:f>'fig.2_C(Extr)'!$A$6:$A$20</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'fig.2_C(Extr)'!$D$6:$D$19</c:f>
              <c:numCache>
                <c:formatCode>General</c:formatCode>
                <c:ptCount val="14"/>
                <c:pt idx="6">
                  <c:v>2</c:v>
                </c:pt>
                <c:pt idx="7">
                  <c:v>4</c:v>
                </c:pt>
                <c:pt idx="8">
                  <c:v>2</c:v>
                </c:pt>
                <c:pt idx="9">
                  <c:v>3</c:v>
                </c:pt>
                <c:pt idx="11">
                  <c:v>5</c:v>
                </c:pt>
                <c:pt idx="12">
                  <c:v>6</c:v>
                </c:pt>
                <c:pt idx="13">
                  <c:v>3</c:v>
                </c:pt>
              </c:numCache>
            </c:numRef>
          </c:val>
        </c:ser>
        <c:ser>
          <c:idx val="0"/>
          <c:order val="2"/>
          <c:tx>
            <c:v>Members</c:v>
          </c:tx>
          <c:spPr>
            <a:solidFill>
              <a:schemeClr val="accent2">
                <a:lumMod val="75000"/>
              </a:schemeClr>
            </a:solidFill>
            <a:ln w="9525">
              <a:solidFill>
                <a:srgbClr val="000000"/>
              </a:solidFill>
            </a:ln>
          </c:spPr>
          <c:invertIfNegative val="0"/>
          <c:cat>
            <c:numRef>
              <c:f>'fig.2_C(Extr)'!$A$6:$A$20</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'fig.2_C(Extr)'!$B$6:$B$19</c:f>
              <c:numCache>
                <c:formatCode>General</c:formatCode>
                <c:ptCount val="14"/>
                <c:pt idx="0">
                  <c:v>36</c:v>
                </c:pt>
                <c:pt idx="1">
                  <c:v>35</c:v>
                </c:pt>
                <c:pt idx="2">
                  <c:v>40</c:v>
                </c:pt>
                <c:pt idx="3">
                  <c:v>39</c:v>
                </c:pt>
                <c:pt idx="4">
                  <c:v>39</c:v>
                </c:pt>
                <c:pt idx="5">
                  <c:v>42</c:v>
                </c:pt>
                <c:pt idx="6">
                  <c:v>42</c:v>
                </c:pt>
                <c:pt idx="7">
                  <c:v>40</c:v>
                </c:pt>
                <c:pt idx="8">
                  <c:v>40</c:v>
                </c:pt>
                <c:pt idx="9">
                  <c:v>38</c:v>
                </c:pt>
                <c:pt idx="10">
                  <c:v>59</c:v>
                </c:pt>
                <c:pt idx="11">
                  <c:v>36</c:v>
                </c:pt>
                <c:pt idx="12">
                  <c:v>36</c:v>
                </c:pt>
                <c:pt idx="13">
                  <c:v>40</c:v>
                </c:pt>
              </c:numCache>
            </c:numRef>
          </c:val>
        </c:ser>
        <c:dLbls>
          <c:showLegendKey val="0"/>
          <c:showVal val="0"/>
          <c:showCatName val="0"/>
          <c:showSerName val="0"/>
          <c:showPercent val="0"/>
          <c:showBubbleSize val="0"/>
        </c:dLbls>
        <c:gapWidth val="74"/>
        <c:overlap val="28"/>
        <c:axId val="161657216"/>
        <c:axId val="161658752"/>
      </c:barChart>
      <c:lineChart>
        <c:grouping val="standard"/>
        <c:varyColors val="0"/>
        <c:ser>
          <c:idx val="3"/>
          <c:order val="3"/>
          <c:tx>
            <c:v>Number of UPOV members</c:v>
          </c:tx>
          <c:spPr>
            <a:ln w="25400">
              <a:solidFill>
                <a:srgbClr val="1F497D"/>
              </a:solidFill>
            </a:ln>
          </c:spPr>
          <c:marker>
            <c:symbol val="none"/>
          </c:marker>
          <c:dPt>
            <c:idx val="2"/>
            <c:bubble3D val="0"/>
            <c:spPr>
              <a:ln>
                <a:solidFill>
                  <a:srgbClr val="1F497D"/>
                </a:solidFill>
              </a:ln>
            </c:spPr>
          </c:dPt>
          <c:dLbls>
            <c:dLbl>
              <c:idx val="0"/>
              <c:dLblPos val="t"/>
              <c:showLegendKey val="0"/>
              <c:showVal val="1"/>
              <c:showCatName val="0"/>
              <c:showSerName val="0"/>
              <c:showPercent val="0"/>
              <c:showBubbleSize val="0"/>
            </c:dLbl>
            <c:dLbl>
              <c:idx val="13"/>
              <c:dLblPos val="t"/>
              <c:showLegendKey val="0"/>
              <c:showVal val="1"/>
              <c:showCatName val="0"/>
              <c:showSerName val="0"/>
              <c:showPercent val="0"/>
              <c:showBubbleSize val="0"/>
            </c:dLbl>
            <c:dLbl>
              <c:idx val="14"/>
              <c:tx>
                <c:rich>
                  <a:bodyPr/>
                  <a:lstStyle/>
                  <a:p>
                    <a:r>
                      <a:rPr lang="en-US"/>
                      <a:t>72</a:t>
                    </a:r>
                  </a:p>
                </c:rich>
              </c:tx>
              <c:dLblPos val="t"/>
              <c:showLegendKey val="0"/>
              <c:showVal val="1"/>
              <c:showCatName val="0"/>
              <c:showSerName val="0"/>
              <c:showPercent val="0"/>
              <c:showBubbleSize val="0"/>
            </c:dLbl>
            <c:dLblPos val="t"/>
            <c:showLegendKey val="0"/>
            <c:showVal val="0"/>
            <c:showCatName val="0"/>
            <c:showSerName val="0"/>
            <c:showPercent val="0"/>
            <c:showBubbleSize val="0"/>
          </c:dLbls>
          <c:val>
            <c:numRef>
              <c:f>members!$C$7:$C$20</c:f>
              <c:numCache>
                <c:formatCode>General</c:formatCode>
                <c:ptCount val="14"/>
                <c:pt idx="0">
                  <c:v>46</c:v>
                </c:pt>
                <c:pt idx="1">
                  <c:v>49</c:v>
                </c:pt>
                <c:pt idx="2">
                  <c:v>51</c:v>
                </c:pt>
                <c:pt idx="3">
                  <c:v>54</c:v>
                </c:pt>
                <c:pt idx="4">
                  <c:v>58</c:v>
                </c:pt>
                <c:pt idx="5">
                  <c:v>60</c:v>
                </c:pt>
                <c:pt idx="6">
                  <c:v>63</c:v>
                </c:pt>
                <c:pt idx="7">
                  <c:v>65</c:v>
                </c:pt>
                <c:pt idx="8">
                  <c:v>66</c:v>
                </c:pt>
                <c:pt idx="9">
                  <c:v>68</c:v>
                </c:pt>
                <c:pt idx="10">
                  <c:v>68</c:v>
                </c:pt>
                <c:pt idx="11">
                  <c:v>70</c:v>
                </c:pt>
                <c:pt idx="12">
                  <c:v>70</c:v>
                </c:pt>
                <c:pt idx="13">
                  <c:v>71</c:v>
                </c:pt>
              </c:numCache>
            </c:numRef>
          </c:val>
          <c:smooth val="0"/>
        </c:ser>
        <c:dLbls>
          <c:showLegendKey val="0"/>
          <c:showVal val="0"/>
          <c:showCatName val="0"/>
          <c:showSerName val="0"/>
          <c:showPercent val="0"/>
          <c:showBubbleSize val="0"/>
        </c:dLbls>
        <c:marker val="1"/>
        <c:smooth val="0"/>
        <c:axId val="161657216"/>
        <c:axId val="161658752"/>
      </c:lineChart>
      <c:catAx>
        <c:axId val="161657216"/>
        <c:scaling>
          <c:orientation val="minMax"/>
        </c:scaling>
        <c:delete val="0"/>
        <c:axPos val="b"/>
        <c:numFmt formatCode="General" sourceLinked="1"/>
        <c:majorTickMark val="out"/>
        <c:minorTickMark val="none"/>
        <c:tickLblPos val="nextTo"/>
        <c:crossAx val="161658752"/>
        <c:crosses val="autoZero"/>
        <c:auto val="0"/>
        <c:lblAlgn val="ctr"/>
        <c:lblOffset val="100"/>
        <c:noMultiLvlLbl val="0"/>
      </c:catAx>
      <c:valAx>
        <c:axId val="161658752"/>
        <c:scaling>
          <c:orientation val="minMax"/>
        </c:scaling>
        <c:delete val="0"/>
        <c:axPos val="l"/>
        <c:majorGridlines>
          <c:spPr>
            <a:ln>
              <a:solidFill>
                <a:srgbClr val="000000"/>
              </a:solidFill>
            </a:ln>
          </c:spPr>
        </c:majorGridlines>
        <c:title>
          <c:tx>
            <c:rich>
              <a:bodyPr rot="-5400000" vert="horz"/>
              <a:lstStyle/>
              <a:p>
                <a:pPr>
                  <a:defRPr/>
                </a:pPr>
                <a:r>
                  <a:rPr lang="en-US"/>
                  <a:t>Number of members/observers</a:t>
                </a:r>
              </a:p>
            </c:rich>
          </c:tx>
          <c:layout>
            <c:manualLayout>
              <c:xMode val="edge"/>
              <c:yMode val="edge"/>
              <c:x val="0"/>
              <c:y val="0.32520750998079262"/>
            </c:manualLayout>
          </c:layout>
          <c:overlay val="0"/>
        </c:title>
        <c:numFmt formatCode="General" sourceLinked="1"/>
        <c:majorTickMark val="out"/>
        <c:minorTickMark val="none"/>
        <c:tickLblPos val="nextTo"/>
        <c:crossAx val="161657216"/>
        <c:crosses val="autoZero"/>
        <c:crossBetween val="between"/>
      </c:valAx>
      <c:spPr>
        <a:ln>
          <a:solidFill>
            <a:srgbClr val="808080"/>
          </a:solidFill>
        </a:ln>
      </c:spPr>
    </c:plotArea>
    <c:legend>
      <c:legendPos val="r"/>
      <c:layout>
        <c:manualLayout>
          <c:xMode val="edge"/>
          <c:yMode val="edge"/>
          <c:x val="8.8594018340300049E-2"/>
          <c:y val="0.90070835263239157"/>
          <c:w val="0.84560478133004457"/>
          <c:h val="7.6023799914713586E-2"/>
        </c:manualLayout>
      </c:layout>
      <c:overlay val="0"/>
    </c:legend>
    <c:plotVisOnly val="1"/>
    <c:dispBlanksAs val="gap"/>
    <c:showDLblsOverMax val="0"/>
  </c:chart>
  <c:spPr>
    <a:ln>
      <a:noFill/>
    </a:ln>
  </c:spPr>
  <c:txPr>
    <a:bodyPr/>
    <a:lstStyle/>
    <a:p>
      <a:pPr>
        <a:defRPr sz="500">
          <a:latin typeface="Arial" pitchFamily="34" charset="0"/>
          <a:cs typeface="Arial" pitchFamily="34"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40438489646773"/>
          <c:y val="0.10991010330465813"/>
          <c:w val="0.87210718635809992"/>
          <c:h val="0.7513526734105318"/>
        </c:manualLayout>
      </c:layout>
      <c:barChart>
        <c:barDir val="col"/>
        <c:grouping val="clustered"/>
        <c:varyColors val="0"/>
        <c:ser>
          <c:idx val="0"/>
          <c:order val="0"/>
          <c:tx>
            <c:v>Applications by Residents</c:v>
          </c:tx>
          <c:spPr>
            <a:solidFill>
              <a:srgbClr val="33CCCC"/>
            </a:solidFill>
            <a:ln w="12700">
              <a:solidFill>
                <a:srgbClr val="000000"/>
              </a:solidFill>
              <a:prstDash val="solid"/>
            </a:ln>
          </c:spPr>
          <c:invertIfNegative val="0"/>
          <c:cat>
            <c:numRef>
              <c:f>fig_19_appl_res!$H$7:$H$34</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cat>
          <c:val>
            <c:numRef>
              <c:f>fig_19_appl_res!$J$7:$J$34</c:f>
              <c:numCache>
                <c:formatCode>#,##0</c:formatCode>
                <c:ptCount val="28"/>
                <c:pt idx="0">
                  <c:v>3019</c:v>
                </c:pt>
                <c:pt idx="1">
                  <c:v>2570</c:v>
                </c:pt>
                <c:pt idx="2">
                  <c:v>2535</c:v>
                </c:pt>
                <c:pt idx="3">
                  <c:v>3838.5</c:v>
                </c:pt>
                <c:pt idx="4">
                  <c:v>3913</c:v>
                </c:pt>
                <c:pt idx="5">
                  <c:v>4385</c:v>
                </c:pt>
                <c:pt idx="6">
                  <c:v>4493</c:v>
                </c:pt>
                <c:pt idx="7">
                  <c:v>4420</c:v>
                </c:pt>
                <c:pt idx="8">
                  <c:v>4667</c:v>
                </c:pt>
                <c:pt idx="9">
                  <c:v>4814</c:v>
                </c:pt>
                <c:pt idx="10">
                  <c:v>6936</c:v>
                </c:pt>
                <c:pt idx="11">
                  <c:v>5641</c:v>
                </c:pt>
                <c:pt idx="12">
                  <c:v>5909</c:v>
                </c:pt>
                <c:pt idx="13">
                  <c:v>6400</c:v>
                </c:pt>
                <c:pt idx="14">
                  <c:v>6689</c:v>
                </c:pt>
                <c:pt idx="15">
                  <c:v>6154</c:v>
                </c:pt>
                <c:pt idx="16">
                  <c:v>7387</c:v>
                </c:pt>
                <c:pt idx="17">
                  <c:v>7076</c:v>
                </c:pt>
                <c:pt idx="18">
                  <c:v>7678</c:v>
                </c:pt>
                <c:pt idx="19">
                  <c:v>7875</c:v>
                </c:pt>
                <c:pt idx="20">
                  <c:v>8241</c:v>
                </c:pt>
                <c:pt idx="21">
                  <c:v>7621</c:v>
                </c:pt>
                <c:pt idx="22">
                  <c:v>8453</c:v>
                </c:pt>
                <c:pt idx="23">
                  <c:v>8257</c:v>
                </c:pt>
                <c:pt idx="24">
                  <c:v>8770</c:v>
                </c:pt>
                <c:pt idx="25">
                  <c:v>8937</c:v>
                </c:pt>
                <c:pt idx="26">
                  <c:v>8813</c:v>
                </c:pt>
                <c:pt idx="27">
                  <c:v>8751</c:v>
                </c:pt>
              </c:numCache>
            </c:numRef>
          </c:val>
        </c:ser>
        <c:ser>
          <c:idx val="1"/>
          <c:order val="1"/>
          <c:tx>
            <c:v>Applications by Non-Residents</c:v>
          </c:tx>
          <c:spPr>
            <a:solidFill>
              <a:srgbClr val="FF9900"/>
            </a:solidFill>
            <a:ln w="12700">
              <a:solidFill>
                <a:srgbClr val="000000"/>
              </a:solidFill>
              <a:prstDash val="solid"/>
            </a:ln>
          </c:spPr>
          <c:invertIfNegative val="0"/>
          <c:cat>
            <c:numRef>
              <c:f>fig_19_appl_res!$H$7:$H$34</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cat>
          <c:val>
            <c:numRef>
              <c:f>fig_19_appl_res!$K$7:$K$34</c:f>
              <c:numCache>
                <c:formatCode>#,##0</c:formatCode>
                <c:ptCount val="28"/>
                <c:pt idx="0">
                  <c:v>1813</c:v>
                </c:pt>
                <c:pt idx="1">
                  <c:v>1867</c:v>
                </c:pt>
                <c:pt idx="2">
                  <c:v>1738</c:v>
                </c:pt>
                <c:pt idx="3">
                  <c:v>2621</c:v>
                </c:pt>
                <c:pt idx="4">
                  <c:v>2407</c:v>
                </c:pt>
                <c:pt idx="5">
                  <c:v>3104</c:v>
                </c:pt>
                <c:pt idx="6">
                  <c:v>2974</c:v>
                </c:pt>
                <c:pt idx="7">
                  <c:v>3345</c:v>
                </c:pt>
                <c:pt idx="8">
                  <c:v>3975</c:v>
                </c:pt>
                <c:pt idx="9">
                  <c:v>4080</c:v>
                </c:pt>
                <c:pt idx="10">
                  <c:v>3065</c:v>
                </c:pt>
                <c:pt idx="11">
                  <c:v>3192</c:v>
                </c:pt>
                <c:pt idx="12">
                  <c:v>3010</c:v>
                </c:pt>
                <c:pt idx="13">
                  <c:v>3473</c:v>
                </c:pt>
                <c:pt idx="14">
                  <c:v>3312</c:v>
                </c:pt>
                <c:pt idx="15">
                  <c:v>3229</c:v>
                </c:pt>
                <c:pt idx="16">
                  <c:v>3587</c:v>
                </c:pt>
                <c:pt idx="17">
                  <c:v>4249</c:v>
                </c:pt>
                <c:pt idx="18">
                  <c:v>4306</c:v>
                </c:pt>
                <c:pt idx="19">
                  <c:v>4161</c:v>
                </c:pt>
                <c:pt idx="20">
                  <c:v>4461</c:v>
                </c:pt>
                <c:pt idx="21">
                  <c:v>4069</c:v>
                </c:pt>
                <c:pt idx="22">
                  <c:v>4741</c:v>
                </c:pt>
                <c:pt idx="23">
                  <c:v>4441</c:v>
                </c:pt>
                <c:pt idx="24">
                  <c:v>4252</c:v>
                </c:pt>
                <c:pt idx="25">
                  <c:v>4101</c:v>
                </c:pt>
                <c:pt idx="26">
                  <c:v>4901</c:v>
                </c:pt>
                <c:pt idx="27">
                  <c:v>5116</c:v>
                </c:pt>
              </c:numCache>
            </c:numRef>
          </c:val>
        </c:ser>
        <c:dLbls>
          <c:showLegendKey val="0"/>
          <c:showVal val="0"/>
          <c:showCatName val="0"/>
          <c:showSerName val="0"/>
          <c:showPercent val="0"/>
          <c:showBubbleSize val="0"/>
        </c:dLbls>
        <c:gapWidth val="150"/>
        <c:axId val="126797312"/>
        <c:axId val="126799232"/>
      </c:barChart>
      <c:catAx>
        <c:axId val="126797312"/>
        <c:scaling>
          <c:orientation val="minMax"/>
        </c:scaling>
        <c:delete val="0"/>
        <c:axPos val="b"/>
        <c:title>
          <c:tx>
            <c:rich>
              <a:bodyPr/>
              <a:lstStyle/>
              <a:p>
                <a:pPr>
                  <a:defRPr/>
                </a:pPr>
                <a:r>
                  <a:rPr lang="en-US"/>
                  <a:t>Year</a:t>
                </a:r>
              </a:p>
            </c:rich>
          </c:tx>
          <c:layout>
            <c:manualLayout>
              <c:xMode val="edge"/>
              <c:yMode val="edge"/>
              <c:x val="0.52335334446830506"/>
              <c:y val="0.9477494502376392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a:pPr>
            <a:endParaRPr lang="en-US"/>
          </a:p>
        </c:txPr>
        <c:crossAx val="126799232"/>
        <c:crosses val="autoZero"/>
        <c:auto val="1"/>
        <c:lblAlgn val="ctr"/>
        <c:lblOffset val="100"/>
        <c:tickLblSkip val="1"/>
        <c:tickMarkSkip val="1"/>
        <c:noMultiLvlLbl val="0"/>
      </c:catAx>
      <c:valAx>
        <c:axId val="126799232"/>
        <c:scaling>
          <c:orientation val="minMax"/>
        </c:scaling>
        <c:delete val="0"/>
        <c:axPos val="l"/>
        <c:majorGridlines>
          <c:spPr>
            <a:ln w="3175">
              <a:solidFill>
                <a:srgbClr val="000000"/>
              </a:solidFill>
              <a:prstDash val="solid"/>
            </a:ln>
          </c:spPr>
        </c:majorGridlines>
        <c:title>
          <c:tx>
            <c:rich>
              <a:bodyPr/>
              <a:lstStyle/>
              <a:p>
                <a:pPr>
                  <a:defRPr/>
                </a:pPr>
                <a:r>
                  <a:rPr lang="en-US"/>
                  <a:t>Number</a:t>
                </a:r>
              </a:p>
              <a:p>
                <a:pPr>
                  <a:defRPr/>
                </a:pPr>
                <a:endParaRPr lang="en-US"/>
              </a:p>
              <a:p>
                <a:pPr>
                  <a:defRPr/>
                </a:pPr>
                <a:endParaRPr lang="en-US"/>
              </a:p>
            </c:rich>
          </c:tx>
          <c:layout>
            <c:manualLayout>
              <c:xMode val="edge"/>
              <c:yMode val="edge"/>
              <c:x val="6.0901339829476245E-3"/>
              <c:y val="0.43783859450001178"/>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126797312"/>
        <c:crosses val="autoZero"/>
        <c:crossBetween val="between"/>
      </c:valAx>
      <c:spPr>
        <a:solidFill>
          <a:srgbClr val="C0C0C0"/>
        </a:solidFill>
        <a:ln w="12700">
          <a:solidFill>
            <a:srgbClr val="808080"/>
          </a:solidFill>
          <a:prstDash val="solid"/>
        </a:ln>
      </c:spPr>
    </c:plotArea>
    <c:legend>
      <c:legendPos val="r"/>
      <c:layout>
        <c:manualLayout>
          <c:xMode val="edge"/>
          <c:yMode val="edge"/>
          <c:x val="0.1900121802679659"/>
          <c:y val="0.13071295633500357"/>
          <c:w val="0.24116930572472595"/>
          <c:h val="0.16838654259126701"/>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noFill/>
      <a:prstDash val="solid"/>
    </a:ln>
  </c:spPr>
  <c:txPr>
    <a:bodyPr/>
    <a:lstStyle/>
    <a:p>
      <a:pPr>
        <a:defRPr sz="500" b="0" i="0" u="none" strike="noStrike" baseline="0">
          <a:solidFill>
            <a:srgbClr val="000000"/>
          </a:solidFill>
          <a:latin typeface="Arial"/>
          <a:ea typeface="Arial"/>
          <a:cs typeface="Arial"/>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70334477421092"/>
          <c:y val="6.900119303268909E-2"/>
          <c:w val="0.83739854633555422"/>
          <c:h val="0.79001097590073965"/>
        </c:manualLayout>
      </c:layout>
      <c:barChart>
        <c:barDir val="col"/>
        <c:grouping val="clustered"/>
        <c:varyColors val="0"/>
        <c:ser>
          <c:idx val="0"/>
          <c:order val="0"/>
          <c:tx>
            <c:v>Titles Granted to Residents</c:v>
          </c:tx>
          <c:spPr>
            <a:solidFill>
              <a:srgbClr val="3366FF"/>
            </a:solidFill>
            <a:ln w="12700">
              <a:solidFill>
                <a:srgbClr val="000000"/>
              </a:solidFill>
              <a:prstDash val="solid"/>
            </a:ln>
          </c:spPr>
          <c:invertIfNegative val="0"/>
          <c:cat>
            <c:numRef>
              <c:f>'titles_granted_res_&amp;_nonres'!$H$7:$H$34</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cat>
          <c:val>
            <c:numRef>
              <c:f>'titles_granted_res_&amp;_nonres'!$M$7:$M$34</c:f>
              <c:numCache>
                <c:formatCode>#,##0</c:formatCode>
                <c:ptCount val="28"/>
                <c:pt idx="0">
                  <c:v>2393</c:v>
                </c:pt>
                <c:pt idx="1">
                  <c:v>1774</c:v>
                </c:pt>
                <c:pt idx="2">
                  <c:v>1423</c:v>
                </c:pt>
                <c:pt idx="3">
                  <c:v>2202.5</c:v>
                </c:pt>
                <c:pt idx="4">
                  <c:v>2203</c:v>
                </c:pt>
                <c:pt idx="5">
                  <c:v>2649</c:v>
                </c:pt>
                <c:pt idx="6">
                  <c:v>2601</c:v>
                </c:pt>
                <c:pt idx="7">
                  <c:v>2853</c:v>
                </c:pt>
                <c:pt idx="8">
                  <c:v>2923</c:v>
                </c:pt>
                <c:pt idx="9">
                  <c:v>3606</c:v>
                </c:pt>
                <c:pt idx="10">
                  <c:v>3314</c:v>
                </c:pt>
                <c:pt idx="11">
                  <c:v>4551</c:v>
                </c:pt>
                <c:pt idx="12">
                  <c:v>3352</c:v>
                </c:pt>
                <c:pt idx="13">
                  <c:v>5057</c:v>
                </c:pt>
                <c:pt idx="14">
                  <c:v>4439</c:v>
                </c:pt>
                <c:pt idx="15">
                  <c:v>4800</c:v>
                </c:pt>
                <c:pt idx="16">
                  <c:v>5438</c:v>
                </c:pt>
                <c:pt idx="17">
                  <c:v>5933</c:v>
                </c:pt>
                <c:pt idx="18">
                  <c:v>5383</c:v>
                </c:pt>
                <c:pt idx="19">
                  <c:v>5780</c:v>
                </c:pt>
                <c:pt idx="20">
                  <c:v>5399</c:v>
                </c:pt>
                <c:pt idx="21">
                  <c:v>6368</c:v>
                </c:pt>
                <c:pt idx="22">
                  <c:v>6578</c:v>
                </c:pt>
                <c:pt idx="23">
                  <c:v>6848</c:v>
                </c:pt>
                <c:pt idx="24">
                  <c:v>7425</c:v>
                </c:pt>
                <c:pt idx="25">
                  <c:v>7170</c:v>
                </c:pt>
                <c:pt idx="26">
                  <c:v>6597</c:v>
                </c:pt>
                <c:pt idx="27">
                  <c:v>6579</c:v>
                </c:pt>
              </c:numCache>
            </c:numRef>
          </c:val>
        </c:ser>
        <c:ser>
          <c:idx val="1"/>
          <c:order val="1"/>
          <c:tx>
            <c:v>Titles Granted to Non-Residents</c:v>
          </c:tx>
          <c:spPr>
            <a:solidFill>
              <a:srgbClr val="FF6600"/>
            </a:solidFill>
            <a:ln w="12700">
              <a:solidFill>
                <a:srgbClr val="000000"/>
              </a:solidFill>
              <a:prstDash val="solid"/>
            </a:ln>
          </c:spPr>
          <c:invertIfNegative val="0"/>
          <c:cat>
            <c:numRef>
              <c:f>'titles_granted_res_&amp;_nonres'!$H$7:$H$34</c:f>
              <c:numCache>
                <c:formatCode>General</c:formatCode>
                <c:ptCount val="2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numCache>
            </c:numRef>
          </c:cat>
          <c:val>
            <c:numRef>
              <c:f>'titles_granted_res_&amp;_nonres'!$N$7:$N$34</c:f>
              <c:numCache>
                <c:formatCode>#,##0</c:formatCode>
                <c:ptCount val="28"/>
                <c:pt idx="0">
                  <c:v>1071</c:v>
                </c:pt>
                <c:pt idx="1">
                  <c:v>963</c:v>
                </c:pt>
                <c:pt idx="2">
                  <c:v>1075</c:v>
                </c:pt>
                <c:pt idx="3">
                  <c:v>1655</c:v>
                </c:pt>
                <c:pt idx="4">
                  <c:v>1592</c:v>
                </c:pt>
                <c:pt idx="5">
                  <c:v>1937</c:v>
                </c:pt>
                <c:pt idx="6">
                  <c:v>2045</c:v>
                </c:pt>
                <c:pt idx="7">
                  <c:v>2201</c:v>
                </c:pt>
                <c:pt idx="8">
                  <c:v>2240</c:v>
                </c:pt>
                <c:pt idx="9">
                  <c:v>3269</c:v>
                </c:pt>
                <c:pt idx="10">
                  <c:v>2929</c:v>
                </c:pt>
                <c:pt idx="11">
                  <c:v>2312</c:v>
                </c:pt>
                <c:pt idx="12">
                  <c:v>1955</c:v>
                </c:pt>
                <c:pt idx="13">
                  <c:v>2413</c:v>
                </c:pt>
                <c:pt idx="14">
                  <c:v>2052</c:v>
                </c:pt>
                <c:pt idx="15">
                  <c:v>2485</c:v>
                </c:pt>
                <c:pt idx="16">
                  <c:v>2276</c:v>
                </c:pt>
                <c:pt idx="17">
                  <c:v>2656</c:v>
                </c:pt>
                <c:pt idx="18">
                  <c:v>3086</c:v>
                </c:pt>
                <c:pt idx="19">
                  <c:v>3362</c:v>
                </c:pt>
                <c:pt idx="20">
                  <c:v>3096</c:v>
                </c:pt>
                <c:pt idx="21">
                  <c:v>3061</c:v>
                </c:pt>
                <c:pt idx="22">
                  <c:v>3783</c:v>
                </c:pt>
                <c:pt idx="23">
                  <c:v>3623</c:v>
                </c:pt>
                <c:pt idx="24">
                  <c:v>3305</c:v>
                </c:pt>
                <c:pt idx="25">
                  <c:v>3945</c:v>
                </c:pt>
                <c:pt idx="26">
                  <c:v>3468</c:v>
                </c:pt>
                <c:pt idx="27">
                  <c:v>3243</c:v>
                </c:pt>
              </c:numCache>
            </c:numRef>
          </c:val>
        </c:ser>
        <c:dLbls>
          <c:showLegendKey val="0"/>
          <c:showVal val="0"/>
          <c:showCatName val="0"/>
          <c:showSerName val="0"/>
          <c:showPercent val="0"/>
          <c:showBubbleSize val="0"/>
        </c:dLbls>
        <c:gapWidth val="150"/>
        <c:axId val="129282432"/>
        <c:axId val="129284352"/>
      </c:barChart>
      <c:catAx>
        <c:axId val="129282432"/>
        <c:scaling>
          <c:orientation val="minMax"/>
        </c:scaling>
        <c:delete val="0"/>
        <c:axPos val="b"/>
        <c:title>
          <c:tx>
            <c:rich>
              <a:bodyPr/>
              <a:lstStyle/>
              <a:p>
                <a:pPr>
                  <a:defRPr/>
                </a:pPr>
                <a:r>
                  <a:rPr lang="en-US"/>
                  <a:t>Year</a:t>
                </a:r>
              </a:p>
            </c:rich>
          </c:tx>
          <c:layout>
            <c:manualLayout>
              <c:xMode val="edge"/>
              <c:yMode val="edge"/>
              <c:x val="0.50683614255249343"/>
              <c:y val="0.9462215406213757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a:pPr>
            <a:endParaRPr lang="en-US"/>
          </a:p>
        </c:txPr>
        <c:crossAx val="129284352"/>
        <c:crosses val="autoZero"/>
        <c:auto val="1"/>
        <c:lblAlgn val="ctr"/>
        <c:lblOffset val="100"/>
        <c:tickLblSkip val="1"/>
        <c:tickMarkSkip val="1"/>
        <c:noMultiLvlLbl val="0"/>
      </c:catAx>
      <c:valAx>
        <c:axId val="129284352"/>
        <c:scaling>
          <c:orientation val="minMax"/>
        </c:scaling>
        <c:delete val="0"/>
        <c:axPos val="l"/>
        <c:majorGridlines>
          <c:spPr>
            <a:ln w="3175">
              <a:solidFill>
                <a:srgbClr val="000000"/>
              </a:solidFill>
              <a:prstDash val="solid"/>
            </a:ln>
          </c:spPr>
        </c:majorGridlines>
        <c:title>
          <c:tx>
            <c:rich>
              <a:bodyPr/>
              <a:lstStyle/>
              <a:p>
                <a:pPr>
                  <a:defRPr/>
                </a:pPr>
                <a:r>
                  <a:rPr lang="en-US"/>
                  <a:t>Number</a:t>
                </a:r>
              </a:p>
            </c:rich>
          </c:tx>
          <c:layout>
            <c:manualLayout>
              <c:xMode val="edge"/>
              <c:yMode val="edge"/>
              <c:x val="0"/>
              <c:y val="0.44331424481030779"/>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a:pPr>
            <a:endParaRPr lang="en-US"/>
          </a:p>
        </c:txPr>
        <c:crossAx val="129282432"/>
        <c:crosses val="autoZero"/>
        <c:crossBetween val="between"/>
      </c:valAx>
      <c:spPr>
        <a:solidFill>
          <a:srgbClr val="C0C0C0"/>
        </a:solidFill>
        <a:ln w="12700">
          <a:solidFill>
            <a:srgbClr val="808080"/>
          </a:solidFill>
          <a:prstDash val="solid"/>
        </a:ln>
      </c:spPr>
    </c:plotArea>
    <c:legend>
      <c:legendPos val="r"/>
      <c:layout>
        <c:manualLayout>
          <c:xMode val="edge"/>
          <c:yMode val="edge"/>
          <c:x val="0.13915606703008279"/>
          <c:y val="0.19981531853972798"/>
          <c:w val="0.35659566592637459"/>
          <c:h val="0.10758434741111908"/>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noFill/>
      <a:prstDash val="solid"/>
    </a:ln>
  </c:spPr>
  <c:txPr>
    <a:bodyPr/>
    <a:lstStyle/>
    <a:p>
      <a:pPr>
        <a:defRPr sz="500" b="0" i="0" u="none" strike="noStrike" baseline="0">
          <a:solidFill>
            <a:srgbClr val="000000"/>
          </a:solidFill>
          <a:latin typeface="Arial"/>
          <a:ea typeface="Arial"/>
          <a:cs typeface="Arial"/>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700383605895431E-2"/>
          <c:y val="1.8859882982100187E-2"/>
          <c:w val="0.89364663277849765"/>
          <c:h val="0.77494246802320921"/>
        </c:manualLayout>
      </c:layout>
      <c:barChart>
        <c:barDir val="col"/>
        <c:grouping val="stacked"/>
        <c:varyColors val="0"/>
        <c:ser>
          <c:idx val="0"/>
          <c:order val="0"/>
          <c:tx>
            <c:strRef>
              <c:f>'fig_23_gen&amp;spec'!$A$3</c:f>
              <c:strCache>
                <c:ptCount val="1"/>
                <c:pt idx="0">
                  <c:v>Number of members offering protection to all plant genera and species</c:v>
                </c:pt>
              </c:strCache>
            </c:strRef>
          </c:tx>
          <c:spPr>
            <a:solidFill>
              <a:schemeClr val="accent4">
                <a:lumMod val="75000"/>
              </a:schemeClr>
            </a:solidFill>
            <a:ln>
              <a:solidFill>
                <a:schemeClr val="tx1"/>
              </a:solidFill>
            </a:ln>
          </c:spPr>
          <c:invertIfNegative val="0"/>
          <c:cat>
            <c:numRef>
              <c:f>'fig_23_gen&amp;spec'!$B$1:$I$1</c:f>
              <c:numCache>
                <c:formatCode>General</c:formatCode>
                <c:ptCount val="8"/>
                <c:pt idx="0">
                  <c:v>2006</c:v>
                </c:pt>
                <c:pt idx="1">
                  <c:v>2007</c:v>
                </c:pt>
                <c:pt idx="2">
                  <c:v>2008</c:v>
                </c:pt>
                <c:pt idx="3">
                  <c:v>2009</c:v>
                </c:pt>
                <c:pt idx="4">
                  <c:v>2010</c:v>
                </c:pt>
                <c:pt idx="5">
                  <c:v>2011</c:v>
                </c:pt>
                <c:pt idx="6">
                  <c:v>2012</c:v>
                </c:pt>
                <c:pt idx="7">
                  <c:v>2013</c:v>
                </c:pt>
              </c:numCache>
            </c:numRef>
          </c:cat>
          <c:val>
            <c:numRef>
              <c:f>'fig_23_gen&amp;spec'!$B$3:$I$3</c:f>
              <c:numCache>
                <c:formatCode>General</c:formatCode>
                <c:ptCount val="8"/>
                <c:pt idx="0">
                  <c:v>38</c:v>
                </c:pt>
                <c:pt idx="1">
                  <c:v>41</c:v>
                </c:pt>
                <c:pt idx="2">
                  <c:v>43</c:v>
                </c:pt>
                <c:pt idx="3">
                  <c:v>45</c:v>
                </c:pt>
                <c:pt idx="4">
                  <c:v>45</c:v>
                </c:pt>
                <c:pt idx="5">
                  <c:v>48</c:v>
                </c:pt>
                <c:pt idx="6">
                  <c:v>53</c:v>
                </c:pt>
                <c:pt idx="7">
                  <c:v>56</c:v>
                </c:pt>
              </c:numCache>
            </c:numRef>
          </c:val>
        </c:ser>
        <c:ser>
          <c:idx val="1"/>
          <c:order val="1"/>
          <c:tx>
            <c:strRef>
              <c:f>'fig_23_gen&amp;spec'!$A$2</c:f>
              <c:strCache>
                <c:ptCount val="1"/>
                <c:pt idx="0">
                  <c:v>Number of members offering protection to a limited number of plant genera and species</c:v>
                </c:pt>
              </c:strCache>
            </c:strRef>
          </c:tx>
          <c:spPr>
            <a:solidFill>
              <a:schemeClr val="accent4">
                <a:lumMod val="40000"/>
                <a:lumOff val="60000"/>
              </a:schemeClr>
            </a:solidFill>
            <a:ln>
              <a:solidFill>
                <a:schemeClr val="tx1"/>
              </a:solidFill>
            </a:ln>
          </c:spPr>
          <c:invertIfNegative val="0"/>
          <c:cat>
            <c:numRef>
              <c:f>'fig_23_gen&amp;spec'!$B$1:$I$1</c:f>
              <c:numCache>
                <c:formatCode>General</c:formatCode>
                <c:ptCount val="8"/>
                <c:pt idx="0">
                  <c:v>2006</c:v>
                </c:pt>
                <c:pt idx="1">
                  <c:v>2007</c:v>
                </c:pt>
                <c:pt idx="2">
                  <c:v>2008</c:v>
                </c:pt>
                <c:pt idx="3">
                  <c:v>2009</c:v>
                </c:pt>
                <c:pt idx="4">
                  <c:v>2010</c:v>
                </c:pt>
                <c:pt idx="5">
                  <c:v>2011</c:v>
                </c:pt>
                <c:pt idx="6">
                  <c:v>2012</c:v>
                </c:pt>
                <c:pt idx="7">
                  <c:v>2013</c:v>
                </c:pt>
              </c:numCache>
            </c:numRef>
          </c:cat>
          <c:val>
            <c:numRef>
              <c:f>'fig_23_gen&amp;spec'!$B$2:$I$2</c:f>
              <c:numCache>
                <c:formatCode>General</c:formatCode>
                <c:ptCount val="8"/>
                <c:pt idx="0">
                  <c:v>25</c:v>
                </c:pt>
                <c:pt idx="1">
                  <c:v>24</c:v>
                </c:pt>
                <c:pt idx="2">
                  <c:v>22</c:v>
                </c:pt>
                <c:pt idx="3">
                  <c:v>23</c:v>
                </c:pt>
                <c:pt idx="4">
                  <c:v>23</c:v>
                </c:pt>
                <c:pt idx="5">
                  <c:v>22</c:v>
                </c:pt>
                <c:pt idx="6">
                  <c:v>17</c:v>
                </c:pt>
                <c:pt idx="7">
                  <c:v>15</c:v>
                </c:pt>
              </c:numCache>
            </c:numRef>
          </c:val>
        </c:ser>
        <c:dLbls>
          <c:showLegendKey val="0"/>
          <c:showVal val="0"/>
          <c:showCatName val="0"/>
          <c:showSerName val="0"/>
          <c:showPercent val="0"/>
          <c:showBubbleSize val="0"/>
        </c:dLbls>
        <c:gapWidth val="150"/>
        <c:overlap val="100"/>
        <c:axId val="137429760"/>
        <c:axId val="137431296"/>
      </c:barChart>
      <c:lineChart>
        <c:grouping val="standard"/>
        <c:varyColors val="0"/>
        <c:ser>
          <c:idx val="2"/>
          <c:order val="2"/>
          <c:tx>
            <c:strRef>
              <c:f>'fig_23_gen&amp;spec'!$A$4</c:f>
              <c:strCache>
                <c:ptCount val="1"/>
                <c:pt idx="0">
                  <c:v>Number of members extending protection to additional plant genera and species</c:v>
                </c:pt>
              </c:strCache>
            </c:strRef>
          </c:tx>
          <c:spPr>
            <a:ln>
              <a:solidFill>
                <a:schemeClr val="accent6">
                  <a:lumMod val="75000"/>
                </a:schemeClr>
              </a:solidFill>
            </a:ln>
          </c:spPr>
          <c:marker>
            <c:symbol val="none"/>
          </c:marker>
          <c:cat>
            <c:numRef>
              <c:f>'fig_23_gen&amp;spec'!$B$1:$I$1</c:f>
              <c:numCache>
                <c:formatCode>General</c:formatCode>
                <c:ptCount val="8"/>
                <c:pt idx="0">
                  <c:v>2006</c:v>
                </c:pt>
                <c:pt idx="1">
                  <c:v>2007</c:v>
                </c:pt>
                <c:pt idx="2">
                  <c:v>2008</c:v>
                </c:pt>
                <c:pt idx="3">
                  <c:v>2009</c:v>
                </c:pt>
                <c:pt idx="4">
                  <c:v>2010</c:v>
                </c:pt>
                <c:pt idx="5">
                  <c:v>2011</c:v>
                </c:pt>
                <c:pt idx="6">
                  <c:v>2012</c:v>
                </c:pt>
                <c:pt idx="7">
                  <c:v>2013</c:v>
                </c:pt>
              </c:numCache>
            </c:numRef>
          </c:cat>
          <c:val>
            <c:numRef>
              <c:f>'fig_23_gen&amp;spec'!$B$4:$I$4</c:f>
              <c:numCache>
                <c:formatCode>General</c:formatCode>
                <c:ptCount val="8"/>
                <c:pt idx="0">
                  <c:v>2</c:v>
                </c:pt>
                <c:pt idx="1">
                  <c:v>4</c:v>
                </c:pt>
                <c:pt idx="2">
                  <c:v>2</c:v>
                </c:pt>
                <c:pt idx="3">
                  <c:v>0</c:v>
                </c:pt>
                <c:pt idx="4">
                  <c:v>5</c:v>
                </c:pt>
                <c:pt idx="5">
                  <c:v>3</c:v>
                </c:pt>
                <c:pt idx="6">
                  <c:v>9</c:v>
                </c:pt>
                <c:pt idx="7">
                  <c:v>4</c:v>
                </c:pt>
              </c:numCache>
            </c:numRef>
          </c:val>
          <c:smooth val="0"/>
        </c:ser>
        <c:dLbls>
          <c:showLegendKey val="0"/>
          <c:showVal val="0"/>
          <c:showCatName val="0"/>
          <c:showSerName val="0"/>
          <c:showPercent val="0"/>
          <c:showBubbleSize val="0"/>
        </c:dLbls>
        <c:marker val="1"/>
        <c:smooth val="0"/>
        <c:axId val="137429760"/>
        <c:axId val="137431296"/>
      </c:lineChart>
      <c:catAx>
        <c:axId val="137429760"/>
        <c:scaling>
          <c:orientation val="minMax"/>
        </c:scaling>
        <c:delete val="0"/>
        <c:axPos val="b"/>
        <c:numFmt formatCode="General" sourceLinked="1"/>
        <c:majorTickMark val="out"/>
        <c:minorTickMark val="none"/>
        <c:tickLblPos val="nextTo"/>
        <c:txPr>
          <a:bodyPr/>
          <a:lstStyle/>
          <a:p>
            <a:pPr>
              <a:defRPr b="1"/>
            </a:pPr>
            <a:endParaRPr lang="en-US"/>
          </a:p>
        </c:txPr>
        <c:crossAx val="137431296"/>
        <c:crosses val="autoZero"/>
        <c:auto val="1"/>
        <c:lblAlgn val="ctr"/>
        <c:lblOffset val="100"/>
        <c:noMultiLvlLbl val="0"/>
      </c:catAx>
      <c:valAx>
        <c:axId val="137431296"/>
        <c:scaling>
          <c:orientation val="minMax"/>
        </c:scaling>
        <c:delete val="0"/>
        <c:axPos val="l"/>
        <c:majorGridlines/>
        <c:title>
          <c:tx>
            <c:rich>
              <a:bodyPr rot="-5400000" vert="horz"/>
              <a:lstStyle/>
              <a:p>
                <a:pPr>
                  <a:defRPr sz="800" b="1" kern="0" spc="20" baseline="0"/>
                </a:pPr>
                <a:r>
                  <a:rPr lang="en-US" sz="800" b="1" kern="0" spc="20" baseline="0"/>
                  <a:t>Number of members</a:t>
                </a:r>
              </a:p>
            </c:rich>
          </c:tx>
          <c:layout>
            <c:manualLayout>
              <c:xMode val="edge"/>
              <c:yMode val="edge"/>
              <c:x val="1.677561074096507E-2"/>
              <c:y val="0.28745869493299941"/>
            </c:manualLayout>
          </c:layout>
          <c:overlay val="0"/>
        </c:title>
        <c:numFmt formatCode="General" sourceLinked="1"/>
        <c:majorTickMark val="out"/>
        <c:minorTickMark val="none"/>
        <c:tickLblPos val="nextTo"/>
        <c:txPr>
          <a:bodyPr/>
          <a:lstStyle/>
          <a:p>
            <a:pPr>
              <a:defRPr b="1"/>
            </a:pPr>
            <a:endParaRPr lang="en-US"/>
          </a:p>
        </c:txPr>
        <c:crossAx val="137429760"/>
        <c:crosses val="autoZero"/>
        <c:crossBetween val="between"/>
      </c:valAx>
      <c:spPr>
        <a:solidFill>
          <a:schemeClr val="bg1">
            <a:lumMod val="95000"/>
          </a:schemeClr>
        </a:solidFill>
      </c:spPr>
    </c:plotArea>
    <c:legend>
      <c:legendPos val="r"/>
      <c:layout>
        <c:manualLayout>
          <c:xMode val="edge"/>
          <c:yMode val="edge"/>
          <c:x val="6.4355128077344781E-2"/>
          <c:y val="0.86214042282003178"/>
          <c:w val="0.86813432339944852"/>
          <c:h val="0.1365577402004266"/>
        </c:manualLayout>
      </c:layout>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Members</c:v>
          </c:tx>
          <c:spPr>
            <a:solidFill>
              <a:schemeClr val="bg1">
                <a:lumMod val="50000"/>
              </a:schemeClr>
            </a:solidFill>
            <a:ln>
              <a:solidFill>
                <a:sysClr val="windowText" lastClr="000000"/>
              </a:solidFill>
            </a:ln>
          </c:spPr>
          <c:invertIfNegative val="0"/>
          <c:cat>
            <c:numRef>
              <c:f>'[5]Fig. 23_24'!$L$3:$AC$3</c:f>
              <c:numCache>
                <c:formatCode>General</c:formatCode>
                <c:ptCount val="18"/>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numCache>
            </c:numRef>
          </c:cat>
          <c:val>
            <c:numRef>
              <c:f>'Fig. 23_24'!$P$53:$AG$53</c:f>
              <c:numCache>
                <c:formatCode>General</c:formatCode>
                <c:ptCount val="18"/>
                <c:pt idx="0">
                  <c:v>0</c:v>
                </c:pt>
                <c:pt idx="1">
                  <c:v>0</c:v>
                </c:pt>
                <c:pt idx="2">
                  <c:v>0</c:v>
                </c:pt>
                <c:pt idx="3">
                  <c:v>1</c:v>
                </c:pt>
                <c:pt idx="4">
                  <c:v>0</c:v>
                </c:pt>
                <c:pt idx="5">
                  <c:v>0</c:v>
                </c:pt>
                <c:pt idx="6">
                  <c:v>0</c:v>
                </c:pt>
                <c:pt idx="7">
                  <c:v>1</c:v>
                </c:pt>
                <c:pt idx="8">
                  <c:v>1</c:v>
                </c:pt>
                <c:pt idx="9">
                  <c:v>0</c:v>
                </c:pt>
                <c:pt idx="10">
                  <c:v>0</c:v>
                </c:pt>
                <c:pt idx="11">
                  <c:v>0</c:v>
                </c:pt>
                <c:pt idx="12">
                  <c:v>1</c:v>
                </c:pt>
                <c:pt idx="13">
                  <c:v>0</c:v>
                </c:pt>
                <c:pt idx="14">
                  <c:v>0</c:v>
                </c:pt>
                <c:pt idx="15">
                  <c:v>0</c:v>
                </c:pt>
                <c:pt idx="16">
                  <c:v>1</c:v>
                </c:pt>
                <c:pt idx="17">
                  <c:v>2</c:v>
                </c:pt>
              </c:numCache>
            </c:numRef>
          </c:val>
        </c:ser>
        <c:ser>
          <c:idx val="1"/>
          <c:order val="1"/>
          <c:tx>
            <c:v>Non-members</c:v>
          </c:tx>
          <c:spPr>
            <a:solidFill>
              <a:schemeClr val="bg1">
                <a:lumMod val="85000"/>
              </a:schemeClr>
            </a:solidFill>
            <a:ln w="3175">
              <a:solidFill>
                <a:sysClr val="windowText" lastClr="000000"/>
              </a:solidFill>
            </a:ln>
          </c:spPr>
          <c:invertIfNegative val="0"/>
          <c:cat>
            <c:numRef>
              <c:f>'[5]Fig. 23_24'!$L$3:$AC$3</c:f>
              <c:numCache>
                <c:formatCode>General</c:formatCode>
                <c:ptCount val="18"/>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numCache>
            </c:numRef>
          </c:cat>
          <c:val>
            <c:numRef>
              <c:f>'Fig. 23_24'!$P$54:$AG$54</c:f>
              <c:numCache>
                <c:formatCode>General</c:formatCode>
                <c:ptCount val="18"/>
                <c:pt idx="0">
                  <c:v>6</c:v>
                </c:pt>
                <c:pt idx="1">
                  <c:v>0</c:v>
                </c:pt>
                <c:pt idx="2">
                  <c:v>3</c:v>
                </c:pt>
                <c:pt idx="3">
                  <c:v>2</c:v>
                </c:pt>
                <c:pt idx="4">
                  <c:v>5</c:v>
                </c:pt>
                <c:pt idx="5">
                  <c:v>2</c:v>
                </c:pt>
                <c:pt idx="6">
                  <c:v>3</c:v>
                </c:pt>
                <c:pt idx="7">
                  <c:v>4</c:v>
                </c:pt>
                <c:pt idx="8">
                  <c:v>2</c:v>
                </c:pt>
                <c:pt idx="9">
                  <c:v>3</c:v>
                </c:pt>
                <c:pt idx="10">
                  <c:v>6</c:v>
                </c:pt>
                <c:pt idx="11">
                  <c:v>6</c:v>
                </c:pt>
                <c:pt idx="12">
                  <c:v>4</c:v>
                </c:pt>
                <c:pt idx="13">
                  <c:v>9</c:v>
                </c:pt>
                <c:pt idx="14">
                  <c:v>8</c:v>
                </c:pt>
                <c:pt idx="15">
                  <c:v>5</c:v>
                </c:pt>
                <c:pt idx="16">
                  <c:v>6</c:v>
                </c:pt>
                <c:pt idx="17">
                  <c:v>5</c:v>
                </c:pt>
              </c:numCache>
            </c:numRef>
          </c:val>
        </c:ser>
        <c:dLbls>
          <c:showLegendKey val="0"/>
          <c:showVal val="0"/>
          <c:showCatName val="0"/>
          <c:showSerName val="0"/>
          <c:showPercent val="0"/>
          <c:showBubbleSize val="0"/>
        </c:dLbls>
        <c:gapWidth val="150"/>
        <c:axId val="137486336"/>
        <c:axId val="137487872"/>
      </c:barChart>
      <c:catAx>
        <c:axId val="137486336"/>
        <c:scaling>
          <c:orientation val="minMax"/>
        </c:scaling>
        <c:delete val="0"/>
        <c:axPos val="b"/>
        <c:numFmt formatCode="General" sourceLinked="1"/>
        <c:majorTickMark val="out"/>
        <c:minorTickMark val="none"/>
        <c:tickLblPos val="nextTo"/>
        <c:txPr>
          <a:bodyPr rot="-5400000" vert="horz"/>
          <a:lstStyle/>
          <a:p>
            <a:pPr>
              <a:defRPr sz="700"/>
            </a:pPr>
            <a:endParaRPr lang="en-US"/>
          </a:p>
        </c:txPr>
        <c:crossAx val="137487872"/>
        <c:crosses val="autoZero"/>
        <c:auto val="1"/>
        <c:lblAlgn val="ctr"/>
        <c:lblOffset val="100"/>
        <c:noMultiLvlLbl val="0"/>
      </c:catAx>
      <c:valAx>
        <c:axId val="137487872"/>
        <c:scaling>
          <c:orientation val="minMax"/>
        </c:scaling>
        <c:delete val="0"/>
        <c:axPos val="l"/>
        <c:majorGridlines/>
        <c:numFmt formatCode="General" sourceLinked="1"/>
        <c:majorTickMark val="out"/>
        <c:minorTickMark val="none"/>
        <c:tickLblPos val="nextTo"/>
        <c:txPr>
          <a:bodyPr/>
          <a:lstStyle/>
          <a:p>
            <a:pPr>
              <a:defRPr sz="700"/>
            </a:pPr>
            <a:endParaRPr lang="en-US"/>
          </a:p>
        </c:txPr>
        <c:crossAx val="137486336"/>
        <c:crosses val="autoZero"/>
        <c:crossBetween val="between"/>
      </c:valAx>
    </c:plotArea>
    <c:legend>
      <c:legendPos val="l"/>
      <c:layout>
        <c:manualLayout>
          <c:xMode val="edge"/>
          <c:yMode val="edge"/>
          <c:x val="0.1621680133750884"/>
          <c:y val="0.10067534487481997"/>
          <c:w val="0.26555157293976533"/>
          <c:h val="0.14320563464920422"/>
        </c:manualLayout>
      </c:layout>
      <c:overlay val="1"/>
      <c:spPr>
        <a:solidFill>
          <a:sysClr val="window" lastClr="FFFFFF"/>
        </a:solidFill>
        <a:ln>
          <a:solidFill>
            <a:sysClr val="windowText" lastClr="000000"/>
          </a:solidFill>
        </a:ln>
      </c:spPr>
      <c:txPr>
        <a:bodyPr/>
        <a:lstStyle/>
        <a:p>
          <a:pPr>
            <a:defRPr sz="700"/>
          </a:pPr>
          <a:endParaRPr lang="en-US"/>
        </a:p>
      </c:txPr>
    </c:legend>
    <c:plotVisOnly val="1"/>
    <c:dispBlanksAs val="gap"/>
    <c:showDLblsOverMax val="0"/>
  </c:chart>
  <c:spPr>
    <a:ln>
      <a:noFill/>
    </a:ln>
  </c:spPr>
  <c:txPr>
    <a:bodyPr/>
    <a:lstStyle/>
    <a:p>
      <a:pPr>
        <a:defRPr sz="6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cat>
            <c:numRef>
              <c:f>'Fig. 23_24'!$L$3:$AC$3</c:f>
              <c:numCache>
                <c:formatCode>General</c:formatCode>
                <c:ptCount val="18"/>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numCache>
            </c:numRef>
          </c:cat>
          <c:val>
            <c:numRef>
              <c:f>'Fig. 23_24'!$L$5:$AC$5</c:f>
              <c:numCache>
                <c:formatCode>General</c:formatCode>
                <c:ptCount val="18"/>
                <c:pt idx="0">
                  <c:v>2</c:v>
                </c:pt>
                <c:pt idx="1">
                  <c:v>4</c:v>
                </c:pt>
                <c:pt idx="2">
                  <c:v>4</c:v>
                </c:pt>
                <c:pt idx="3">
                  <c:v>8</c:v>
                </c:pt>
                <c:pt idx="4">
                  <c:v>6</c:v>
                </c:pt>
                <c:pt idx="5">
                  <c:v>2</c:v>
                </c:pt>
                <c:pt idx="6">
                  <c:v>0</c:v>
                </c:pt>
                <c:pt idx="7">
                  <c:v>5</c:v>
                </c:pt>
                <c:pt idx="8">
                  <c:v>4</c:v>
                </c:pt>
                <c:pt idx="9">
                  <c:v>0</c:v>
                </c:pt>
                <c:pt idx="10">
                  <c:v>3</c:v>
                </c:pt>
                <c:pt idx="11">
                  <c:v>1</c:v>
                </c:pt>
                <c:pt idx="12">
                  <c:v>4</c:v>
                </c:pt>
                <c:pt idx="13">
                  <c:v>3</c:v>
                </c:pt>
                <c:pt idx="14">
                  <c:v>1</c:v>
                </c:pt>
                <c:pt idx="15">
                  <c:v>1</c:v>
                </c:pt>
                <c:pt idx="16">
                  <c:v>2</c:v>
                </c:pt>
                <c:pt idx="17">
                  <c:v>2</c:v>
                </c:pt>
              </c:numCache>
            </c:numRef>
          </c:val>
        </c:ser>
        <c:dLbls>
          <c:showLegendKey val="0"/>
          <c:showVal val="0"/>
          <c:showCatName val="0"/>
          <c:showSerName val="0"/>
          <c:showPercent val="0"/>
          <c:showBubbleSize val="0"/>
        </c:dLbls>
        <c:gapWidth val="150"/>
        <c:axId val="141702272"/>
        <c:axId val="141703808"/>
      </c:barChart>
      <c:catAx>
        <c:axId val="141702272"/>
        <c:scaling>
          <c:orientation val="minMax"/>
        </c:scaling>
        <c:delete val="0"/>
        <c:axPos val="b"/>
        <c:numFmt formatCode="General" sourceLinked="1"/>
        <c:majorTickMark val="out"/>
        <c:minorTickMark val="none"/>
        <c:tickLblPos val="nextTo"/>
        <c:txPr>
          <a:bodyPr rot="-5400000" vert="horz"/>
          <a:lstStyle/>
          <a:p>
            <a:pPr>
              <a:defRPr sz="700"/>
            </a:pPr>
            <a:endParaRPr lang="en-US"/>
          </a:p>
        </c:txPr>
        <c:crossAx val="141703808"/>
        <c:crosses val="autoZero"/>
        <c:auto val="1"/>
        <c:lblAlgn val="ctr"/>
        <c:lblOffset val="100"/>
        <c:noMultiLvlLbl val="0"/>
      </c:catAx>
      <c:valAx>
        <c:axId val="141703808"/>
        <c:scaling>
          <c:orientation val="minMax"/>
        </c:scaling>
        <c:delete val="0"/>
        <c:axPos val="l"/>
        <c:majorGridlines/>
        <c:numFmt formatCode="General" sourceLinked="1"/>
        <c:majorTickMark val="out"/>
        <c:minorTickMark val="none"/>
        <c:tickLblPos val="nextTo"/>
        <c:txPr>
          <a:bodyPr/>
          <a:lstStyle/>
          <a:p>
            <a:pPr>
              <a:defRPr sz="700"/>
            </a:pPr>
            <a:endParaRPr lang="en-US"/>
          </a:p>
        </c:txPr>
        <c:crossAx val="141702272"/>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10317433028295"/>
          <c:y val="5.2796926874206937E-2"/>
          <c:w val="0.87100880196191499"/>
          <c:h val="0.78477258835796215"/>
        </c:manualLayout>
      </c:layout>
      <c:barChart>
        <c:barDir val="col"/>
        <c:grouping val="clustered"/>
        <c:varyColors val="0"/>
        <c:ser>
          <c:idx val="0"/>
          <c:order val="0"/>
          <c:tx>
            <c:v>No. of New Members</c:v>
          </c:tx>
          <c:spPr>
            <a:solidFill>
              <a:srgbClr val="008000"/>
            </a:solidFill>
            <a:ln w="12700">
              <a:solidFill>
                <a:srgbClr val="000000"/>
              </a:solidFill>
              <a:prstDash val="solid"/>
            </a:ln>
          </c:spPr>
          <c:invertIfNegative val="0"/>
          <c:cat>
            <c:numRef>
              <c:f>fig_25_new_members!$H$2:$BA$2</c:f>
              <c:numCache>
                <c:formatCode>0</c:formatCode>
                <c:ptCount val="46"/>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pt idx="45">
                  <c:v>2013</c:v>
                </c:pt>
              </c:numCache>
            </c:numRef>
          </c:cat>
          <c:val>
            <c:numRef>
              <c:f>fig_25_new_members!$H$1:$BA$1</c:f>
              <c:numCache>
                <c:formatCode>General</c:formatCode>
                <c:ptCount val="46"/>
                <c:pt idx="0" formatCode="0">
                  <c:v>4</c:v>
                </c:pt>
                <c:pt idx="3" formatCode="0">
                  <c:v>2</c:v>
                </c:pt>
                <c:pt idx="8" formatCode="0">
                  <c:v>1</c:v>
                </c:pt>
                <c:pt idx="9" formatCode="0">
                  <c:v>3</c:v>
                </c:pt>
                <c:pt idx="11" formatCode="0">
                  <c:v>1</c:v>
                </c:pt>
                <c:pt idx="12" formatCode="0">
                  <c:v>1</c:v>
                </c:pt>
                <c:pt idx="13" formatCode="0">
                  <c:v>3</c:v>
                </c:pt>
                <c:pt idx="14" formatCode="0">
                  <c:v>1</c:v>
                </c:pt>
                <c:pt idx="15" formatCode="0">
                  <c:v>1</c:v>
                </c:pt>
                <c:pt idx="21" formatCode="0">
                  <c:v>2</c:v>
                </c:pt>
                <c:pt idx="23" formatCode="0">
                  <c:v>1</c:v>
                </c:pt>
                <c:pt idx="25" formatCode="0">
                  <c:v>4</c:v>
                </c:pt>
                <c:pt idx="26" formatCode="0">
                  <c:v>3</c:v>
                </c:pt>
                <c:pt idx="27" formatCode="0">
                  <c:v>2</c:v>
                </c:pt>
                <c:pt idx="28" formatCode="0">
                  <c:v>2</c:v>
                </c:pt>
                <c:pt idx="29" formatCode="0">
                  <c:v>3</c:v>
                </c:pt>
                <c:pt idx="30" formatCode="0">
                  <c:v>4</c:v>
                </c:pt>
                <c:pt idx="31" formatCode="0">
                  <c:v>6</c:v>
                </c:pt>
                <c:pt idx="32" formatCode="0">
                  <c:v>2</c:v>
                </c:pt>
                <c:pt idx="33" formatCode="0">
                  <c:v>3</c:v>
                </c:pt>
                <c:pt idx="34" formatCode="0">
                  <c:v>2</c:v>
                </c:pt>
                <c:pt idx="35" formatCode="0">
                  <c:v>3</c:v>
                </c:pt>
                <c:pt idx="36" formatCode="0">
                  <c:v>4</c:v>
                </c:pt>
                <c:pt idx="37" formatCode="0">
                  <c:v>2</c:v>
                </c:pt>
                <c:pt idx="38" formatCode="0">
                  <c:v>3</c:v>
                </c:pt>
                <c:pt idx="39" formatCode="0">
                  <c:v>2</c:v>
                </c:pt>
                <c:pt idx="40" formatCode="0">
                  <c:v>1</c:v>
                </c:pt>
                <c:pt idx="41" formatCode="0">
                  <c:v>2</c:v>
                </c:pt>
                <c:pt idx="43" formatCode="0">
                  <c:v>2</c:v>
                </c:pt>
                <c:pt idx="45" formatCode="0">
                  <c:v>1</c:v>
                </c:pt>
              </c:numCache>
            </c:numRef>
          </c:val>
        </c:ser>
        <c:dLbls>
          <c:showLegendKey val="0"/>
          <c:showVal val="0"/>
          <c:showCatName val="0"/>
          <c:showSerName val="0"/>
          <c:showPercent val="0"/>
          <c:showBubbleSize val="0"/>
        </c:dLbls>
        <c:gapWidth val="150"/>
        <c:axId val="141724288"/>
        <c:axId val="146146048"/>
      </c:barChart>
      <c:catAx>
        <c:axId val="141724288"/>
        <c:scaling>
          <c:orientation val="minMax"/>
        </c:scaling>
        <c:delete val="0"/>
        <c:axPos val="b"/>
        <c:title>
          <c:tx>
            <c:rich>
              <a:bodyPr/>
              <a:lstStyle/>
              <a:p>
                <a:pPr>
                  <a:defRPr/>
                </a:pPr>
                <a:r>
                  <a:rPr lang="en-US"/>
                  <a:t>Year</a:t>
                </a:r>
              </a:p>
            </c:rich>
          </c:tx>
          <c:layout>
            <c:manualLayout>
              <c:xMode val="edge"/>
              <c:yMode val="edge"/>
              <c:x val="0.50437808910249859"/>
              <c:y val="0.94300758638046955"/>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5400000" vert="horz"/>
          <a:lstStyle/>
          <a:p>
            <a:pPr>
              <a:defRPr sz="700"/>
            </a:pPr>
            <a:endParaRPr lang="en-US"/>
          </a:p>
        </c:txPr>
        <c:crossAx val="146146048"/>
        <c:crosses val="autoZero"/>
        <c:auto val="1"/>
        <c:lblAlgn val="ctr"/>
        <c:lblOffset val="100"/>
        <c:tickLblSkip val="3"/>
        <c:tickMarkSkip val="1"/>
        <c:noMultiLvlLbl val="0"/>
      </c:catAx>
      <c:valAx>
        <c:axId val="146146048"/>
        <c:scaling>
          <c:orientation val="minMax"/>
        </c:scaling>
        <c:delete val="0"/>
        <c:axPos val="l"/>
        <c:majorGridlines>
          <c:spPr>
            <a:ln w="3175">
              <a:solidFill>
                <a:srgbClr val="000000"/>
              </a:solidFill>
              <a:prstDash val="solid"/>
            </a:ln>
          </c:spPr>
        </c:majorGridlines>
        <c:title>
          <c:tx>
            <c:rich>
              <a:bodyPr/>
              <a:lstStyle/>
              <a:p>
                <a:pPr>
                  <a:defRPr sz="700"/>
                </a:pPr>
                <a:r>
                  <a:rPr lang="en-US" sz="700"/>
                  <a:t>Number</a:t>
                </a:r>
              </a:p>
            </c:rich>
          </c:tx>
          <c:layout>
            <c:manualLayout>
              <c:xMode val="edge"/>
              <c:yMode val="edge"/>
              <c:x val="4.5559365956782611E-3"/>
              <c:y val="0.41680938833070164"/>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700"/>
            </a:pPr>
            <a:endParaRPr lang="en-US"/>
          </a:p>
        </c:txPr>
        <c:crossAx val="141724288"/>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a:no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321741032370947E-2"/>
          <c:y val="2.0682779235928841E-2"/>
          <c:w val="0.91377646544181979"/>
          <c:h val="0.83317972707286125"/>
        </c:manualLayout>
      </c:layout>
      <c:barChart>
        <c:barDir val="col"/>
        <c:grouping val="clustered"/>
        <c:varyColors val="0"/>
        <c:ser>
          <c:idx val="0"/>
          <c:order val="0"/>
          <c:tx>
            <c:strRef>
              <c:f>'Fig. 26'!$G$4</c:f>
              <c:strCache>
                <c:ptCount val="1"/>
                <c:pt idx="0">
                  <c:v>Members</c:v>
                </c:pt>
              </c:strCache>
            </c:strRef>
          </c:tx>
          <c:spPr>
            <a:solidFill>
              <a:schemeClr val="bg1">
                <a:lumMod val="50000"/>
              </a:schemeClr>
            </a:solidFill>
            <a:ln>
              <a:solidFill>
                <a:sysClr val="windowText" lastClr="000000"/>
              </a:solidFill>
            </a:ln>
          </c:spPr>
          <c:invertIfNegative val="0"/>
          <c:cat>
            <c:numRef>
              <c:f>'Fig. 26'!$H$3:$W$3</c:f>
              <c:numCache>
                <c:formatCode>General</c:formatCode>
                <c:ptCount val="16"/>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numCache>
            </c:numRef>
          </c:cat>
          <c:val>
            <c:numRef>
              <c:f>'Fig. 26'!$H$4:$W$4</c:f>
              <c:numCache>
                <c:formatCode>General</c:formatCode>
                <c:ptCount val="16"/>
                <c:pt idx="0">
                  <c:v>6</c:v>
                </c:pt>
                <c:pt idx="1">
                  <c:v>2</c:v>
                </c:pt>
                <c:pt idx="2">
                  <c:v>1</c:v>
                </c:pt>
                <c:pt idx="3">
                  <c:v>1</c:v>
                </c:pt>
                <c:pt idx="4">
                  <c:v>1</c:v>
                </c:pt>
                <c:pt idx="5">
                  <c:v>2</c:v>
                </c:pt>
                <c:pt idx="6">
                  <c:v>1</c:v>
                </c:pt>
                <c:pt idx="9">
                  <c:v>2</c:v>
                </c:pt>
                <c:pt idx="10">
                  <c:v>1</c:v>
                </c:pt>
                <c:pt idx="11">
                  <c:v>1</c:v>
                </c:pt>
                <c:pt idx="12">
                  <c:v>0</c:v>
                </c:pt>
                <c:pt idx="13">
                  <c:v>0</c:v>
                </c:pt>
                <c:pt idx="14">
                  <c:v>3</c:v>
                </c:pt>
                <c:pt idx="15">
                  <c:v>0</c:v>
                </c:pt>
              </c:numCache>
            </c:numRef>
          </c:val>
        </c:ser>
        <c:ser>
          <c:idx val="1"/>
          <c:order val="1"/>
          <c:tx>
            <c:v>New  members</c:v>
          </c:tx>
          <c:spPr>
            <a:solidFill>
              <a:schemeClr val="bg1">
                <a:lumMod val="85000"/>
              </a:schemeClr>
            </a:solidFill>
            <a:ln>
              <a:solidFill>
                <a:sysClr val="windowText" lastClr="000000"/>
              </a:solidFill>
            </a:ln>
          </c:spPr>
          <c:invertIfNegative val="0"/>
          <c:cat>
            <c:numRef>
              <c:f>'Fig. 26'!$H$3:$W$3</c:f>
              <c:numCache>
                <c:formatCode>General</c:formatCode>
                <c:ptCount val="16"/>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numCache>
            </c:numRef>
          </c:cat>
          <c:val>
            <c:numRef>
              <c:f>'Fig. 26'!$H$5:$W$5</c:f>
              <c:numCache>
                <c:formatCode>General</c:formatCode>
                <c:ptCount val="16"/>
                <c:pt idx="0">
                  <c:v>3</c:v>
                </c:pt>
                <c:pt idx="1">
                  <c:v>1</c:v>
                </c:pt>
                <c:pt idx="2">
                  <c:v>2</c:v>
                </c:pt>
                <c:pt idx="3">
                  <c:v>2</c:v>
                </c:pt>
                <c:pt idx="4">
                  <c:v>2</c:v>
                </c:pt>
                <c:pt idx="5">
                  <c:v>3</c:v>
                </c:pt>
                <c:pt idx="6">
                  <c:v>4</c:v>
                </c:pt>
                <c:pt idx="7">
                  <c:v>2</c:v>
                </c:pt>
                <c:pt idx="8">
                  <c:v>3</c:v>
                </c:pt>
                <c:pt idx="9">
                  <c:v>2</c:v>
                </c:pt>
                <c:pt idx="10">
                  <c:v>1</c:v>
                </c:pt>
                <c:pt idx="11">
                  <c:v>2</c:v>
                </c:pt>
                <c:pt idx="12">
                  <c:v>0</c:v>
                </c:pt>
                <c:pt idx="13">
                  <c:v>2</c:v>
                </c:pt>
                <c:pt idx="14">
                  <c:v>0</c:v>
                </c:pt>
                <c:pt idx="15">
                  <c:v>1</c:v>
                </c:pt>
              </c:numCache>
            </c:numRef>
          </c:val>
        </c:ser>
        <c:dLbls>
          <c:showLegendKey val="0"/>
          <c:showVal val="0"/>
          <c:showCatName val="0"/>
          <c:showSerName val="0"/>
          <c:showPercent val="0"/>
          <c:showBubbleSize val="0"/>
        </c:dLbls>
        <c:gapWidth val="150"/>
        <c:axId val="146158720"/>
        <c:axId val="146160256"/>
      </c:barChart>
      <c:catAx>
        <c:axId val="146158720"/>
        <c:scaling>
          <c:orientation val="minMax"/>
        </c:scaling>
        <c:delete val="0"/>
        <c:axPos val="b"/>
        <c:numFmt formatCode="General" sourceLinked="1"/>
        <c:majorTickMark val="out"/>
        <c:minorTickMark val="none"/>
        <c:tickLblPos val="nextTo"/>
        <c:txPr>
          <a:bodyPr rot="-5400000" vert="horz"/>
          <a:lstStyle/>
          <a:p>
            <a:pPr>
              <a:defRPr sz="700"/>
            </a:pPr>
            <a:endParaRPr lang="en-US"/>
          </a:p>
        </c:txPr>
        <c:crossAx val="146160256"/>
        <c:crosses val="autoZero"/>
        <c:auto val="1"/>
        <c:lblAlgn val="ctr"/>
        <c:lblOffset val="100"/>
        <c:noMultiLvlLbl val="0"/>
      </c:catAx>
      <c:valAx>
        <c:axId val="146160256"/>
        <c:scaling>
          <c:orientation val="minMax"/>
        </c:scaling>
        <c:delete val="0"/>
        <c:axPos val="l"/>
        <c:majorGridlines/>
        <c:numFmt formatCode="General" sourceLinked="1"/>
        <c:majorTickMark val="out"/>
        <c:minorTickMark val="none"/>
        <c:tickLblPos val="nextTo"/>
        <c:txPr>
          <a:bodyPr/>
          <a:lstStyle/>
          <a:p>
            <a:pPr>
              <a:defRPr sz="700"/>
            </a:pPr>
            <a:endParaRPr lang="en-US"/>
          </a:p>
        </c:txPr>
        <c:crossAx val="146158720"/>
        <c:crosses val="autoZero"/>
        <c:crossBetween val="between"/>
      </c:valAx>
      <c:spPr>
        <a:noFill/>
        <a:ln w="25400">
          <a:noFill/>
        </a:ln>
      </c:spPr>
    </c:plotArea>
    <c:legend>
      <c:legendPos val="r"/>
      <c:layout>
        <c:manualLayout>
          <c:xMode val="edge"/>
          <c:yMode val="edge"/>
          <c:x val="0.63599791351002255"/>
          <c:y val="4.4666867100771425E-2"/>
          <c:w val="0.27676362221283851"/>
          <c:h val="0.14231123283502606"/>
        </c:manualLayout>
      </c:layout>
      <c:overlay val="0"/>
      <c:spPr>
        <a:solidFill>
          <a:schemeClr val="bg1"/>
        </a:solidFill>
        <a:ln>
          <a:solidFill>
            <a:schemeClr val="tx1"/>
          </a:solidFill>
        </a:ln>
      </c:spPr>
      <c:txPr>
        <a:bodyPr/>
        <a:lstStyle/>
        <a:p>
          <a:pPr>
            <a:defRPr sz="700"/>
          </a:pPr>
          <a:endParaRPr lang="en-US"/>
        </a:p>
      </c:txPr>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112352891372449E-2"/>
          <c:y val="4.2570534104923632E-2"/>
          <c:w val="0.83948488696977397"/>
          <c:h val="0.76626581918224079"/>
        </c:manualLayout>
      </c:layout>
      <c:barChart>
        <c:barDir val="col"/>
        <c:grouping val="stacked"/>
        <c:varyColors val="0"/>
        <c:ser>
          <c:idx val="0"/>
          <c:order val="0"/>
          <c:tx>
            <c:strRef>
              <c:f>'Regular sessions'!$B$2</c:f>
              <c:strCache>
                <c:ptCount val="1"/>
                <c:pt idx="0">
                  <c:v>Category 1</c:v>
                </c:pt>
              </c:strCache>
            </c:strRef>
          </c:tx>
          <c:spPr>
            <a:solidFill>
              <a:srgbClr val="9999FF"/>
            </a:solidFill>
            <a:ln w="12700">
              <a:solidFill>
                <a:srgbClr val="000000"/>
              </a:solidFill>
              <a:prstDash val="solid"/>
            </a:ln>
          </c:spPr>
          <c:invertIfNegative val="0"/>
          <c:cat>
            <c:strRef>
              <c:f>'Regular sessions'!$A$3:$A$16</c:f>
              <c:strCache>
                <c:ptCount val="14"/>
                <c:pt idx="0">
                  <c:v>2006 S-1</c:v>
                </c:pt>
                <c:pt idx="1">
                  <c:v>2006 S-2</c:v>
                </c:pt>
                <c:pt idx="2">
                  <c:v>2007 S-1</c:v>
                </c:pt>
                <c:pt idx="3">
                  <c:v>2007 S-2</c:v>
                </c:pt>
                <c:pt idx="4">
                  <c:v>2008 S-1</c:v>
                </c:pt>
                <c:pt idx="5">
                  <c:v>2008 S-2</c:v>
                </c:pt>
                <c:pt idx="6">
                  <c:v>2009 S-1</c:v>
                </c:pt>
                <c:pt idx="7">
                  <c:v>2009 S-2</c:v>
                </c:pt>
                <c:pt idx="8">
                  <c:v>2010 S-1</c:v>
                </c:pt>
                <c:pt idx="9">
                  <c:v>2010 S-2</c:v>
                </c:pt>
                <c:pt idx="10">
                  <c:v>2011 S-1</c:v>
                </c:pt>
                <c:pt idx="11">
                  <c:v>2012 S-1</c:v>
                </c:pt>
                <c:pt idx="12">
                  <c:v>2013 S1</c:v>
                </c:pt>
                <c:pt idx="13">
                  <c:v>2013 S2</c:v>
                </c:pt>
              </c:strCache>
            </c:strRef>
          </c:cat>
          <c:val>
            <c:numRef>
              <c:f>'Regular sessions'!$B$3:$B$16</c:f>
              <c:numCache>
                <c:formatCode>General</c:formatCode>
                <c:ptCount val="14"/>
                <c:pt idx="0">
                  <c:v>45</c:v>
                </c:pt>
                <c:pt idx="1">
                  <c:v>90</c:v>
                </c:pt>
                <c:pt idx="2">
                  <c:v>182</c:v>
                </c:pt>
                <c:pt idx="3">
                  <c:v>140</c:v>
                </c:pt>
                <c:pt idx="4">
                  <c:v>146</c:v>
                </c:pt>
                <c:pt idx="5">
                  <c:v>194</c:v>
                </c:pt>
                <c:pt idx="6">
                  <c:v>181</c:v>
                </c:pt>
                <c:pt idx="7">
                  <c:v>182</c:v>
                </c:pt>
                <c:pt idx="8">
                  <c:v>144</c:v>
                </c:pt>
                <c:pt idx="9">
                  <c:v>120</c:v>
                </c:pt>
                <c:pt idx="10">
                  <c:v>154</c:v>
                </c:pt>
                <c:pt idx="11">
                  <c:v>177</c:v>
                </c:pt>
                <c:pt idx="12">
                  <c:v>123</c:v>
                </c:pt>
                <c:pt idx="13">
                  <c:v>125</c:v>
                </c:pt>
              </c:numCache>
            </c:numRef>
          </c:val>
        </c:ser>
        <c:ser>
          <c:idx val="1"/>
          <c:order val="1"/>
          <c:tx>
            <c:strRef>
              <c:f>'Regular sessions'!$C$2</c:f>
              <c:strCache>
                <c:ptCount val="1"/>
                <c:pt idx="0">
                  <c:v>Category 2</c:v>
                </c:pt>
              </c:strCache>
            </c:strRef>
          </c:tx>
          <c:spPr>
            <a:solidFill>
              <a:srgbClr val="993366"/>
            </a:solidFill>
            <a:ln w="12700">
              <a:solidFill>
                <a:srgbClr val="000000"/>
              </a:solidFill>
              <a:prstDash val="solid"/>
            </a:ln>
          </c:spPr>
          <c:invertIfNegative val="0"/>
          <c:cat>
            <c:strRef>
              <c:f>'Regular sessions'!$A$3:$A$16</c:f>
              <c:strCache>
                <c:ptCount val="14"/>
                <c:pt idx="0">
                  <c:v>2006 S-1</c:v>
                </c:pt>
                <c:pt idx="1">
                  <c:v>2006 S-2</c:v>
                </c:pt>
                <c:pt idx="2">
                  <c:v>2007 S-1</c:v>
                </c:pt>
                <c:pt idx="3">
                  <c:v>2007 S-2</c:v>
                </c:pt>
                <c:pt idx="4">
                  <c:v>2008 S-1</c:v>
                </c:pt>
                <c:pt idx="5">
                  <c:v>2008 S-2</c:v>
                </c:pt>
                <c:pt idx="6">
                  <c:v>2009 S-1</c:v>
                </c:pt>
                <c:pt idx="7">
                  <c:v>2009 S-2</c:v>
                </c:pt>
                <c:pt idx="8">
                  <c:v>2010 S-1</c:v>
                </c:pt>
                <c:pt idx="9">
                  <c:v>2010 S-2</c:v>
                </c:pt>
                <c:pt idx="10">
                  <c:v>2011 S-1</c:v>
                </c:pt>
                <c:pt idx="11">
                  <c:v>2012 S-1</c:v>
                </c:pt>
                <c:pt idx="12">
                  <c:v>2013 S1</c:v>
                </c:pt>
                <c:pt idx="13">
                  <c:v>2013 S2</c:v>
                </c:pt>
              </c:strCache>
            </c:strRef>
          </c:cat>
          <c:val>
            <c:numRef>
              <c:f>'Regular sessions'!$C$3:$C$16</c:f>
              <c:numCache>
                <c:formatCode>General</c:formatCode>
                <c:ptCount val="14"/>
                <c:pt idx="0">
                  <c:v>5</c:v>
                </c:pt>
                <c:pt idx="1">
                  <c:v>9</c:v>
                </c:pt>
                <c:pt idx="2">
                  <c:v>13</c:v>
                </c:pt>
                <c:pt idx="3">
                  <c:v>10</c:v>
                </c:pt>
                <c:pt idx="4">
                  <c:v>7</c:v>
                </c:pt>
                <c:pt idx="5">
                  <c:v>19</c:v>
                </c:pt>
                <c:pt idx="6">
                  <c:v>15</c:v>
                </c:pt>
                <c:pt idx="7">
                  <c:v>7</c:v>
                </c:pt>
                <c:pt idx="8">
                  <c:v>13</c:v>
                </c:pt>
                <c:pt idx="9">
                  <c:v>11</c:v>
                </c:pt>
                <c:pt idx="10">
                  <c:v>5</c:v>
                </c:pt>
                <c:pt idx="11">
                  <c:v>6</c:v>
                </c:pt>
                <c:pt idx="12">
                  <c:v>6</c:v>
                </c:pt>
                <c:pt idx="13">
                  <c:v>4</c:v>
                </c:pt>
              </c:numCache>
            </c:numRef>
          </c:val>
        </c:ser>
        <c:ser>
          <c:idx val="2"/>
          <c:order val="2"/>
          <c:tx>
            <c:strRef>
              <c:f>'Regular sessions'!$D$2</c:f>
              <c:strCache>
                <c:ptCount val="1"/>
                <c:pt idx="0">
                  <c:v>Category 3</c:v>
                </c:pt>
              </c:strCache>
            </c:strRef>
          </c:tx>
          <c:spPr>
            <a:solidFill>
              <a:srgbClr val="FFFFCC"/>
            </a:solidFill>
            <a:ln w="12700">
              <a:solidFill>
                <a:srgbClr val="000000"/>
              </a:solidFill>
              <a:prstDash val="solid"/>
            </a:ln>
          </c:spPr>
          <c:invertIfNegative val="0"/>
          <c:cat>
            <c:strRef>
              <c:f>'Regular sessions'!$A$3:$A$16</c:f>
              <c:strCache>
                <c:ptCount val="14"/>
                <c:pt idx="0">
                  <c:v>2006 S-1</c:v>
                </c:pt>
                <c:pt idx="1">
                  <c:v>2006 S-2</c:v>
                </c:pt>
                <c:pt idx="2">
                  <c:v>2007 S-1</c:v>
                </c:pt>
                <c:pt idx="3">
                  <c:v>2007 S-2</c:v>
                </c:pt>
                <c:pt idx="4">
                  <c:v>2008 S-1</c:v>
                </c:pt>
                <c:pt idx="5">
                  <c:v>2008 S-2</c:v>
                </c:pt>
                <c:pt idx="6">
                  <c:v>2009 S-1</c:v>
                </c:pt>
                <c:pt idx="7">
                  <c:v>2009 S-2</c:v>
                </c:pt>
                <c:pt idx="8">
                  <c:v>2010 S-1</c:v>
                </c:pt>
                <c:pt idx="9">
                  <c:v>2010 S-2</c:v>
                </c:pt>
                <c:pt idx="10">
                  <c:v>2011 S-1</c:v>
                </c:pt>
                <c:pt idx="11">
                  <c:v>2012 S-1</c:v>
                </c:pt>
                <c:pt idx="12">
                  <c:v>2013 S1</c:v>
                </c:pt>
                <c:pt idx="13">
                  <c:v>2013 S2</c:v>
                </c:pt>
              </c:strCache>
            </c:strRef>
          </c:cat>
          <c:val>
            <c:numRef>
              <c:f>'Regular sessions'!$D$3:$D$16</c:f>
              <c:numCache>
                <c:formatCode>General</c:formatCode>
                <c:ptCount val="14"/>
                <c:pt idx="0">
                  <c:v>7</c:v>
                </c:pt>
                <c:pt idx="1">
                  <c:v>25</c:v>
                </c:pt>
                <c:pt idx="2">
                  <c:v>9</c:v>
                </c:pt>
                <c:pt idx="3">
                  <c:v>25</c:v>
                </c:pt>
                <c:pt idx="4">
                  <c:v>10</c:v>
                </c:pt>
                <c:pt idx="5">
                  <c:v>19</c:v>
                </c:pt>
                <c:pt idx="6">
                  <c:v>9</c:v>
                </c:pt>
                <c:pt idx="7">
                  <c:v>8</c:v>
                </c:pt>
                <c:pt idx="8">
                  <c:v>6</c:v>
                </c:pt>
                <c:pt idx="9">
                  <c:v>13</c:v>
                </c:pt>
                <c:pt idx="10">
                  <c:v>13</c:v>
                </c:pt>
                <c:pt idx="11">
                  <c:v>9</c:v>
                </c:pt>
                <c:pt idx="12">
                  <c:v>7</c:v>
                </c:pt>
                <c:pt idx="13">
                  <c:v>10</c:v>
                </c:pt>
              </c:numCache>
            </c:numRef>
          </c:val>
        </c:ser>
        <c:ser>
          <c:idx val="3"/>
          <c:order val="3"/>
          <c:tx>
            <c:strRef>
              <c:f>'Regular sessions'!$E$2</c:f>
              <c:strCache>
                <c:ptCount val="1"/>
                <c:pt idx="0">
                  <c:v>Category 4</c:v>
                </c:pt>
              </c:strCache>
            </c:strRef>
          </c:tx>
          <c:spPr>
            <a:solidFill>
              <a:srgbClr val="CCFFFF"/>
            </a:solidFill>
            <a:ln w="12700">
              <a:solidFill>
                <a:srgbClr val="000000"/>
              </a:solidFill>
              <a:prstDash val="solid"/>
            </a:ln>
          </c:spPr>
          <c:invertIfNegative val="0"/>
          <c:cat>
            <c:strRef>
              <c:f>'Regular sessions'!$A$3:$A$16</c:f>
              <c:strCache>
                <c:ptCount val="14"/>
                <c:pt idx="0">
                  <c:v>2006 S-1</c:v>
                </c:pt>
                <c:pt idx="1">
                  <c:v>2006 S-2</c:v>
                </c:pt>
                <c:pt idx="2">
                  <c:v>2007 S-1</c:v>
                </c:pt>
                <c:pt idx="3">
                  <c:v>2007 S-2</c:v>
                </c:pt>
                <c:pt idx="4">
                  <c:v>2008 S-1</c:v>
                </c:pt>
                <c:pt idx="5">
                  <c:v>2008 S-2</c:v>
                </c:pt>
                <c:pt idx="6">
                  <c:v>2009 S-1</c:v>
                </c:pt>
                <c:pt idx="7">
                  <c:v>2009 S-2</c:v>
                </c:pt>
                <c:pt idx="8">
                  <c:v>2010 S-1</c:v>
                </c:pt>
                <c:pt idx="9">
                  <c:v>2010 S-2</c:v>
                </c:pt>
                <c:pt idx="10">
                  <c:v>2011 S-1</c:v>
                </c:pt>
                <c:pt idx="11">
                  <c:v>2012 S-1</c:v>
                </c:pt>
                <c:pt idx="12">
                  <c:v>2013 S1</c:v>
                </c:pt>
                <c:pt idx="13">
                  <c:v>2013 S2</c:v>
                </c:pt>
              </c:strCache>
            </c:strRef>
          </c:cat>
          <c:val>
            <c:numRef>
              <c:f>'Regular sessions'!$E$3:$E$16</c:f>
              <c:numCache>
                <c:formatCode>General</c:formatCode>
                <c:ptCount val="14"/>
                <c:pt idx="10">
                  <c:v>4</c:v>
                </c:pt>
                <c:pt idx="11">
                  <c:v>0</c:v>
                </c:pt>
                <c:pt idx="12">
                  <c:v>2</c:v>
                </c:pt>
                <c:pt idx="13">
                  <c:v>1</c:v>
                </c:pt>
              </c:numCache>
            </c:numRef>
          </c:val>
        </c:ser>
        <c:dLbls>
          <c:showLegendKey val="0"/>
          <c:showVal val="0"/>
          <c:showCatName val="0"/>
          <c:showSerName val="0"/>
          <c:showPercent val="0"/>
          <c:showBubbleSize val="0"/>
        </c:dLbls>
        <c:gapWidth val="150"/>
        <c:overlap val="100"/>
        <c:axId val="146342656"/>
        <c:axId val="146344576"/>
      </c:barChart>
      <c:catAx>
        <c:axId val="146342656"/>
        <c:scaling>
          <c:orientation val="minMax"/>
        </c:scaling>
        <c:delete val="0"/>
        <c:axPos val="b"/>
        <c:title>
          <c:tx>
            <c:rich>
              <a:bodyPr/>
              <a:lstStyle/>
              <a:p>
                <a:pPr>
                  <a:defRPr/>
                </a:pPr>
                <a:r>
                  <a:rPr lang="en-US"/>
                  <a:t>Year / Session (S)</a:t>
                </a:r>
              </a:p>
            </c:rich>
          </c:tx>
          <c:layout>
            <c:manualLayout>
              <c:xMode val="edge"/>
              <c:yMode val="edge"/>
              <c:x val="0.38612784692236052"/>
              <c:y val="0.9535476486491819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a:pPr>
            <a:endParaRPr lang="en-US"/>
          </a:p>
        </c:txPr>
        <c:crossAx val="146344576"/>
        <c:crosses val="autoZero"/>
        <c:auto val="1"/>
        <c:lblAlgn val="ctr"/>
        <c:lblOffset val="100"/>
        <c:tickLblSkip val="1"/>
        <c:tickMarkSkip val="1"/>
        <c:noMultiLvlLbl val="0"/>
      </c:catAx>
      <c:valAx>
        <c:axId val="146344576"/>
        <c:scaling>
          <c:orientation val="minMax"/>
        </c:scaling>
        <c:delete val="0"/>
        <c:axPos val="l"/>
        <c:majorGridlines>
          <c:spPr>
            <a:ln w="3175">
              <a:solidFill>
                <a:srgbClr val="000000"/>
              </a:solidFill>
              <a:prstDash val="solid"/>
            </a:ln>
          </c:spPr>
        </c:majorGridlines>
        <c:title>
          <c:tx>
            <c:rich>
              <a:bodyPr/>
              <a:lstStyle/>
              <a:p>
                <a:pPr>
                  <a:defRPr/>
                </a:pPr>
                <a:r>
                  <a:rPr lang="en-US"/>
                  <a:t>Number of participants</a:t>
                </a:r>
              </a:p>
            </c:rich>
          </c:tx>
          <c:layout>
            <c:manualLayout>
              <c:xMode val="edge"/>
              <c:yMode val="edge"/>
              <c:x val="4.3288459910253169E-3"/>
              <c:y val="0.3301209717206401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146342656"/>
        <c:crosses val="autoZero"/>
        <c:crossBetween val="between"/>
      </c:valAx>
      <c:spPr>
        <a:solidFill>
          <a:srgbClr val="C0C0C0"/>
        </a:solidFill>
        <a:ln w="12700">
          <a:solidFill>
            <a:srgbClr val="808080"/>
          </a:solidFill>
          <a:prstDash val="solid"/>
        </a:ln>
      </c:spPr>
    </c:plotArea>
    <c:legend>
      <c:legendPos val="r"/>
      <c:layout>
        <c:manualLayout>
          <c:xMode val="edge"/>
          <c:yMode val="edge"/>
          <c:x val="0.7991736516806367"/>
          <c:y val="3.514850117419533E-2"/>
          <c:w val="0.17068461603589877"/>
          <c:h val="0.15469421585459711"/>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noFill/>
      <a:prstDash val="solid"/>
    </a:ln>
  </c:spPr>
  <c:txPr>
    <a:bodyPr/>
    <a:lstStyle/>
    <a:p>
      <a:pPr>
        <a:defRPr sz="500" b="0" i="0" u="none" strike="noStrike" baseline="0">
          <a:solidFill>
            <a:srgbClr val="000000"/>
          </a:solidFill>
          <a:latin typeface="Arial"/>
          <a:ea typeface="Arial"/>
          <a:cs typeface="Arial"/>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44918295795958"/>
          <c:y val="5.8099084764663488E-2"/>
          <c:w val="0.8424048779616834"/>
          <c:h val="0.74228904029483356"/>
        </c:manualLayout>
      </c:layout>
      <c:barChart>
        <c:barDir val="col"/>
        <c:grouping val="stacked"/>
        <c:varyColors val="0"/>
        <c:ser>
          <c:idx val="0"/>
          <c:order val="0"/>
          <c:tx>
            <c:strRef>
              <c:f>Language_breakdown!$B$3</c:f>
              <c:strCache>
                <c:ptCount val="1"/>
                <c:pt idx="0">
                  <c:v>English</c:v>
                </c:pt>
              </c:strCache>
            </c:strRef>
          </c:tx>
          <c:spPr>
            <a:solidFill>
              <a:srgbClr val="FF0000"/>
            </a:solidFill>
            <a:ln w="12700">
              <a:solidFill>
                <a:srgbClr val="000000"/>
              </a:solidFill>
              <a:prstDash val="solid"/>
            </a:ln>
          </c:spPr>
          <c:invertIfNegative val="0"/>
          <c:cat>
            <c:strRef>
              <c:f>Language_breakdown!$A$4:$A$18</c:f>
              <c:strCache>
                <c:ptCount val="15"/>
                <c:pt idx="0">
                  <c:v>2006 S-1</c:v>
                </c:pt>
                <c:pt idx="1">
                  <c:v>2006 S-2</c:v>
                </c:pt>
                <c:pt idx="2">
                  <c:v>2007 S-1</c:v>
                </c:pt>
                <c:pt idx="3">
                  <c:v>2007 S-2</c:v>
                </c:pt>
                <c:pt idx="4">
                  <c:v>2008 S-1</c:v>
                </c:pt>
                <c:pt idx="5">
                  <c:v>2008 S-2</c:v>
                </c:pt>
                <c:pt idx="6">
                  <c:v>2009 S-1</c:v>
                </c:pt>
                <c:pt idx="7">
                  <c:v>2009 S-2</c:v>
                </c:pt>
                <c:pt idx="8">
                  <c:v>2010 S-1</c:v>
                </c:pt>
                <c:pt idx="9">
                  <c:v>2010 S-2</c:v>
                </c:pt>
                <c:pt idx="10">
                  <c:v>2011 S-1</c:v>
                </c:pt>
                <c:pt idx="11">
                  <c:v>2012 S-1</c:v>
                </c:pt>
                <c:pt idx="12">
                  <c:v>2012 S-2</c:v>
                </c:pt>
                <c:pt idx="13">
                  <c:v>2013 S-1</c:v>
                </c:pt>
                <c:pt idx="14">
                  <c:v>2013 S-2</c:v>
                </c:pt>
              </c:strCache>
            </c:strRef>
          </c:cat>
          <c:val>
            <c:numRef>
              <c:f>Language_breakdown!$B$4:$B$18</c:f>
              <c:numCache>
                <c:formatCode>General</c:formatCode>
                <c:ptCount val="15"/>
                <c:pt idx="0">
                  <c:v>45</c:v>
                </c:pt>
                <c:pt idx="1">
                  <c:v>63</c:v>
                </c:pt>
                <c:pt idx="2">
                  <c:v>78</c:v>
                </c:pt>
                <c:pt idx="3">
                  <c:v>112</c:v>
                </c:pt>
                <c:pt idx="4">
                  <c:v>101</c:v>
                </c:pt>
                <c:pt idx="5">
                  <c:v>114</c:v>
                </c:pt>
                <c:pt idx="6">
                  <c:v>85</c:v>
                </c:pt>
                <c:pt idx="7">
                  <c:v>64</c:v>
                </c:pt>
                <c:pt idx="8">
                  <c:v>60</c:v>
                </c:pt>
                <c:pt idx="9">
                  <c:v>53</c:v>
                </c:pt>
                <c:pt idx="10">
                  <c:v>68</c:v>
                </c:pt>
                <c:pt idx="11">
                  <c:v>63</c:v>
                </c:pt>
                <c:pt idx="12">
                  <c:v>95</c:v>
                </c:pt>
                <c:pt idx="13">
                  <c:v>48</c:v>
                </c:pt>
                <c:pt idx="14">
                  <c:v>61</c:v>
                </c:pt>
              </c:numCache>
            </c:numRef>
          </c:val>
        </c:ser>
        <c:ser>
          <c:idx val="1"/>
          <c:order val="1"/>
          <c:tx>
            <c:strRef>
              <c:f>Language_breakdown!$C$3</c:f>
              <c:strCache>
                <c:ptCount val="1"/>
                <c:pt idx="0">
                  <c:v>French</c:v>
                </c:pt>
              </c:strCache>
            </c:strRef>
          </c:tx>
          <c:spPr>
            <a:solidFill>
              <a:srgbClr val="3366FF"/>
            </a:solidFill>
            <a:ln w="12700">
              <a:solidFill>
                <a:srgbClr val="000000"/>
              </a:solidFill>
              <a:prstDash val="solid"/>
            </a:ln>
          </c:spPr>
          <c:invertIfNegative val="0"/>
          <c:cat>
            <c:strRef>
              <c:f>Language_breakdown!$A$4:$A$18</c:f>
              <c:strCache>
                <c:ptCount val="15"/>
                <c:pt idx="0">
                  <c:v>2006 S-1</c:v>
                </c:pt>
                <c:pt idx="1">
                  <c:v>2006 S-2</c:v>
                </c:pt>
                <c:pt idx="2">
                  <c:v>2007 S-1</c:v>
                </c:pt>
                <c:pt idx="3">
                  <c:v>2007 S-2</c:v>
                </c:pt>
                <c:pt idx="4">
                  <c:v>2008 S-1</c:v>
                </c:pt>
                <c:pt idx="5">
                  <c:v>2008 S-2</c:v>
                </c:pt>
                <c:pt idx="6">
                  <c:v>2009 S-1</c:v>
                </c:pt>
                <c:pt idx="7">
                  <c:v>2009 S-2</c:v>
                </c:pt>
                <c:pt idx="8">
                  <c:v>2010 S-1</c:v>
                </c:pt>
                <c:pt idx="9">
                  <c:v>2010 S-2</c:v>
                </c:pt>
                <c:pt idx="10">
                  <c:v>2011 S-1</c:v>
                </c:pt>
                <c:pt idx="11">
                  <c:v>2012 S-1</c:v>
                </c:pt>
                <c:pt idx="12">
                  <c:v>2012 S-2</c:v>
                </c:pt>
                <c:pt idx="13">
                  <c:v>2013 S-1</c:v>
                </c:pt>
                <c:pt idx="14">
                  <c:v>2013 S-2</c:v>
                </c:pt>
              </c:strCache>
            </c:strRef>
          </c:cat>
          <c:val>
            <c:numRef>
              <c:f>Language_breakdown!$C$4:$C$18</c:f>
              <c:numCache>
                <c:formatCode>General</c:formatCode>
                <c:ptCount val="15"/>
                <c:pt idx="0">
                  <c:v>1</c:v>
                </c:pt>
                <c:pt idx="1">
                  <c:v>12</c:v>
                </c:pt>
                <c:pt idx="2">
                  <c:v>14</c:v>
                </c:pt>
                <c:pt idx="3">
                  <c:v>10</c:v>
                </c:pt>
                <c:pt idx="4">
                  <c:v>6</c:v>
                </c:pt>
                <c:pt idx="5">
                  <c:v>3</c:v>
                </c:pt>
                <c:pt idx="6">
                  <c:v>5</c:v>
                </c:pt>
                <c:pt idx="7">
                  <c:v>4</c:v>
                </c:pt>
                <c:pt idx="8">
                  <c:v>3</c:v>
                </c:pt>
                <c:pt idx="9">
                  <c:v>11</c:v>
                </c:pt>
                <c:pt idx="10">
                  <c:v>7</c:v>
                </c:pt>
                <c:pt idx="11">
                  <c:v>4</c:v>
                </c:pt>
                <c:pt idx="12">
                  <c:v>11</c:v>
                </c:pt>
                <c:pt idx="13">
                  <c:v>11</c:v>
                </c:pt>
                <c:pt idx="14">
                  <c:v>6</c:v>
                </c:pt>
              </c:numCache>
            </c:numRef>
          </c:val>
        </c:ser>
        <c:ser>
          <c:idx val="2"/>
          <c:order val="2"/>
          <c:tx>
            <c:strRef>
              <c:f>Language_breakdown!$D$3</c:f>
              <c:strCache>
                <c:ptCount val="1"/>
                <c:pt idx="0">
                  <c:v>German</c:v>
                </c:pt>
              </c:strCache>
            </c:strRef>
          </c:tx>
          <c:spPr>
            <a:solidFill>
              <a:srgbClr val="FFFFFF"/>
            </a:solidFill>
            <a:ln w="12700">
              <a:solidFill>
                <a:srgbClr val="000000"/>
              </a:solidFill>
              <a:prstDash val="solid"/>
            </a:ln>
          </c:spPr>
          <c:invertIfNegative val="0"/>
          <c:cat>
            <c:strRef>
              <c:f>Language_breakdown!$A$4:$A$18</c:f>
              <c:strCache>
                <c:ptCount val="15"/>
                <c:pt idx="0">
                  <c:v>2006 S-1</c:v>
                </c:pt>
                <c:pt idx="1">
                  <c:v>2006 S-2</c:v>
                </c:pt>
                <c:pt idx="2">
                  <c:v>2007 S-1</c:v>
                </c:pt>
                <c:pt idx="3">
                  <c:v>2007 S-2</c:v>
                </c:pt>
                <c:pt idx="4">
                  <c:v>2008 S-1</c:v>
                </c:pt>
                <c:pt idx="5">
                  <c:v>2008 S-2</c:v>
                </c:pt>
                <c:pt idx="6">
                  <c:v>2009 S-1</c:v>
                </c:pt>
                <c:pt idx="7">
                  <c:v>2009 S-2</c:v>
                </c:pt>
                <c:pt idx="8">
                  <c:v>2010 S-1</c:v>
                </c:pt>
                <c:pt idx="9">
                  <c:v>2010 S-2</c:v>
                </c:pt>
                <c:pt idx="10">
                  <c:v>2011 S-1</c:v>
                </c:pt>
                <c:pt idx="11">
                  <c:v>2012 S-1</c:v>
                </c:pt>
                <c:pt idx="12">
                  <c:v>2012 S-2</c:v>
                </c:pt>
                <c:pt idx="13">
                  <c:v>2013 S-1</c:v>
                </c:pt>
                <c:pt idx="14">
                  <c:v>2013 S-2</c:v>
                </c:pt>
              </c:strCache>
            </c:strRef>
          </c:cat>
          <c:val>
            <c:numRef>
              <c:f>Language_breakdown!$D$4:$D$18</c:f>
              <c:numCache>
                <c:formatCode>General</c:formatCode>
                <c:ptCount val="15"/>
                <c:pt idx="1">
                  <c:v>5</c:v>
                </c:pt>
                <c:pt idx="2">
                  <c:v>3</c:v>
                </c:pt>
                <c:pt idx="3">
                  <c:v>4</c:v>
                </c:pt>
                <c:pt idx="4">
                  <c:v>2</c:v>
                </c:pt>
                <c:pt idx="5">
                  <c:v>6</c:v>
                </c:pt>
                <c:pt idx="6">
                  <c:v>4</c:v>
                </c:pt>
                <c:pt idx="7">
                  <c:v>3</c:v>
                </c:pt>
                <c:pt idx="8">
                  <c:v>0</c:v>
                </c:pt>
                <c:pt idx="9">
                  <c:v>4</c:v>
                </c:pt>
                <c:pt idx="10">
                  <c:v>1</c:v>
                </c:pt>
                <c:pt idx="11">
                  <c:v>0</c:v>
                </c:pt>
                <c:pt idx="12">
                  <c:v>0</c:v>
                </c:pt>
                <c:pt idx="13">
                  <c:v>2</c:v>
                </c:pt>
                <c:pt idx="14">
                  <c:v>3</c:v>
                </c:pt>
              </c:numCache>
            </c:numRef>
          </c:val>
        </c:ser>
        <c:ser>
          <c:idx val="3"/>
          <c:order val="3"/>
          <c:tx>
            <c:strRef>
              <c:f>Language_breakdown!$E$3</c:f>
              <c:strCache>
                <c:ptCount val="1"/>
                <c:pt idx="0">
                  <c:v>Spanish</c:v>
                </c:pt>
              </c:strCache>
            </c:strRef>
          </c:tx>
          <c:spPr>
            <a:solidFill>
              <a:srgbClr val="00FF00"/>
            </a:solidFill>
            <a:ln w="12700">
              <a:solidFill>
                <a:srgbClr val="000000"/>
              </a:solidFill>
              <a:prstDash val="solid"/>
            </a:ln>
          </c:spPr>
          <c:invertIfNegative val="0"/>
          <c:cat>
            <c:strRef>
              <c:f>Language_breakdown!$A$4:$A$18</c:f>
              <c:strCache>
                <c:ptCount val="15"/>
                <c:pt idx="0">
                  <c:v>2006 S-1</c:v>
                </c:pt>
                <c:pt idx="1">
                  <c:v>2006 S-2</c:v>
                </c:pt>
                <c:pt idx="2">
                  <c:v>2007 S-1</c:v>
                </c:pt>
                <c:pt idx="3">
                  <c:v>2007 S-2</c:v>
                </c:pt>
                <c:pt idx="4">
                  <c:v>2008 S-1</c:v>
                </c:pt>
                <c:pt idx="5">
                  <c:v>2008 S-2</c:v>
                </c:pt>
                <c:pt idx="6">
                  <c:v>2009 S-1</c:v>
                </c:pt>
                <c:pt idx="7">
                  <c:v>2009 S-2</c:v>
                </c:pt>
                <c:pt idx="8">
                  <c:v>2010 S-1</c:v>
                </c:pt>
                <c:pt idx="9">
                  <c:v>2010 S-2</c:v>
                </c:pt>
                <c:pt idx="10">
                  <c:v>2011 S-1</c:v>
                </c:pt>
                <c:pt idx="11">
                  <c:v>2012 S-1</c:v>
                </c:pt>
                <c:pt idx="12">
                  <c:v>2012 S-2</c:v>
                </c:pt>
                <c:pt idx="13">
                  <c:v>2013 S-1</c:v>
                </c:pt>
                <c:pt idx="14">
                  <c:v>2013 S-2</c:v>
                </c:pt>
              </c:strCache>
            </c:strRef>
          </c:cat>
          <c:val>
            <c:numRef>
              <c:f>Language_breakdown!$E$4:$E$18</c:f>
              <c:numCache>
                <c:formatCode>General</c:formatCode>
                <c:ptCount val="15"/>
                <c:pt idx="0">
                  <c:v>11</c:v>
                </c:pt>
                <c:pt idx="1">
                  <c:v>44</c:v>
                </c:pt>
                <c:pt idx="2">
                  <c:v>109</c:v>
                </c:pt>
                <c:pt idx="3">
                  <c:v>49</c:v>
                </c:pt>
                <c:pt idx="4">
                  <c:v>54</c:v>
                </c:pt>
                <c:pt idx="5">
                  <c:v>109</c:v>
                </c:pt>
                <c:pt idx="6">
                  <c:v>111</c:v>
                </c:pt>
                <c:pt idx="7">
                  <c:v>126</c:v>
                </c:pt>
                <c:pt idx="8">
                  <c:v>100</c:v>
                </c:pt>
                <c:pt idx="9">
                  <c:v>76</c:v>
                </c:pt>
                <c:pt idx="10">
                  <c:v>96</c:v>
                </c:pt>
                <c:pt idx="11">
                  <c:v>125</c:v>
                </c:pt>
                <c:pt idx="12">
                  <c:v>72</c:v>
                </c:pt>
                <c:pt idx="13">
                  <c:v>77</c:v>
                </c:pt>
                <c:pt idx="14">
                  <c:v>70</c:v>
                </c:pt>
              </c:numCache>
            </c:numRef>
          </c:val>
        </c:ser>
        <c:dLbls>
          <c:showLegendKey val="0"/>
          <c:showVal val="0"/>
          <c:showCatName val="0"/>
          <c:showSerName val="0"/>
          <c:showPercent val="0"/>
          <c:showBubbleSize val="0"/>
        </c:dLbls>
        <c:gapWidth val="150"/>
        <c:overlap val="100"/>
        <c:axId val="146486400"/>
        <c:axId val="146488320"/>
      </c:barChart>
      <c:catAx>
        <c:axId val="146486400"/>
        <c:scaling>
          <c:orientation val="minMax"/>
        </c:scaling>
        <c:delete val="0"/>
        <c:axPos val="b"/>
        <c:title>
          <c:tx>
            <c:rich>
              <a:bodyPr/>
              <a:lstStyle/>
              <a:p>
                <a:pPr>
                  <a:defRPr/>
                </a:pPr>
                <a:r>
                  <a:rPr lang="en-US"/>
                  <a:t>Year / Session (S)</a:t>
                </a:r>
              </a:p>
            </c:rich>
          </c:tx>
          <c:layout>
            <c:manualLayout>
              <c:xMode val="edge"/>
              <c:yMode val="edge"/>
              <c:x val="0.45578302712160979"/>
              <c:y val="0.9315616117933445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a:pPr>
            <a:endParaRPr lang="en-US"/>
          </a:p>
        </c:txPr>
        <c:crossAx val="146488320"/>
        <c:crosses val="autoZero"/>
        <c:auto val="1"/>
        <c:lblAlgn val="ctr"/>
        <c:lblOffset val="100"/>
        <c:tickLblSkip val="1"/>
        <c:tickMarkSkip val="1"/>
        <c:noMultiLvlLbl val="0"/>
      </c:catAx>
      <c:valAx>
        <c:axId val="146488320"/>
        <c:scaling>
          <c:orientation val="minMax"/>
        </c:scaling>
        <c:delete val="0"/>
        <c:axPos val="l"/>
        <c:majorGridlines>
          <c:spPr>
            <a:ln w="3175">
              <a:solidFill>
                <a:srgbClr val="000000"/>
              </a:solidFill>
              <a:prstDash val="solid"/>
            </a:ln>
          </c:spPr>
        </c:majorGridlines>
        <c:title>
          <c:tx>
            <c:rich>
              <a:bodyPr/>
              <a:lstStyle/>
              <a:p>
                <a:pPr>
                  <a:defRPr/>
                </a:pPr>
                <a:r>
                  <a:rPr lang="en-US"/>
                  <a:t>Participants by language</a:t>
                </a:r>
              </a:p>
            </c:rich>
          </c:tx>
          <c:layout>
            <c:manualLayout>
              <c:xMode val="edge"/>
              <c:yMode val="edge"/>
              <c:x val="1.3605442176870748E-2"/>
              <c:y val="0.2701899827288428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146486400"/>
        <c:crosses val="autoZero"/>
        <c:crossBetween val="between"/>
      </c:valAx>
      <c:spPr>
        <a:solidFill>
          <a:srgbClr val="C0C0C0"/>
        </a:solidFill>
        <a:ln w="12700">
          <a:solidFill>
            <a:srgbClr val="808080"/>
          </a:solidFill>
          <a:prstDash val="solid"/>
        </a:ln>
      </c:spPr>
    </c:plotArea>
    <c:legend>
      <c:legendPos val="r"/>
      <c:layout>
        <c:manualLayout>
          <c:xMode val="edge"/>
          <c:yMode val="edge"/>
          <c:x val="0.62074972771260728"/>
          <c:y val="6.4898480954129437E-2"/>
          <c:w val="0.2295920152838038"/>
          <c:h val="0.13081854405505008"/>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noFill/>
      <a:prstDash val="solid"/>
    </a:ln>
  </c:spPr>
  <c:txPr>
    <a:bodyPr/>
    <a:lstStyle/>
    <a:p>
      <a:pPr>
        <a:defRPr sz="500" b="0" i="0" u="none" strike="noStrike" baseline="0">
          <a:solidFill>
            <a:srgbClr val="000000"/>
          </a:solidFill>
          <a:latin typeface="Arial"/>
          <a:ea typeface="Arial"/>
          <a:cs typeface="Arial"/>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047043482621994E-2"/>
          <c:y val="3.3409263477600606E-2"/>
          <c:w val="0.90375695872410855"/>
          <c:h val="0.84212604403948366"/>
        </c:manualLayout>
      </c:layout>
      <c:barChart>
        <c:barDir val="col"/>
        <c:grouping val="clustered"/>
        <c:varyColors val="0"/>
        <c:ser>
          <c:idx val="0"/>
          <c:order val="0"/>
          <c:tx>
            <c:strRef>
              <c:f>'fig_31_&amp;_table'!$B$7</c:f>
              <c:strCache>
                <c:ptCount val="1"/>
                <c:pt idx="0">
                  <c:v>Income</c:v>
                </c:pt>
              </c:strCache>
            </c:strRef>
          </c:tx>
          <c:spPr>
            <a:gradFill>
              <a:gsLst>
                <a:gs pos="0">
                  <a:srgbClr val="339966"/>
                </a:gs>
                <a:gs pos="100000">
                  <a:srgbClr xmlns:mc="http://schemas.openxmlformats.org/markup-compatibility/2006" xmlns:a14="http://schemas.microsoft.com/office/drawing/2010/main" val="333333" mc:Ignorable="a14" a14:legacySpreadsheetColorIndex="63"/>
                </a:gs>
              </a:gsLst>
              <a:lin ang="0" scaled="1"/>
            </a:gradFill>
            <a:ln>
              <a:solidFill>
                <a:schemeClr val="tx1"/>
              </a:solidFill>
            </a:ln>
          </c:spPr>
          <c:invertIfNegative val="0"/>
          <c:cat>
            <c:numRef>
              <c:f>'fig_31_&amp;_table'!$C$6:$P$6</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'fig_31_&amp;_table'!$C$7:$P$7</c:f>
              <c:numCache>
                <c:formatCode>#,##0</c:formatCode>
                <c:ptCount val="14"/>
                <c:pt idx="0">
                  <c:v>3084</c:v>
                </c:pt>
                <c:pt idx="1">
                  <c:v>2951</c:v>
                </c:pt>
                <c:pt idx="2">
                  <c:v>2991</c:v>
                </c:pt>
                <c:pt idx="3">
                  <c:v>3052</c:v>
                </c:pt>
                <c:pt idx="4">
                  <c:v>3355</c:v>
                </c:pt>
                <c:pt idx="5">
                  <c:v>3406</c:v>
                </c:pt>
                <c:pt idx="6">
                  <c:v>3378</c:v>
                </c:pt>
                <c:pt idx="7">
                  <c:v>3393</c:v>
                </c:pt>
                <c:pt idx="8">
                  <c:v>3378</c:v>
                </c:pt>
                <c:pt idx="9">
                  <c:v>3393</c:v>
                </c:pt>
                <c:pt idx="10">
                  <c:v>3389</c:v>
                </c:pt>
                <c:pt idx="11">
                  <c:v>3403</c:v>
                </c:pt>
                <c:pt idx="12">
                  <c:v>3414.9</c:v>
                </c:pt>
                <c:pt idx="13">
                  <c:v>3425.6</c:v>
                </c:pt>
              </c:numCache>
            </c:numRef>
          </c:val>
        </c:ser>
        <c:ser>
          <c:idx val="1"/>
          <c:order val="1"/>
          <c:tx>
            <c:strRef>
              <c:f>'fig_31_&amp;_table'!$B$8</c:f>
              <c:strCache>
                <c:ptCount val="1"/>
                <c:pt idx="0">
                  <c:v>Expenditure</c:v>
                </c:pt>
              </c:strCache>
            </c:strRef>
          </c:tx>
          <c:spPr>
            <a:gradFill>
              <a:gsLst>
                <a:gs pos="0">
                  <a:srgbClr xmlns:mc="http://schemas.openxmlformats.org/markup-compatibility/2006" xmlns:a14="http://schemas.microsoft.com/office/drawing/2010/main" val="33CCCC" mc:Ignorable="a14" a14:legacySpreadsheetColorIndex="49"/>
                </a:gs>
                <a:gs pos="100000">
                  <a:srgbClr xmlns:mc="http://schemas.openxmlformats.org/markup-compatibility/2006" xmlns:a14="http://schemas.microsoft.com/office/drawing/2010/main" val="CCFFCC" mc:Ignorable="a14" a14:legacySpreadsheetColorIndex="42"/>
                </a:gs>
              </a:gsLst>
              <a:lin ang="0" scaled="1"/>
            </a:gradFill>
            <a:ln>
              <a:solidFill>
                <a:schemeClr val="tx1"/>
              </a:solidFill>
            </a:ln>
          </c:spPr>
          <c:invertIfNegative val="0"/>
          <c:cat>
            <c:numRef>
              <c:f>'fig_31_&amp;_table'!$C$6:$P$6</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'fig_31_&amp;_table'!$C$8:$P$8</c:f>
              <c:numCache>
                <c:formatCode>#,##0</c:formatCode>
                <c:ptCount val="14"/>
                <c:pt idx="0">
                  <c:v>3621</c:v>
                </c:pt>
                <c:pt idx="1">
                  <c:v>3504</c:v>
                </c:pt>
                <c:pt idx="2">
                  <c:v>2996</c:v>
                </c:pt>
                <c:pt idx="3">
                  <c:v>3030</c:v>
                </c:pt>
                <c:pt idx="4">
                  <c:v>2930</c:v>
                </c:pt>
                <c:pt idx="5">
                  <c:v>3284</c:v>
                </c:pt>
                <c:pt idx="6">
                  <c:v>3034</c:v>
                </c:pt>
                <c:pt idx="7">
                  <c:v>3347</c:v>
                </c:pt>
                <c:pt idx="8">
                  <c:v>3034</c:v>
                </c:pt>
                <c:pt idx="9">
                  <c:v>3347</c:v>
                </c:pt>
                <c:pt idx="10">
                  <c:v>2955</c:v>
                </c:pt>
                <c:pt idx="11">
                  <c:v>3330</c:v>
                </c:pt>
                <c:pt idx="12">
                  <c:v>3414.9</c:v>
                </c:pt>
                <c:pt idx="13">
                  <c:v>3425.6</c:v>
                </c:pt>
              </c:numCache>
            </c:numRef>
          </c:val>
        </c:ser>
        <c:ser>
          <c:idx val="2"/>
          <c:order val="2"/>
          <c:tx>
            <c:strRef>
              <c:f>'fig_31_&amp;_table'!$B$11</c:f>
              <c:strCache>
                <c:ptCount val="1"/>
                <c:pt idx="0">
                  <c:v>WCF</c:v>
                </c:pt>
              </c:strCache>
            </c:strRef>
          </c:tx>
          <c:spPr>
            <a:gradFill>
              <a:gsLst>
                <a:gs pos="0">
                  <a:srgbClr xmlns:mc="http://schemas.openxmlformats.org/markup-compatibility/2006" xmlns:a14="http://schemas.microsoft.com/office/drawing/2010/main" val="FF99CC" mc:Ignorable="a14" a14:legacySpreadsheetColorIndex="45"/>
                </a:gs>
                <a:gs pos="50000">
                  <a:srgbClr xmlns:mc="http://schemas.openxmlformats.org/markup-compatibility/2006" xmlns:a14="http://schemas.microsoft.com/office/drawing/2010/main" val="993366" mc:Ignorable="a14" a14:legacySpreadsheetColorIndex="61"/>
                </a:gs>
                <a:gs pos="100000">
                  <a:srgbClr xmlns:mc="http://schemas.openxmlformats.org/markup-compatibility/2006" xmlns:a14="http://schemas.microsoft.com/office/drawing/2010/main" val="FF99CC" mc:Ignorable="a14" a14:legacySpreadsheetColorIndex="45"/>
                </a:gs>
              </a:gsLst>
              <a:lin ang="0" scaled="1"/>
            </a:gradFill>
            <a:ln>
              <a:solidFill>
                <a:schemeClr val="tx1"/>
              </a:solidFill>
            </a:ln>
          </c:spPr>
          <c:invertIfNegative val="0"/>
          <c:cat>
            <c:numRef>
              <c:f>'fig_31_&amp;_table'!$C$6:$P$6</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'fig_31_&amp;_table'!$C$11:$P$11</c:f>
              <c:numCache>
                <c:formatCode>General</c:formatCode>
                <c:ptCount val="14"/>
                <c:pt idx="3" formatCode="#,##0">
                  <c:v>465</c:v>
                </c:pt>
                <c:pt idx="5" formatCode="#,##0">
                  <c:v>513</c:v>
                </c:pt>
                <c:pt idx="7" formatCode="#,##0">
                  <c:v>520.4</c:v>
                </c:pt>
                <c:pt idx="9" formatCode="#,##0">
                  <c:v>520.4</c:v>
                </c:pt>
                <c:pt idx="11" formatCode="#,##0">
                  <c:v>540</c:v>
                </c:pt>
                <c:pt idx="13" formatCode="#,##0">
                  <c:v>545.20000000000005</c:v>
                </c:pt>
              </c:numCache>
            </c:numRef>
          </c:val>
        </c:ser>
        <c:dLbls>
          <c:showLegendKey val="0"/>
          <c:showVal val="0"/>
          <c:showCatName val="0"/>
          <c:showSerName val="0"/>
          <c:showPercent val="0"/>
          <c:showBubbleSize val="0"/>
        </c:dLbls>
        <c:gapWidth val="150"/>
        <c:axId val="146634240"/>
        <c:axId val="146635776"/>
      </c:barChart>
      <c:barChart>
        <c:barDir val="col"/>
        <c:grouping val="clustered"/>
        <c:varyColors val="0"/>
        <c:ser>
          <c:idx val="3"/>
          <c:order val="3"/>
          <c:tx>
            <c:strRef>
              <c:f>'fig_31_&amp;_table'!$B$12</c:f>
              <c:strCache>
                <c:ptCount val="1"/>
                <c:pt idx="0">
                  <c:v>Reserve Fund</c:v>
                </c:pt>
              </c:strCache>
            </c:strRef>
          </c:tx>
          <c:spPr>
            <a:gradFill>
              <a:gsLst>
                <a:gs pos="0">
                  <a:srgbClr xmlns:mc="http://schemas.openxmlformats.org/markup-compatibility/2006" xmlns:a14="http://schemas.microsoft.com/office/drawing/2010/main" val="CCFFCC" mc:Ignorable="a14" a14:legacySpreadsheetColorIndex="42"/>
                </a:gs>
                <a:gs pos="100000">
                  <a:srgbClr xmlns:mc="http://schemas.openxmlformats.org/markup-compatibility/2006" xmlns:a14="http://schemas.microsoft.com/office/drawing/2010/main" val="FFFFCC" mc:Ignorable="a14" a14:legacySpreadsheetColorIndex="26"/>
                </a:gs>
              </a:gsLst>
              <a:lin ang="0" scaled="1"/>
            </a:gradFill>
            <a:ln>
              <a:solidFill>
                <a:schemeClr val="tx1"/>
              </a:solidFill>
            </a:ln>
          </c:spPr>
          <c:invertIfNegative val="0"/>
          <c:cat>
            <c:numRef>
              <c:f>'fig_31_&amp;_table'!$C$6:$P$6</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'fig_31_&amp;_table'!$C$12:$P$12</c:f>
              <c:numCache>
                <c:formatCode>General</c:formatCode>
                <c:ptCount val="14"/>
                <c:pt idx="3" formatCode="#,##0">
                  <c:v>100</c:v>
                </c:pt>
                <c:pt idx="5" formatCode="#,##0">
                  <c:v>647</c:v>
                </c:pt>
                <c:pt idx="7" formatCode="#,##0">
                  <c:v>1037.2</c:v>
                </c:pt>
                <c:pt idx="9" formatCode="#,##0">
                  <c:v>1037.2</c:v>
                </c:pt>
                <c:pt idx="11" formatCode="#,##0">
                  <c:v>1204</c:v>
                </c:pt>
                <c:pt idx="13" formatCode="#,##0">
                  <c:v>1037.2</c:v>
                </c:pt>
              </c:numCache>
            </c:numRef>
          </c:val>
        </c:ser>
        <c:dLbls>
          <c:showLegendKey val="0"/>
          <c:showVal val="0"/>
          <c:showCatName val="0"/>
          <c:showSerName val="0"/>
          <c:showPercent val="0"/>
          <c:showBubbleSize val="0"/>
        </c:dLbls>
        <c:gapWidth val="150"/>
        <c:axId val="146651392"/>
        <c:axId val="146649856"/>
      </c:barChart>
      <c:lineChart>
        <c:grouping val="standard"/>
        <c:varyColors val="0"/>
        <c:ser>
          <c:idx val="4"/>
          <c:order val="4"/>
          <c:tx>
            <c:strRef>
              <c:f>'fig_31_&amp;_table'!$B$17</c:f>
              <c:strCache>
                <c:ptCount val="1"/>
                <c:pt idx="0">
                  <c:v>Reserve Ceiling as % of income (15%)*</c:v>
                </c:pt>
              </c:strCache>
            </c:strRef>
          </c:tx>
          <c:spPr>
            <a:ln w="25400">
              <a:solidFill>
                <a:srgbClr val="0000FF"/>
              </a:solidFill>
            </a:ln>
          </c:spPr>
          <c:marker>
            <c:symbol val="none"/>
          </c:marker>
          <c:dLbls>
            <c:dLbl>
              <c:idx val="11"/>
              <c:layout>
                <c:manualLayout>
                  <c:x val="-1.6317016317016316E-2"/>
                  <c:y val="-2.7334851936218679E-2"/>
                </c:manualLayout>
              </c:layout>
              <c:showLegendKey val="0"/>
              <c:showVal val="1"/>
              <c:showCatName val="0"/>
              <c:showSerName val="0"/>
              <c:showPercent val="0"/>
              <c:showBubbleSize val="0"/>
            </c:dLbl>
            <c:dLbl>
              <c:idx val="13"/>
              <c:layout>
                <c:manualLayout>
                  <c:x val="-2.331002331002331E-3"/>
                  <c:y val="-2.7334851936218679E-2"/>
                </c:manualLayout>
              </c:layout>
              <c:tx>
                <c:rich>
                  <a:bodyPr/>
                  <a:lstStyle/>
                  <a:p>
                    <a:r>
                      <a:rPr lang="en-US"/>
                      <a:t>                1'026</a:t>
                    </a:r>
                  </a:p>
                </c:rich>
              </c:tx>
              <c:showLegendKey val="0"/>
              <c:showVal val="1"/>
              <c:showCatName val="0"/>
              <c:showSerName val="0"/>
              <c:showPercent val="0"/>
              <c:showBubbleSize val="0"/>
            </c:dLbl>
            <c:txPr>
              <a:bodyPr/>
              <a:lstStyle/>
              <a:p>
                <a:pPr>
                  <a:defRPr sz="700"/>
                </a:pPr>
                <a:endParaRPr lang="en-US"/>
              </a:p>
            </c:txPr>
            <c:showLegendKey val="0"/>
            <c:showVal val="1"/>
            <c:showCatName val="0"/>
            <c:showSerName val="0"/>
            <c:showPercent val="0"/>
            <c:showBubbleSize val="0"/>
            <c:showLeaderLines val="0"/>
          </c:dLbls>
          <c:cat>
            <c:numRef>
              <c:f>'fig_31_&amp;_table'!$C$6:$P$6</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'fig_31_&amp;_table'!$C$17:$P$17</c:f>
              <c:numCache>
                <c:formatCode>General</c:formatCode>
                <c:ptCount val="14"/>
                <c:pt idx="11" formatCode="#,##0">
                  <c:v>1020.4499999999999</c:v>
                </c:pt>
                <c:pt idx="13" formatCode="#,##0">
                  <c:v>1026.075</c:v>
                </c:pt>
              </c:numCache>
            </c:numRef>
          </c:val>
          <c:smooth val="0"/>
        </c:ser>
        <c:dLbls>
          <c:showLegendKey val="0"/>
          <c:showVal val="0"/>
          <c:showCatName val="0"/>
          <c:showSerName val="0"/>
          <c:showPercent val="0"/>
          <c:showBubbleSize val="0"/>
        </c:dLbls>
        <c:marker val="1"/>
        <c:smooth val="0"/>
        <c:axId val="146651392"/>
        <c:axId val="146649856"/>
      </c:lineChart>
      <c:catAx>
        <c:axId val="146634240"/>
        <c:scaling>
          <c:orientation val="minMax"/>
        </c:scaling>
        <c:delete val="0"/>
        <c:axPos val="b"/>
        <c:numFmt formatCode="General" sourceLinked="1"/>
        <c:majorTickMark val="out"/>
        <c:minorTickMark val="none"/>
        <c:tickLblPos val="nextTo"/>
        <c:crossAx val="146635776"/>
        <c:crosses val="autoZero"/>
        <c:auto val="1"/>
        <c:lblAlgn val="ctr"/>
        <c:lblOffset val="100"/>
        <c:noMultiLvlLbl val="0"/>
      </c:catAx>
      <c:valAx>
        <c:axId val="146635776"/>
        <c:scaling>
          <c:orientation val="minMax"/>
        </c:scaling>
        <c:delete val="0"/>
        <c:axPos val="l"/>
        <c:numFmt formatCode="0" sourceLinked="0"/>
        <c:majorTickMark val="out"/>
        <c:minorTickMark val="none"/>
        <c:tickLblPos val="nextTo"/>
        <c:crossAx val="146634240"/>
        <c:crosses val="autoZero"/>
        <c:crossBetween val="between"/>
        <c:majorUnit val="250"/>
      </c:valAx>
      <c:valAx>
        <c:axId val="146649856"/>
        <c:scaling>
          <c:orientation val="minMax"/>
        </c:scaling>
        <c:delete val="1"/>
        <c:axPos val="r"/>
        <c:numFmt formatCode="General" sourceLinked="1"/>
        <c:majorTickMark val="out"/>
        <c:minorTickMark val="none"/>
        <c:tickLblPos val="nextTo"/>
        <c:crossAx val="146651392"/>
        <c:crosses val="max"/>
        <c:crossBetween val="between"/>
      </c:valAx>
      <c:catAx>
        <c:axId val="146651392"/>
        <c:scaling>
          <c:orientation val="minMax"/>
        </c:scaling>
        <c:delete val="1"/>
        <c:axPos val="b"/>
        <c:numFmt formatCode="General" sourceLinked="1"/>
        <c:majorTickMark val="out"/>
        <c:minorTickMark val="none"/>
        <c:tickLblPos val="nextTo"/>
        <c:crossAx val="146649856"/>
        <c:crosses val="autoZero"/>
        <c:auto val="1"/>
        <c:lblAlgn val="ctr"/>
        <c:lblOffset val="100"/>
        <c:noMultiLvlLbl val="0"/>
      </c:catAx>
      <c:spPr>
        <a:ln>
          <a:solidFill>
            <a:schemeClr val="tx1"/>
          </a:solidFill>
        </a:ln>
      </c:spPr>
    </c:plotArea>
    <c:legend>
      <c:legendPos val="r"/>
      <c:layout>
        <c:manualLayout>
          <c:xMode val="edge"/>
          <c:yMode val="edge"/>
          <c:x val="1.7897420465753867E-2"/>
          <c:y val="0.9255152786995019"/>
          <c:w val="0.97415268346931083"/>
          <c:h val="7.4484776539861977E-2"/>
        </c:manualLayout>
      </c:layout>
      <c:overlay val="0"/>
      <c:txPr>
        <a:bodyPr/>
        <a:lstStyle/>
        <a:p>
          <a:pPr>
            <a:defRPr sz="800"/>
          </a:pPr>
          <a:endParaRPr lang="en-US"/>
        </a:p>
      </c:txPr>
    </c:legend>
    <c:plotVisOnly val="1"/>
    <c:dispBlanksAs val="span"/>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279843558683927E-2"/>
          <c:y val="5.8616837436441069E-2"/>
          <c:w val="0.90186927919256754"/>
          <c:h val="0.77336769474289102"/>
        </c:manualLayout>
      </c:layout>
      <c:barChart>
        <c:barDir val="col"/>
        <c:grouping val="clustered"/>
        <c:varyColors val="0"/>
        <c:ser>
          <c:idx val="0"/>
          <c:order val="0"/>
          <c:tx>
            <c:v>April sessions</c:v>
          </c:tx>
          <c:spPr>
            <a:solidFill>
              <a:schemeClr val="accent6">
                <a:lumMod val="40000"/>
                <a:lumOff val="60000"/>
              </a:schemeClr>
            </a:solidFill>
            <a:ln w="9525">
              <a:solidFill>
                <a:srgbClr val="000000"/>
              </a:solidFill>
            </a:ln>
          </c:spPr>
          <c:invertIfNegative val="0"/>
          <c:cat>
            <c:numRef>
              <c:f>fig.3_CC!$A$5:$A$19</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fig.3_CC!$B$5:$B$18</c:f>
              <c:numCache>
                <c:formatCode>General</c:formatCode>
                <c:ptCount val="14"/>
                <c:pt idx="0">
                  <c:v>36</c:v>
                </c:pt>
                <c:pt idx="1">
                  <c:v>35</c:v>
                </c:pt>
                <c:pt idx="2">
                  <c:v>40</c:v>
                </c:pt>
                <c:pt idx="3">
                  <c:v>39</c:v>
                </c:pt>
                <c:pt idx="4">
                  <c:v>39</c:v>
                </c:pt>
                <c:pt idx="5">
                  <c:v>44</c:v>
                </c:pt>
                <c:pt idx="6">
                  <c:v>45</c:v>
                </c:pt>
                <c:pt idx="7">
                  <c:v>43</c:v>
                </c:pt>
                <c:pt idx="8">
                  <c:v>46</c:v>
                </c:pt>
                <c:pt idx="9">
                  <c:v>38</c:v>
                </c:pt>
                <c:pt idx="10">
                  <c:v>50</c:v>
                </c:pt>
                <c:pt idx="11">
                  <c:v>39</c:v>
                </c:pt>
                <c:pt idx="12">
                  <c:v>36</c:v>
                </c:pt>
                <c:pt idx="13">
                  <c:v>39</c:v>
                </c:pt>
              </c:numCache>
            </c:numRef>
          </c:val>
        </c:ser>
        <c:ser>
          <c:idx val="1"/>
          <c:order val="1"/>
          <c:tx>
            <c:v>October sessions</c:v>
          </c:tx>
          <c:spPr>
            <a:solidFill>
              <a:schemeClr val="accent6">
                <a:lumMod val="75000"/>
              </a:schemeClr>
            </a:solidFill>
            <a:ln>
              <a:solidFill>
                <a:srgbClr val="000000"/>
              </a:solidFill>
            </a:ln>
          </c:spPr>
          <c:invertIfNegative val="0"/>
          <c:val>
            <c:numRef>
              <c:f>fig.3_CC!$C$5:$C$18</c:f>
              <c:numCache>
                <c:formatCode>General</c:formatCode>
                <c:ptCount val="14"/>
                <c:pt idx="0">
                  <c:v>39</c:v>
                </c:pt>
                <c:pt idx="1">
                  <c:v>39</c:v>
                </c:pt>
                <c:pt idx="2">
                  <c:v>40</c:v>
                </c:pt>
                <c:pt idx="3">
                  <c:v>43</c:v>
                </c:pt>
                <c:pt idx="4">
                  <c:v>43</c:v>
                </c:pt>
                <c:pt idx="5">
                  <c:v>50</c:v>
                </c:pt>
                <c:pt idx="6">
                  <c:v>43</c:v>
                </c:pt>
                <c:pt idx="7">
                  <c:v>48</c:v>
                </c:pt>
                <c:pt idx="8">
                  <c:v>42</c:v>
                </c:pt>
                <c:pt idx="9">
                  <c:v>44</c:v>
                </c:pt>
                <c:pt idx="10">
                  <c:v>41</c:v>
                </c:pt>
                <c:pt idx="11">
                  <c:v>47</c:v>
                </c:pt>
                <c:pt idx="12">
                  <c:v>44</c:v>
                </c:pt>
                <c:pt idx="13">
                  <c:v>40</c:v>
                </c:pt>
              </c:numCache>
            </c:numRef>
          </c:val>
        </c:ser>
        <c:dLbls>
          <c:showLegendKey val="0"/>
          <c:showVal val="0"/>
          <c:showCatName val="0"/>
          <c:showSerName val="0"/>
          <c:showPercent val="0"/>
          <c:showBubbleSize val="0"/>
        </c:dLbls>
        <c:gapWidth val="150"/>
        <c:axId val="187693696"/>
        <c:axId val="200348032"/>
      </c:barChart>
      <c:lineChart>
        <c:grouping val="standard"/>
        <c:varyColors val="0"/>
        <c:ser>
          <c:idx val="2"/>
          <c:order val="2"/>
          <c:tx>
            <c:v>Total number of UPOV members</c:v>
          </c:tx>
          <c:spPr>
            <a:ln w="25400">
              <a:solidFill>
                <a:schemeClr val="tx2"/>
              </a:solidFill>
            </a:ln>
          </c:spPr>
          <c:marker>
            <c:symbol val="none"/>
          </c:marker>
          <c:dLbls>
            <c:dLbl>
              <c:idx val="0"/>
              <c:layout>
                <c:manualLayout>
                  <c:x val="-2.249009474661268E-2"/>
                  <c:y val="-2.7144925762344074E-2"/>
                </c:manualLayout>
              </c:layout>
              <c:showLegendKey val="0"/>
              <c:showVal val="1"/>
              <c:showCatName val="0"/>
              <c:showSerName val="0"/>
              <c:showPercent val="0"/>
              <c:showBubbleSize val="0"/>
            </c:dLbl>
            <c:dLbl>
              <c:idx val="13"/>
              <c:layout>
                <c:manualLayout>
                  <c:x val="-2.7434842249657063E-2"/>
                  <c:y val="-3.3262059984851357E-2"/>
                </c:manualLayout>
              </c:layout>
              <c:showLegendKey val="0"/>
              <c:showVal val="1"/>
              <c:showCatName val="0"/>
              <c:showSerName val="0"/>
              <c:showPercent val="0"/>
              <c:showBubbleSize val="0"/>
            </c:dLbl>
            <c:dLbl>
              <c:idx val="15"/>
              <c:layout>
                <c:manualLayout>
                  <c:x val="-3.6619207036807704E-2"/>
                  <c:y val="-2.6346743895127513E-2"/>
                </c:manualLayout>
              </c:layout>
              <c:showLegendKey val="0"/>
              <c:showVal val="1"/>
              <c:showCatName val="0"/>
              <c:showSerName val="0"/>
              <c:showPercent val="0"/>
              <c:showBubbleSize val="0"/>
            </c:dLbl>
            <c:dLbl>
              <c:idx val="27"/>
              <c:layout>
                <c:manualLayout>
                  <c:x val="5.7089758500618704E-2"/>
                  <c:y val="-5.4289870504053303E-2"/>
                </c:manualLayout>
              </c:layout>
              <c:tx>
                <c:rich>
                  <a:bodyPr/>
                  <a:lstStyle/>
                  <a:p>
                    <a:r>
                      <a:rPr lang="en-US"/>
                      <a:t>72</a:t>
                    </a:r>
                  </a:p>
                </c:rich>
              </c:tx>
              <c:showLegendKey val="0"/>
              <c:showVal val="1"/>
              <c:showCatName val="0"/>
              <c:showSerName val="0"/>
              <c:showPercent val="0"/>
              <c:showBubbleSize val="0"/>
            </c:dLbl>
            <c:showLegendKey val="0"/>
            <c:showVal val="0"/>
            <c:showCatName val="0"/>
            <c:showSerName val="0"/>
            <c:showPercent val="0"/>
            <c:showBubbleSize val="0"/>
          </c:dLbls>
          <c:val>
            <c:numRef>
              <c:f>members!$C$7:$C$20</c:f>
              <c:numCache>
                <c:formatCode>General</c:formatCode>
                <c:ptCount val="14"/>
                <c:pt idx="0">
                  <c:v>46</c:v>
                </c:pt>
                <c:pt idx="1">
                  <c:v>49</c:v>
                </c:pt>
                <c:pt idx="2">
                  <c:v>51</c:v>
                </c:pt>
                <c:pt idx="3">
                  <c:v>54</c:v>
                </c:pt>
                <c:pt idx="4">
                  <c:v>58</c:v>
                </c:pt>
                <c:pt idx="5">
                  <c:v>60</c:v>
                </c:pt>
                <c:pt idx="6">
                  <c:v>63</c:v>
                </c:pt>
                <c:pt idx="7">
                  <c:v>65</c:v>
                </c:pt>
                <c:pt idx="8">
                  <c:v>66</c:v>
                </c:pt>
                <c:pt idx="9">
                  <c:v>68</c:v>
                </c:pt>
                <c:pt idx="10">
                  <c:v>68</c:v>
                </c:pt>
                <c:pt idx="11">
                  <c:v>70</c:v>
                </c:pt>
                <c:pt idx="12">
                  <c:v>70</c:v>
                </c:pt>
                <c:pt idx="13">
                  <c:v>71</c:v>
                </c:pt>
              </c:numCache>
            </c:numRef>
          </c:val>
          <c:smooth val="0"/>
        </c:ser>
        <c:dLbls>
          <c:showLegendKey val="0"/>
          <c:showVal val="0"/>
          <c:showCatName val="0"/>
          <c:showSerName val="0"/>
          <c:showPercent val="0"/>
          <c:showBubbleSize val="0"/>
        </c:dLbls>
        <c:marker val="1"/>
        <c:smooth val="0"/>
        <c:axId val="187693696"/>
        <c:axId val="200348032"/>
      </c:lineChart>
      <c:catAx>
        <c:axId val="187693696"/>
        <c:scaling>
          <c:orientation val="minMax"/>
        </c:scaling>
        <c:delete val="0"/>
        <c:axPos val="b"/>
        <c:numFmt formatCode="General" sourceLinked="1"/>
        <c:majorTickMark val="out"/>
        <c:minorTickMark val="none"/>
        <c:tickLblPos val="nextTo"/>
        <c:txPr>
          <a:bodyPr rot="0" vert="horz"/>
          <a:lstStyle/>
          <a:p>
            <a:pPr>
              <a:defRPr/>
            </a:pPr>
            <a:endParaRPr lang="en-US"/>
          </a:p>
        </c:txPr>
        <c:crossAx val="200348032"/>
        <c:crosses val="autoZero"/>
        <c:auto val="1"/>
        <c:lblAlgn val="ctr"/>
        <c:lblOffset val="100"/>
        <c:noMultiLvlLbl val="0"/>
      </c:catAx>
      <c:valAx>
        <c:axId val="200348032"/>
        <c:scaling>
          <c:orientation val="minMax"/>
        </c:scaling>
        <c:delete val="0"/>
        <c:axPos val="l"/>
        <c:majorGridlines>
          <c:spPr>
            <a:ln>
              <a:solidFill>
                <a:srgbClr val="000000"/>
              </a:solidFill>
            </a:ln>
          </c:spPr>
        </c:majorGridlines>
        <c:title>
          <c:tx>
            <c:rich>
              <a:bodyPr rot="-5400000" vert="horz"/>
              <a:lstStyle/>
              <a:p>
                <a:pPr>
                  <a:defRPr/>
                </a:pPr>
                <a:r>
                  <a:rPr lang="en-US"/>
                  <a:t>Numberof members</a:t>
                </a:r>
              </a:p>
            </c:rich>
          </c:tx>
          <c:layout>
            <c:manualLayout>
              <c:xMode val="edge"/>
              <c:yMode val="edge"/>
              <c:x val="3.3404620257268649E-3"/>
              <c:y val="0.29542868434318814"/>
            </c:manualLayout>
          </c:layout>
          <c:overlay val="0"/>
        </c:title>
        <c:numFmt formatCode="General" sourceLinked="1"/>
        <c:majorTickMark val="out"/>
        <c:minorTickMark val="none"/>
        <c:tickLblPos val="nextTo"/>
        <c:crossAx val="187693696"/>
        <c:crosses val="autoZero"/>
        <c:crossBetween val="between"/>
      </c:valAx>
      <c:spPr>
        <a:ln>
          <a:solidFill>
            <a:srgbClr val="808080"/>
          </a:solidFill>
        </a:ln>
      </c:spPr>
    </c:plotArea>
    <c:legend>
      <c:legendPos val="r"/>
      <c:layout>
        <c:manualLayout>
          <c:xMode val="edge"/>
          <c:yMode val="edge"/>
          <c:x val="0.1221870105742955"/>
          <c:y val="0.90572484576356604"/>
          <c:w val="0.82037523087391839"/>
          <c:h val="9.2095538057742787E-2"/>
        </c:manualLayout>
      </c:layout>
      <c:overlay val="0"/>
    </c:legend>
    <c:plotVisOnly val="1"/>
    <c:dispBlanksAs val="gap"/>
    <c:showDLblsOverMax val="0"/>
  </c:chart>
  <c:spPr>
    <a:ln>
      <a:noFill/>
    </a:ln>
  </c:spPr>
  <c:txPr>
    <a:bodyPr/>
    <a:lstStyle/>
    <a:p>
      <a:pPr>
        <a:defRPr sz="600">
          <a:latin typeface="Arial" pitchFamily="34" charset="0"/>
          <a:cs typeface="Arial"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580256733169844E-2"/>
          <c:y val="5.4406054754752624E-2"/>
          <c:w val="0.88219622485878202"/>
          <c:h val="0.78439598228512031"/>
        </c:manualLayout>
      </c:layout>
      <c:barChart>
        <c:barDir val="col"/>
        <c:grouping val="stacked"/>
        <c:varyColors val="0"/>
        <c:ser>
          <c:idx val="1"/>
          <c:order val="0"/>
          <c:tx>
            <c:v>New</c:v>
          </c:tx>
          <c:spPr>
            <a:solidFill>
              <a:srgbClr val="003300"/>
            </a:solidFill>
            <a:ln w="12700">
              <a:solidFill>
                <a:srgbClr val="000000"/>
              </a:solidFill>
              <a:prstDash val="solid"/>
            </a:ln>
          </c:spPr>
          <c:invertIfNegative val="0"/>
          <c:cat>
            <c:numRef>
              <c:f>'fig.4+5_TGs'!$M$3:$M$35</c:f>
              <c:numCache>
                <c:formatCode>General</c:formatCode>
                <c:ptCount val="33"/>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numCache>
            </c:numRef>
          </c:cat>
          <c:val>
            <c:numRef>
              <c:f>'fig.4+5_TGs'!$N$3:$N$34</c:f>
              <c:numCache>
                <c:formatCode>General</c:formatCode>
                <c:ptCount val="32"/>
                <c:pt idx="0">
                  <c:v>0</c:v>
                </c:pt>
                <c:pt idx="1">
                  <c:v>3</c:v>
                </c:pt>
                <c:pt idx="2">
                  <c:v>5</c:v>
                </c:pt>
                <c:pt idx="3">
                  <c:v>4</c:v>
                </c:pt>
                <c:pt idx="4">
                  <c:v>9</c:v>
                </c:pt>
                <c:pt idx="5">
                  <c:v>2</c:v>
                </c:pt>
                <c:pt idx="6">
                  <c:v>9</c:v>
                </c:pt>
                <c:pt idx="7">
                  <c:v>9</c:v>
                </c:pt>
                <c:pt idx="8">
                  <c:v>6</c:v>
                </c:pt>
                <c:pt idx="9">
                  <c:v>7</c:v>
                </c:pt>
                <c:pt idx="10">
                  <c:v>6</c:v>
                </c:pt>
                <c:pt idx="11">
                  <c:v>2</c:v>
                </c:pt>
                <c:pt idx="12">
                  <c:v>3</c:v>
                </c:pt>
                <c:pt idx="13">
                  <c:v>6</c:v>
                </c:pt>
                <c:pt idx="14">
                  <c:v>2</c:v>
                </c:pt>
                <c:pt idx="15">
                  <c:v>5</c:v>
                </c:pt>
                <c:pt idx="16">
                  <c:v>4</c:v>
                </c:pt>
                <c:pt idx="17">
                  <c:v>8</c:v>
                </c:pt>
                <c:pt idx="18">
                  <c:v>4</c:v>
                </c:pt>
                <c:pt idx="19">
                  <c:v>11</c:v>
                </c:pt>
                <c:pt idx="20">
                  <c:v>10</c:v>
                </c:pt>
                <c:pt idx="21">
                  <c:v>12</c:v>
                </c:pt>
                <c:pt idx="22">
                  <c:v>7</c:v>
                </c:pt>
                <c:pt idx="23">
                  <c:v>5</c:v>
                </c:pt>
                <c:pt idx="24">
                  <c:v>4</c:v>
                </c:pt>
                <c:pt idx="25">
                  <c:v>9</c:v>
                </c:pt>
                <c:pt idx="26">
                  <c:v>10</c:v>
                </c:pt>
                <c:pt idx="27">
                  <c:v>8</c:v>
                </c:pt>
                <c:pt idx="28">
                  <c:v>8</c:v>
                </c:pt>
                <c:pt idx="29">
                  <c:v>13</c:v>
                </c:pt>
                <c:pt idx="30">
                  <c:v>8</c:v>
                </c:pt>
                <c:pt idx="31">
                  <c:v>15</c:v>
                </c:pt>
              </c:numCache>
            </c:numRef>
          </c:val>
        </c:ser>
        <c:ser>
          <c:idx val="2"/>
          <c:order val="1"/>
          <c:tx>
            <c:v>Revisions</c:v>
          </c:tx>
          <c:spPr>
            <a:solidFill>
              <a:srgbClr val="99CC00"/>
            </a:solidFill>
            <a:ln w="12700">
              <a:solidFill>
                <a:srgbClr val="000000"/>
              </a:solidFill>
              <a:prstDash val="solid"/>
            </a:ln>
          </c:spPr>
          <c:invertIfNegative val="0"/>
          <c:cat>
            <c:numRef>
              <c:f>'fig.4+5_TGs'!$M$3:$M$35</c:f>
              <c:numCache>
                <c:formatCode>General</c:formatCode>
                <c:ptCount val="33"/>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numCache>
            </c:numRef>
          </c:cat>
          <c:val>
            <c:numRef>
              <c:f>'fig.4+5_TGs'!$O$3:$O$34</c:f>
              <c:numCache>
                <c:formatCode>General</c:formatCode>
                <c:ptCount val="32"/>
                <c:pt idx="0">
                  <c:v>7</c:v>
                </c:pt>
                <c:pt idx="1">
                  <c:v>1</c:v>
                </c:pt>
                <c:pt idx="2">
                  <c:v>2</c:v>
                </c:pt>
                <c:pt idx="3">
                  <c:v>6</c:v>
                </c:pt>
                <c:pt idx="4">
                  <c:v>5</c:v>
                </c:pt>
                <c:pt idx="5">
                  <c:v>4</c:v>
                </c:pt>
                <c:pt idx="6">
                  <c:v>3</c:v>
                </c:pt>
                <c:pt idx="7">
                  <c:v>7</c:v>
                </c:pt>
                <c:pt idx="8">
                  <c:v>2</c:v>
                </c:pt>
                <c:pt idx="9">
                  <c:v>8</c:v>
                </c:pt>
                <c:pt idx="10">
                  <c:v>1</c:v>
                </c:pt>
                <c:pt idx="11">
                  <c:v>2</c:v>
                </c:pt>
                <c:pt idx="12">
                  <c:v>2</c:v>
                </c:pt>
                <c:pt idx="13">
                  <c:v>9</c:v>
                </c:pt>
                <c:pt idx="14">
                  <c:v>9</c:v>
                </c:pt>
                <c:pt idx="15">
                  <c:v>5</c:v>
                </c:pt>
                <c:pt idx="16">
                  <c:v>2</c:v>
                </c:pt>
                <c:pt idx="17">
                  <c:v>8</c:v>
                </c:pt>
                <c:pt idx="18">
                  <c:v>3</c:v>
                </c:pt>
                <c:pt idx="19">
                  <c:v>7</c:v>
                </c:pt>
                <c:pt idx="20">
                  <c:v>11</c:v>
                </c:pt>
                <c:pt idx="21">
                  <c:v>17</c:v>
                </c:pt>
                <c:pt idx="22">
                  <c:v>12</c:v>
                </c:pt>
                <c:pt idx="23">
                  <c:v>8</c:v>
                </c:pt>
                <c:pt idx="24">
                  <c:v>19</c:v>
                </c:pt>
                <c:pt idx="25">
                  <c:v>7</c:v>
                </c:pt>
                <c:pt idx="26">
                  <c:v>11</c:v>
                </c:pt>
                <c:pt idx="27">
                  <c:v>4</c:v>
                </c:pt>
                <c:pt idx="28">
                  <c:v>6</c:v>
                </c:pt>
                <c:pt idx="29">
                  <c:v>8</c:v>
                </c:pt>
                <c:pt idx="30">
                  <c:v>4</c:v>
                </c:pt>
                <c:pt idx="31">
                  <c:v>7</c:v>
                </c:pt>
              </c:numCache>
            </c:numRef>
          </c:val>
        </c:ser>
        <c:ser>
          <c:idx val="3"/>
          <c:order val="2"/>
          <c:tx>
            <c:v>Partial Revisions</c:v>
          </c:tx>
          <c:spPr>
            <a:solidFill>
              <a:srgbClr val="FFFF99"/>
            </a:solidFill>
            <a:ln w="12700">
              <a:solidFill>
                <a:srgbClr val="000000"/>
              </a:solidFill>
              <a:prstDash val="solid"/>
            </a:ln>
          </c:spPr>
          <c:invertIfNegative val="0"/>
          <c:cat>
            <c:numRef>
              <c:f>'fig.4+5_TGs'!$M$3:$M$35</c:f>
              <c:numCache>
                <c:formatCode>General</c:formatCode>
                <c:ptCount val="33"/>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pt idx="31">
                  <c:v>2013</c:v>
                </c:pt>
                <c:pt idx="32">
                  <c:v>2014</c:v>
                </c:pt>
              </c:numCache>
            </c:numRef>
          </c:cat>
          <c:val>
            <c:numRef>
              <c:f>'fig.4+5_TGs'!$P$3:$P$34</c:f>
              <c:numCache>
                <c:formatCode>General</c:formatCode>
                <c:ptCount val="32"/>
                <c:pt idx="25">
                  <c:v>2</c:v>
                </c:pt>
                <c:pt idx="26">
                  <c:v>1</c:v>
                </c:pt>
                <c:pt idx="27">
                  <c:v>2</c:v>
                </c:pt>
                <c:pt idx="28">
                  <c:v>2</c:v>
                </c:pt>
                <c:pt idx="29">
                  <c:v>2</c:v>
                </c:pt>
                <c:pt idx="30">
                  <c:v>4</c:v>
                </c:pt>
                <c:pt idx="31">
                  <c:v>4</c:v>
                </c:pt>
              </c:numCache>
            </c:numRef>
          </c:val>
        </c:ser>
        <c:dLbls>
          <c:showLegendKey val="0"/>
          <c:showVal val="0"/>
          <c:showCatName val="0"/>
          <c:showSerName val="0"/>
          <c:showPercent val="0"/>
          <c:showBubbleSize val="0"/>
        </c:dLbls>
        <c:gapWidth val="150"/>
        <c:overlap val="100"/>
        <c:axId val="210984320"/>
        <c:axId val="211858944"/>
      </c:barChart>
      <c:catAx>
        <c:axId val="210984320"/>
        <c:scaling>
          <c:orientation val="minMax"/>
        </c:scaling>
        <c:delete val="0"/>
        <c:axPos val="b"/>
        <c:title>
          <c:tx>
            <c:rich>
              <a:bodyPr/>
              <a:lstStyle/>
              <a:p>
                <a:pPr>
                  <a:defRPr/>
                </a:pPr>
                <a:r>
                  <a:rPr lang="en-US"/>
                  <a:t>Year</a:t>
                </a:r>
              </a:p>
            </c:rich>
          </c:tx>
          <c:layout>
            <c:manualLayout>
              <c:xMode val="edge"/>
              <c:yMode val="edge"/>
              <c:x val="0.49742309420177783"/>
              <c:y val="0.93829229146581083"/>
            </c:manualLayout>
          </c:layout>
          <c:overlay val="0"/>
        </c:title>
        <c:numFmt formatCode="General" sourceLinked="1"/>
        <c:majorTickMark val="out"/>
        <c:minorTickMark val="none"/>
        <c:tickLblPos val="nextTo"/>
        <c:spPr>
          <a:ln w="3175">
            <a:solidFill>
              <a:srgbClr val="000000"/>
            </a:solidFill>
            <a:prstDash val="solid"/>
          </a:ln>
        </c:spPr>
        <c:txPr>
          <a:bodyPr rot="-5400000" vert="horz"/>
          <a:lstStyle/>
          <a:p>
            <a:pPr>
              <a:defRPr/>
            </a:pPr>
            <a:endParaRPr lang="en-US"/>
          </a:p>
        </c:txPr>
        <c:crossAx val="211858944"/>
        <c:crosses val="autoZero"/>
        <c:auto val="1"/>
        <c:lblAlgn val="ctr"/>
        <c:lblOffset val="100"/>
        <c:tickLblSkip val="1"/>
        <c:tickMarkSkip val="1"/>
        <c:noMultiLvlLbl val="0"/>
      </c:catAx>
      <c:valAx>
        <c:axId val="211858944"/>
        <c:scaling>
          <c:orientation val="minMax"/>
          <c:max val="30"/>
          <c:min val="0"/>
        </c:scaling>
        <c:delete val="0"/>
        <c:axPos val="l"/>
        <c:majorGridlines>
          <c:spPr>
            <a:ln w="3175">
              <a:solidFill>
                <a:srgbClr val="000000"/>
              </a:solidFill>
              <a:prstDash val="solid"/>
            </a:ln>
          </c:spPr>
        </c:majorGridlines>
        <c:title>
          <c:tx>
            <c:rich>
              <a:bodyPr rot="-5400000" vert="horz"/>
              <a:lstStyle/>
              <a:p>
                <a:pPr>
                  <a:defRPr/>
                </a:pPr>
                <a:r>
                  <a:rPr lang="en-US"/>
                  <a:t>Number of TGs adopted</a:t>
                </a:r>
              </a:p>
            </c:rich>
          </c:tx>
          <c:layout>
            <c:manualLayout>
              <c:xMode val="edge"/>
              <c:yMode val="edge"/>
              <c:x val="9.3485561520956217E-3"/>
              <c:y val="0.27219934782878313"/>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210984320"/>
        <c:crosses val="autoZero"/>
        <c:crossBetween val="between"/>
      </c:valAx>
      <c:spPr>
        <a:solidFill>
          <a:srgbClr val="C0C0C0"/>
        </a:solidFill>
        <a:ln w="12700">
          <a:solidFill>
            <a:srgbClr val="808080"/>
          </a:solidFill>
          <a:prstDash val="solid"/>
        </a:ln>
      </c:spPr>
    </c:plotArea>
    <c:legend>
      <c:legendPos val="b"/>
      <c:layout>
        <c:manualLayout>
          <c:xMode val="edge"/>
          <c:yMode val="edge"/>
          <c:x val="0.17129316630211441"/>
          <c:y val="0.12270879892422799"/>
          <c:w val="0.24361923068425351"/>
          <c:h val="0.14172477723421034"/>
        </c:manualLayout>
      </c:layout>
      <c:overlay val="0"/>
      <c:spPr>
        <a:solidFill>
          <a:srgbClr val="FFFFFF"/>
        </a:solidFill>
        <a:ln w="25400">
          <a:solidFill>
            <a:schemeClr val="bg1"/>
          </a:solidFill>
        </a:ln>
      </c:spPr>
    </c:legend>
    <c:plotVisOnly val="1"/>
    <c:dispBlanksAs val="gap"/>
    <c:showDLblsOverMax val="0"/>
  </c:chart>
  <c:spPr>
    <a:solidFill>
      <a:srgbClr val="FFFFFF"/>
    </a:solidFill>
    <a:ln w="9525">
      <a:noFill/>
    </a:ln>
  </c:spPr>
  <c:txPr>
    <a:bodyPr/>
    <a:lstStyle/>
    <a:p>
      <a:pPr>
        <a:defRPr sz="500"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682108223411166E-2"/>
          <c:y val="3.5131564818240049E-2"/>
          <c:w val="0.91629719199247617"/>
          <c:h val="0.81482471562167658"/>
        </c:manualLayout>
      </c:layout>
      <c:barChart>
        <c:barDir val="col"/>
        <c:grouping val="stacked"/>
        <c:varyColors val="0"/>
        <c:ser>
          <c:idx val="0"/>
          <c:order val="0"/>
          <c:tx>
            <c:strRef>
              <c:f>'fig.4+5_TGs'!$B$38</c:f>
              <c:strCache>
                <c:ptCount val="1"/>
                <c:pt idx="0">
                  <c:v>New</c:v>
                </c:pt>
              </c:strCache>
            </c:strRef>
          </c:tx>
          <c:spPr>
            <a:solidFill>
              <a:schemeClr val="tx2"/>
            </a:solidFill>
            <a:ln>
              <a:solidFill>
                <a:schemeClr val="tx1"/>
              </a:solidFill>
            </a:ln>
          </c:spPr>
          <c:invertIfNegative val="0"/>
          <c:cat>
            <c:numRef>
              <c:f>'fig.4+5_TGs'!$A$39:$A$50</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'fig.4+5_TGs'!$B$39:$B$50</c:f>
              <c:numCache>
                <c:formatCode>0</c:formatCode>
                <c:ptCount val="12"/>
                <c:pt idx="0">
                  <c:v>30</c:v>
                </c:pt>
                <c:pt idx="1">
                  <c:v>33</c:v>
                </c:pt>
                <c:pt idx="2">
                  <c:v>30.5</c:v>
                </c:pt>
                <c:pt idx="3">
                  <c:v>34</c:v>
                </c:pt>
                <c:pt idx="4">
                  <c:v>48</c:v>
                </c:pt>
                <c:pt idx="5">
                  <c:v>55.989999999999995</c:v>
                </c:pt>
                <c:pt idx="6">
                  <c:v>54.989999999999995</c:v>
                </c:pt>
                <c:pt idx="7">
                  <c:v>51</c:v>
                </c:pt>
                <c:pt idx="8">
                  <c:v>38</c:v>
                </c:pt>
                <c:pt idx="9">
                  <c:v>37</c:v>
                </c:pt>
                <c:pt idx="10">
                  <c:v>36</c:v>
                </c:pt>
                <c:pt idx="11">
                  <c:v>30</c:v>
                </c:pt>
              </c:numCache>
            </c:numRef>
          </c:val>
        </c:ser>
        <c:ser>
          <c:idx val="1"/>
          <c:order val="1"/>
          <c:tx>
            <c:strRef>
              <c:f>'fig.4+5_TGs'!$C$38</c:f>
              <c:strCache>
                <c:ptCount val="1"/>
                <c:pt idx="0">
                  <c:v>Revisions</c:v>
                </c:pt>
              </c:strCache>
            </c:strRef>
          </c:tx>
          <c:spPr>
            <a:solidFill>
              <a:schemeClr val="tx2">
                <a:lumMod val="20000"/>
                <a:lumOff val="80000"/>
              </a:schemeClr>
            </a:solidFill>
            <a:ln>
              <a:solidFill>
                <a:schemeClr val="tx1"/>
              </a:solidFill>
            </a:ln>
          </c:spPr>
          <c:invertIfNegative val="0"/>
          <c:cat>
            <c:numRef>
              <c:f>'fig.4+5_TGs'!$A$39:$A$50</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'fig.4+5_TGs'!$C$39:$C$50</c:f>
              <c:numCache>
                <c:formatCode>0</c:formatCode>
                <c:ptCount val="12"/>
                <c:pt idx="0">
                  <c:v>27</c:v>
                </c:pt>
                <c:pt idx="1">
                  <c:v>23</c:v>
                </c:pt>
                <c:pt idx="2">
                  <c:v>23.5</c:v>
                </c:pt>
                <c:pt idx="3">
                  <c:v>28.5</c:v>
                </c:pt>
                <c:pt idx="4">
                  <c:v>24</c:v>
                </c:pt>
                <c:pt idx="5">
                  <c:v>22</c:v>
                </c:pt>
                <c:pt idx="6">
                  <c:v>19</c:v>
                </c:pt>
                <c:pt idx="7">
                  <c:v>26</c:v>
                </c:pt>
                <c:pt idx="8">
                  <c:v>17</c:v>
                </c:pt>
                <c:pt idx="9">
                  <c:v>16</c:v>
                </c:pt>
                <c:pt idx="10">
                  <c:v>16</c:v>
                </c:pt>
                <c:pt idx="11">
                  <c:v>13</c:v>
                </c:pt>
              </c:numCache>
            </c:numRef>
          </c:val>
        </c:ser>
        <c:ser>
          <c:idx val="2"/>
          <c:order val="2"/>
          <c:tx>
            <c:strRef>
              <c:f>'fig.4+5_TGs'!$D$38</c:f>
              <c:strCache>
                <c:ptCount val="1"/>
                <c:pt idx="0">
                  <c:v>Partial Revisions</c:v>
                </c:pt>
              </c:strCache>
            </c:strRef>
          </c:tx>
          <c:spPr>
            <a:solidFill>
              <a:srgbClr val="FFFF99"/>
            </a:solidFill>
            <a:ln>
              <a:solidFill>
                <a:schemeClr val="tx1"/>
              </a:solidFill>
            </a:ln>
          </c:spPr>
          <c:invertIfNegative val="0"/>
          <c:cat>
            <c:numRef>
              <c:f>'fig.4+5_TGs'!$A$39:$A$50</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'fig.4+5_TGs'!$D$39:$D$50</c:f>
              <c:numCache>
                <c:formatCode>0</c:formatCode>
                <c:ptCount val="12"/>
                <c:pt idx="0">
                  <c:v>0</c:v>
                </c:pt>
                <c:pt idx="1">
                  <c:v>0</c:v>
                </c:pt>
                <c:pt idx="2">
                  <c:v>0</c:v>
                </c:pt>
                <c:pt idx="3">
                  <c:v>0</c:v>
                </c:pt>
                <c:pt idx="4">
                  <c:v>0</c:v>
                </c:pt>
                <c:pt idx="5">
                  <c:v>0</c:v>
                </c:pt>
                <c:pt idx="6">
                  <c:v>0</c:v>
                </c:pt>
                <c:pt idx="7">
                  <c:v>5</c:v>
                </c:pt>
                <c:pt idx="8">
                  <c:v>7</c:v>
                </c:pt>
                <c:pt idx="9">
                  <c:v>7</c:v>
                </c:pt>
                <c:pt idx="10">
                  <c:v>7</c:v>
                </c:pt>
                <c:pt idx="11">
                  <c:v>6</c:v>
                </c:pt>
              </c:numCache>
            </c:numRef>
          </c:val>
        </c:ser>
        <c:dLbls>
          <c:showLegendKey val="0"/>
          <c:showVal val="0"/>
          <c:showCatName val="0"/>
          <c:showSerName val="0"/>
          <c:showPercent val="0"/>
          <c:showBubbleSize val="0"/>
        </c:dLbls>
        <c:gapWidth val="150"/>
        <c:overlap val="100"/>
        <c:axId val="239133440"/>
        <c:axId val="239135360"/>
      </c:barChart>
      <c:catAx>
        <c:axId val="239133440"/>
        <c:scaling>
          <c:orientation val="minMax"/>
        </c:scaling>
        <c:delete val="0"/>
        <c:axPos val="b"/>
        <c:numFmt formatCode="General" sourceLinked="1"/>
        <c:majorTickMark val="out"/>
        <c:minorTickMark val="none"/>
        <c:tickLblPos val="nextTo"/>
        <c:crossAx val="239135360"/>
        <c:crosses val="autoZero"/>
        <c:auto val="1"/>
        <c:lblAlgn val="ctr"/>
        <c:lblOffset val="100"/>
        <c:noMultiLvlLbl val="0"/>
      </c:catAx>
      <c:valAx>
        <c:axId val="239135360"/>
        <c:scaling>
          <c:orientation val="minMax"/>
        </c:scaling>
        <c:delete val="0"/>
        <c:axPos val="l"/>
        <c:majorGridlines/>
        <c:numFmt formatCode="0" sourceLinked="1"/>
        <c:majorTickMark val="out"/>
        <c:minorTickMark val="none"/>
        <c:tickLblPos val="nextTo"/>
        <c:crossAx val="239133440"/>
        <c:crosses val="autoZero"/>
        <c:crossBetween val="between"/>
      </c:valAx>
    </c:plotArea>
    <c:legend>
      <c:legendPos val="r"/>
      <c:layout>
        <c:manualLayout>
          <c:xMode val="edge"/>
          <c:yMode val="edge"/>
          <c:x val="9.143577513681618E-2"/>
          <c:y val="5.4553457065436489E-2"/>
          <c:w val="0.22516027355123111"/>
          <c:h val="0.1829442419280759"/>
        </c:manualLayout>
      </c:layout>
      <c:overlay val="0"/>
      <c:spPr>
        <a:solidFill>
          <a:schemeClr val="bg1"/>
        </a:solidFill>
      </c:spPr>
    </c:legend>
    <c:plotVisOnly val="1"/>
    <c:dispBlanksAs val="gap"/>
    <c:showDLblsOverMax val="0"/>
  </c:chart>
  <c:spPr>
    <a:ln>
      <a:noFill/>
    </a:ln>
  </c:spPr>
  <c:txPr>
    <a:bodyPr/>
    <a:lstStyle/>
    <a:p>
      <a:pPr>
        <a:defRPr sz="600">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Total entries in PLUTO</c:v>
          </c:tx>
          <c:invertIfNegative val="0"/>
          <c:cat>
            <c:numRef>
              <c:f>Fig.6_Pluto!$A$7:$A$9</c:f>
              <c:numCache>
                <c:formatCode>General</c:formatCode>
                <c:ptCount val="3"/>
                <c:pt idx="0">
                  <c:v>2011</c:v>
                </c:pt>
                <c:pt idx="1">
                  <c:v>2012</c:v>
                </c:pt>
                <c:pt idx="2">
                  <c:v>2013</c:v>
                </c:pt>
              </c:numCache>
            </c:numRef>
          </c:cat>
          <c:val>
            <c:numRef>
              <c:f>Fig.6_Pluto!$B$7:$B$9</c:f>
              <c:numCache>
                <c:formatCode>General</c:formatCode>
                <c:ptCount val="3"/>
                <c:pt idx="0">
                  <c:v>575378</c:v>
                </c:pt>
                <c:pt idx="1">
                  <c:v>620517</c:v>
                </c:pt>
                <c:pt idx="2">
                  <c:v>645068</c:v>
                </c:pt>
              </c:numCache>
            </c:numRef>
          </c:val>
        </c:ser>
        <c:ser>
          <c:idx val="1"/>
          <c:order val="1"/>
          <c:tx>
            <c:v>PBR related entries in PLUTO</c:v>
          </c:tx>
          <c:invertIfNegative val="0"/>
          <c:cat>
            <c:numRef>
              <c:f>Fig.6_Pluto!$A$7:$A$9</c:f>
              <c:numCache>
                <c:formatCode>General</c:formatCode>
                <c:ptCount val="3"/>
                <c:pt idx="0">
                  <c:v>2011</c:v>
                </c:pt>
                <c:pt idx="1">
                  <c:v>2012</c:v>
                </c:pt>
                <c:pt idx="2">
                  <c:v>2013</c:v>
                </c:pt>
              </c:numCache>
            </c:numRef>
          </c:cat>
          <c:val>
            <c:numRef>
              <c:f>Fig.6_Pluto!$C$7:$C$9</c:f>
              <c:numCache>
                <c:formatCode>General</c:formatCode>
                <c:ptCount val="3"/>
                <c:pt idx="0">
                  <c:v>224189</c:v>
                </c:pt>
                <c:pt idx="1">
                  <c:v>236107</c:v>
                </c:pt>
                <c:pt idx="2">
                  <c:v>247818</c:v>
                </c:pt>
              </c:numCache>
            </c:numRef>
          </c:val>
        </c:ser>
        <c:dLbls>
          <c:showLegendKey val="0"/>
          <c:showVal val="0"/>
          <c:showCatName val="0"/>
          <c:showSerName val="0"/>
          <c:showPercent val="0"/>
          <c:showBubbleSize val="0"/>
        </c:dLbls>
        <c:gapWidth val="150"/>
        <c:axId val="32839168"/>
        <c:axId val="32840704"/>
      </c:barChart>
      <c:lineChart>
        <c:grouping val="standard"/>
        <c:varyColors val="0"/>
        <c:ser>
          <c:idx val="2"/>
          <c:order val="2"/>
          <c:tx>
            <c:v>PBR related entries covered by Test Guidelines</c:v>
          </c:tx>
          <c:marker>
            <c:symbol val="none"/>
          </c:marker>
          <c:dLbls>
            <c:dLbl>
              <c:idx val="0"/>
              <c:layout>
                <c:manualLayout>
                  <c:x val="-7.4999999999999997E-2"/>
                  <c:y val="-3.7037037037037035E-2"/>
                </c:manualLayout>
              </c:layout>
              <c:tx>
                <c:rich>
                  <a:bodyPr/>
                  <a:lstStyle/>
                  <a:p>
                    <a:r>
                      <a:rPr lang="en-US"/>
                      <a:t>90%</a:t>
                    </a:r>
                  </a:p>
                </c:rich>
              </c:tx>
              <c:showLegendKey val="0"/>
              <c:showVal val="1"/>
              <c:showCatName val="0"/>
              <c:showSerName val="0"/>
              <c:showPercent val="0"/>
              <c:showBubbleSize val="0"/>
            </c:dLbl>
            <c:dLbl>
              <c:idx val="1"/>
              <c:layout>
                <c:manualLayout>
                  <c:x val="-7.2222222222222215E-2"/>
                  <c:y val="-3.2407407407407406E-2"/>
                </c:manualLayout>
              </c:layout>
              <c:tx>
                <c:rich>
                  <a:bodyPr/>
                  <a:lstStyle/>
                  <a:p>
                    <a:r>
                      <a:rPr lang="en-US"/>
                      <a:t>90%</a:t>
                    </a:r>
                  </a:p>
                </c:rich>
              </c:tx>
              <c:showLegendKey val="0"/>
              <c:showVal val="1"/>
              <c:showCatName val="0"/>
              <c:showSerName val="0"/>
              <c:showPercent val="0"/>
              <c:showBubbleSize val="0"/>
            </c:dLbl>
            <c:dLbl>
              <c:idx val="2"/>
              <c:layout>
                <c:manualLayout>
                  <c:x val="-7.2222222222222215E-2"/>
                  <c:y val="-3.7037037037037035E-2"/>
                </c:manualLayout>
              </c:layout>
              <c:tx>
                <c:rich>
                  <a:bodyPr/>
                  <a:lstStyle/>
                  <a:p>
                    <a:r>
                      <a:rPr lang="en-US"/>
                      <a:t>91%</a:t>
                    </a:r>
                  </a:p>
                </c:rich>
              </c:tx>
              <c:showLegendKey val="0"/>
              <c:showVal val="1"/>
              <c:showCatName val="0"/>
              <c:showSerName val="0"/>
              <c:showPercent val="0"/>
              <c:showBubbleSize val="0"/>
            </c:dLbl>
            <c:showLegendKey val="0"/>
            <c:showVal val="1"/>
            <c:showCatName val="0"/>
            <c:showSerName val="0"/>
            <c:showPercent val="0"/>
            <c:showBubbleSize val="0"/>
            <c:showLeaderLines val="0"/>
          </c:dLbls>
          <c:cat>
            <c:numRef>
              <c:f>Fig.6_Pluto!$A$7:$A$9</c:f>
              <c:numCache>
                <c:formatCode>General</c:formatCode>
                <c:ptCount val="3"/>
                <c:pt idx="0">
                  <c:v>2011</c:v>
                </c:pt>
                <c:pt idx="1">
                  <c:v>2012</c:v>
                </c:pt>
                <c:pt idx="2">
                  <c:v>2013</c:v>
                </c:pt>
              </c:numCache>
            </c:numRef>
          </c:cat>
          <c:val>
            <c:numRef>
              <c:f>Fig.6_Pluto!$D$7:$D$9</c:f>
              <c:numCache>
                <c:formatCode>General</c:formatCode>
                <c:ptCount val="3"/>
                <c:pt idx="0">
                  <c:v>201873</c:v>
                </c:pt>
                <c:pt idx="1">
                  <c:v>207235</c:v>
                </c:pt>
                <c:pt idx="2">
                  <c:v>217298</c:v>
                </c:pt>
              </c:numCache>
            </c:numRef>
          </c:val>
          <c:smooth val="0"/>
        </c:ser>
        <c:dLbls>
          <c:showLegendKey val="0"/>
          <c:showVal val="0"/>
          <c:showCatName val="0"/>
          <c:showSerName val="0"/>
          <c:showPercent val="0"/>
          <c:showBubbleSize val="0"/>
        </c:dLbls>
        <c:marker val="1"/>
        <c:smooth val="0"/>
        <c:axId val="32839168"/>
        <c:axId val="32840704"/>
      </c:lineChart>
      <c:catAx>
        <c:axId val="32839168"/>
        <c:scaling>
          <c:orientation val="minMax"/>
        </c:scaling>
        <c:delete val="0"/>
        <c:axPos val="b"/>
        <c:numFmt formatCode="General" sourceLinked="1"/>
        <c:majorTickMark val="out"/>
        <c:minorTickMark val="none"/>
        <c:tickLblPos val="nextTo"/>
        <c:crossAx val="32840704"/>
        <c:crosses val="autoZero"/>
        <c:auto val="1"/>
        <c:lblAlgn val="ctr"/>
        <c:lblOffset val="100"/>
        <c:noMultiLvlLbl val="0"/>
      </c:catAx>
      <c:valAx>
        <c:axId val="32840704"/>
        <c:scaling>
          <c:orientation val="minMax"/>
        </c:scaling>
        <c:delete val="0"/>
        <c:axPos val="l"/>
        <c:majorGridlines/>
        <c:numFmt formatCode="#,##0" sourceLinked="0"/>
        <c:majorTickMark val="out"/>
        <c:minorTickMark val="none"/>
        <c:tickLblPos val="nextTo"/>
        <c:crossAx val="32839168"/>
        <c:crosses val="autoZero"/>
        <c:crossBetween val="between"/>
      </c:valAx>
    </c:plotArea>
    <c:legend>
      <c:legendPos val="r"/>
      <c:overlay val="0"/>
    </c:legend>
    <c:plotVisOnly val="1"/>
    <c:dispBlanksAs val="gap"/>
    <c:showDLblsOverMax val="0"/>
  </c:chart>
  <c:spPr>
    <a:ln>
      <a:solidFill>
        <a:schemeClr val="tx1"/>
      </a:solid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hPercent val="100"/>
      <c:rotY val="10"/>
      <c:depthPercent val="100"/>
      <c:rAngAx val="0"/>
      <c:perspective val="30"/>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5005058725201251E-2"/>
          <c:y val="0.18241758241758241"/>
          <c:w val="0.92080861400704805"/>
          <c:h val="0.76058286831793087"/>
        </c:manualLayout>
      </c:layout>
      <c:bar3DChart>
        <c:barDir val="col"/>
        <c:grouping val="standard"/>
        <c:varyColors val="0"/>
        <c:ser>
          <c:idx val="0"/>
          <c:order val="0"/>
          <c:tx>
            <c:v>Cooperation Agreements</c:v>
          </c:tx>
          <c:spPr>
            <a:solidFill>
              <a:srgbClr val="FFCC00"/>
            </a:solidFill>
            <a:ln w="12700">
              <a:solidFill>
                <a:srgbClr val="000000"/>
              </a:solidFill>
              <a:prstDash val="solid"/>
            </a:ln>
          </c:spPr>
          <c:invertIfNegative val="0"/>
          <c:dLbls>
            <c:dLbl>
              <c:idx val="0"/>
              <c:layout>
                <c:manualLayout>
                  <c:x val="0"/>
                  <c:y val="5.7142857142857141E-2"/>
                </c:manualLayout>
              </c:layout>
              <c:showLegendKey val="0"/>
              <c:showVal val="1"/>
              <c:showCatName val="0"/>
              <c:showSerName val="0"/>
              <c:showPercent val="0"/>
              <c:showBubbleSize val="0"/>
            </c:dLbl>
            <c:dLbl>
              <c:idx val="8"/>
              <c:layout>
                <c:manualLayout>
                  <c:x val="5.0505050505051429E-3"/>
                  <c:y val="6.0952380952381022E-2"/>
                </c:manualLayout>
              </c:layout>
              <c:showLegendKey val="0"/>
              <c:showVal val="1"/>
              <c:showCatName val="0"/>
              <c:showSerName val="0"/>
              <c:showPercent val="0"/>
              <c:showBubbleSize val="0"/>
            </c:dLbl>
            <c:txPr>
              <a:bodyPr/>
              <a:lstStyle/>
              <a:p>
                <a:pPr>
                  <a:defRPr sz="700" b="1"/>
                </a:pPr>
                <a:endParaRPr lang="en-US"/>
              </a:p>
            </c:txPr>
            <c:showLegendKey val="0"/>
            <c:showVal val="0"/>
            <c:showCatName val="0"/>
            <c:showSerName val="0"/>
            <c:showPercent val="0"/>
            <c:showBubbleSize val="0"/>
          </c:dLbls>
          <c:cat>
            <c:numRef>
              <c:f>'Fig.2-Cooperation'!$A$31:$A$39</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'Fig.2-Cooperation'!$E$31:$E$39</c:f>
              <c:numCache>
                <c:formatCode>General</c:formatCode>
                <c:ptCount val="9"/>
                <c:pt idx="0">
                  <c:v>640</c:v>
                </c:pt>
                <c:pt idx="1">
                  <c:v>570</c:v>
                </c:pt>
                <c:pt idx="2">
                  <c:v>1360</c:v>
                </c:pt>
                <c:pt idx="3">
                  <c:v>1360</c:v>
                </c:pt>
                <c:pt idx="4">
                  <c:v>1379</c:v>
                </c:pt>
                <c:pt idx="5">
                  <c:v>1417</c:v>
                </c:pt>
                <c:pt idx="6">
                  <c:v>1990</c:v>
                </c:pt>
                <c:pt idx="7">
                  <c:v>1991</c:v>
                </c:pt>
                <c:pt idx="8">
                  <c:v>1997</c:v>
                </c:pt>
              </c:numCache>
            </c:numRef>
          </c:val>
        </c:ser>
        <c:ser>
          <c:idx val="1"/>
          <c:order val="1"/>
          <c:tx>
            <c:v>Practical Experience</c:v>
          </c:tx>
          <c:spPr>
            <a:solidFill>
              <a:srgbClr val="99CC00"/>
            </a:solidFill>
            <a:ln w="12700">
              <a:solidFill>
                <a:srgbClr val="000000"/>
              </a:solidFill>
              <a:prstDash val="solid"/>
            </a:ln>
          </c:spPr>
          <c:invertIfNegative val="0"/>
          <c:dLbls>
            <c:dLbl>
              <c:idx val="0"/>
              <c:layout>
                <c:manualLayout>
                  <c:x val="0"/>
                  <c:y val="5.7142857142857141E-2"/>
                </c:manualLayout>
              </c:layout>
              <c:showLegendKey val="0"/>
              <c:showVal val="1"/>
              <c:showCatName val="0"/>
              <c:showSerName val="0"/>
              <c:showPercent val="0"/>
              <c:showBubbleSize val="0"/>
            </c:dLbl>
            <c:dLbl>
              <c:idx val="8"/>
              <c:layout>
                <c:manualLayout>
                  <c:x val="2.4829298572315332E-3"/>
                  <c:y val="5.9757236227824466E-2"/>
                </c:manualLayout>
              </c:layout>
              <c:showLegendKey val="0"/>
              <c:showVal val="1"/>
              <c:showCatName val="0"/>
              <c:showSerName val="0"/>
              <c:showPercent val="0"/>
              <c:showBubbleSize val="0"/>
            </c:dLbl>
            <c:txPr>
              <a:bodyPr/>
              <a:lstStyle/>
              <a:p>
                <a:pPr>
                  <a:defRPr sz="700" b="1"/>
                </a:pPr>
                <a:endParaRPr lang="en-US"/>
              </a:p>
            </c:txPr>
            <c:showLegendKey val="0"/>
            <c:showVal val="0"/>
            <c:showCatName val="0"/>
            <c:showSerName val="0"/>
            <c:showPercent val="0"/>
            <c:showBubbleSize val="0"/>
          </c:dLbls>
          <c:cat>
            <c:numRef>
              <c:f>'Fig.2-Cooperation'!$A$31:$A$39</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'Fig.2-Cooperation'!$D$31:$D$39</c:f>
              <c:numCache>
                <c:formatCode>General</c:formatCode>
                <c:ptCount val="9"/>
                <c:pt idx="0">
                  <c:v>1750</c:v>
                </c:pt>
                <c:pt idx="1">
                  <c:v>1900</c:v>
                </c:pt>
                <c:pt idx="2">
                  <c:v>2000</c:v>
                </c:pt>
                <c:pt idx="3">
                  <c:v>2170</c:v>
                </c:pt>
                <c:pt idx="4">
                  <c:v>2209</c:v>
                </c:pt>
                <c:pt idx="5">
                  <c:v>2254</c:v>
                </c:pt>
                <c:pt idx="6">
                  <c:v>2679</c:v>
                </c:pt>
                <c:pt idx="7">
                  <c:v>2726</c:v>
                </c:pt>
                <c:pt idx="8">
                  <c:v>2589</c:v>
                </c:pt>
              </c:numCache>
            </c:numRef>
          </c:val>
        </c:ser>
        <c:ser>
          <c:idx val="2"/>
          <c:order val="2"/>
          <c:tx>
            <c:v>Plant Breeders' Rights Entries in Plant Variety Database</c:v>
          </c:tx>
          <c:spPr>
            <a:solidFill>
              <a:srgbClr val="FFFFCC"/>
            </a:solidFill>
            <a:ln w="12700">
              <a:solidFill>
                <a:srgbClr val="000000"/>
              </a:solidFill>
              <a:prstDash val="solid"/>
            </a:ln>
          </c:spPr>
          <c:invertIfNegative val="0"/>
          <c:dLbls>
            <c:dLbl>
              <c:idx val="0"/>
              <c:layout>
                <c:manualLayout>
                  <c:x val="0"/>
                  <c:y val="5.3333333333333337E-2"/>
                </c:manualLayout>
              </c:layout>
              <c:showLegendKey val="0"/>
              <c:showVal val="1"/>
              <c:showCatName val="0"/>
              <c:showSerName val="0"/>
              <c:showPercent val="0"/>
              <c:showBubbleSize val="0"/>
            </c:dLbl>
            <c:dLbl>
              <c:idx val="8"/>
              <c:layout>
                <c:manualLayout>
                  <c:x val="7.4487895716945085E-3"/>
                  <c:y val="5.6022408963585471E-2"/>
                </c:manualLayout>
              </c:layout>
              <c:showLegendKey val="0"/>
              <c:showVal val="1"/>
              <c:showCatName val="0"/>
              <c:showSerName val="0"/>
              <c:showPercent val="0"/>
              <c:showBubbleSize val="0"/>
            </c:dLbl>
            <c:txPr>
              <a:bodyPr/>
              <a:lstStyle/>
              <a:p>
                <a:pPr>
                  <a:defRPr sz="700" b="1"/>
                </a:pPr>
                <a:endParaRPr lang="en-US"/>
              </a:p>
            </c:txPr>
            <c:showLegendKey val="0"/>
            <c:showVal val="0"/>
            <c:showCatName val="0"/>
            <c:showSerName val="0"/>
            <c:showPercent val="0"/>
            <c:showBubbleSize val="0"/>
          </c:dLbls>
          <c:cat>
            <c:numRef>
              <c:f>'Fig.2-Cooperation'!$A$31:$A$39</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'Fig.2-Cooperation'!$C$31:$C$39</c:f>
              <c:numCache>
                <c:formatCode>General</c:formatCode>
                <c:ptCount val="9"/>
                <c:pt idx="0">
                  <c:v>2336</c:v>
                </c:pt>
                <c:pt idx="1">
                  <c:v>2429</c:v>
                </c:pt>
                <c:pt idx="2">
                  <c:v>2522</c:v>
                </c:pt>
                <c:pt idx="3">
                  <c:v>2654</c:v>
                </c:pt>
                <c:pt idx="4">
                  <c:v>2790</c:v>
                </c:pt>
                <c:pt idx="5">
                  <c:v>2940</c:v>
                </c:pt>
                <c:pt idx="6">
                  <c:v>3042</c:v>
                </c:pt>
                <c:pt idx="7">
                  <c:v>3144</c:v>
                </c:pt>
                <c:pt idx="8">
                  <c:v>3297</c:v>
                </c:pt>
              </c:numCache>
            </c:numRef>
          </c:val>
        </c:ser>
        <c:dLbls>
          <c:showLegendKey val="0"/>
          <c:showVal val="0"/>
          <c:showCatName val="0"/>
          <c:showSerName val="0"/>
          <c:showPercent val="0"/>
          <c:showBubbleSize val="0"/>
        </c:dLbls>
        <c:gapWidth val="110"/>
        <c:shape val="box"/>
        <c:axId val="79300864"/>
        <c:axId val="79303040"/>
        <c:axId val="220116288"/>
      </c:bar3DChart>
      <c:catAx>
        <c:axId val="79300864"/>
        <c:scaling>
          <c:orientation val="minMax"/>
        </c:scaling>
        <c:delete val="0"/>
        <c:axPos val="b"/>
        <c:title>
          <c:tx>
            <c:rich>
              <a:bodyPr/>
              <a:lstStyle/>
              <a:p>
                <a:pPr>
                  <a:defRPr b="0"/>
                </a:pPr>
                <a:r>
                  <a:rPr lang="en-US" b="0"/>
                  <a:t>Year</a:t>
                </a:r>
              </a:p>
            </c:rich>
          </c:tx>
          <c:layout>
            <c:manualLayout>
              <c:xMode val="edge"/>
              <c:yMode val="edge"/>
              <c:x val="0.42794698958084787"/>
              <c:y val="0.95135538057742786"/>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a:pPr>
            <a:endParaRPr lang="en-US"/>
          </a:p>
        </c:txPr>
        <c:crossAx val="79303040"/>
        <c:crosses val="autoZero"/>
        <c:auto val="1"/>
        <c:lblAlgn val="ctr"/>
        <c:lblOffset val="100"/>
        <c:tickLblSkip val="1"/>
        <c:tickMarkSkip val="1"/>
        <c:noMultiLvlLbl val="1"/>
      </c:catAx>
      <c:valAx>
        <c:axId val="79303040"/>
        <c:scaling>
          <c:orientation val="minMax"/>
        </c:scaling>
        <c:delete val="0"/>
        <c:axPos val="l"/>
        <c:majorGridlines>
          <c:spPr>
            <a:ln w="3175">
              <a:solidFill>
                <a:srgbClr val="000000"/>
              </a:solidFill>
              <a:prstDash val="solid"/>
            </a:ln>
          </c:spPr>
        </c:majorGridlines>
        <c:title>
          <c:tx>
            <c:rich>
              <a:bodyPr/>
              <a:lstStyle/>
              <a:p>
                <a:pPr>
                  <a:defRPr/>
                </a:pPr>
                <a:r>
                  <a:rPr lang="en-US"/>
                  <a:t>Number of genera/species</a:t>
                </a:r>
              </a:p>
            </c:rich>
          </c:tx>
          <c:layout>
            <c:manualLayout>
              <c:xMode val="edge"/>
              <c:yMode val="edge"/>
              <c:x val="4.6421498449057505E-2"/>
              <c:y val="0.3216116985376827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79300864"/>
        <c:crosses val="autoZero"/>
        <c:crossBetween val="between"/>
      </c:valAx>
      <c:serAx>
        <c:axId val="220116288"/>
        <c:scaling>
          <c:orientation val="minMax"/>
        </c:scaling>
        <c:delete val="1"/>
        <c:axPos val="b"/>
        <c:majorTickMark val="out"/>
        <c:minorTickMark val="none"/>
        <c:tickLblPos val="nextTo"/>
        <c:crossAx val="79303040"/>
        <c:crosses val="autoZero"/>
      </c:serAx>
      <c:spPr>
        <a:noFill/>
        <a:ln w="25400">
          <a:noFill/>
        </a:ln>
      </c:spPr>
    </c:plotArea>
    <c:legend>
      <c:legendPos val="t"/>
      <c:layout>
        <c:manualLayout>
          <c:xMode val="edge"/>
          <c:yMode val="edge"/>
          <c:x val="0.29106878399976538"/>
          <c:y val="2.3960240264084637E-2"/>
          <c:w val="0.59198952086296475"/>
          <c:h val="0.15801201320423183"/>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9525">
      <a:solidFill>
        <a:srgbClr val="000000"/>
      </a:solidFill>
      <a:prstDash val="solid"/>
    </a:ln>
    <a:effectLst/>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045190003423489E-2"/>
          <c:y val="6.0109289617486336E-2"/>
          <c:w val="0.8709499356058753"/>
          <c:h val="0.83901553289445374"/>
        </c:manualLayout>
      </c:layout>
      <c:lineChart>
        <c:grouping val="standard"/>
        <c:varyColors val="0"/>
        <c:ser>
          <c:idx val="0"/>
          <c:order val="0"/>
          <c:tx>
            <c:strRef>
              <c:f>'Fig.5+8+10+12'!$C$3</c:f>
              <c:strCache>
                <c:ptCount val="1"/>
                <c:pt idx="0">
                  <c:v>TWA</c:v>
                </c:pt>
              </c:strCache>
            </c:strRef>
          </c:tx>
          <c:marker>
            <c:symbol val="none"/>
          </c:marker>
          <c:cat>
            <c:numRef>
              <c:f>'Fig.5+8+10+12'!$A$5:$A$19</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'Fig.5+8+10+12'!$S$5:$S$18</c:f>
              <c:numCache>
                <c:formatCode>General</c:formatCode>
                <c:ptCount val="14"/>
                <c:pt idx="0">
                  <c:v>1</c:v>
                </c:pt>
                <c:pt idx="1">
                  <c:v>6</c:v>
                </c:pt>
                <c:pt idx="2">
                  <c:v>7</c:v>
                </c:pt>
                <c:pt idx="3">
                  <c:v>1</c:v>
                </c:pt>
                <c:pt idx="4">
                  <c:v>3</c:v>
                </c:pt>
                <c:pt idx="5">
                  <c:v>3</c:v>
                </c:pt>
                <c:pt idx="6">
                  <c:v>3.5</c:v>
                </c:pt>
                <c:pt idx="7">
                  <c:v>1</c:v>
                </c:pt>
                <c:pt idx="8">
                  <c:v>4</c:v>
                </c:pt>
                <c:pt idx="9">
                  <c:v>1.5</c:v>
                </c:pt>
                <c:pt idx="10">
                  <c:v>1.5</c:v>
                </c:pt>
                <c:pt idx="11">
                  <c:v>1</c:v>
                </c:pt>
                <c:pt idx="12">
                  <c:v>3.5</c:v>
                </c:pt>
                <c:pt idx="13">
                  <c:v>3</c:v>
                </c:pt>
              </c:numCache>
            </c:numRef>
          </c:val>
          <c:smooth val="0"/>
        </c:ser>
        <c:ser>
          <c:idx val="1"/>
          <c:order val="1"/>
          <c:tx>
            <c:strRef>
              <c:f>'Fig.5+8+10+12'!$F$3</c:f>
              <c:strCache>
                <c:ptCount val="1"/>
                <c:pt idx="0">
                  <c:v>TWF</c:v>
                </c:pt>
              </c:strCache>
            </c:strRef>
          </c:tx>
          <c:marker>
            <c:symbol val="none"/>
          </c:marker>
          <c:cat>
            <c:numRef>
              <c:f>'Fig.5+8+10+12'!$A$5:$A$19</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'Fig.5+8+10+12'!$T$5:$T$18</c:f>
              <c:numCache>
                <c:formatCode>General</c:formatCode>
                <c:ptCount val="14"/>
                <c:pt idx="0">
                  <c:v>1</c:v>
                </c:pt>
                <c:pt idx="1">
                  <c:v>1</c:v>
                </c:pt>
                <c:pt idx="2">
                  <c:v>2</c:v>
                </c:pt>
                <c:pt idx="3">
                  <c:v>8</c:v>
                </c:pt>
                <c:pt idx="4">
                  <c:v>1</c:v>
                </c:pt>
                <c:pt idx="5">
                  <c:v>2</c:v>
                </c:pt>
                <c:pt idx="6">
                  <c:v>6.5</c:v>
                </c:pt>
                <c:pt idx="7">
                  <c:v>2</c:v>
                </c:pt>
                <c:pt idx="8">
                  <c:v>5</c:v>
                </c:pt>
                <c:pt idx="9">
                  <c:v>1.5</c:v>
                </c:pt>
                <c:pt idx="10">
                  <c:v>4</c:v>
                </c:pt>
                <c:pt idx="11">
                  <c:v>8</c:v>
                </c:pt>
                <c:pt idx="12">
                  <c:v>3</c:v>
                </c:pt>
                <c:pt idx="13">
                  <c:v>3</c:v>
                </c:pt>
              </c:numCache>
            </c:numRef>
          </c:val>
          <c:smooth val="0"/>
        </c:ser>
        <c:ser>
          <c:idx val="3"/>
          <c:order val="2"/>
          <c:tx>
            <c:strRef>
              <c:f>'Fig.5+8+10+12'!$L$3</c:f>
              <c:strCache>
                <c:ptCount val="1"/>
                <c:pt idx="0">
                  <c:v>TWO</c:v>
                </c:pt>
              </c:strCache>
            </c:strRef>
          </c:tx>
          <c:marker>
            <c:symbol val="none"/>
          </c:marker>
          <c:cat>
            <c:numRef>
              <c:f>'Fig.5+8+10+12'!$A$5:$A$19</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'Fig.5+8+10+12'!$U$5:$U$18</c:f>
              <c:numCache>
                <c:formatCode>General</c:formatCode>
                <c:ptCount val="14"/>
                <c:pt idx="0">
                  <c:v>3</c:v>
                </c:pt>
                <c:pt idx="1">
                  <c:v>4</c:v>
                </c:pt>
                <c:pt idx="2">
                  <c:v>7</c:v>
                </c:pt>
                <c:pt idx="3">
                  <c:v>8</c:v>
                </c:pt>
                <c:pt idx="4">
                  <c:v>4</c:v>
                </c:pt>
                <c:pt idx="5">
                  <c:v>4</c:v>
                </c:pt>
                <c:pt idx="6">
                  <c:v>7</c:v>
                </c:pt>
                <c:pt idx="7">
                  <c:v>6</c:v>
                </c:pt>
                <c:pt idx="8">
                  <c:v>5.5</c:v>
                </c:pt>
                <c:pt idx="9">
                  <c:v>6.5</c:v>
                </c:pt>
                <c:pt idx="10">
                  <c:v>7</c:v>
                </c:pt>
                <c:pt idx="11">
                  <c:v>6</c:v>
                </c:pt>
                <c:pt idx="12">
                  <c:v>5.5</c:v>
                </c:pt>
                <c:pt idx="13">
                  <c:v>10</c:v>
                </c:pt>
              </c:numCache>
            </c:numRef>
          </c:val>
          <c:smooth val="0"/>
        </c:ser>
        <c:ser>
          <c:idx val="2"/>
          <c:order val="3"/>
          <c:tx>
            <c:strRef>
              <c:f>'Fig.5+8+10+12'!$I$3</c:f>
              <c:strCache>
                <c:ptCount val="1"/>
                <c:pt idx="0">
                  <c:v>TWV</c:v>
                </c:pt>
              </c:strCache>
            </c:strRef>
          </c:tx>
          <c:marker>
            <c:symbol val="none"/>
          </c:marker>
          <c:cat>
            <c:numRef>
              <c:f>'Fig.5+8+10+12'!$A$5:$A$19</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'Fig.5+8+10+12'!$V$5:$V$18</c:f>
              <c:numCache>
                <c:formatCode>General</c:formatCode>
                <c:ptCount val="14"/>
                <c:pt idx="0">
                  <c:v>1</c:v>
                </c:pt>
                <c:pt idx="1">
                  <c:v>7</c:v>
                </c:pt>
                <c:pt idx="2">
                  <c:v>6</c:v>
                </c:pt>
                <c:pt idx="3">
                  <c:v>9</c:v>
                </c:pt>
                <c:pt idx="4">
                  <c:v>8</c:v>
                </c:pt>
                <c:pt idx="5">
                  <c:v>4</c:v>
                </c:pt>
                <c:pt idx="6">
                  <c:v>6</c:v>
                </c:pt>
                <c:pt idx="7">
                  <c:v>9</c:v>
                </c:pt>
                <c:pt idx="8">
                  <c:v>6.5</c:v>
                </c:pt>
                <c:pt idx="9">
                  <c:v>5.5</c:v>
                </c:pt>
                <c:pt idx="10">
                  <c:v>3.5</c:v>
                </c:pt>
                <c:pt idx="11">
                  <c:v>5</c:v>
                </c:pt>
                <c:pt idx="12">
                  <c:v>4</c:v>
                </c:pt>
                <c:pt idx="13">
                  <c:v>8</c:v>
                </c:pt>
              </c:numCache>
            </c:numRef>
          </c:val>
          <c:smooth val="0"/>
        </c:ser>
        <c:dLbls>
          <c:showLegendKey val="0"/>
          <c:showVal val="0"/>
          <c:showCatName val="0"/>
          <c:showSerName val="0"/>
          <c:showPercent val="0"/>
          <c:showBubbleSize val="0"/>
        </c:dLbls>
        <c:marker val="1"/>
        <c:smooth val="0"/>
        <c:axId val="79510912"/>
        <c:axId val="79520896"/>
      </c:lineChart>
      <c:catAx>
        <c:axId val="79510912"/>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79520896"/>
        <c:crosses val="autoZero"/>
        <c:auto val="1"/>
        <c:lblAlgn val="ctr"/>
        <c:lblOffset val="100"/>
        <c:noMultiLvlLbl val="0"/>
      </c:catAx>
      <c:valAx>
        <c:axId val="79520896"/>
        <c:scaling>
          <c:orientation val="minMax"/>
        </c:scaling>
        <c:delete val="0"/>
        <c:axPos val="l"/>
        <c:majorGridlines/>
        <c:numFmt formatCode="General" sourceLinked="1"/>
        <c:majorTickMark val="out"/>
        <c:minorTickMark val="none"/>
        <c:tickLblPos val="nextTo"/>
        <c:crossAx val="79510912"/>
        <c:crosses val="autoZero"/>
        <c:crossBetween val="midCat"/>
      </c:valAx>
    </c:plotArea>
    <c:legend>
      <c:legendPos val="r"/>
      <c:layout>
        <c:manualLayout>
          <c:xMode val="edge"/>
          <c:yMode val="edge"/>
          <c:x val="0.4451547904338044"/>
          <c:y val="3.4065659825308722E-2"/>
          <c:w val="0.37265059258896988"/>
          <c:h val="0.15044791532206014"/>
        </c:manualLayout>
      </c:layout>
      <c:overlay val="0"/>
      <c:spPr>
        <a:solidFill>
          <a:schemeClr val="bg1"/>
        </a:solidFill>
        <a:ln>
          <a:solidFill>
            <a:schemeClr val="tx1"/>
          </a:solidFill>
        </a:ln>
      </c:spPr>
    </c:legend>
    <c:plotVisOnly val="1"/>
    <c:dispBlanksAs val="gap"/>
    <c:showDLblsOverMax val="0"/>
  </c:chart>
  <c:spPr>
    <a:ln>
      <a:noFill/>
    </a:ln>
  </c:spPr>
  <c:txPr>
    <a:bodyPr/>
    <a:lstStyle/>
    <a:p>
      <a:pPr>
        <a:defRPr sz="600">
          <a:latin typeface="Arial" panose="020B0604020202020204" pitchFamily="34" charset="0"/>
          <a:cs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203071460079301E-2"/>
          <c:y val="4.9162745906126286E-2"/>
          <c:w val="0.8792865739145258"/>
          <c:h val="0.82312548769241678"/>
        </c:manualLayout>
      </c:layout>
      <c:lineChart>
        <c:grouping val="standard"/>
        <c:varyColors val="0"/>
        <c:ser>
          <c:idx val="0"/>
          <c:order val="0"/>
          <c:tx>
            <c:strRef>
              <c:f>'Fig.5+8+10+12'!$W$24</c:f>
              <c:strCache>
                <c:ptCount val="1"/>
                <c:pt idx="0">
                  <c:v>TWA</c:v>
                </c:pt>
              </c:strCache>
            </c:strRef>
          </c:tx>
          <c:marker>
            <c:symbol val="none"/>
          </c:marker>
          <c:cat>
            <c:numRef>
              <c:f>'Fig.5+8+10+12'!$A$25:$A$38</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'Fig.5+8+10+12'!$W$25:$W$38</c:f>
              <c:numCache>
                <c:formatCode>General</c:formatCode>
                <c:ptCount val="14"/>
                <c:pt idx="0">
                  <c:v>8</c:v>
                </c:pt>
                <c:pt idx="1">
                  <c:v>12</c:v>
                </c:pt>
                <c:pt idx="2">
                  <c:v>9</c:v>
                </c:pt>
                <c:pt idx="3">
                  <c:v>10.5</c:v>
                </c:pt>
                <c:pt idx="4">
                  <c:v>12</c:v>
                </c:pt>
                <c:pt idx="5">
                  <c:v>11</c:v>
                </c:pt>
                <c:pt idx="6">
                  <c:v>8</c:v>
                </c:pt>
                <c:pt idx="7">
                  <c:v>14.33</c:v>
                </c:pt>
                <c:pt idx="8">
                  <c:v>10</c:v>
                </c:pt>
                <c:pt idx="9">
                  <c:v>11.5</c:v>
                </c:pt>
                <c:pt idx="10">
                  <c:v>11.5</c:v>
                </c:pt>
                <c:pt idx="11">
                  <c:v>12.5</c:v>
                </c:pt>
                <c:pt idx="12">
                  <c:v>15</c:v>
                </c:pt>
                <c:pt idx="13">
                  <c:v>11.5</c:v>
                </c:pt>
              </c:numCache>
            </c:numRef>
          </c:val>
          <c:smooth val="0"/>
        </c:ser>
        <c:ser>
          <c:idx val="1"/>
          <c:order val="1"/>
          <c:tx>
            <c:strRef>
              <c:f>'Fig.5+8+10+12'!$X$24</c:f>
              <c:strCache>
                <c:ptCount val="1"/>
                <c:pt idx="0">
                  <c:v>TWF</c:v>
                </c:pt>
              </c:strCache>
            </c:strRef>
          </c:tx>
          <c:marker>
            <c:symbol val="none"/>
          </c:marker>
          <c:cat>
            <c:numRef>
              <c:f>'Fig.5+8+10+12'!$A$25:$A$38</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'Fig.5+8+10+12'!$X$25:$X$38</c:f>
              <c:numCache>
                <c:formatCode>General</c:formatCode>
                <c:ptCount val="14"/>
                <c:pt idx="0">
                  <c:v>9</c:v>
                </c:pt>
                <c:pt idx="1">
                  <c:v>11</c:v>
                </c:pt>
                <c:pt idx="2">
                  <c:v>17</c:v>
                </c:pt>
                <c:pt idx="3">
                  <c:v>11.5</c:v>
                </c:pt>
                <c:pt idx="4">
                  <c:v>13.5</c:v>
                </c:pt>
                <c:pt idx="5">
                  <c:v>18</c:v>
                </c:pt>
                <c:pt idx="6">
                  <c:v>19</c:v>
                </c:pt>
                <c:pt idx="7">
                  <c:v>17.5</c:v>
                </c:pt>
                <c:pt idx="8">
                  <c:v>17</c:v>
                </c:pt>
                <c:pt idx="9">
                  <c:v>21</c:v>
                </c:pt>
                <c:pt idx="10">
                  <c:v>14</c:v>
                </c:pt>
                <c:pt idx="11">
                  <c:v>11</c:v>
                </c:pt>
                <c:pt idx="12">
                  <c:v>12</c:v>
                </c:pt>
                <c:pt idx="13">
                  <c:v>12</c:v>
                </c:pt>
              </c:numCache>
            </c:numRef>
          </c:val>
          <c:smooth val="0"/>
        </c:ser>
        <c:ser>
          <c:idx val="2"/>
          <c:order val="2"/>
          <c:tx>
            <c:strRef>
              <c:f>'Fig.5+8+10+12'!$Y$24</c:f>
              <c:strCache>
                <c:ptCount val="1"/>
                <c:pt idx="0">
                  <c:v>TWO</c:v>
                </c:pt>
              </c:strCache>
            </c:strRef>
          </c:tx>
          <c:spPr>
            <a:ln>
              <a:solidFill>
                <a:srgbClr val="7030A0"/>
              </a:solidFill>
            </a:ln>
          </c:spPr>
          <c:marker>
            <c:symbol val="none"/>
          </c:marker>
          <c:cat>
            <c:numRef>
              <c:f>'Fig.5+8+10+12'!$A$25:$A$38</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'Fig.5+8+10+12'!$Y$25:$Y$38</c:f>
              <c:numCache>
                <c:formatCode>General</c:formatCode>
                <c:ptCount val="14"/>
                <c:pt idx="0">
                  <c:v>14</c:v>
                </c:pt>
                <c:pt idx="1">
                  <c:v>12</c:v>
                </c:pt>
                <c:pt idx="2">
                  <c:v>18</c:v>
                </c:pt>
                <c:pt idx="3">
                  <c:v>22</c:v>
                </c:pt>
                <c:pt idx="4">
                  <c:v>17</c:v>
                </c:pt>
                <c:pt idx="5">
                  <c:v>22.5</c:v>
                </c:pt>
                <c:pt idx="6">
                  <c:v>22</c:v>
                </c:pt>
                <c:pt idx="7">
                  <c:v>19</c:v>
                </c:pt>
                <c:pt idx="8">
                  <c:v>24</c:v>
                </c:pt>
                <c:pt idx="9">
                  <c:v>22</c:v>
                </c:pt>
                <c:pt idx="10">
                  <c:v>21.5</c:v>
                </c:pt>
                <c:pt idx="11">
                  <c:v>23.5</c:v>
                </c:pt>
                <c:pt idx="12">
                  <c:v>22</c:v>
                </c:pt>
                <c:pt idx="13">
                  <c:v>15</c:v>
                </c:pt>
              </c:numCache>
            </c:numRef>
          </c:val>
          <c:smooth val="0"/>
        </c:ser>
        <c:ser>
          <c:idx val="3"/>
          <c:order val="3"/>
          <c:tx>
            <c:strRef>
              <c:f>'Fig.5+8+10+12'!$Z$24</c:f>
              <c:strCache>
                <c:ptCount val="1"/>
                <c:pt idx="0">
                  <c:v>TWV</c:v>
                </c:pt>
              </c:strCache>
            </c:strRef>
          </c:tx>
          <c:spPr>
            <a:ln>
              <a:solidFill>
                <a:srgbClr val="92D050"/>
              </a:solidFill>
            </a:ln>
          </c:spPr>
          <c:marker>
            <c:symbol val="none"/>
          </c:marker>
          <c:cat>
            <c:numRef>
              <c:f>'Fig.5+8+10+12'!$A$25:$A$38</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'Fig.5+8+10+12'!$Z$25:$Z$38</c:f>
              <c:numCache>
                <c:formatCode>General</c:formatCode>
                <c:ptCount val="14"/>
                <c:pt idx="0">
                  <c:v>11</c:v>
                </c:pt>
                <c:pt idx="1">
                  <c:v>9</c:v>
                </c:pt>
                <c:pt idx="2">
                  <c:v>13</c:v>
                </c:pt>
                <c:pt idx="3">
                  <c:v>12</c:v>
                </c:pt>
                <c:pt idx="4">
                  <c:v>11.5</c:v>
                </c:pt>
                <c:pt idx="5">
                  <c:v>11</c:v>
                </c:pt>
                <c:pt idx="6">
                  <c:v>14.5</c:v>
                </c:pt>
                <c:pt idx="7">
                  <c:v>17.829999999999998</c:v>
                </c:pt>
                <c:pt idx="8">
                  <c:v>14</c:v>
                </c:pt>
                <c:pt idx="9">
                  <c:v>13</c:v>
                </c:pt>
                <c:pt idx="10">
                  <c:v>15</c:v>
                </c:pt>
                <c:pt idx="11">
                  <c:v>13</c:v>
                </c:pt>
                <c:pt idx="12">
                  <c:v>13</c:v>
                </c:pt>
                <c:pt idx="13">
                  <c:v>10.5</c:v>
                </c:pt>
              </c:numCache>
            </c:numRef>
          </c:val>
          <c:smooth val="0"/>
        </c:ser>
        <c:dLbls>
          <c:showLegendKey val="0"/>
          <c:showVal val="0"/>
          <c:showCatName val="0"/>
          <c:showSerName val="0"/>
          <c:showPercent val="0"/>
          <c:showBubbleSize val="0"/>
        </c:dLbls>
        <c:marker val="1"/>
        <c:smooth val="0"/>
        <c:axId val="79535488"/>
        <c:axId val="79537280"/>
      </c:lineChart>
      <c:catAx>
        <c:axId val="79535488"/>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79537280"/>
        <c:crosses val="autoZero"/>
        <c:auto val="1"/>
        <c:lblAlgn val="ctr"/>
        <c:lblOffset val="100"/>
        <c:noMultiLvlLbl val="0"/>
      </c:catAx>
      <c:valAx>
        <c:axId val="79537280"/>
        <c:scaling>
          <c:orientation val="minMax"/>
        </c:scaling>
        <c:delete val="0"/>
        <c:axPos val="l"/>
        <c:majorGridlines/>
        <c:numFmt formatCode="General" sourceLinked="1"/>
        <c:majorTickMark val="out"/>
        <c:minorTickMark val="none"/>
        <c:tickLblPos val="nextTo"/>
        <c:crossAx val="79535488"/>
        <c:crosses val="autoZero"/>
        <c:crossBetween val="midCat"/>
      </c:valAx>
    </c:plotArea>
    <c:legend>
      <c:legendPos val="r"/>
      <c:layout>
        <c:manualLayout>
          <c:xMode val="edge"/>
          <c:yMode val="edge"/>
          <c:x val="0.55483934073458197"/>
          <c:y val="2.9890176864828047E-2"/>
          <c:w val="0.37097895371774181"/>
          <c:h val="0.13441927867124717"/>
        </c:manualLayout>
      </c:layout>
      <c:overlay val="0"/>
      <c:spPr>
        <a:solidFill>
          <a:schemeClr val="bg1"/>
        </a:solidFill>
        <a:ln>
          <a:solidFill>
            <a:schemeClr val="tx1"/>
          </a:solidFill>
        </a:ln>
      </c:spPr>
    </c:legend>
    <c:plotVisOnly val="1"/>
    <c:dispBlanksAs val="gap"/>
    <c:showDLblsOverMax val="0"/>
  </c:chart>
  <c:spPr>
    <a:ln>
      <a:noFill/>
    </a:ln>
  </c:spPr>
  <c:txPr>
    <a:bodyPr/>
    <a:lstStyle/>
    <a:p>
      <a:pPr>
        <a:defRPr sz="6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F37C5-BE07-4546-BCF2-2B8176FBB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750</TotalTime>
  <Pages>45</Pages>
  <Words>10425</Words>
  <Characters>65861</Characters>
  <Application>Microsoft Office Word</Application>
  <DocSecurity>0</DocSecurity>
  <Lines>548</Lines>
  <Paragraphs>152</Paragraphs>
  <ScaleCrop>false</ScaleCrop>
  <HeadingPairs>
    <vt:vector size="2" baseType="variant">
      <vt:variant>
        <vt:lpstr>Title</vt:lpstr>
      </vt:variant>
      <vt:variant>
        <vt:i4>1</vt:i4>
      </vt:variant>
    </vt:vector>
  </HeadingPairs>
  <TitlesOfParts>
    <vt:vector size="1" baseType="lpstr">
      <vt:lpstr>C/48/</vt:lpstr>
    </vt:vector>
  </TitlesOfParts>
  <Company>UPOV</Company>
  <LinksUpToDate>false</LinksUpToDate>
  <CharactersWithSpaces>76134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C/48/</dc:title>
  <dc:creator>MAY Jessica</dc:creator>
  <cp:lastModifiedBy>SANCHEZ-VIZCAINO GOMEZ Rosa Maria</cp:lastModifiedBy>
  <cp:revision>270</cp:revision>
  <cp:lastPrinted>2014-09-18T17:12:00Z</cp:lastPrinted>
  <dcterms:created xsi:type="dcterms:W3CDTF">2014-08-15T13:03:00Z</dcterms:created>
  <dcterms:modified xsi:type="dcterms:W3CDTF">2014-09-18T17:13:00Z</dcterms:modified>
</cp:coreProperties>
</file>