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8B00C9" w:rsidRDefault="000D7780" w:rsidP="006655D3">
            <w:pPr>
              <w:rPr>
                <w:sz w:val="18"/>
              </w:rPr>
            </w:pPr>
            <w:bookmarkStart w:id="0" w:name="_GoBack"/>
            <w:bookmarkEnd w:id="0"/>
          </w:p>
        </w:tc>
        <w:tc>
          <w:tcPr>
            <w:tcW w:w="1549" w:type="dxa"/>
            <w:vAlign w:val="center"/>
          </w:tcPr>
          <w:p w:rsidR="000D7780" w:rsidRPr="000D555A" w:rsidRDefault="001A0080" w:rsidP="006655D3">
            <w:pPr>
              <w:pStyle w:val="LogoUPOV"/>
            </w:pPr>
            <w:r w:rsidRPr="000D555A">
              <w:rPr>
                <w:noProof/>
              </w:rPr>
              <w:drawing>
                <wp:inline distT="0" distB="0" distL="0" distR="0" wp14:anchorId="2E0F4A9D" wp14:editId="1BAE34F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0D555A" w:rsidRDefault="0024416D" w:rsidP="006655D3">
            <w:pPr>
              <w:pStyle w:val="Lettrine"/>
            </w:pPr>
            <w:r w:rsidRPr="000D555A">
              <w:t>E</w:t>
            </w:r>
          </w:p>
          <w:p w:rsidR="000D7780" w:rsidRPr="000D555A" w:rsidRDefault="00223DC1" w:rsidP="006655D3">
            <w:pPr>
              <w:pStyle w:val="Docoriginal"/>
            </w:pPr>
            <w:r>
              <w:t>C/47/4 Rev.</w:t>
            </w:r>
          </w:p>
          <w:p w:rsidR="000D7780" w:rsidRPr="000D555A" w:rsidRDefault="0061555F" w:rsidP="006655D3">
            <w:pPr>
              <w:pStyle w:val="Docoriginal"/>
              <w:rPr>
                <w:b w:val="0"/>
                <w:spacing w:val="0"/>
              </w:rPr>
            </w:pPr>
            <w:r w:rsidRPr="000D555A">
              <w:rPr>
                <w:rStyle w:val="StyleDoclangBold"/>
                <w:b/>
                <w:bCs/>
                <w:spacing w:val="0"/>
              </w:rPr>
              <w:t>ORIGINAL</w:t>
            </w:r>
            <w:r w:rsidR="000D7780" w:rsidRPr="000D555A">
              <w:rPr>
                <w:rStyle w:val="StyleDoclangBold"/>
                <w:b/>
                <w:bCs/>
                <w:spacing w:val="0"/>
              </w:rPr>
              <w:t>:</w:t>
            </w:r>
            <w:r w:rsidRPr="000D555A">
              <w:rPr>
                <w:rStyle w:val="StyleDocoriginalNotBold1"/>
                <w:spacing w:val="0"/>
              </w:rPr>
              <w:t xml:space="preserve"> </w:t>
            </w:r>
            <w:r w:rsidR="000D7780" w:rsidRPr="000D555A">
              <w:t xml:space="preserve"> </w:t>
            </w:r>
            <w:bookmarkStart w:id="1" w:name="Original"/>
            <w:bookmarkEnd w:id="1"/>
            <w:r w:rsidR="0024416D" w:rsidRPr="000D555A">
              <w:rPr>
                <w:b w:val="0"/>
                <w:spacing w:val="0"/>
              </w:rPr>
              <w:t>English</w:t>
            </w:r>
          </w:p>
          <w:p w:rsidR="000D7780" w:rsidRPr="00C5280D" w:rsidRDefault="000D7780" w:rsidP="00223DC1">
            <w:pPr>
              <w:pStyle w:val="Docoriginal"/>
            </w:pPr>
            <w:r w:rsidRPr="000D555A">
              <w:t>DATE:</w:t>
            </w:r>
            <w:r w:rsidR="0061555F" w:rsidRPr="000D555A">
              <w:t xml:space="preserve"> </w:t>
            </w:r>
            <w:r w:rsidRPr="000D555A">
              <w:rPr>
                <w:rStyle w:val="StyleDocoriginalNotBold1"/>
                <w:spacing w:val="0"/>
              </w:rPr>
              <w:t xml:space="preserve"> </w:t>
            </w:r>
            <w:bookmarkStart w:id="2" w:name="Date"/>
            <w:bookmarkEnd w:id="2"/>
            <w:r w:rsidR="00223DC1">
              <w:rPr>
                <w:b w:val="0"/>
                <w:spacing w:val="0"/>
              </w:rPr>
              <w:t>October 24</w:t>
            </w:r>
            <w:r w:rsidR="0024416D" w:rsidRPr="000D555A">
              <w:rPr>
                <w:b w:val="0"/>
                <w:spacing w:val="0"/>
              </w:rPr>
              <w:t xml:space="preserve">, </w:t>
            </w:r>
            <w:r w:rsidR="001131D5" w:rsidRPr="000D555A">
              <w:rPr>
                <w:b w:val="0"/>
                <w:spacing w:val="0"/>
              </w:rPr>
              <w:t>201</w:t>
            </w:r>
            <w:r w:rsidR="00F56C99" w:rsidRPr="000D555A">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901A3F" w:rsidP="006655D3">
      <w:pPr>
        <w:pStyle w:val="Sessiontcplacedate"/>
      </w:pPr>
      <w:r w:rsidRPr="00C5280D">
        <w:t>Forty-</w:t>
      </w:r>
      <w:r w:rsidR="00F56C99">
        <w:t xml:space="preserve">Seventh </w:t>
      </w:r>
      <w:r>
        <w:t xml:space="preserve">Ordinary </w:t>
      </w:r>
      <w:r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F56C99">
        <w:t>October 24</w:t>
      </w:r>
      <w:r w:rsidRPr="00C5280D">
        <w:t>, 201</w:t>
      </w:r>
      <w:r w:rsidR="00F56C99">
        <w:t>3</w:t>
      </w:r>
    </w:p>
    <w:p w:rsidR="000D7780" w:rsidRPr="00C5280D" w:rsidRDefault="00A44F6C" w:rsidP="006655D3">
      <w:pPr>
        <w:pStyle w:val="Titleofdoc0"/>
      </w:pPr>
      <w:bookmarkStart w:id="3" w:name="TitleOfDoc"/>
      <w:bookmarkEnd w:id="3"/>
      <w:r>
        <w:t>Program and Budget for the 2014-2015 Biennium</w:t>
      </w:r>
    </w:p>
    <w:p w:rsidR="000D7780" w:rsidRPr="00C5280D" w:rsidRDefault="00223DC1" w:rsidP="006655D3">
      <w:pPr>
        <w:pStyle w:val="preparedby1"/>
      </w:pPr>
      <w:bookmarkStart w:id="4" w:name="Prepared"/>
      <w:bookmarkEnd w:id="4"/>
      <w:r>
        <w:t>adopted by the Council</w:t>
      </w:r>
    </w:p>
    <w:p w:rsidR="00223DC1" w:rsidRDefault="00A44F6C" w:rsidP="00223DC1">
      <w:r w:rsidRPr="00DD6106">
        <w:fldChar w:fldCharType="begin"/>
      </w:r>
      <w:r w:rsidRPr="00DD6106">
        <w:instrText xml:space="preserve"> AUTONUM  </w:instrText>
      </w:r>
      <w:r w:rsidRPr="00DD6106">
        <w:fldChar w:fldCharType="end"/>
      </w:r>
      <w:r w:rsidRPr="00DD6106">
        <w:tab/>
      </w:r>
      <w:r w:rsidR="00223DC1">
        <w:t>At its forty-</w:t>
      </w:r>
      <w:r w:rsidR="00223DC1">
        <w:t>seven</w:t>
      </w:r>
      <w:r w:rsidR="00223DC1">
        <w:t>th ordinary sessi</w:t>
      </w:r>
      <w:r w:rsidR="00223DC1">
        <w:t>on, held in Geneva on October 24</w:t>
      </w:r>
      <w:r w:rsidR="00223DC1">
        <w:t>, 201</w:t>
      </w:r>
      <w:r w:rsidR="00223DC1">
        <w:t>3</w:t>
      </w:r>
      <w:r w:rsidR="00223DC1">
        <w:t>, the Council</w:t>
      </w:r>
      <w:r w:rsidR="00223DC1">
        <w:t xml:space="preserve"> </w:t>
      </w:r>
      <w:r w:rsidR="00223DC1">
        <w:t>adopted the proposals contained in the Draft Program and Budget for the 201</w:t>
      </w:r>
      <w:r w:rsidR="00223DC1">
        <w:t>4</w:t>
      </w:r>
      <w:r w:rsidR="00223DC1">
        <w:t>-201</w:t>
      </w:r>
      <w:r w:rsidR="00223DC1">
        <w:t xml:space="preserve">5 </w:t>
      </w:r>
      <w:r w:rsidR="00223DC1">
        <w:t>Bienn</w:t>
      </w:r>
      <w:r w:rsidR="00223DC1">
        <w:t>ium, as set out in document C/47</w:t>
      </w:r>
      <w:r w:rsidR="00223DC1">
        <w:t>/4, including the amount of contributions from</w:t>
      </w:r>
      <w:r w:rsidR="00223DC1">
        <w:t xml:space="preserve"> </w:t>
      </w:r>
      <w:r w:rsidR="00223DC1">
        <w:t>members of the Union, the proposed maximum ceiling of expenditure in the regular budget,</w:t>
      </w:r>
      <w:r w:rsidR="00223DC1">
        <w:t xml:space="preserve"> </w:t>
      </w:r>
      <w:r w:rsidR="00223DC1">
        <w:t>and the total number of posts for the Office of the Union.</w:t>
      </w:r>
    </w:p>
    <w:p w:rsidR="00223DC1" w:rsidRDefault="00223DC1" w:rsidP="00223DC1"/>
    <w:p w:rsidR="00223DC1" w:rsidRDefault="00223DC1" w:rsidP="00223DC1">
      <w:r w:rsidRPr="00DD6106">
        <w:fldChar w:fldCharType="begin"/>
      </w:r>
      <w:r w:rsidRPr="00DD6106">
        <w:instrText xml:space="preserve"> AUTONUM  </w:instrText>
      </w:r>
      <w:r w:rsidRPr="00DD6106">
        <w:fldChar w:fldCharType="end"/>
      </w:r>
      <w:r w:rsidRPr="00DD6106">
        <w:tab/>
      </w:r>
      <w:r>
        <w:t>Th</w:t>
      </w:r>
      <w:r>
        <w:t>e Annex to th</w:t>
      </w:r>
      <w:r>
        <w:t>is document contains the Program and Budget for the 201</w:t>
      </w:r>
      <w:r>
        <w:t>4</w:t>
      </w:r>
      <w:r>
        <w:t>-201</w:t>
      </w:r>
      <w:r>
        <w:t>5</w:t>
      </w:r>
      <w:r>
        <w:t xml:space="preserve"> Biennium, as</w:t>
      </w:r>
      <w:r>
        <w:t xml:space="preserve"> </w:t>
      </w:r>
      <w:r>
        <w:t>adopted by the Council.</w:t>
      </w:r>
    </w:p>
    <w:p w:rsidR="00A44F6C" w:rsidRDefault="00E32CBA" w:rsidP="00ED32C1">
      <w:pPr>
        <w:pStyle w:val="endofdoc"/>
      </w:pPr>
      <w:r w:rsidRPr="00B8035E">
        <w:t>[Annex follows]</w:t>
      </w:r>
    </w:p>
    <w:p w:rsidR="00421639" w:rsidRDefault="00421639" w:rsidP="00C651CE">
      <w:pPr>
        <w:sectPr w:rsidR="00421639" w:rsidSect="00906DDC">
          <w:headerReference w:type="default" r:id="rId10"/>
          <w:pgSz w:w="11907" w:h="16840" w:code="9"/>
          <w:pgMar w:top="510" w:right="1134" w:bottom="1134" w:left="1134" w:header="510" w:footer="680" w:gutter="0"/>
          <w:cols w:space="720"/>
          <w:titlePg/>
        </w:sectPr>
      </w:pPr>
    </w:p>
    <w:p w:rsidR="00C651CE" w:rsidRDefault="00223DC1" w:rsidP="00421639">
      <w:pPr>
        <w:jc w:val="center"/>
      </w:pPr>
      <w:r>
        <w:lastRenderedPageBreak/>
        <w:t>C/47/4 Rev.</w:t>
      </w:r>
    </w:p>
    <w:p w:rsidR="00421639" w:rsidRDefault="00421639" w:rsidP="00421639">
      <w:pPr>
        <w:jc w:val="center"/>
      </w:pPr>
    </w:p>
    <w:p w:rsidR="00421639" w:rsidRDefault="00421639" w:rsidP="00421639">
      <w:pPr>
        <w:jc w:val="center"/>
      </w:pPr>
      <w:r>
        <w:t>ANNEX</w:t>
      </w:r>
    </w:p>
    <w:p w:rsidR="00421639" w:rsidRDefault="00421639" w:rsidP="00421639">
      <w:pPr>
        <w:jc w:val="center"/>
      </w:pPr>
    </w:p>
    <w:p w:rsidR="00421639" w:rsidRPr="00913886" w:rsidRDefault="00421639" w:rsidP="00421639">
      <w:pPr>
        <w:jc w:val="center"/>
      </w:pPr>
      <w:r w:rsidRPr="00913886">
        <w:t>PROGRAM AND BUDGET FOR THE 2014-2015 BIENNIUM</w:t>
      </w:r>
    </w:p>
    <w:p w:rsidR="00421639" w:rsidRDefault="00421639" w:rsidP="00421639">
      <w:pPr>
        <w:jc w:val="center"/>
      </w:pPr>
    </w:p>
    <w:p w:rsidR="00421639" w:rsidRDefault="00421639" w:rsidP="00421639">
      <w:pPr>
        <w:jc w:val="center"/>
      </w:pPr>
    </w:p>
    <w:p w:rsidR="00FA1B68" w:rsidRPr="00C94BA7" w:rsidRDefault="00FA1B68" w:rsidP="00421639">
      <w:pPr>
        <w:jc w:val="center"/>
      </w:pPr>
    </w:p>
    <w:p w:rsidR="00421639" w:rsidRPr="00913886" w:rsidRDefault="00421639" w:rsidP="00421639">
      <w:pPr>
        <w:keepNext/>
        <w:rPr>
          <w:rFonts w:cs="Arial"/>
          <w:u w:val="single"/>
        </w:rPr>
      </w:pPr>
      <w:r w:rsidRPr="00913886">
        <w:rPr>
          <w:rFonts w:cs="Arial"/>
          <w:u w:val="single"/>
        </w:rPr>
        <w:t>TABLE OF CONTENTS</w:t>
      </w:r>
    </w:p>
    <w:p w:rsidR="00421639" w:rsidRPr="00913886" w:rsidRDefault="00421639" w:rsidP="00421639">
      <w:pPr>
        <w:keepNext/>
        <w:rPr>
          <w:rFonts w:cs="Arial"/>
        </w:rPr>
      </w:pPr>
    </w:p>
    <w:p w:rsidR="00421639" w:rsidRPr="00913886" w:rsidRDefault="00421639" w:rsidP="00421639">
      <w:pPr>
        <w:rPr>
          <w:rFonts w:cs="Arial"/>
        </w:rPr>
      </w:pPr>
      <w:r w:rsidRPr="00913886">
        <w:rPr>
          <w:rFonts w:cs="Arial"/>
        </w:rPr>
        <w:t>1.</w:t>
      </w:r>
      <w:r w:rsidRPr="00913886">
        <w:rPr>
          <w:rFonts w:cs="Arial"/>
        </w:rPr>
        <w:tab/>
        <w:t>INTRODUCTION</w:t>
      </w:r>
    </w:p>
    <w:p w:rsidR="00421639" w:rsidRPr="00913886" w:rsidRDefault="00421639" w:rsidP="00421639">
      <w:pPr>
        <w:rPr>
          <w:rFonts w:cs="Arial"/>
        </w:rPr>
      </w:pPr>
    </w:p>
    <w:p w:rsidR="00421639" w:rsidRPr="00913886" w:rsidRDefault="00421639" w:rsidP="00421639">
      <w:pPr>
        <w:rPr>
          <w:rFonts w:cs="Arial"/>
        </w:rPr>
      </w:pPr>
      <w:r w:rsidRPr="00913886">
        <w:rPr>
          <w:rFonts w:cs="Arial"/>
        </w:rPr>
        <w:t>2.</w:t>
      </w:r>
      <w:r w:rsidRPr="00913886">
        <w:rPr>
          <w:rFonts w:cs="Arial"/>
        </w:rPr>
        <w:tab/>
        <w:t>OBJECTIVES AND EXPECTED RESULTS BY SUB-PROGRAM</w:t>
      </w:r>
    </w:p>
    <w:p w:rsidR="00421639" w:rsidRPr="00913886" w:rsidRDefault="00421639" w:rsidP="00421639">
      <w:pPr>
        <w:rPr>
          <w:rFonts w:cs="Arial"/>
        </w:rPr>
      </w:pPr>
    </w:p>
    <w:p w:rsidR="00421639" w:rsidRPr="00913886" w:rsidRDefault="00421639" w:rsidP="00421639">
      <w:pPr>
        <w:ind w:left="567"/>
        <w:rPr>
          <w:rFonts w:cs="Arial"/>
        </w:rPr>
      </w:pPr>
      <w:r w:rsidRPr="00913886">
        <w:rPr>
          <w:rFonts w:cs="Arial"/>
        </w:rPr>
        <w:t>2.1</w:t>
      </w:r>
      <w:r w:rsidRPr="00913886">
        <w:rPr>
          <w:rFonts w:cs="Arial"/>
        </w:rPr>
        <w:tab/>
        <w:t>Sub-program UV.1:  Overall Policy on Plant Variety Protection</w:t>
      </w:r>
    </w:p>
    <w:p w:rsidR="00421639" w:rsidRPr="00913886" w:rsidRDefault="00421639" w:rsidP="00421639">
      <w:pPr>
        <w:ind w:left="1134"/>
        <w:rPr>
          <w:rFonts w:cs="Arial"/>
          <w:i/>
        </w:rPr>
      </w:pPr>
    </w:p>
    <w:p w:rsidR="00421639" w:rsidRPr="00913886" w:rsidRDefault="00421639" w:rsidP="00421639">
      <w:pPr>
        <w:ind w:left="1843" w:hanging="709"/>
        <w:rPr>
          <w:rFonts w:cs="Arial"/>
          <w:i/>
        </w:rPr>
      </w:pPr>
      <w:r w:rsidRPr="00913886">
        <w:rPr>
          <w:rFonts w:cs="Arial"/>
          <w:i/>
        </w:rPr>
        <w:t>2.1.1</w:t>
      </w:r>
      <w:r w:rsidRPr="00913886">
        <w:rPr>
          <w:rFonts w:cs="Arial"/>
          <w:i/>
        </w:rPr>
        <w:tab/>
        <w:t>Objectives</w:t>
      </w:r>
    </w:p>
    <w:p w:rsidR="00421639" w:rsidRPr="00913886" w:rsidRDefault="00421639" w:rsidP="00421639">
      <w:pPr>
        <w:ind w:left="1843" w:hanging="709"/>
        <w:rPr>
          <w:rFonts w:cs="Arial"/>
          <w:i/>
        </w:rPr>
      </w:pPr>
      <w:r w:rsidRPr="00913886">
        <w:rPr>
          <w:rFonts w:cs="Arial"/>
          <w:i/>
        </w:rPr>
        <w:t>2.1.2</w:t>
      </w:r>
      <w:r w:rsidRPr="00913886">
        <w:rPr>
          <w:rFonts w:cs="Arial"/>
          <w:i/>
        </w:rPr>
        <w:tab/>
        <w:t>Narrative</w:t>
      </w:r>
    </w:p>
    <w:p w:rsidR="00421639" w:rsidRPr="00913886" w:rsidRDefault="00421639" w:rsidP="00421639">
      <w:pPr>
        <w:ind w:left="1843" w:hanging="709"/>
        <w:rPr>
          <w:rFonts w:cs="Arial"/>
          <w:i/>
        </w:rPr>
      </w:pPr>
      <w:r w:rsidRPr="00913886">
        <w:rPr>
          <w:rFonts w:cs="Arial"/>
          <w:i/>
        </w:rPr>
        <w:t>2.1.3</w:t>
      </w:r>
      <w:r w:rsidRPr="00913886">
        <w:rPr>
          <w:rFonts w:cs="Arial"/>
          <w:i/>
        </w:rPr>
        <w:tab/>
        <w:t>Activities</w:t>
      </w:r>
    </w:p>
    <w:p w:rsidR="00421639" w:rsidRPr="00913886" w:rsidRDefault="00421639" w:rsidP="00421639">
      <w:pPr>
        <w:ind w:left="1843" w:hanging="709"/>
        <w:rPr>
          <w:rFonts w:cs="Arial"/>
          <w:i/>
        </w:rPr>
      </w:pPr>
      <w:r w:rsidRPr="00913886">
        <w:rPr>
          <w:rFonts w:cs="Arial"/>
          <w:i/>
        </w:rPr>
        <w:t>2.1.4</w:t>
      </w:r>
      <w:r w:rsidRPr="00913886">
        <w:rPr>
          <w:rFonts w:cs="Arial"/>
          <w:i/>
        </w:rPr>
        <w:tab/>
        <w:t>Expected Results and Performance Indicators</w:t>
      </w:r>
    </w:p>
    <w:p w:rsidR="00421639" w:rsidRPr="00913886" w:rsidRDefault="00421639" w:rsidP="00421639">
      <w:pPr>
        <w:rPr>
          <w:rFonts w:cs="Arial"/>
        </w:rPr>
      </w:pPr>
    </w:p>
    <w:p w:rsidR="00421639" w:rsidRPr="00913886" w:rsidRDefault="00421639" w:rsidP="00421639">
      <w:pPr>
        <w:ind w:left="1134" w:hanging="567"/>
        <w:rPr>
          <w:rFonts w:cs="Arial"/>
        </w:rPr>
      </w:pPr>
      <w:r w:rsidRPr="00913886">
        <w:rPr>
          <w:rFonts w:cs="Arial"/>
        </w:rPr>
        <w:t>2.2</w:t>
      </w:r>
      <w:r w:rsidRPr="00913886">
        <w:rPr>
          <w:rFonts w:cs="Arial"/>
        </w:rPr>
        <w:tab/>
        <w:t xml:space="preserve">Sub-program UV.2:  Services to the </w:t>
      </w:r>
      <w:smartTag w:uri="urn:schemas-microsoft-com:office:smarttags" w:element="place">
        <w:r w:rsidRPr="00913886">
          <w:rPr>
            <w:rFonts w:cs="Arial"/>
          </w:rPr>
          <w:t>Union</w:t>
        </w:r>
      </w:smartTag>
      <w:r w:rsidRPr="00913886">
        <w:rPr>
          <w:rFonts w:cs="Arial"/>
        </w:rPr>
        <w:t xml:space="preserve"> for Enhancing the Effectiveness of the UPOV System</w:t>
      </w:r>
    </w:p>
    <w:p w:rsidR="00421639" w:rsidRPr="00913886" w:rsidRDefault="00421639" w:rsidP="00421639">
      <w:pPr>
        <w:ind w:left="1134" w:hanging="567"/>
        <w:rPr>
          <w:rFonts w:cs="Arial"/>
        </w:rPr>
      </w:pPr>
    </w:p>
    <w:p w:rsidR="00421639" w:rsidRPr="00913886" w:rsidRDefault="00421639" w:rsidP="00421639">
      <w:pPr>
        <w:ind w:left="1843" w:hanging="709"/>
        <w:rPr>
          <w:rFonts w:cs="Arial"/>
          <w:i/>
        </w:rPr>
      </w:pPr>
      <w:r w:rsidRPr="00913886">
        <w:rPr>
          <w:rFonts w:cs="Arial"/>
          <w:i/>
        </w:rPr>
        <w:t>2.2.1</w:t>
      </w:r>
      <w:r w:rsidRPr="00913886">
        <w:rPr>
          <w:rFonts w:cs="Arial"/>
          <w:i/>
        </w:rPr>
        <w:tab/>
        <w:t>Objectives</w:t>
      </w:r>
    </w:p>
    <w:p w:rsidR="00421639" w:rsidRPr="00913886" w:rsidRDefault="00421639" w:rsidP="00421639">
      <w:pPr>
        <w:ind w:left="1843" w:hanging="709"/>
        <w:rPr>
          <w:rFonts w:cs="Arial"/>
          <w:i/>
        </w:rPr>
      </w:pPr>
      <w:r w:rsidRPr="00913886">
        <w:rPr>
          <w:rFonts w:cs="Arial"/>
          <w:i/>
        </w:rPr>
        <w:t>2.2.2</w:t>
      </w:r>
      <w:r w:rsidRPr="00913886">
        <w:rPr>
          <w:rFonts w:cs="Arial"/>
          <w:i/>
        </w:rPr>
        <w:tab/>
        <w:t>Narrative</w:t>
      </w:r>
    </w:p>
    <w:p w:rsidR="00421639" w:rsidRPr="00913886" w:rsidRDefault="00421639" w:rsidP="00421639">
      <w:pPr>
        <w:ind w:left="1843" w:hanging="709"/>
        <w:rPr>
          <w:rFonts w:cs="Arial"/>
          <w:i/>
        </w:rPr>
      </w:pPr>
      <w:r w:rsidRPr="00913886">
        <w:rPr>
          <w:rFonts w:cs="Arial"/>
          <w:i/>
        </w:rPr>
        <w:t>2.2.3</w:t>
      </w:r>
      <w:r w:rsidRPr="00913886">
        <w:rPr>
          <w:rFonts w:cs="Arial"/>
          <w:i/>
        </w:rPr>
        <w:tab/>
        <w:t>Activities</w:t>
      </w:r>
    </w:p>
    <w:p w:rsidR="00421639" w:rsidRPr="00913886" w:rsidRDefault="00421639" w:rsidP="00421639">
      <w:pPr>
        <w:ind w:left="1843" w:hanging="709"/>
        <w:rPr>
          <w:rFonts w:cs="Arial"/>
          <w:i/>
        </w:rPr>
      </w:pPr>
      <w:r w:rsidRPr="00913886">
        <w:rPr>
          <w:rFonts w:cs="Arial"/>
          <w:i/>
        </w:rPr>
        <w:t>2.2.4</w:t>
      </w:r>
      <w:r w:rsidRPr="00913886">
        <w:rPr>
          <w:rFonts w:cs="Arial"/>
          <w:i/>
        </w:rPr>
        <w:tab/>
        <w:t>Expected Results and Performance Indicators</w:t>
      </w:r>
    </w:p>
    <w:p w:rsidR="00421639" w:rsidRPr="00913886" w:rsidRDefault="00421639" w:rsidP="00421639">
      <w:pPr>
        <w:rPr>
          <w:rFonts w:cs="Arial"/>
        </w:rPr>
      </w:pPr>
    </w:p>
    <w:p w:rsidR="00421639" w:rsidRPr="00913886" w:rsidRDefault="00421639" w:rsidP="00421639">
      <w:pPr>
        <w:ind w:left="1134" w:hanging="567"/>
        <w:rPr>
          <w:rFonts w:cs="Arial"/>
        </w:rPr>
      </w:pPr>
      <w:r w:rsidRPr="00913886">
        <w:rPr>
          <w:rFonts w:cs="Arial"/>
        </w:rPr>
        <w:t>2.3</w:t>
      </w:r>
      <w:r w:rsidRPr="00913886">
        <w:rPr>
          <w:rFonts w:cs="Arial"/>
        </w:rPr>
        <w:tab/>
        <w:t xml:space="preserve">Sub-program UV.3:  Assistance in the Introduction and Implementation of the UPOV System </w:t>
      </w:r>
    </w:p>
    <w:p w:rsidR="00421639" w:rsidRPr="00913886" w:rsidRDefault="00421639" w:rsidP="00421639">
      <w:pPr>
        <w:ind w:left="567"/>
        <w:rPr>
          <w:rFonts w:cs="Arial"/>
        </w:rPr>
      </w:pPr>
    </w:p>
    <w:p w:rsidR="00421639" w:rsidRPr="00913886" w:rsidRDefault="00421639" w:rsidP="00421639">
      <w:pPr>
        <w:ind w:left="1843" w:hanging="709"/>
        <w:rPr>
          <w:rFonts w:cs="Arial"/>
          <w:i/>
        </w:rPr>
      </w:pPr>
      <w:r w:rsidRPr="00913886">
        <w:rPr>
          <w:rFonts w:cs="Arial"/>
          <w:i/>
        </w:rPr>
        <w:t>2.3.1</w:t>
      </w:r>
      <w:r w:rsidRPr="00913886">
        <w:rPr>
          <w:rFonts w:cs="Arial"/>
          <w:i/>
        </w:rPr>
        <w:tab/>
        <w:t>Objectives</w:t>
      </w:r>
    </w:p>
    <w:p w:rsidR="00421639" w:rsidRPr="00913886" w:rsidRDefault="00421639" w:rsidP="00421639">
      <w:pPr>
        <w:ind w:left="1843" w:hanging="709"/>
        <w:rPr>
          <w:rFonts w:cs="Arial"/>
          <w:i/>
        </w:rPr>
      </w:pPr>
      <w:r w:rsidRPr="00913886">
        <w:rPr>
          <w:rFonts w:cs="Arial"/>
          <w:i/>
        </w:rPr>
        <w:t>2.3.2</w:t>
      </w:r>
      <w:r w:rsidRPr="00913886">
        <w:rPr>
          <w:rFonts w:cs="Arial"/>
          <w:i/>
        </w:rPr>
        <w:tab/>
        <w:t>Narrative</w:t>
      </w:r>
    </w:p>
    <w:p w:rsidR="00421639" w:rsidRPr="00913886" w:rsidRDefault="00421639" w:rsidP="00421639">
      <w:pPr>
        <w:ind w:left="1843" w:hanging="709"/>
        <w:rPr>
          <w:rFonts w:cs="Arial"/>
          <w:i/>
        </w:rPr>
      </w:pPr>
      <w:r w:rsidRPr="00913886">
        <w:rPr>
          <w:rFonts w:cs="Arial"/>
          <w:i/>
        </w:rPr>
        <w:t>2.3.3</w:t>
      </w:r>
      <w:r w:rsidRPr="00913886">
        <w:rPr>
          <w:rFonts w:cs="Arial"/>
          <w:i/>
        </w:rPr>
        <w:tab/>
        <w:t>Activities</w:t>
      </w:r>
    </w:p>
    <w:p w:rsidR="00421639" w:rsidRPr="00913886" w:rsidRDefault="00421639" w:rsidP="00421639">
      <w:pPr>
        <w:ind w:left="1843" w:hanging="709"/>
        <w:rPr>
          <w:rFonts w:cs="Arial"/>
          <w:i/>
        </w:rPr>
      </w:pPr>
      <w:r w:rsidRPr="00913886">
        <w:rPr>
          <w:rFonts w:cs="Arial"/>
          <w:i/>
        </w:rPr>
        <w:t>2.3.4</w:t>
      </w:r>
      <w:r w:rsidRPr="00913886">
        <w:rPr>
          <w:rFonts w:cs="Arial"/>
          <w:i/>
        </w:rPr>
        <w:tab/>
        <w:t>Expected Results and Performance Indicators</w:t>
      </w:r>
    </w:p>
    <w:p w:rsidR="00421639" w:rsidRPr="00913886" w:rsidRDefault="00421639" w:rsidP="00421639">
      <w:pPr>
        <w:rPr>
          <w:rFonts w:cs="Arial"/>
        </w:rPr>
      </w:pPr>
    </w:p>
    <w:p w:rsidR="00421639" w:rsidRPr="00913886" w:rsidRDefault="00421639" w:rsidP="00421639">
      <w:pPr>
        <w:ind w:left="567"/>
        <w:rPr>
          <w:rFonts w:cs="Arial"/>
        </w:rPr>
      </w:pPr>
      <w:r w:rsidRPr="00913886">
        <w:rPr>
          <w:rFonts w:cs="Arial"/>
        </w:rPr>
        <w:t>2.4</w:t>
      </w:r>
      <w:r w:rsidRPr="00913886">
        <w:rPr>
          <w:rFonts w:cs="Arial"/>
        </w:rPr>
        <w:tab/>
        <w:t>Sub-program UV.4:  External Relations</w:t>
      </w:r>
    </w:p>
    <w:p w:rsidR="00421639" w:rsidRPr="00913886" w:rsidRDefault="00421639" w:rsidP="00421639">
      <w:pPr>
        <w:ind w:left="567"/>
        <w:rPr>
          <w:rFonts w:cs="Arial"/>
        </w:rPr>
      </w:pPr>
    </w:p>
    <w:p w:rsidR="00421639" w:rsidRPr="00913886" w:rsidRDefault="00421639" w:rsidP="00421639">
      <w:pPr>
        <w:ind w:left="1843" w:hanging="709"/>
        <w:rPr>
          <w:rFonts w:cs="Arial"/>
          <w:i/>
        </w:rPr>
      </w:pPr>
      <w:r w:rsidRPr="00913886">
        <w:rPr>
          <w:rFonts w:cs="Arial"/>
          <w:i/>
        </w:rPr>
        <w:t>2.4.1</w:t>
      </w:r>
      <w:r w:rsidRPr="00913886">
        <w:rPr>
          <w:rFonts w:cs="Arial"/>
          <w:i/>
        </w:rPr>
        <w:tab/>
        <w:t>Objectives</w:t>
      </w:r>
    </w:p>
    <w:p w:rsidR="00421639" w:rsidRPr="00913886" w:rsidRDefault="00421639" w:rsidP="00421639">
      <w:pPr>
        <w:ind w:left="1843" w:hanging="709"/>
        <w:rPr>
          <w:rFonts w:cs="Arial"/>
          <w:i/>
        </w:rPr>
      </w:pPr>
      <w:r w:rsidRPr="00913886">
        <w:rPr>
          <w:rFonts w:cs="Arial"/>
          <w:i/>
        </w:rPr>
        <w:t>2.4.2</w:t>
      </w:r>
      <w:r w:rsidRPr="00913886">
        <w:rPr>
          <w:rFonts w:cs="Arial"/>
          <w:i/>
        </w:rPr>
        <w:tab/>
        <w:t>Narrative</w:t>
      </w:r>
    </w:p>
    <w:p w:rsidR="00421639" w:rsidRPr="00913886" w:rsidRDefault="00421639" w:rsidP="00421639">
      <w:pPr>
        <w:ind w:left="1843" w:hanging="709"/>
        <w:rPr>
          <w:rFonts w:cs="Arial"/>
          <w:i/>
        </w:rPr>
      </w:pPr>
      <w:r w:rsidRPr="00913886">
        <w:rPr>
          <w:rFonts w:cs="Arial"/>
          <w:i/>
        </w:rPr>
        <w:t>2.4.3</w:t>
      </w:r>
      <w:r w:rsidRPr="00913886">
        <w:rPr>
          <w:rFonts w:cs="Arial"/>
          <w:i/>
        </w:rPr>
        <w:tab/>
        <w:t>Activities</w:t>
      </w:r>
    </w:p>
    <w:p w:rsidR="00421639" w:rsidRPr="00913886" w:rsidRDefault="00421639" w:rsidP="00421639">
      <w:pPr>
        <w:ind w:left="1843" w:hanging="709"/>
        <w:rPr>
          <w:rFonts w:cs="Arial"/>
          <w:i/>
        </w:rPr>
      </w:pPr>
      <w:r w:rsidRPr="00913886">
        <w:rPr>
          <w:rFonts w:cs="Arial"/>
          <w:i/>
        </w:rPr>
        <w:t>2.4.4</w:t>
      </w:r>
      <w:r w:rsidRPr="00913886">
        <w:rPr>
          <w:rFonts w:cs="Arial"/>
          <w:i/>
        </w:rPr>
        <w:tab/>
        <w:t>Expected Results and Performance Indicators</w:t>
      </w:r>
    </w:p>
    <w:p w:rsidR="00421639" w:rsidRPr="00913886" w:rsidRDefault="00421639" w:rsidP="00421639">
      <w:pPr>
        <w:rPr>
          <w:rFonts w:cs="Arial"/>
        </w:rPr>
      </w:pPr>
    </w:p>
    <w:p w:rsidR="00421639" w:rsidRPr="00913886" w:rsidRDefault="00421639" w:rsidP="00421639">
      <w:pPr>
        <w:ind w:left="567"/>
        <w:rPr>
          <w:rFonts w:cs="Arial"/>
        </w:rPr>
      </w:pPr>
    </w:p>
    <w:p w:rsidR="00421639" w:rsidRPr="00913886" w:rsidRDefault="00421639" w:rsidP="00421639">
      <w:pPr>
        <w:rPr>
          <w:rFonts w:cs="Arial"/>
        </w:rPr>
      </w:pPr>
      <w:r w:rsidRPr="00913886">
        <w:rPr>
          <w:rFonts w:cs="Arial"/>
        </w:rPr>
        <w:t>3.</w:t>
      </w:r>
      <w:r w:rsidRPr="00913886">
        <w:rPr>
          <w:rFonts w:cs="Arial"/>
        </w:rPr>
        <w:tab/>
        <w:t>PROPOSED BUDGET</w:t>
      </w:r>
    </w:p>
    <w:p w:rsidR="00421639" w:rsidRPr="00913886" w:rsidRDefault="00421639" w:rsidP="00421639">
      <w:pPr>
        <w:rPr>
          <w:rFonts w:cs="Arial"/>
        </w:rPr>
      </w:pPr>
    </w:p>
    <w:p w:rsidR="00421639" w:rsidRPr="00913886" w:rsidRDefault="00421639" w:rsidP="00421639">
      <w:pPr>
        <w:ind w:left="567"/>
        <w:rPr>
          <w:rFonts w:cs="Arial"/>
        </w:rPr>
      </w:pPr>
      <w:r w:rsidRPr="00913886">
        <w:rPr>
          <w:rFonts w:cs="Arial"/>
        </w:rPr>
        <w:t>Table 1:  Income</w:t>
      </w:r>
      <w:r>
        <w:rPr>
          <w:rFonts w:cs="Arial"/>
        </w:rPr>
        <w:t xml:space="preserve"> and</w:t>
      </w:r>
      <w:r w:rsidRPr="00913886">
        <w:rPr>
          <w:rFonts w:cs="Arial"/>
        </w:rPr>
        <w:t xml:space="preserve"> Expenditure 2010-2011</w:t>
      </w:r>
      <w:r>
        <w:rPr>
          <w:rFonts w:cs="Arial"/>
        </w:rPr>
        <w:t>,</w:t>
      </w:r>
      <w:r w:rsidRPr="00913886">
        <w:rPr>
          <w:rFonts w:cs="Arial"/>
        </w:rPr>
        <w:t xml:space="preserve"> 2012-2013</w:t>
      </w:r>
      <w:r>
        <w:rPr>
          <w:rFonts w:cs="Arial"/>
        </w:rPr>
        <w:t xml:space="preserve"> and 2014-2015</w:t>
      </w:r>
    </w:p>
    <w:p w:rsidR="00421639" w:rsidRPr="00913886" w:rsidRDefault="00421639" w:rsidP="00421639">
      <w:pPr>
        <w:ind w:left="567"/>
        <w:rPr>
          <w:rFonts w:cs="Arial"/>
        </w:rPr>
      </w:pPr>
      <w:r w:rsidRPr="00913886">
        <w:rPr>
          <w:rFonts w:cs="Arial"/>
        </w:rPr>
        <w:t>Table 2:  Structure of proposed budget 201</w:t>
      </w:r>
      <w:r>
        <w:rPr>
          <w:rFonts w:cs="Arial"/>
        </w:rPr>
        <w:t>4</w:t>
      </w:r>
      <w:r w:rsidRPr="00913886">
        <w:rPr>
          <w:rFonts w:cs="Arial"/>
        </w:rPr>
        <w:t>-201</w:t>
      </w:r>
      <w:r>
        <w:rPr>
          <w:rFonts w:cs="Arial"/>
        </w:rPr>
        <w:t>5</w:t>
      </w:r>
      <w:r w:rsidRPr="00913886">
        <w:rPr>
          <w:rFonts w:cs="Arial"/>
        </w:rPr>
        <w:t xml:space="preserve"> as compared to 20</w:t>
      </w:r>
      <w:r>
        <w:rPr>
          <w:rFonts w:cs="Arial"/>
        </w:rPr>
        <w:t>10</w:t>
      </w:r>
      <w:r w:rsidRPr="00913886">
        <w:rPr>
          <w:rFonts w:cs="Arial"/>
        </w:rPr>
        <w:t>-20</w:t>
      </w:r>
      <w:r>
        <w:rPr>
          <w:rFonts w:cs="Arial"/>
        </w:rPr>
        <w:t>11</w:t>
      </w:r>
      <w:r w:rsidRPr="00913886">
        <w:rPr>
          <w:rFonts w:cs="Arial"/>
        </w:rPr>
        <w:t xml:space="preserve"> and 201</w:t>
      </w:r>
      <w:r>
        <w:rPr>
          <w:rFonts w:cs="Arial"/>
        </w:rPr>
        <w:t>2</w:t>
      </w:r>
      <w:r w:rsidRPr="00913886">
        <w:rPr>
          <w:rFonts w:cs="Arial"/>
        </w:rPr>
        <w:t>-201</w:t>
      </w:r>
      <w:r>
        <w:rPr>
          <w:rFonts w:cs="Arial"/>
        </w:rPr>
        <w:t>3</w:t>
      </w:r>
    </w:p>
    <w:p w:rsidR="00421639" w:rsidRPr="00913886" w:rsidRDefault="00421639" w:rsidP="00421639">
      <w:pPr>
        <w:ind w:left="567"/>
        <w:rPr>
          <w:rFonts w:cs="Arial"/>
        </w:rPr>
      </w:pPr>
      <w:r w:rsidRPr="00913886">
        <w:rPr>
          <w:rFonts w:cs="Arial"/>
        </w:rPr>
        <w:t>Table 3:  Resource Plan 201</w:t>
      </w:r>
      <w:r>
        <w:rPr>
          <w:rFonts w:cs="Arial"/>
        </w:rPr>
        <w:t>2</w:t>
      </w:r>
      <w:r w:rsidRPr="00913886">
        <w:rPr>
          <w:rFonts w:cs="Arial"/>
        </w:rPr>
        <w:t>-201</w:t>
      </w:r>
      <w:r>
        <w:rPr>
          <w:rFonts w:cs="Arial"/>
        </w:rPr>
        <w:t>3</w:t>
      </w:r>
      <w:r w:rsidRPr="00913886">
        <w:rPr>
          <w:rFonts w:cs="Arial"/>
        </w:rPr>
        <w:t xml:space="preserve"> and 201</w:t>
      </w:r>
      <w:r>
        <w:rPr>
          <w:rFonts w:cs="Arial"/>
        </w:rPr>
        <w:t>4</w:t>
      </w:r>
      <w:r w:rsidRPr="00913886">
        <w:rPr>
          <w:rFonts w:cs="Arial"/>
        </w:rPr>
        <w:t>-201</w:t>
      </w:r>
      <w:r>
        <w:rPr>
          <w:rFonts w:cs="Arial"/>
        </w:rPr>
        <w:t>5</w:t>
      </w:r>
    </w:p>
    <w:p w:rsidR="00421639" w:rsidRPr="00913886" w:rsidRDefault="00421639" w:rsidP="00421639">
      <w:pPr>
        <w:ind w:left="567"/>
        <w:rPr>
          <w:rFonts w:cs="Arial"/>
        </w:rPr>
      </w:pPr>
      <w:r w:rsidRPr="00913886">
        <w:rPr>
          <w:rFonts w:cs="Arial"/>
        </w:rPr>
        <w:t>Table 4:  Proposed Budget 201</w:t>
      </w:r>
      <w:r>
        <w:rPr>
          <w:rFonts w:cs="Arial"/>
        </w:rPr>
        <w:t>4</w:t>
      </w:r>
      <w:r w:rsidRPr="00913886">
        <w:rPr>
          <w:rFonts w:cs="Arial"/>
        </w:rPr>
        <w:t>-201</w:t>
      </w:r>
      <w:r>
        <w:rPr>
          <w:rFonts w:cs="Arial"/>
        </w:rPr>
        <w:t>5</w:t>
      </w:r>
      <w:r w:rsidRPr="00913886">
        <w:rPr>
          <w:rFonts w:cs="Arial"/>
        </w:rPr>
        <w:t>:  Budget Variation by Object of Expenditure</w:t>
      </w:r>
    </w:p>
    <w:p w:rsidR="00421639" w:rsidRPr="00913886" w:rsidRDefault="00421639" w:rsidP="00421639">
      <w:pPr>
        <w:ind w:left="567"/>
        <w:rPr>
          <w:rFonts w:cs="Arial"/>
        </w:rPr>
      </w:pPr>
      <w:r w:rsidRPr="00913886">
        <w:rPr>
          <w:rFonts w:cs="Arial"/>
        </w:rPr>
        <w:t>Table 5:  Budget 201</w:t>
      </w:r>
      <w:r>
        <w:rPr>
          <w:rFonts w:cs="Arial"/>
        </w:rPr>
        <w:t>4</w:t>
      </w:r>
      <w:r w:rsidRPr="00913886">
        <w:rPr>
          <w:rFonts w:cs="Arial"/>
        </w:rPr>
        <w:t>-201</w:t>
      </w:r>
      <w:r>
        <w:rPr>
          <w:rFonts w:cs="Arial"/>
        </w:rPr>
        <w:t>5</w:t>
      </w:r>
      <w:r w:rsidRPr="00913886">
        <w:rPr>
          <w:rFonts w:cs="Arial"/>
        </w:rPr>
        <w:t>:  Posts by Category</w:t>
      </w:r>
    </w:p>
    <w:p w:rsidR="00421639" w:rsidRPr="00913886" w:rsidRDefault="00421639" w:rsidP="00421639">
      <w:pPr>
        <w:ind w:left="567"/>
        <w:rPr>
          <w:rFonts w:cs="Arial"/>
        </w:rPr>
      </w:pPr>
      <w:r w:rsidRPr="00913886">
        <w:rPr>
          <w:rFonts w:cs="Arial"/>
        </w:rPr>
        <w:t>Table 6:  Proposed Budget 201</w:t>
      </w:r>
      <w:r>
        <w:rPr>
          <w:rFonts w:cs="Arial"/>
        </w:rPr>
        <w:t>4</w:t>
      </w:r>
      <w:r w:rsidRPr="00913886">
        <w:rPr>
          <w:rFonts w:cs="Arial"/>
        </w:rPr>
        <w:t>-201</w:t>
      </w:r>
      <w:r>
        <w:rPr>
          <w:rFonts w:cs="Arial"/>
        </w:rPr>
        <w:t>5</w:t>
      </w:r>
      <w:r w:rsidRPr="00913886">
        <w:rPr>
          <w:rFonts w:cs="Arial"/>
        </w:rPr>
        <w:t>:  Allocation by Object of Expenditure</w:t>
      </w:r>
    </w:p>
    <w:p w:rsidR="00421639" w:rsidRPr="00913886" w:rsidRDefault="00421639" w:rsidP="00421639">
      <w:pPr>
        <w:ind w:left="567"/>
        <w:rPr>
          <w:rFonts w:cs="Arial"/>
        </w:rPr>
      </w:pPr>
      <w:r w:rsidRPr="00913886">
        <w:rPr>
          <w:rFonts w:cs="Arial"/>
        </w:rPr>
        <w:t>Table 7:  Budget Variation by Sub-program</w:t>
      </w:r>
    </w:p>
    <w:p w:rsidR="00421639" w:rsidRPr="00913886" w:rsidRDefault="00421639" w:rsidP="00421639">
      <w:pPr>
        <w:ind w:left="567"/>
        <w:rPr>
          <w:rFonts w:cs="Arial"/>
        </w:rPr>
      </w:pPr>
      <w:r w:rsidRPr="00913886">
        <w:rPr>
          <w:rFonts w:cs="Arial"/>
        </w:rPr>
        <w:t>Table 8:  Income 201</w:t>
      </w:r>
      <w:r>
        <w:rPr>
          <w:rFonts w:cs="Arial"/>
        </w:rPr>
        <w:t>2</w:t>
      </w:r>
      <w:r w:rsidRPr="00913886">
        <w:rPr>
          <w:rFonts w:cs="Arial"/>
        </w:rPr>
        <w:t>-201</w:t>
      </w:r>
      <w:r>
        <w:rPr>
          <w:rFonts w:cs="Arial"/>
        </w:rPr>
        <w:t>3</w:t>
      </w:r>
      <w:r w:rsidRPr="00913886">
        <w:rPr>
          <w:rFonts w:cs="Arial"/>
        </w:rPr>
        <w:t xml:space="preserve"> and 201</w:t>
      </w:r>
      <w:r>
        <w:rPr>
          <w:rFonts w:cs="Arial"/>
        </w:rPr>
        <w:t>4</w:t>
      </w:r>
      <w:r w:rsidRPr="00913886">
        <w:rPr>
          <w:rFonts w:cs="Arial"/>
        </w:rPr>
        <w:t>-201</w:t>
      </w:r>
      <w:r>
        <w:rPr>
          <w:rFonts w:cs="Arial"/>
        </w:rPr>
        <w:t>5</w:t>
      </w:r>
      <w:r w:rsidRPr="00913886">
        <w:rPr>
          <w:rFonts w:cs="Arial"/>
        </w:rPr>
        <w:t>:  Variation by Source</w:t>
      </w:r>
    </w:p>
    <w:p w:rsidR="00421639" w:rsidRPr="00913886" w:rsidRDefault="00421639" w:rsidP="00421639">
      <w:pPr>
        <w:ind w:left="567"/>
        <w:rPr>
          <w:rFonts w:cs="Arial"/>
        </w:rPr>
      </w:pPr>
    </w:p>
    <w:p w:rsidR="00421639" w:rsidRPr="00913886" w:rsidRDefault="00421639" w:rsidP="00421639">
      <w:pPr>
        <w:rPr>
          <w:rFonts w:cs="Arial"/>
        </w:rPr>
      </w:pPr>
      <w:r w:rsidRPr="00913886">
        <w:rPr>
          <w:rFonts w:cs="Arial"/>
        </w:rPr>
        <w:t>4.</w:t>
      </w:r>
      <w:r w:rsidRPr="00913886">
        <w:rPr>
          <w:rFonts w:cs="Arial"/>
        </w:rPr>
        <w:tab/>
        <w:t>FINANCIAL INDICATORS 200</w:t>
      </w:r>
      <w:r>
        <w:rPr>
          <w:rFonts w:cs="Arial"/>
        </w:rPr>
        <w:t>8</w:t>
      </w:r>
      <w:r w:rsidRPr="00913886">
        <w:rPr>
          <w:rFonts w:cs="Arial"/>
        </w:rPr>
        <w:t>-201</w:t>
      </w:r>
      <w:r>
        <w:rPr>
          <w:rFonts w:cs="Arial"/>
        </w:rPr>
        <w:t>7</w:t>
      </w:r>
    </w:p>
    <w:p w:rsidR="00421639" w:rsidRPr="00913886" w:rsidRDefault="00421639" w:rsidP="00421639">
      <w:pPr>
        <w:rPr>
          <w:rFonts w:cs="Arial"/>
        </w:rPr>
      </w:pPr>
    </w:p>
    <w:p w:rsidR="00421639" w:rsidRPr="00913886" w:rsidRDefault="00421639" w:rsidP="00421639">
      <w:pPr>
        <w:ind w:left="567"/>
        <w:rPr>
          <w:rFonts w:cs="Arial"/>
        </w:rPr>
      </w:pPr>
      <w:r w:rsidRPr="00913886">
        <w:rPr>
          <w:rFonts w:cs="Arial"/>
        </w:rPr>
        <w:t>Table 9:  Income, Expenditure and Reserves for 200</w:t>
      </w:r>
      <w:r>
        <w:rPr>
          <w:rFonts w:cs="Arial"/>
        </w:rPr>
        <w:t>8</w:t>
      </w:r>
      <w:r w:rsidRPr="00913886">
        <w:rPr>
          <w:rFonts w:cs="Arial"/>
        </w:rPr>
        <w:t>-201</w:t>
      </w:r>
      <w:r>
        <w:rPr>
          <w:rFonts w:cs="Arial"/>
        </w:rPr>
        <w:t>7</w:t>
      </w:r>
    </w:p>
    <w:p w:rsidR="00421639" w:rsidRPr="00913886" w:rsidRDefault="00421639" w:rsidP="00421639">
      <w:pPr>
        <w:ind w:left="567"/>
        <w:rPr>
          <w:rFonts w:cs="Arial"/>
        </w:rPr>
      </w:pPr>
    </w:p>
    <w:p w:rsidR="00421639" w:rsidRPr="00ED49E5" w:rsidRDefault="00421639" w:rsidP="00421639">
      <w:pPr>
        <w:rPr>
          <w:rFonts w:cs="Arial"/>
        </w:rPr>
      </w:pPr>
      <w:r w:rsidRPr="00ED49E5">
        <w:rPr>
          <w:rFonts w:cs="Arial"/>
        </w:rPr>
        <w:t xml:space="preserve">APPENDIX I: </w:t>
      </w:r>
      <w:r w:rsidRPr="00ED49E5">
        <w:rPr>
          <w:rFonts w:cs="Arial"/>
        </w:rPr>
        <w:tab/>
        <w:t>BUDGET METHODOLOGY</w:t>
      </w:r>
    </w:p>
    <w:p w:rsidR="00421639" w:rsidRPr="00ED49E5" w:rsidRDefault="00421639" w:rsidP="00421639">
      <w:pPr>
        <w:rPr>
          <w:rFonts w:cs="Arial"/>
        </w:rPr>
      </w:pPr>
      <w:r w:rsidRPr="00ED49E5">
        <w:rPr>
          <w:rFonts w:cs="Arial"/>
        </w:rPr>
        <w:t xml:space="preserve">APPENDIX II: </w:t>
      </w:r>
      <w:r w:rsidRPr="00ED49E5">
        <w:rPr>
          <w:rFonts w:cs="Arial"/>
        </w:rPr>
        <w:tab/>
        <w:t>CONTRIBUTIONS OF MEMBERS</w:t>
      </w:r>
    </w:p>
    <w:p w:rsidR="00421639" w:rsidRPr="00913886" w:rsidRDefault="00421639" w:rsidP="00421639">
      <w:pPr>
        <w:rPr>
          <w:rFonts w:cs="Arial"/>
        </w:rPr>
      </w:pPr>
      <w:r w:rsidRPr="00ED49E5">
        <w:rPr>
          <w:rFonts w:cs="Arial"/>
        </w:rPr>
        <w:t xml:space="preserve">APPENDIX III: </w:t>
      </w:r>
      <w:r w:rsidRPr="00ED49E5">
        <w:rPr>
          <w:rFonts w:cs="Arial"/>
        </w:rPr>
        <w:tab/>
        <w:t>DEFINITIONS OF BUDGET HEADINGS</w:t>
      </w:r>
    </w:p>
    <w:p w:rsidR="00421639" w:rsidRPr="00DD6106" w:rsidRDefault="00421639" w:rsidP="00421639">
      <w:pPr>
        <w:rPr>
          <w:b/>
        </w:rPr>
      </w:pPr>
      <w:r w:rsidRPr="00913886">
        <w:rPr>
          <w:rFonts w:cs="Arial"/>
        </w:rPr>
        <w:br w:type="page"/>
      </w:r>
      <w:r w:rsidRPr="00DD6106">
        <w:rPr>
          <w:b/>
        </w:rPr>
        <w:lastRenderedPageBreak/>
        <w:t>1.</w:t>
      </w:r>
      <w:r w:rsidRPr="00DD6106">
        <w:rPr>
          <w:b/>
        </w:rPr>
        <w:tab/>
        <w:t>INTRODUCTION</w:t>
      </w:r>
    </w:p>
    <w:p w:rsidR="00421639" w:rsidRPr="00DD6106" w:rsidRDefault="00421639" w:rsidP="00421639"/>
    <w:p w:rsidR="00421639" w:rsidRPr="008449EA" w:rsidRDefault="00421639" w:rsidP="00421639">
      <w:pPr>
        <w:pBdr>
          <w:top w:val="single" w:sz="4" w:space="1" w:color="auto"/>
          <w:left w:val="single" w:sz="4" w:space="4" w:color="auto"/>
          <w:bottom w:val="single" w:sz="4" w:space="1" w:color="auto"/>
          <w:right w:val="single" w:sz="4" w:space="4" w:color="auto"/>
        </w:pBdr>
        <w:jc w:val="center"/>
        <w:rPr>
          <w:b/>
          <w:u w:val="single"/>
        </w:rPr>
      </w:pPr>
      <w:r w:rsidRPr="008449EA">
        <w:rPr>
          <w:b/>
          <w:u w:val="single"/>
        </w:rPr>
        <w:t xml:space="preserve">UPOV </w:t>
      </w:r>
      <w:smartTag w:uri="urn:schemas-microsoft-com:office:smarttags" w:element="place">
        <w:r w:rsidRPr="008449EA">
          <w:rPr>
            <w:b/>
            <w:u w:val="single"/>
          </w:rPr>
          <w:t>Mission</w:t>
        </w:r>
      </w:smartTag>
      <w:r w:rsidRPr="008449EA">
        <w:rPr>
          <w:b/>
          <w:u w:val="single"/>
        </w:rPr>
        <w:t xml:space="preserve"> Statement</w:t>
      </w:r>
    </w:p>
    <w:p w:rsidR="00421639" w:rsidRPr="008449EA" w:rsidRDefault="00421639" w:rsidP="00421639">
      <w:pPr>
        <w:pBdr>
          <w:top w:val="single" w:sz="4" w:space="1" w:color="auto"/>
          <w:left w:val="single" w:sz="4" w:space="4" w:color="auto"/>
          <w:bottom w:val="single" w:sz="4" w:space="1" w:color="auto"/>
          <w:right w:val="single" w:sz="4" w:space="4" w:color="auto"/>
        </w:pBdr>
        <w:jc w:val="center"/>
        <w:rPr>
          <w:b/>
        </w:rPr>
      </w:pPr>
    </w:p>
    <w:p w:rsidR="00421639" w:rsidRPr="008449EA" w:rsidRDefault="00421639" w:rsidP="00421639">
      <w:pPr>
        <w:pBdr>
          <w:top w:val="single" w:sz="4" w:space="1" w:color="auto"/>
          <w:left w:val="single" w:sz="4" w:space="4" w:color="auto"/>
          <w:bottom w:val="single" w:sz="4" w:space="1" w:color="auto"/>
          <w:right w:val="single" w:sz="4" w:space="4" w:color="auto"/>
        </w:pBdr>
        <w:jc w:val="center"/>
        <w:rPr>
          <w:b/>
        </w:rPr>
      </w:pPr>
      <w:r w:rsidRPr="008449EA">
        <w:rPr>
          <w:b/>
        </w:rPr>
        <w:t>To provide and promote an effective system of plant variety protection,</w:t>
      </w:r>
      <w:r w:rsidRPr="008449EA">
        <w:rPr>
          <w:b/>
        </w:rPr>
        <w:br/>
        <w:t>with the aim of encouraging the development of new</w:t>
      </w:r>
      <w:r>
        <w:rPr>
          <w:b/>
        </w:rPr>
        <w:t xml:space="preserve"> </w:t>
      </w:r>
      <w:r w:rsidRPr="008449EA">
        <w:rPr>
          <w:b/>
        </w:rPr>
        <w:t xml:space="preserve">varieties of plants, </w:t>
      </w:r>
      <w:r>
        <w:rPr>
          <w:b/>
        </w:rPr>
        <w:br/>
      </w:r>
      <w:r w:rsidRPr="008449EA">
        <w:rPr>
          <w:b/>
        </w:rPr>
        <w:t>for the benefit of society.</w:t>
      </w:r>
    </w:p>
    <w:p w:rsidR="00421639" w:rsidRPr="00DD6106" w:rsidRDefault="00421639" w:rsidP="00421639">
      <w:pPr>
        <w:pBdr>
          <w:top w:val="single" w:sz="4" w:space="1" w:color="auto"/>
          <w:left w:val="single" w:sz="4" w:space="4" w:color="auto"/>
          <w:bottom w:val="single" w:sz="4" w:space="1" w:color="auto"/>
          <w:right w:val="single" w:sz="4" w:space="4" w:color="auto"/>
        </w:pBdr>
        <w:jc w:val="center"/>
        <w:rPr>
          <w:b/>
          <w:sz w:val="26"/>
        </w:rPr>
      </w:pPr>
    </w:p>
    <w:p w:rsidR="00421639" w:rsidRPr="00DD6106" w:rsidRDefault="00421639"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p>
    <w:p w:rsidR="00421639" w:rsidRPr="006152F9" w:rsidRDefault="00421639" w:rsidP="00421639">
      <w:pPr>
        <w:rPr>
          <w:snapToGrid w:val="0"/>
        </w:rPr>
      </w:pPr>
      <w:r w:rsidRPr="00ED49E5">
        <w:t>1.1</w:t>
      </w:r>
      <w:r w:rsidRPr="00ED49E5">
        <w:tab/>
      </w:r>
      <w:r w:rsidR="0075335B">
        <w:t xml:space="preserve">A trilogy of </w:t>
      </w:r>
      <w:r w:rsidRPr="006152F9">
        <w:t>events in 2011 and 2012 (</w:t>
      </w:r>
      <w:r w:rsidR="00CB75C1">
        <w:t xml:space="preserve">the </w:t>
      </w:r>
      <w:r w:rsidRPr="006152F9">
        <w:t xml:space="preserve">“Trilogy”) highlighted the importance of the UPOV system of </w:t>
      </w:r>
      <w:r w:rsidRPr="006152F9">
        <w:rPr>
          <w:snapToGrid w:val="0"/>
        </w:rPr>
        <w:t>plant variety protection</w:t>
      </w:r>
      <w:r w:rsidRPr="006152F9">
        <w:t xml:space="preserve"> in providing </w:t>
      </w:r>
      <w:r w:rsidRPr="006152F9">
        <w:rPr>
          <w:snapToGrid w:val="0"/>
        </w:rPr>
        <w:t>productive and sustainable agriculture that can deliver food security and economic development, thereby benefiting society as a whole.</w:t>
      </w:r>
      <w:r w:rsidRPr="006152F9">
        <w:t xml:space="preserve">  The “Symposium on Plant Breeding for the Future” (</w:t>
      </w:r>
      <w:hyperlink r:id="rId11" w:history="1">
        <w:r w:rsidRPr="006152F9">
          <w:rPr>
            <w:rStyle w:val="Hyperlink"/>
          </w:rPr>
          <w:t>http://www.upov.int/meetings/en/details.jsp?meeting_id=24133</w:t>
        </w:r>
      </w:hyperlink>
      <w:r w:rsidRPr="006152F9">
        <w:t xml:space="preserve">), held in </w:t>
      </w:r>
      <w:smartTag w:uri="urn:schemas-microsoft-com:office:smarttags" w:element="place">
        <w:smartTag w:uri="urn:schemas-microsoft-com:office:smarttags" w:element="City">
          <w:r w:rsidRPr="006152F9">
            <w:t>Geneva</w:t>
          </w:r>
        </w:smartTag>
      </w:smartTag>
      <w:r w:rsidRPr="006152F9">
        <w:t xml:space="preserve"> on October 21, 2011, highlighted the importance of plant breeding and </w:t>
      </w:r>
      <w:r w:rsidRPr="006152F9">
        <w:rPr>
          <w:snapToGrid w:val="0"/>
        </w:rPr>
        <w:t>plant variety protection for the development of varieties that enable farmers and growers to meet the needs of consumers.  The “Seminar on Plant Variety Protection and Technology Transfer: the Benefits of Public-Private Partnership”</w:t>
      </w:r>
      <w:r>
        <w:rPr>
          <w:snapToGrid w:val="0"/>
        </w:rPr>
        <w:t xml:space="preserve"> </w:t>
      </w:r>
      <w:r w:rsidRPr="006152F9">
        <w:rPr>
          <w:snapToGrid w:val="0"/>
        </w:rPr>
        <w:t>(</w:t>
      </w:r>
      <w:hyperlink r:id="rId12" w:history="1">
        <w:r w:rsidRPr="006152F9">
          <w:rPr>
            <w:rStyle w:val="Hyperlink"/>
            <w:snapToGrid w:val="0"/>
          </w:rPr>
          <w:t>http://www.upov.int/meetings/en/details.jsp?meeting_id=22163</w:t>
        </w:r>
      </w:hyperlink>
      <w:r w:rsidRPr="006152F9">
        <w:rPr>
          <w:snapToGrid w:val="0"/>
        </w:rPr>
        <w:t xml:space="preserve">), held in Geneva from April 11 to April 12, 2011, demonstrated the role of the UPOV system of plant variety protection in encouraging plant breeding in the private and public sectors, and in encouraging </w:t>
      </w:r>
      <w:proofErr w:type="spellStart"/>
      <w:r w:rsidRPr="006152F9">
        <w:rPr>
          <w:snapToGrid w:val="0"/>
        </w:rPr>
        <w:t>public­private</w:t>
      </w:r>
      <w:proofErr w:type="spellEnd"/>
      <w:r w:rsidRPr="006152F9">
        <w:rPr>
          <w:snapToGrid w:val="0"/>
        </w:rPr>
        <w:t xml:space="preserve"> partnerships, as well as highlighting </w:t>
      </w:r>
      <w:r>
        <w:rPr>
          <w:snapToGrid w:val="0"/>
        </w:rPr>
        <w:br/>
      </w:r>
      <w:r w:rsidRPr="006152F9">
        <w:rPr>
          <w:snapToGrid w:val="0"/>
        </w:rPr>
        <w:t xml:space="preserve">its role in facilitating the delivery of varieties to farmers.  The third event in the trilogy, the </w:t>
      </w:r>
      <w:r>
        <w:rPr>
          <w:snapToGrid w:val="0"/>
        </w:rPr>
        <w:br/>
      </w:r>
      <w:r w:rsidRPr="006152F9">
        <w:rPr>
          <w:snapToGrid w:val="0"/>
        </w:rPr>
        <w:t>“Symposium on the Benefits of Plant Variety Protection for Farmers and Growers” (</w:t>
      </w:r>
      <w:hyperlink r:id="rId13" w:history="1">
        <w:r w:rsidRPr="006152F9">
          <w:rPr>
            <w:rStyle w:val="Hyperlink"/>
            <w:snapToGrid w:val="0"/>
          </w:rPr>
          <w:t>http://www.upov.int/meetings/en/details.jsp?meeting_id=26104</w:t>
        </w:r>
      </w:hyperlink>
      <w:r w:rsidRPr="006152F9">
        <w:rPr>
          <w:snapToGrid w:val="0"/>
        </w:rPr>
        <w:t>), held in Geneva on November 2, 2012, provided illustrations of how plant variety protection can improve incomes for farmers and growers by supporting the development and supply of new, improved varieties that are suited to their needs and by providing a mechanism to facilitate cooperation and to add value in the production chain. The Symposium also provided examples of how farmers and growers can use plant variety protection as breeders.</w:t>
      </w:r>
    </w:p>
    <w:p w:rsidR="00421639" w:rsidRDefault="00421639" w:rsidP="00421639"/>
    <w:p w:rsidR="00421639" w:rsidRPr="00DD6106" w:rsidRDefault="00421639" w:rsidP="00421639">
      <w:r>
        <w:t>1.2</w:t>
      </w:r>
      <w:r>
        <w:tab/>
        <w:t>The Trilogy built on t</w:t>
      </w:r>
      <w:r w:rsidRPr="00DD6106">
        <w:t>he</w:t>
      </w:r>
      <w:r>
        <w:t xml:space="preserve"> findings in the</w:t>
      </w:r>
      <w:r w:rsidRPr="00DD6106">
        <w:t xml:space="preserve"> UPOV Report on the Impa</w:t>
      </w:r>
      <w:r>
        <w:t>ct of Plant Variety Protection (</w:t>
      </w:r>
      <w:hyperlink r:id="rId14" w:history="1">
        <w:r w:rsidR="0026629A">
          <w:rPr>
            <w:rStyle w:val="Hyperlink"/>
          </w:rPr>
          <w:t>http://www.upov.int/about/en/pdf/353_upov_report.pdf</w:t>
        </w:r>
      </w:hyperlink>
      <w:r>
        <w:t xml:space="preserve">), which </w:t>
      </w:r>
      <w:r w:rsidRPr="00DD6106">
        <w:t>demonstrated that, in order to enjoy the full benefits which plant variety protection is able to generate, both</w:t>
      </w:r>
      <w:r>
        <w:t xml:space="preserve"> the</w:t>
      </w:r>
      <w:r w:rsidRPr="00DD6106">
        <w:t xml:space="preserve"> implementation of the UPOV Convention and membership of UPOV are essential.  Furthermore, it demonstrated that the expansion of UPOV provides benefits for both new and existing UPOV members.</w:t>
      </w:r>
    </w:p>
    <w:p w:rsidR="00421639" w:rsidRPr="00DD6106" w:rsidRDefault="00421639" w:rsidP="00421639"/>
    <w:tbl>
      <w:tblPr>
        <w:tblStyle w:val="TableGrid"/>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16"/>
      </w:tblGrid>
      <w:tr w:rsidR="00421639" w:rsidRPr="00DD6106" w:rsidTr="00DC35EC">
        <w:tc>
          <w:tcPr>
            <w:tcW w:w="9516" w:type="dxa"/>
          </w:tcPr>
          <w:p w:rsidR="00421639" w:rsidRPr="00DC35EC" w:rsidRDefault="00421639" w:rsidP="00EF3628">
            <w:r w:rsidRPr="00DC35EC">
              <w:t>Figure 1:  Number of new members of the Union</w:t>
            </w:r>
          </w:p>
        </w:tc>
      </w:tr>
      <w:tr w:rsidR="00421639" w:rsidRPr="00DD6106" w:rsidTr="00DC35EC">
        <w:tc>
          <w:tcPr>
            <w:tcW w:w="9516" w:type="dxa"/>
            <w:vAlign w:val="center"/>
          </w:tcPr>
          <w:p w:rsidR="00421639" w:rsidRPr="0088627C" w:rsidRDefault="00421639" w:rsidP="00DC35EC">
            <w:pPr>
              <w:jc w:val="center"/>
              <w:rPr>
                <w:highlight w:val="cyan"/>
              </w:rPr>
            </w:pPr>
            <w:r>
              <w:rPr>
                <w:noProof/>
              </w:rPr>
              <w:drawing>
                <wp:inline distT="0" distB="0" distL="0" distR="0" wp14:anchorId="1720549C" wp14:editId="4E5AA064">
                  <wp:extent cx="4972050" cy="3324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2050" cy="3324225"/>
                          </a:xfrm>
                          <a:prstGeom prst="rect">
                            <a:avLst/>
                          </a:prstGeom>
                          <a:noFill/>
                          <a:ln>
                            <a:noFill/>
                          </a:ln>
                        </pic:spPr>
                      </pic:pic>
                    </a:graphicData>
                  </a:graphic>
                </wp:inline>
              </w:drawing>
            </w:r>
          </w:p>
        </w:tc>
      </w:tr>
    </w:tbl>
    <w:p w:rsidR="00421639" w:rsidRDefault="00421639" w:rsidP="00421639"/>
    <w:p w:rsidR="00421639" w:rsidRPr="00DD6106" w:rsidRDefault="00421639" w:rsidP="00421639">
      <w:pPr>
        <w:rPr>
          <w:snapToGrid w:val="0"/>
        </w:rPr>
      </w:pPr>
      <w:r w:rsidRPr="000E5482">
        <w:t>1.3</w:t>
      </w:r>
      <w:r w:rsidRPr="000E5482">
        <w:tab/>
        <w:t xml:space="preserve">During the period 2007 to 2012, UPOV grew on average by one new member per year (see Figure 1) </w:t>
      </w:r>
      <w:r w:rsidRPr="007425EB">
        <w:t>and is anticipated to continue to grow at a similar rate in the years ahead.  Sixteen States and one intergovernmental organization have initiated the procedure for acceding to the UPOV Convention and 2</w:t>
      </w:r>
      <w:r w:rsidR="00177CC6">
        <w:t>4</w:t>
      </w:r>
      <w:r w:rsidRPr="007425EB">
        <w:t xml:space="preserve"> States and two intergovernmental organizations have been in contact with the Office of the </w:t>
      </w:r>
      <w:smartTag w:uri="urn:schemas-microsoft-com:office:smarttags" w:element="place">
        <w:r w:rsidRPr="007425EB">
          <w:t>Union</w:t>
        </w:r>
      </w:smartTag>
      <w:r w:rsidRPr="007425EB">
        <w:t xml:space="preserve"> for assistance in the development of laws based on the UPOV Convention.  Figure 2 provides a graphic overview of the current status in relation to UPOV.  </w:t>
      </w:r>
      <w:smartTag w:uri="urn:schemas-microsoft-com:office:smarttags" w:element="address">
        <w:smartTag w:uri="urn:schemas-microsoft-com:office:smarttags" w:element="Street">
          <w:r w:rsidRPr="007425EB">
            <w:t>Box</w:t>
          </w:r>
        </w:smartTag>
        <w:r w:rsidRPr="007425EB">
          <w:t> 1</w:t>
        </w:r>
      </w:smartTag>
      <w:r w:rsidRPr="007425EB">
        <w:t xml:space="preserve"> provides information on those States and intergovernmental organizations which have initiated the procedure for acceding to the UPOV Convention and those which have been in contact with the Office of the </w:t>
      </w:r>
      <w:smartTag w:uri="urn:schemas-microsoft-com:office:smarttags" w:element="place">
        <w:r w:rsidRPr="007425EB">
          <w:t>Union</w:t>
        </w:r>
      </w:smartTag>
      <w:r w:rsidRPr="007425EB">
        <w:t xml:space="preserve"> for assistance in the development of laws based on the UPOV Convention.  This information indicates that there remains a need to continue to work on raising awareness of the role of </w:t>
      </w:r>
      <w:r w:rsidRPr="007425EB">
        <w:rPr>
          <w:snapToGrid w:val="0"/>
        </w:rPr>
        <w:t xml:space="preserve">plant variety protection and to assist States and organizations to become members of the </w:t>
      </w:r>
      <w:smartTag w:uri="urn:schemas-microsoft-com:office:smarttags" w:element="place">
        <w:r w:rsidRPr="007425EB">
          <w:rPr>
            <w:snapToGrid w:val="0"/>
          </w:rPr>
          <w:t>Union</w:t>
        </w:r>
      </w:smartTag>
      <w:r w:rsidRPr="007425EB">
        <w:rPr>
          <w:snapToGrid w:val="0"/>
        </w:rPr>
        <w:t xml:space="preserve"> and to implement the UPOV system.</w:t>
      </w:r>
      <w:r w:rsidRPr="00DD6106">
        <w:rPr>
          <w:snapToGrid w:val="0"/>
        </w:rPr>
        <w:t xml:space="preserve">  </w:t>
      </w:r>
    </w:p>
    <w:p w:rsidR="00421639" w:rsidRDefault="00421639" w:rsidP="00421639"/>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23"/>
      </w:tblGrid>
      <w:tr w:rsidR="00421639" w:rsidRPr="000E5482" w:rsidTr="00DC35EC">
        <w:tc>
          <w:tcPr>
            <w:tcW w:w="9923" w:type="dxa"/>
            <w:shd w:val="clear" w:color="auto" w:fill="auto"/>
            <w:vAlign w:val="center"/>
          </w:tcPr>
          <w:p w:rsidR="00421639" w:rsidRPr="00ED49E5" w:rsidRDefault="00421639" w:rsidP="00DC35EC">
            <w:pPr>
              <w:keepNext/>
              <w:spacing w:after="40"/>
            </w:pPr>
            <w:r w:rsidRPr="00ED49E5">
              <w:t xml:space="preserve">Figure 2:  Map showing </w:t>
            </w:r>
            <w:r w:rsidR="007425EB">
              <w:t>(as at July 31, 2013)</w:t>
            </w:r>
          </w:p>
          <w:p w:rsidR="00421639" w:rsidRPr="00ED49E5" w:rsidRDefault="00421639" w:rsidP="00CB75C1">
            <w:pPr>
              <w:keepNext/>
              <w:ind w:left="1310" w:hanging="176"/>
              <w:rPr>
                <w:sz w:val="18"/>
                <w:szCs w:val="18"/>
              </w:rPr>
            </w:pPr>
            <w:r w:rsidRPr="00ED49E5">
              <w:rPr>
                <w:sz w:val="18"/>
                <w:szCs w:val="18"/>
              </w:rPr>
              <w:t>-</w:t>
            </w:r>
            <w:r w:rsidR="00CB75C1">
              <w:rPr>
                <w:sz w:val="18"/>
                <w:szCs w:val="18"/>
              </w:rPr>
              <w:tab/>
            </w:r>
            <w:r w:rsidRPr="00ED49E5">
              <w:rPr>
                <w:sz w:val="18"/>
                <w:szCs w:val="18"/>
              </w:rPr>
              <w:t>UPOV members (green);</w:t>
            </w:r>
          </w:p>
          <w:p w:rsidR="00421639" w:rsidRPr="00ED49E5" w:rsidRDefault="00421639" w:rsidP="00CB75C1">
            <w:pPr>
              <w:keepNext/>
              <w:ind w:left="1310" w:hanging="176"/>
              <w:rPr>
                <w:sz w:val="18"/>
                <w:szCs w:val="18"/>
              </w:rPr>
            </w:pPr>
            <w:r w:rsidRPr="00ED49E5">
              <w:rPr>
                <w:sz w:val="18"/>
                <w:szCs w:val="18"/>
              </w:rPr>
              <w:t>-</w:t>
            </w:r>
            <w:r w:rsidR="00CB75C1">
              <w:rPr>
                <w:sz w:val="18"/>
                <w:szCs w:val="18"/>
              </w:rPr>
              <w:tab/>
            </w:r>
            <w:r w:rsidRPr="00ED49E5">
              <w:rPr>
                <w:sz w:val="18"/>
                <w:szCs w:val="18"/>
              </w:rPr>
              <w:t xml:space="preserve">States and intergovernmental organizations which have initiated the procedure for becoming UPOV members (brown); and </w:t>
            </w:r>
          </w:p>
          <w:p w:rsidR="00421639" w:rsidRPr="00DC5C73" w:rsidRDefault="00421639" w:rsidP="00CB75C1">
            <w:pPr>
              <w:keepNext/>
              <w:ind w:left="1310" w:hanging="176"/>
              <w:rPr>
                <w:sz w:val="18"/>
                <w:szCs w:val="18"/>
              </w:rPr>
            </w:pPr>
            <w:r w:rsidRPr="00ED49E5">
              <w:rPr>
                <w:sz w:val="18"/>
                <w:szCs w:val="18"/>
              </w:rPr>
              <w:t>-</w:t>
            </w:r>
            <w:r w:rsidR="00CB75C1">
              <w:rPr>
                <w:sz w:val="18"/>
                <w:szCs w:val="18"/>
              </w:rPr>
              <w:tab/>
            </w:r>
            <w:r w:rsidRPr="00ED49E5">
              <w:rPr>
                <w:sz w:val="18"/>
                <w:szCs w:val="18"/>
              </w:rPr>
              <w:t>States and intergovernmental organizations which have been in contact with the Office of the Union for assistance in the development of laws based on the UPOV Convention (orange)</w:t>
            </w:r>
          </w:p>
        </w:tc>
      </w:tr>
      <w:tr w:rsidR="007425EB" w:rsidRPr="0088627C" w:rsidTr="00DC35EC">
        <w:tc>
          <w:tcPr>
            <w:tcW w:w="9923" w:type="dxa"/>
            <w:shd w:val="clear" w:color="auto" w:fill="auto"/>
            <w:vAlign w:val="center"/>
          </w:tcPr>
          <w:p w:rsidR="007425EB" w:rsidRDefault="007425EB" w:rsidP="00DC35EC">
            <w:pPr>
              <w:jc w:val="center"/>
              <w:rPr>
                <w:noProof/>
              </w:rPr>
            </w:pPr>
            <w:r>
              <w:rPr>
                <w:noProof/>
              </w:rPr>
              <w:drawing>
                <wp:inline distT="0" distB="0" distL="0" distR="0" wp14:anchorId="05C7ED41" wp14:editId="61E590AE">
                  <wp:extent cx="5286375" cy="267831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01_18.PNG"/>
                          <pic:cNvPicPr/>
                        </pic:nvPicPr>
                        <pic:blipFill>
                          <a:blip r:embed="rId16">
                            <a:extLst>
                              <a:ext uri="{28A0092B-C50C-407E-A947-70E740481C1C}">
                                <a14:useLocalDpi xmlns:a14="http://schemas.microsoft.com/office/drawing/2010/main" val="0"/>
                              </a:ext>
                            </a:extLst>
                          </a:blip>
                          <a:stretch>
                            <a:fillRect/>
                          </a:stretch>
                        </pic:blipFill>
                        <pic:spPr>
                          <a:xfrm>
                            <a:off x="0" y="0"/>
                            <a:ext cx="5311815" cy="2691203"/>
                          </a:xfrm>
                          <a:prstGeom prst="rect">
                            <a:avLst/>
                          </a:prstGeom>
                        </pic:spPr>
                      </pic:pic>
                    </a:graphicData>
                  </a:graphic>
                </wp:inline>
              </w:drawing>
            </w:r>
          </w:p>
        </w:tc>
      </w:tr>
      <w:tr w:rsidR="00421639" w:rsidRPr="006A35CC" w:rsidTr="00DC35EC">
        <w:tc>
          <w:tcPr>
            <w:tcW w:w="9923" w:type="dxa"/>
            <w:shd w:val="clear" w:color="auto" w:fill="auto"/>
            <w:vAlign w:val="center"/>
          </w:tcPr>
          <w:p w:rsidR="00421639" w:rsidRPr="006A35CC" w:rsidRDefault="00421639" w:rsidP="00DC35EC">
            <w:pPr>
              <w:spacing w:before="40"/>
              <w:ind w:left="885" w:right="742"/>
              <w:jc w:val="left"/>
              <w:rPr>
                <w:sz w:val="14"/>
                <w:szCs w:val="14"/>
              </w:rPr>
            </w:pPr>
            <w:r w:rsidRPr="006A35CC">
              <w:rPr>
                <w:sz w:val="14"/>
                <w:szCs w:val="14"/>
              </w:rPr>
              <w:t>The boundaries shown on this map do not imply the expression of any opinion whatsoever on the part of UPOV concerning the legal status of any country or territory</w:t>
            </w:r>
          </w:p>
        </w:tc>
      </w:tr>
    </w:tbl>
    <w:p w:rsidR="00421639" w:rsidRDefault="00421639" w:rsidP="00421639">
      <w:pPr>
        <w:rPr>
          <w:snapToGrid w:val="0"/>
        </w:rPr>
      </w:pPr>
    </w:p>
    <w:p w:rsidR="00421639" w:rsidRDefault="00421639" w:rsidP="00421639">
      <w:pPr>
        <w:rPr>
          <w:snapToGrid w:val="0"/>
        </w:rPr>
      </w:pPr>
    </w:p>
    <w:tbl>
      <w:tblPr>
        <w:tblStyle w:val="TableGrid"/>
        <w:tblW w:w="9923" w:type="dxa"/>
        <w:tblInd w:w="-34" w:type="dxa"/>
        <w:tblLook w:val="01E0" w:firstRow="1" w:lastRow="1" w:firstColumn="1" w:lastColumn="1" w:noHBand="0" w:noVBand="0"/>
      </w:tblPr>
      <w:tblGrid>
        <w:gridCol w:w="9923"/>
      </w:tblGrid>
      <w:tr w:rsidR="00421639" w:rsidTr="00DC35EC">
        <w:tc>
          <w:tcPr>
            <w:tcW w:w="9923" w:type="dxa"/>
            <w:tcBorders>
              <w:top w:val="nil"/>
              <w:left w:val="nil"/>
              <w:right w:val="nil"/>
            </w:tcBorders>
          </w:tcPr>
          <w:p w:rsidR="00421639" w:rsidRDefault="00421639" w:rsidP="007425EB">
            <w:pPr>
              <w:rPr>
                <w:snapToGrid w:val="0"/>
              </w:rPr>
            </w:pPr>
            <w:r>
              <w:rPr>
                <w:snapToGrid w:val="0"/>
              </w:rPr>
              <w:t>Box 1</w:t>
            </w:r>
            <w:r w:rsidR="00BD3B21">
              <w:rPr>
                <w:snapToGrid w:val="0"/>
              </w:rPr>
              <w:t xml:space="preserve"> (as at July 31, 2013)</w:t>
            </w:r>
          </w:p>
        </w:tc>
      </w:tr>
      <w:tr w:rsidR="00421639" w:rsidTr="00DC35EC">
        <w:tc>
          <w:tcPr>
            <w:tcW w:w="9923" w:type="dxa"/>
          </w:tcPr>
          <w:p w:rsidR="00421639" w:rsidRPr="00D74825" w:rsidRDefault="00421639" w:rsidP="00DC35EC">
            <w:pPr>
              <w:keepNext/>
              <w:autoSpaceDE w:val="0"/>
              <w:autoSpaceDN w:val="0"/>
              <w:adjustRightInd w:val="0"/>
              <w:spacing w:before="60"/>
              <w:jc w:val="center"/>
              <w:rPr>
                <w:rFonts w:eastAsia="MS Mincho" w:cs="Arial"/>
                <w:color w:val="000000"/>
                <w:sz w:val="18"/>
                <w:szCs w:val="18"/>
                <w:lang w:eastAsia="ja-JP"/>
              </w:rPr>
            </w:pPr>
            <w:r w:rsidRPr="00D74825">
              <w:rPr>
                <w:rFonts w:eastAsia="MS Mincho" w:cs="Arial"/>
                <w:b/>
                <w:bCs/>
                <w:color w:val="000000"/>
                <w:sz w:val="18"/>
                <w:szCs w:val="18"/>
                <w:lang w:eastAsia="ja-JP"/>
              </w:rPr>
              <w:t xml:space="preserve">States and intergovernmental organizations which have initiated the procedure </w:t>
            </w:r>
            <w:r w:rsidRPr="00D74825">
              <w:rPr>
                <w:rFonts w:eastAsia="MS Mincho" w:cs="Arial"/>
                <w:b/>
                <w:bCs/>
                <w:color w:val="000000"/>
                <w:sz w:val="18"/>
                <w:szCs w:val="18"/>
                <w:lang w:eastAsia="ja-JP"/>
              </w:rPr>
              <w:br/>
              <w:t xml:space="preserve">for acceding to the UPOV Convention </w:t>
            </w:r>
          </w:p>
          <w:p w:rsidR="00421639" w:rsidRPr="00D74825" w:rsidRDefault="00421639" w:rsidP="00DC35EC">
            <w:pPr>
              <w:keepNext/>
              <w:autoSpaceDE w:val="0"/>
              <w:autoSpaceDN w:val="0"/>
              <w:adjustRightInd w:val="0"/>
              <w:rPr>
                <w:rFonts w:eastAsia="MS Mincho" w:cs="Arial"/>
                <w:color w:val="000000"/>
                <w:sz w:val="16"/>
                <w:szCs w:val="16"/>
                <w:lang w:eastAsia="ja-JP"/>
              </w:rPr>
            </w:pPr>
            <w:r w:rsidRPr="00D74825">
              <w:rPr>
                <w:rFonts w:eastAsia="MS Mincho" w:cs="Arial"/>
                <w:i/>
                <w:iCs/>
                <w:color w:val="000000"/>
                <w:sz w:val="16"/>
                <w:szCs w:val="16"/>
                <w:lang w:eastAsia="ja-JP"/>
              </w:rPr>
              <w:t xml:space="preserve">States (16): </w:t>
            </w:r>
          </w:p>
          <w:p w:rsidR="00421639" w:rsidRPr="00D74825" w:rsidRDefault="00421639" w:rsidP="00DC35EC">
            <w:pPr>
              <w:keepNext/>
              <w:autoSpaceDE w:val="0"/>
              <w:autoSpaceDN w:val="0"/>
              <w:adjustRightInd w:val="0"/>
              <w:rPr>
                <w:rFonts w:eastAsia="MS Mincho" w:cs="Arial"/>
                <w:color w:val="000000"/>
                <w:sz w:val="16"/>
                <w:szCs w:val="16"/>
                <w:lang w:eastAsia="ja-JP"/>
              </w:rPr>
            </w:pPr>
          </w:p>
          <w:p w:rsidR="00421639" w:rsidRPr="00D74825" w:rsidRDefault="00421639" w:rsidP="00DC35EC">
            <w:pPr>
              <w:keepNext/>
              <w:autoSpaceDE w:val="0"/>
              <w:autoSpaceDN w:val="0"/>
              <w:adjustRightInd w:val="0"/>
              <w:rPr>
                <w:rFonts w:eastAsia="MS Mincho" w:cs="Arial"/>
                <w:color w:val="000000"/>
                <w:sz w:val="16"/>
                <w:szCs w:val="16"/>
                <w:lang w:eastAsia="ja-JP"/>
              </w:rPr>
            </w:pPr>
            <w:r w:rsidRPr="00D74825">
              <w:rPr>
                <w:rFonts w:eastAsia="MS Mincho" w:cs="Arial"/>
                <w:color w:val="000000"/>
                <w:sz w:val="16"/>
                <w:szCs w:val="16"/>
                <w:lang w:eastAsia="ja-JP"/>
              </w:rPr>
              <w:t xml:space="preserve">Armenia, Bosnia and Herzegovina, Egypt, Ghana, Guatemala, Honduras, India, Kazakhstan, Malaysia, Mauritius, Montenegro, Philippines, Tajikistan, United Republic of Tanzania, Venezuela (Bolivarian Republic of) and Zimbabwe. </w:t>
            </w:r>
          </w:p>
          <w:p w:rsidR="00421639" w:rsidRPr="00D74825" w:rsidRDefault="00421639" w:rsidP="00DC35EC">
            <w:pPr>
              <w:keepNext/>
              <w:autoSpaceDE w:val="0"/>
              <w:autoSpaceDN w:val="0"/>
              <w:adjustRightInd w:val="0"/>
              <w:rPr>
                <w:rFonts w:eastAsia="MS Mincho" w:cs="Arial"/>
                <w:i/>
                <w:iCs/>
                <w:color w:val="000000"/>
                <w:sz w:val="16"/>
                <w:szCs w:val="16"/>
                <w:lang w:eastAsia="ja-JP"/>
              </w:rPr>
            </w:pPr>
          </w:p>
          <w:p w:rsidR="00421639" w:rsidRPr="00D74825" w:rsidRDefault="00421639" w:rsidP="00DC35EC">
            <w:pPr>
              <w:keepNext/>
              <w:autoSpaceDE w:val="0"/>
              <w:autoSpaceDN w:val="0"/>
              <w:adjustRightInd w:val="0"/>
              <w:rPr>
                <w:rFonts w:eastAsia="MS Mincho" w:cs="Arial"/>
                <w:color w:val="000000"/>
                <w:sz w:val="16"/>
                <w:szCs w:val="16"/>
                <w:lang w:eastAsia="ja-JP"/>
              </w:rPr>
            </w:pPr>
            <w:r w:rsidRPr="00D74825">
              <w:rPr>
                <w:rFonts w:eastAsia="MS Mincho" w:cs="Arial"/>
                <w:i/>
                <w:iCs/>
                <w:color w:val="000000"/>
                <w:sz w:val="16"/>
                <w:szCs w:val="16"/>
                <w:lang w:eastAsia="ja-JP"/>
              </w:rPr>
              <w:t xml:space="preserve">Organization (1): </w:t>
            </w:r>
          </w:p>
          <w:p w:rsidR="00421639" w:rsidRPr="00D74825" w:rsidRDefault="00421639" w:rsidP="00DC35EC">
            <w:pPr>
              <w:keepNext/>
              <w:autoSpaceDE w:val="0"/>
              <w:autoSpaceDN w:val="0"/>
              <w:adjustRightInd w:val="0"/>
              <w:rPr>
                <w:rFonts w:eastAsia="MS Mincho" w:cs="Arial"/>
                <w:color w:val="000000"/>
                <w:sz w:val="16"/>
                <w:szCs w:val="16"/>
                <w:lang w:eastAsia="ja-JP"/>
              </w:rPr>
            </w:pPr>
          </w:p>
          <w:p w:rsidR="00421639" w:rsidRPr="00D74825" w:rsidRDefault="00421639" w:rsidP="00DC35EC">
            <w:pPr>
              <w:keepNext/>
              <w:autoSpaceDE w:val="0"/>
              <w:autoSpaceDN w:val="0"/>
              <w:adjustRightInd w:val="0"/>
              <w:rPr>
                <w:rFonts w:eastAsia="MS Mincho" w:cs="Arial"/>
                <w:color w:val="000000"/>
                <w:sz w:val="16"/>
                <w:szCs w:val="16"/>
                <w:lang w:eastAsia="ja-JP"/>
              </w:rPr>
            </w:pPr>
            <w:r w:rsidRPr="00D74825">
              <w:rPr>
                <w:rFonts w:eastAsia="MS Mincho" w:cs="Arial"/>
                <w:color w:val="000000"/>
                <w:sz w:val="16"/>
                <w:szCs w:val="16"/>
                <w:lang w:eastAsia="ja-JP"/>
              </w:rPr>
              <w:t xml:space="preserve">African Intellectual Property Organization (OAPI) </w:t>
            </w:r>
          </w:p>
          <w:p w:rsidR="00421639" w:rsidRPr="00D74825" w:rsidRDefault="00421639" w:rsidP="00DC35EC">
            <w:pPr>
              <w:keepNext/>
              <w:autoSpaceDE w:val="0"/>
              <w:autoSpaceDN w:val="0"/>
              <w:adjustRightInd w:val="0"/>
              <w:rPr>
                <w:rFonts w:eastAsia="MS Mincho" w:cs="Arial"/>
                <w:color w:val="000000"/>
                <w:sz w:val="16"/>
                <w:szCs w:val="16"/>
                <w:lang w:eastAsia="ja-JP"/>
              </w:rPr>
            </w:pPr>
            <w:r w:rsidRPr="00D74825">
              <w:rPr>
                <w:rFonts w:eastAsia="MS Mincho" w:cs="Arial"/>
                <w:i/>
                <w:iCs/>
                <w:color w:val="000000"/>
                <w:sz w:val="16"/>
                <w:szCs w:val="16"/>
                <w:lang w:eastAsia="ja-JP"/>
              </w:rPr>
              <w:t>(member States of OAPI (1</w:t>
            </w:r>
            <w:r w:rsidR="007425EB" w:rsidRPr="00D74825">
              <w:rPr>
                <w:rFonts w:eastAsia="MS Mincho" w:cs="Arial"/>
                <w:i/>
                <w:iCs/>
                <w:color w:val="000000"/>
                <w:sz w:val="16"/>
                <w:szCs w:val="16"/>
                <w:lang w:eastAsia="ja-JP"/>
              </w:rPr>
              <w:t>7</w:t>
            </w:r>
            <w:r w:rsidRPr="00D74825">
              <w:rPr>
                <w:rFonts w:eastAsia="MS Mincho" w:cs="Arial"/>
                <w:i/>
                <w:iCs/>
                <w:color w:val="000000"/>
                <w:sz w:val="16"/>
                <w:szCs w:val="16"/>
                <w:lang w:eastAsia="ja-JP"/>
              </w:rPr>
              <w:t xml:space="preserve">): Benin, Burkina Faso, Cameroon, Central African Republic, Chad, </w:t>
            </w:r>
            <w:r w:rsidR="007425EB" w:rsidRPr="00D74825">
              <w:rPr>
                <w:rFonts w:eastAsia="MS Mincho" w:cs="Arial"/>
                <w:i/>
                <w:iCs/>
                <w:color w:val="000000"/>
                <w:sz w:val="16"/>
                <w:szCs w:val="16"/>
                <w:lang w:eastAsia="ja-JP"/>
              </w:rPr>
              <w:t xml:space="preserve">Comoros, </w:t>
            </w:r>
            <w:r w:rsidRPr="00D74825">
              <w:rPr>
                <w:rFonts w:eastAsia="MS Mincho" w:cs="Arial"/>
                <w:i/>
                <w:iCs/>
                <w:color w:val="000000"/>
                <w:sz w:val="16"/>
                <w:szCs w:val="16"/>
                <w:lang w:eastAsia="ja-JP"/>
              </w:rPr>
              <w:t>Congo, Côte d’Ivoire, Equatorial Guinea, Gabon, Guinea, Guinea-Bissau, Mali, Mauritania, Niger, Senegal, Togo)</w:t>
            </w:r>
            <w:r w:rsidRPr="00D74825">
              <w:rPr>
                <w:rFonts w:eastAsia="MS Mincho" w:cs="Arial"/>
                <w:color w:val="000000"/>
                <w:sz w:val="16"/>
                <w:szCs w:val="16"/>
                <w:lang w:eastAsia="ja-JP"/>
              </w:rPr>
              <w:t xml:space="preserve">. </w:t>
            </w:r>
          </w:p>
          <w:p w:rsidR="00421639" w:rsidRPr="00D74825" w:rsidRDefault="00421639" w:rsidP="00DC35EC">
            <w:pPr>
              <w:keepNext/>
              <w:autoSpaceDE w:val="0"/>
              <w:autoSpaceDN w:val="0"/>
              <w:adjustRightInd w:val="0"/>
              <w:jc w:val="center"/>
              <w:rPr>
                <w:rFonts w:eastAsia="MS Mincho" w:cs="Arial"/>
                <w:b/>
                <w:bCs/>
                <w:color w:val="000000"/>
                <w:sz w:val="18"/>
                <w:szCs w:val="18"/>
                <w:lang w:eastAsia="ja-JP"/>
              </w:rPr>
            </w:pPr>
          </w:p>
          <w:p w:rsidR="00421639" w:rsidRPr="00D74825" w:rsidRDefault="00421639" w:rsidP="00DC35EC">
            <w:pPr>
              <w:keepNext/>
              <w:autoSpaceDE w:val="0"/>
              <w:autoSpaceDN w:val="0"/>
              <w:adjustRightInd w:val="0"/>
              <w:jc w:val="center"/>
              <w:rPr>
                <w:rFonts w:eastAsia="MS Mincho" w:cs="Arial"/>
                <w:color w:val="000000"/>
                <w:sz w:val="18"/>
                <w:szCs w:val="18"/>
                <w:lang w:eastAsia="ja-JP"/>
              </w:rPr>
            </w:pPr>
            <w:r w:rsidRPr="00D74825">
              <w:rPr>
                <w:rFonts w:eastAsia="MS Mincho" w:cs="Arial"/>
                <w:b/>
                <w:bCs/>
                <w:color w:val="000000"/>
                <w:sz w:val="18"/>
                <w:szCs w:val="18"/>
                <w:lang w:eastAsia="ja-JP"/>
              </w:rPr>
              <w:t xml:space="preserve">States and intergovernmental organizations which have been in contact with the Office of the </w:t>
            </w:r>
            <w:smartTag w:uri="urn:schemas-microsoft-com:office:smarttags" w:element="place">
              <w:r w:rsidRPr="00D74825">
                <w:rPr>
                  <w:rFonts w:eastAsia="MS Mincho" w:cs="Arial"/>
                  <w:b/>
                  <w:bCs/>
                  <w:color w:val="000000"/>
                  <w:sz w:val="18"/>
                  <w:szCs w:val="18"/>
                  <w:lang w:eastAsia="ja-JP"/>
                </w:rPr>
                <w:t>Union</w:t>
              </w:r>
            </w:smartTag>
            <w:r w:rsidRPr="00D74825">
              <w:rPr>
                <w:rFonts w:eastAsia="MS Mincho" w:cs="Arial"/>
                <w:b/>
                <w:bCs/>
                <w:color w:val="000000"/>
                <w:sz w:val="18"/>
                <w:szCs w:val="18"/>
                <w:lang w:eastAsia="ja-JP"/>
              </w:rPr>
              <w:t xml:space="preserve"> for assistance in the development of laws based on the UPOV Convention </w:t>
            </w:r>
          </w:p>
          <w:p w:rsidR="00421639" w:rsidRPr="00D74825" w:rsidRDefault="00421639" w:rsidP="00DC35EC">
            <w:pPr>
              <w:keepNext/>
              <w:autoSpaceDE w:val="0"/>
              <w:autoSpaceDN w:val="0"/>
              <w:adjustRightInd w:val="0"/>
              <w:jc w:val="left"/>
              <w:rPr>
                <w:rFonts w:eastAsia="MS Mincho" w:cs="Arial"/>
                <w:i/>
                <w:iCs/>
                <w:color w:val="000000"/>
                <w:sz w:val="16"/>
                <w:szCs w:val="16"/>
                <w:lang w:eastAsia="ja-JP"/>
              </w:rPr>
            </w:pPr>
          </w:p>
          <w:p w:rsidR="00421639" w:rsidRPr="00D74825" w:rsidRDefault="00421639" w:rsidP="00DC35EC">
            <w:pPr>
              <w:keepNext/>
              <w:autoSpaceDE w:val="0"/>
              <w:autoSpaceDN w:val="0"/>
              <w:adjustRightInd w:val="0"/>
              <w:jc w:val="left"/>
              <w:rPr>
                <w:rFonts w:eastAsia="MS Mincho" w:cs="Arial"/>
                <w:color w:val="000000"/>
                <w:sz w:val="16"/>
                <w:szCs w:val="16"/>
                <w:lang w:eastAsia="ja-JP"/>
              </w:rPr>
            </w:pPr>
            <w:r w:rsidRPr="00D74825">
              <w:rPr>
                <w:rFonts w:eastAsia="MS Mincho" w:cs="Arial"/>
                <w:i/>
                <w:iCs/>
                <w:color w:val="000000"/>
                <w:sz w:val="16"/>
                <w:szCs w:val="16"/>
                <w:lang w:eastAsia="ja-JP"/>
              </w:rPr>
              <w:t>States (2</w:t>
            </w:r>
            <w:r w:rsidR="00970195" w:rsidRPr="00D74825">
              <w:rPr>
                <w:rFonts w:eastAsia="MS Mincho" w:cs="Arial"/>
                <w:i/>
                <w:iCs/>
                <w:color w:val="000000"/>
                <w:sz w:val="16"/>
                <w:szCs w:val="16"/>
                <w:lang w:eastAsia="ja-JP"/>
              </w:rPr>
              <w:t>4</w:t>
            </w:r>
            <w:r w:rsidRPr="00D74825">
              <w:rPr>
                <w:rFonts w:eastAsia="MS Mincho" w:cs="Arial"/>
                <w:i/>
                <w:iCs/>
                <w:color w:val="000000"/>
                <w:sz w:val="16"/>
                <w:szCs w:val="16"/>
                <w:lang w:eastAsia="ja-JP"/>
              </w:rPr>
              <w:t xml:space="preserve">): </w:t>
            </w:r>
          </w:p>
          <w:p w:rsidR="00421639" w:rsidRPr="00D74825" w:rsidRDefault="00421639" w:rsidP="00DC35EC">
            <w:pPr>
              <w:keepNext/>
              <w:autoSpaceDE w:val="0"/>
              <w:autoSpaceDN w:val="0"/>
              <w:adjustRightInd w:val="0"/>
              <w:rPr>
                <w:rFonts w:eastAsia="MS Mincho" w:cs="Arial"/>
                <w:color w:val="000000"/>
                <w:sz w:val="16"/>
                <w:szCs w:val="16"/>
                <w:lang w:eastAsia="ja-JP"/>
              </w:rPr>
            </w:pPr>
          </w:p>
          <w:p w:rsidR="00421639" w:rsidRPr="00D74825" w:rsidRDefault="00421639" w:rsidP="00DC35EC">
            <w:pPr>
              <w:keepNext/>
              <w:autoSpaceDE w:val="0"/>
              <w:autoSpaceDN w:val="0"/>
              <w:adjustRightInd w:val="0"/>
              <w:rPr>
                <w:rFonts w:eastAsia="MS Mincho" w:cs="Arial"/>
                <w:color w:val="000000"/>
                <w:sz w:val="16"/>
                <w:szCs w:val="16"/>
                <w:lang w:eastAsia="ja-JP"/>
              </w:rPr>
            </w:pPr>
            <w:r w:rsidRPr="00D74825">
              <w:rPr>
                <w:rFonts w:eastAsia="MS Mincho" w:cs="Arial"/>
                <w:color w:val="000000"/>
                <w:sz w:val="16"/>
                <w:szCs w:val="16"/>
                <w:lang w:eastAsia="ja-JP"/>
              </w:rPr>
              <w:t>Algeria, Bahrain, Barbados, Brunei Darussalam, Cambodia, Cuba, Cyprus, El Salvador, Indonesia, Iraq, Iran</w:t>
            </w:r>
            <w:r w:rsidR="005E348F" w:rsidRPr="00D74825">
              <w:rPr>
                <w:rFonts w:eastAsia="MS Mincho" w:cs="Arial"/>
                <w:color w:val="000000"/>
                <w:sz w:val="16"/>
                <w:szCs w:val="16"/>
                <w:lang w:eastAsia="ja-JP"/>
              </w:rPr>
              <w:t xml:space="preserve"> (Islamic Republic of)</w:t>
            </w:r>
            <w:r w:rsidRPr="00D74825">
              <w:rPr>
                <w:rFonts w:eastAsia="MS Mincho" w:cs="Arial"/>
                <w:color w:val="000000"/>
                <w:sz w:val="16"/>
                <w:szCs w:val="16"/>
                <w:lang w:eastAsia="ja-JP"/>
              </w:rPr>
              <w:t xml:space="preserve">, Lao People’s Democratic Republic, Libya, Mozambique, Myanmar, </w:t>
            </w:r>
            <w:r w:rsidR="00970195" w:rsidRPr="00D74825">
              <w:rPr>
                <w:rFonts w:eastAsia="MS Mincho" w:cs="Arial"/>
                <w:color w:val="000000"/>
                <w:sz w:val="16"/>
                <w:szCs w:val="16"/>
                <w:lang w:eastAsia="ja-JP"/>
              </w:rPr>
              <w:t xml:space="preserve">Namibia, </w:t>
            </w:r>
            <w:r w:rsidRPr="00D74825">
              <w:rPr>
                <w:rFonts w:eastAsia="MS Mincho" w:cs="Arial"/>
                <w:color w:val="000000"/>
                <w:sz w:val="16"/>
                <w:szCs w:val="16"/>
                <w:lang w:eastAsia="ja-JP"/>
              </w:rPr>
              <w:t xml:space="preserve">Pakistan, Saudi Arabia, Sudan, Thailand, Tonga, Turkmenistan, United Arab Emirates and Zambia. </w:t>
            </w:r>
          </w:p>
          <w:p w:rsidR="00421639" w:rsidRPr="00D74825" w:rsidRDefault="00421639" w:rsidP="00DC35EC">
            <w:pPr>
              <w:keepNext/>
              <w:autoSpaceDE w:val="0"/>
              <w:autoSpaceDN w:val="0"/>
              <w:adjustRightInd w:val="0"/>
              <w:rPr>
                <w:rFonts w:eastAsia="MS Mincho" w:cs="Arial"/>
                <w:i/>
                <w:iCs/>
                <w:color w:val="000000"/>
                <w:sz w:val="16"/>
                <w:szCs w:val="16"/>
                <w:lang w:eastAsia="ja-JP"/>
              </w:rPr>
            </w:pPr>
          </w:p>
          <w:p w:rsidR="00421639" w:rsidRPr="00D74825" w:rsidRDefault="00421639" w:rsidP="00DC35EC">
            <w:pPr>
              <w:keepNext/>
              <w:autoSpaceDE w:val="0"/>
              <w:autoSpaceDN w:val="0"/>
              <w:adjustRightInd w:val="0"/>
              <w:rPr>
                <w:rFonts w:eastAsia="MS Mincho" w:cs="Arial"/>
                <w:color w:val="000000"/>
                <w:sz w:val="16"/>
                <w:szCs w:val="16"/>
                <w:lang w:eastAsia="ja-JP"/>
              </w:rPr>
            </w:pPr>
            <w:r w:rsidRPr="00D74825">
              <w:rPr>
                <w:rFonts w:eastAsia="MS Mincho" w:cs="Arial"/>
                <w:i/>
                <w:iCs/>
                <w:color w:val="000000"/>
                <w:sz w:val="16"/>
                <w:szCs w:val="16"/>
                <w:lang w:eastAsia="ja-JP"/>
              </w:rPr>
              <w:t xml:space="preserve">Organizations (2): </w:t>
            </w:r>
          </w:p>
          <w:p w:rsidR="00421639" w:rsidRPr="00D74825" w:rsidRDefault="00421639" w:rsidP="00DC35EC">
            <w:pPr>
              <w:keepNext/>
              <w:autoSpaceDE w:val="0"/>
              <w:autoSpaceDN w:val="0"/>
              <w:adjustRightInd w:val="0"/>
              <w:rPr>
                <w:rFonts w:eastAsia="MS Mincho" w:cs="Arial"/>
                <w:color w:val="000000"/>
                <w:sz w:val="16"/>
                <w:szCs w:val="16"/>
                <w:lang w:eastAsia="ja-JP"/>
              </w:rPr>
            </w:pPr>
          </w:p>
          <w:p w:rsidR="00421639" w:rsidRPr="00D74825" w:rsidRDefault="00421639" w:rsidP="00DC35EC">
            <w:pPr>
              <w:keepNext/>
              <w:autoSpaceDE w:val="0"/>
              <w:autoSpaceDN w:val="0"/>
              <w:adjustRightInd w:val="0"/>
              <w:rPr>
                <w:rFonts w:eastAsia="MS Mincho" w:cs="Arial"/>
                <w:color w:val="000000"/>
                <w:sz w:val="16"/>
                <w:szCs w:val="16"/>
                <w:lang w:eastAsia="ja-JP"/>
              </w:rPr>
            </w:pPr>
            <w:r w:rsidRPr="00D74825">
              <w:rPr>
                <w:rFonts w:eastAsia="MS Mincho" w:cs="Arial"/>
                <w:color w:val="000000"/>
                <w:sz w:val="16"/>
                <w:szCs w:val="16"/>
                <w:lang w:eastAsia="ja-JP"/>
              </w:rPr>
              <w:t xml:space="preserve">African Regional Intellectual Property Organization (ARIPO) </w:t>
            </w:r>
          </w:p>
          <w:p w:rsidR="00421639" w:rsidRPr="00D74825" w:rsidRDefault="00421639" w:rsidP="00DC35EC">
            <w:pPr>
              <w:keepNext/>
              <w:autoSpaceDE w:val="0"/>
              <w:autoSpaceDN w:val="0"/>
              <w:adjustRightInd w:val="0"/>
              <w:ind w:left="567"/>
              <w:rPr>
                <w:rFonts w:eastAsia="MS Mincho" w:cs="Arial"/>
                <w:color w:val="000000"/>
                <w:sz w:val="16"/>
                <w:szCs w:val="16"/>
                <w:lang w:eastAsia="ja-JP"/>
              </w:rPr>
            </w:pPr>
            <w:r w:rsidRPr="00D74825">
              <w:rPr>
                <w:rFonts w:eastAsia="MS Mincho" w:cs="Arial"/>
                <w:i/>
                <w:iCs/>
                <w:color w:val="000000"/>
                <w:sz w:val="16"/>
                <w:szCs w:val="16"/>
                <w:lang w:eastAsia="ja-JP"/>
              </w:rPr>
              <w:t xml:space="preserve">(member States of ARIPO (18): Botswana, Gambia, Ghana, Kenya, Lesotho, Liberia, Malawi, Mozambique, Namibia, Rwanda, Sierra Leone, Somalia, Sudan, Swaziland, Uganda, United Republic of Tanzania, Zambia, Zimbabwe) </w:t>
            </w:r>
          </w:p>
          <w:p w:rsidR="00421639" w:rsidRPr="00D74825" w:rsidRDefault="00421639" w:rsidP="00D74825">
            <w:pPr>
              <w:keepNext/>
              <w:autoSpaceDE w:val="0"/>
              <w:autoSpaceDN w:val="0"/>
              <w:adjustRightInd w:val="0"/>
              <w:spacing w:before="40"/>
              <w:rPr>
                <w:rFonts w:eastAsia="MS Mincho" w:cs="Arial"/>
                <w:color w:val="000000"/>
                <w:sz w:val="16"/>
                <w:szCs w:val="16"/>
                <w:lang w:eastAsia="ja-JP"/>
              </w:rPr>
            </w:pPr>
            <w:r w:rsidRPr="00D74825">
              <w:rPr>
                <w:rFonts w:eastAsia="MS Mincho" w:cs="Arial"/>
                <w:color w:val="000000"/>
                <w:sz w:val="16"/>
                <w:szCs w:val="16"/>
                <w:lang w:eastAsia="ja-JP"/>
              </w:rPr>
              <w:t xml:space="preserve">Southern African Development Community (SADC) </w:t>
            </w:r>
          </w:p>
          <w:p w:rsidR="00421639" w:rsidRDefault="00421639" w:rsidP="00DC35EC">
            <w:pPr>
              <w:keepNext/>
              <w:autoSpaceDE w:val="0"/>
              <w:autoSpaceDN w:val="0"/>
              <w:adjustRightInd w:val="0"/>
              <w:spacing w:after="60"/>
              <w:ind w:left="567"/>
              <w:rPr>
                <w:snapToGrid w:val="0"/>
              </w:rPr>
            </w:pPr>
            <w:r w:rsidRPr="00D74825">
              <w:rPr>
                <w:rFonts w:eastAsia="MS Mincho" w:cs="Arial"/>
                <w:i/>
                <w:iCs/>
                <w:color w:val="000000"/>
                <w:sz w:val="16"/>
                <w:szCs w:val="16"/>
                <w:lang w:eastAsia="ja-JP"/>
              </w:rPr>
              <w:t>(member States of SADC (15): Angola, Botswana, Democratic Republic of the Congo, Lesotho, Madagascar, Malawi, Mauritius, Mozambique, Namibia, Seychelles, South Africa, Swaziland, United Republic of Tanzania, Zambia, Zimbabwe)</w:t>
            </w:r>
          </w:p>
        </w:tc>
      </w:tr>
    </w:tbl>
    <w:p w:rsidR="00421639" w:rsidRPr="00DD6106" w:rsidRDefault="00421639" w:rsidP="00421639">
      <w:pPr>
        <w:rPr>
          <w:snapToGrid w:val="0"/>
        </w:rPr>
      </w:pPr>
    </w:p>
    <w:p w:rsidR="00421639" w:rsidRDefault="00421639" w:rsidP="00421639">
      <w:r w:rsidRPr="00DD6106">
        <w:t>1.4</w:t>
      </w:r>
      <w:r w:rsidRPr="00DD6106">
        <w:tab/>
        <w:t xml:space="preserve">The main focus and priority for the </w:t>
      </w:r>
      <w:r w:rsidRPr="0044380F">
        <w:rPr>
          <w:snapToGrid w:val="0"/>
          <w:spacing w:val="-2"/>
          <w:szCs w:val="24"/>
        </w:rPr>
        <w:t>2014</w:t>
      </w:r>
      <w:r>
        <w:rPr>
          <w:snapToGrid w:val="0"/>
          <w:spacing w:val="-2"/>
          <w:szCs w:val="24"/>
        </w:rPr>
        <w:t>­</w:t>
      </w:r>
      <w:r w:rsidRPr="0044380F">
        <w:rPr>
          <w:snapToGrid w:val="0"/>
          <w:spacing w:val="-2"/>
          <w:szCs w:val="24"/>
        </w:rPr>
        <w:t>2015</w:t>
      </w:r>
      <w:r w:rsidRPr="00DD6106">
        <w:t xml:space="preserve"> </w:t>
      </w:r>
      <w:r>
        <w:t>Biennium</w:t>
      </w:r>
      <w:r w:rsidRPr="00DD6106">
        <w:t xml:space="preserve"> will continue t</w:t>
      </w:r>
      <w:r>
        <w:t>o be support for members of the </w:t>
      </w:r>
      <w:smartTag w:uri="urn:schemas-microsoft-com:office:smarttags" w:element="place">
        <w:r w:rsidRPr="00DD6106">
          <w:t>Union</w:t>
        </w:r>
      </w:smartTag>
      <w:r w:rsidRPr="00DD6106">
        <w:t xml:space="preserve"> in the operation of their </w:t>
      </w:r>
      <w:r w:rsidRPr="00DD6106">
        <w:rPr>
          <w:snapToGrid w:val="0"/>
        </w:rPr>
        <w:t>plant variety protection systems</w:t>
      </w:r>
      <w:r w:rsidRPr="00DD6106">
        <w:t xml:space="preserve">.  The UPOV system continues to expand in terms of the number of members of the </w:t>
      </w:r>
      <w:smartTag w:uri="urn:schemas-microsoft-com:office:smarttags" w:element="place">
        <w:r w:rsidRPr="00DD6106">
          <w:t>Union</w:t>
        </w:r>
      </w:smartTag>
      <w:r>
        <w:t xml:space="preserve">, applications, </w:t>
      </w:r>
      <w:r w:rsidRPr="00DD6106">
        <w:t>titles granted</w:t>
      </w:r>
      <w:r>
        <w:t xml:space="preserve"> and titles in force</w:t>
      </w:r>
      <w:r w:rsidRPr="00DD6106">
        <w:t xml:space="preserve"> (see Figures</w:t>
      </w:r>
      <w:r>
        <w:t xml:space="preserve"> 1 and 3).  I</w:t>
      </w:r>
      <w:r w:rsidRPr="00DD6106">
        <w:t xml:space="preserve">t is </w:t>
      </w:r>
      <w:r>
        <w:t xml:space="preserve">also </w:t>
      </w:r>
      <w:r w:rsidRPr="00DD6106">
        <w:t xml:space="preserve">estimated that, within the members of the </w:t>
      </w:r>
      <w:smartTag w:uri="urn:schemas-microsoft-com:office:smarttags" w:element="place">
        <w:r w:rsidRPr="00DD6106">
          <w:t>Union</w:t>
        </w:r>
      </w:smartTag>
      <w:r w:rsidRPr="00DD6106">
        <w:t xml:space="preserve">, protection has been sought for varieties of </w:t>
      </w:r>
      <w:r w:rsidRPr="00F93AB4">
        <w:t>more than 3,000 genera or species.  These figures demonstrate why cooperation between members of the </w:t>
      </w:r>
      <w:smartTag w:uri="urn:schemas-microsoft-com:office:smarttags" w:element="place">
        <w:r w:rsidRPr="00F93AB4">
          <w:t>Union</w:t>
        </w:r>
      </w:smartTag>
      <w:r w:rsidRPr="00F93AB4">
        <w:t xml:space="preserve"> is a key benefit of UPOV membership.  In that respect, the guidance developed by UPOV for variety examination promotes harmonization between members of the </w:t>
      </w:r>
      <w:smartTag w:uri="urn:schemas-microsoft-com:office:smarttags" w:element="place">
        <w:r w:rsidRPr="00F93AB4">
          <w:t>Union</w:t>
        </w:r>
      </w:smartTag>
      <w:r w:rsidRPr="00F93AB4">
        <w:t xml:space="preserve">, thereby facilitating the exchange of information and exchanging reports on the examination of Distinctness, Uniformity and Stability (“DUS”).  The support provided by the Office of the Union and the cooperation within UPOV is built on the work and support of the individual </w:t>
      </w:r>
      <w:r w:rsidRPr="00F93AB4">
        <w:rPr>
          <w:spacing w:val="-2"/>
          <w:szCs w:val="24"/>
        </w:rPr>
        <w:t xml:space="preserve">members of the </w:t>
      </w:r>
      <w:smartTag w:uri="urn:schemas-microsoft-com:office:smarttags" w:element="place">
        <w:r w:rsidRPr="00F93AB4">
          <w:rPr>
            <w:spacing w:val="-2"/>
            <w:szCs w:val="24"/>
          </w:rPr>
          <w:t>Union</w:t>
        </w:r>
      </w:smartTag>
      <w:r w:rsidRPr="00F93AB4">
        <w:rPr>
          <w:spacing w:val="-2"/>
          <w:szCs w:val="24"/>
        </w:rPr>
        <w:t xml:space="preserve">.  Members of the Union have developed more than </w:t>
      </w:r>
      <w:r w:rsidR="00BD3B21">
        <w:rPr>
          <w:spacing w:val="-2"/>
          <w:szCs w:val="24"/>
        </w:rPr>
        <w:t>290 </w:t>
      </w:r>
      <w:r w:rsidRPr="00F93AB4">
        <w:rPr>
          <w:spacing w:val="-2"/>
          <w:szCs w:val="24"/>
        </w:rPr>
        <w:t>Test Guidelines,</w:t>
      </w:r>
      <w:r w:rsidRPr="00F93AB4">
        <w:t xml:space="preserve"> which are estimated to cover approximately 90% of applications for plant breeders’ rights within the Union.  In addition, members of the Union have provided information on their practical experience in DUS testing for more than 2,600 genera and species on the basis that they are willing to share that experience with other members of the </w:t>
      </w:r>
      <w:smartTag w:uri="urn:schemas-microsoft-com:office:smarttags" w:element="place">
        <w:r w:rsidRPr="00F93AB4">
          <w:t>Union</w:t>
        </w:r>
      </w:smartTag>
      <w:r w:rsidRPr="00F93AB4">
        <w:t xml:space="preserve">.  There are agreements for cooperation in DUS testing between members of the </w:t>
      </w:r>
      <w:smartTag w:uri="urn:schemas-microsoft-com:office:smarttags" w:element="place">
        <w:r w:rsidRPr="00F93AB4">
          <w:t>Union</w:t>
        </w:r>
      </w:smartTag>
      <w:r w:rsidRPr="00F93AB4">
        <w:t xml:space="preserve"> in relation to approximately 2,000 genera and species.  The development of</w:t>
      </w:r>
      <w:r>
        <w:t xml:space="preserve"> such cooperation is indicated in Figure 4.</w:t>
      </w:r>
      <w:r w:rsidRPr="00DD6106">
        <w:t xml:space="preserve">  </w:t>
      </w:r>
      <w:r>
        <w:t>M</w:t>
      </w:r>
      <w:r w:rsidRPr="00DD6106">
        <w:t xml:space="preserve">easures to support </w:t>
      </w:r>
      <w:r>
        <w:t>and enhance cooperation between</w:t>
      </w:r>
      <w:r w:rsidRPr="00DD6106">
        <w:t xml:space="preserve"> members of the Union will be pursued in the </w:t>
      </w:r>
      <w:r w:rsidRPr="0044380F">
        <w:rPr>
          <w:snapToGrid w:val="0"/>
          <w:spacing w:val="-2"/>
          <w:szCs w:val="24"/>
        </w:rPr>
        <w:t>2014</w:t>
      </w:r>
      <w:r>
        <w:rPr>
          <w:snapToGrid w:val="0"/>
          <w:spacing w:val="-2"/>
          <w:szCs w:val="24"/>
        </w:rPr>
        <w:t>­</w:t>
      </w:r>
      <w:r w:rsidRPr="0044380F">
        <w:rPr>
          <w:snapToGrid w:val="0"/>
          <w:spacing w:val="-2"/>
          <w:szCs w:val="24"/>
        </w:rPr>
        <w:t>2015</w:t>
      </w:r>
      <w:r w:rsidRPr="00DD6106">
        <w:t xml:space="preserve"> </w:t>
      </w:r>
      <w:r>
        <w:t>Biennium</w:t>
      </w:r>
      <w:r w:rsidRPr="00DD6106">
        <w:t xml:space="preserve">, with particular regard to information available in the </w:t>
      </w:r>
      <w:r w:rsidRPr="00DD6106">
        <w:rPr>
          <w:color w:val="000000"/>
        </w:rPr>
        <w:t>Plant Variety Database</w:t>
      </w:r>
      <w:r>
        <w:rPr>
          <w:color w:val="000000"/>
        </w:rPr>
        <w:t xml:space="preserve"> </w:t>
      </w:r>
      <w:r w:rsidRPr="00513371">
        <w:rPr>
          <w:bCs/>
          <w:szCs w:val="24"/>
        </w:rPr>
        <w:t xml:space="preserve">(PLUTO) </w:t>
      </w:r>
      <w:r w:rsidRPr="00DD6106">
        <w:t xml:space="preserve">and the GENIE database and on information on exchangeable software made available by members of the </w:t>
      </w:r>
      <w:smartTag w:uri="urn:schemas-microsoft-com:office:smarttags" w:element="place">
        <w:r w:rsidRPr="00DD6106">
          <w:t>Union</w:t>
        </w:r>
      </w:smartTag>
      <w:r w:rsidRPr="00DD6106">
        <w:t xml:space="preserve">. </w:t>
      </w:r>
    </w:p>
    <w:p w:rsidR="00421639" w:rsidRDefault="00421639" w:rsidP="00421639"/>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421639" w:rsidRPr="00DD6106" w:rsidTr="00DC35EC">
        <w:tc>
          <w:tcPr>
            <w:tcW w:w="9889" w:type="dxa"/>
            <w:shd w:val="clear" w:color="auto" w:fill="auto"/>
          </w:tcPr>
          <w:p w:rsidR="00421639" w:rsidRPr="00DD6106" w:rsidRDefault="00421639" w:rsidP="00F93AB4">
            <w:pPr>
              <w:keepNext/>
            </w:pPr>
            <w:bookmarkStart w:id="5" w:name="OLE_LINK11"/>
            <w:bookmarkStart w:id="6" w:name="OLE_LINK12"/>
            <w:r w:rsidRPr="00DD6106">
              <w:t xml:space="preserve">Figure </w:t>
            </w:r>
            <w:r>
              <w:t>3</w:t>
            </w:r>
            <w:r w:rsidRPr="00DD6106">
              <w:t>:  Number of applications</w:t>
            </w:r>
            <w:r>
              <w:t>, titles granted and titles in force in members of the Union</w:t>
            </w:r>
          </w:p>
        </w:tc>
      </w:tr>
      <w:tr w:rsidR="00421639" w:rsidRPr="00DD6106" w:rsidTr="00DC35EC">
        <w:tc>
          <w:tcPr>
            <w:tcW w:w="9889" w:type="dxa"/>
            <w:shd w:val="clear" w:color="auto" w:fill="auto"/>
          </w:tcPr>
          <w:p w:rsidR="00421639" w:rsidRPr="00CC4E43" w:rsidRDefault="00421639" w:rsidP="00DC35EC">
            <w:pPr>
              <w:keepNext/>
              <w:jc w:val="center"/>
            </w:pPr>
            <w:r>
              <w:rPr>
                <w:noProof/>
              </w:rPr>
              <w:drawing>
                <wp:inline distT="0" distB="0" distL="0" distR="0" wp14:anchorId="3EEC5AA6" wp14:editId="0C5E5A50">
                  <wp:extent cx="6115050" cy="401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4010025"/>
                          </a:xfrm>
                          <a:prstGeom prst="rect">
                            <a:avLst/>
                          </a:prstGeom>
                          <a:noFill/>
                          <a:ln>
                            <a:noFill/>
                          </a:ln>
                        </pic:spPr>
                      </pic:pic>
                    </a:graphicData>
                  </a:graphic>
                </wp:inline>
              </w:drawing>
            </w:r>
          </w:p>
        </w:tc>
      </w:tr>
    </w:tbl>
    <w:p w:rsidR="00421639" w:rsidRDefault="00421639" w:rsidP="00421639"/>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421639" w:rsidRPr="00DD6106" w:rsidTr="00DC35EC">
        <w:tc>
          <w:tcPr>
            <w:tcW w:w="9889" w:type="dxa"/>
          </w:tcPr>
          <w:p w:rsidR="00421639" w:rsidRPr="00DD6106" w:rsidRDefault="00421639" w:rsidP="001A0E1A">
            <w:pPr>
              <w:keepNext/>
            </w:pPr>
            <w:r>
              <w:t>Figure 4:  Experience and cooperation within UPOV</w:t>
            </w:r>
          </w:p>
        </w:tc>
      </w:tr>
      <w:tr w:rsidR="00421639" w:rsidRPr="00DD6106" w:rsidTr="001A0E1A">
        <w:tc>
          <w:tcPr>
            <w:tcW w:w="9889" w:type="dxa"/>
          </w:tcPr>
          <w:p w:rsidR="00421639" w:rsidRPr="00AE36AB" w:rsidRDefault="001A0E1A" w:rsidP="00DC35EC">
            <w:pPr>
              <w:jc w:val="center"/>
            </w:pPr>
            <w:r>
              <w:rPr>
                <w:noProof/>
              </w:rPr>
              <w:drawing>
                <wp:inline distT="0" distB="0" distL="0" distR="0" wp14:anchorId="1ABB77E5" wp14:editId="24F354F3">
                  <wp:extent cx="5895975" cy="43338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421639" w:rsidRDefault="00421639" w:rsidP="00421639"/>
    <w:bookmarkEnd w:id="5"/>
    <w:bookmarkEnd w:id="6"/>
    <w:p w:rsidR="00421639" w:rsidRDefault="00421639" w:rsidP="00421639">
      <w:r>
        <w:rPr>
          <w:snapToGrid w:val="0"/>
        </w:rPr>
        <w:t>1.5</w:t>
      </w:r>
      <w:r w:rsidRPr="000E5482">
        <w:rPr>
          <w:snapToGrid w:val="0"/>
        </w:rPr>
        <w:tab/>
      </w:r>
      <w:r w:rsidRPr="000E5482">
        <w:t>In order to provide continuous improvement in services for an increasing membership, resources will be focused on the development of guidance and information materials, includin</w:t>
      </w:r>
      <w:r>
        <w:t>g in languages other than the </w:t>
      </w:r>
      <w:r w:rsidRPr="000E5482">
        <w:t>UPOV languages, databases and electronic forms that will be made widely available through relevant, particularly electronic, media (see Sub-program UV.2:  Services to the Union for Enhancing the Effectiveness of the UPOV System, Section 2.2.2.1 “Narrative”).</w:t>
      </w:r>
    </w:p>
    <w:p w:rsidR="00421639" w:rsidRPr="00784DBB" w:rsidRDefault="00421639" w:rsidP="00421639"/>
    <w:p w:rsidR="00421639" w:rsidRDefault="00421639" w:rsidP="00421639">
      <w:r w:rsidRPr="00AD77F7">
        <w:t>1.6</w:t>
      </w:r>
      <w:r w:rsidRPr="00AD77F7">
        <w:tab/>
        <w:t xml:space="preserve">Satisfying particular needs of members of the Union and potential members of the Union for assistance in the introduction and implementation of the </w:t>
      </w:r>
      <w:r>
        <w:t>UPOV system</w:t>
      </w:r>
      <w:r w:rsidRPr="00AD77F7">
        <w:t xml:space="preserve"> within available resources will rely on the continued development of electronic tools (e.g. website, distance-learning courses, web conferencing etc.), the prioritization of assistance by the Office of the </w:t>
      </w:r>
      <w:smartTag w:uri="urn:schemas-microsoft-com:office:smarttags" w:element="place">
        <w:r w:rsidRPr="00AD77F7">
          <w:t>Union</w:t>
        </w:r>
      </w:smartTag>
      <w:r w:rsidRPr="00AD77F7">
        <w:t xml:space="preserve"> and the use of external resources for training and assistance according to available finances.  Individual assistance (e.</w:t>
      </w:r>
      <w:r>
        <w:t>g. missions) for members of the </w:t>
      </w:r>
      <w:r w:rsidRPr="00AD77F7">
        <w:t xml:space="preserve">Union and potential members of the Union is supported by the regular budget, but extra-budgetary funds and support in kind </w:t>
      </w:r>
      <w:r w:rsidR="005B2FA6">
        <w:t xml:space="preserve">also </w:t>
      </w:r>
      <w:r w:rsidRPr="00AD77F7">
        <w:t xml:space="preserve">provide </w:t>
      </w:r>
      <w:r>
        <w:t>major support for such activities</w:t>
      </w:r>
      <w:r w:rsidRPr="00AD77F7">
        <w:t>.  To provide greater flexibility according to need and available resources, and thereby maximize the assistance that ca</w:t>
      </w:r>
      <w:r w:rsidR="00D74825">
        <w:t>n be offered, the Office of the </w:t>
      </w:r>
      <w:r w:rsidRPr="00AD77F7">
        <w:t xml:space="preserve">Union will increasingly use external resources (e.g. administrative support for distance-learning courses, editing of publications) and </w:t>
      </w:r>
      <w:r>
        <w:t xml:space="preserve">make increasing use of </w:t>
      </w:r>
      <w:r w:rsidRPr="00AD77F7">
        <w:t>external trainers (see Sub-program UV.3:  Assistance in the Introduction and Implementation of the UPOV System, Section 2.3.2.1 “Narrative”).</w:t>
      </w:r>
    </w:p>
    <w:p w:rsidR="00421639" w:rsidRPr="00DD6106" w:rsidRDefault="00421639" w:rsidP="00421639">
      <w:pPr>
        <w:rPr>
          <w:color w:val="000000"/>
        </w:rPr>
      </w:pPr>
    </w:p>
    <w:p w:rsidR="00421639" w:rsidRDefault="00421639" w:rsidP="00421639">
      <w:pPr>
        <w:rPr>
          <w:color w:val="000000"/>
        </w:rPr>
      </w:pPr>
      <w:r w:rsidRPr="00AD77F7">
        <w:rPr>
          <w:color w:val="000000"/>
        </w:rPr>
        <w:t>1.7</w:t>
      </w:r>
      <w:r w:rsidRPr="00AD77F7">
        <w:rPr>
          <w:color w:val="000000"/>
        </w:rPr>
        <w:tab/>
        <w:t xml:space="preserve">In the wider context, </w:t>
      </w:r>
      <w:r w:rsidRPr="00AD77F7">
        <w:t xml:space="preserve">UPOV will work to improve the understanding of </w:t>
      </w:r>
      <w:r w:rsidRPr="00AD77F7">
        <w:rPr>
          <w:snapToGrid w:val="0"/>
        </w:rPr>
        <w:t>plant variety protection</w:t>
      </w:r>
      <w:r w:rsidRPr="00AD77F7">
        <w:t xml:space="preserve"> for the stakeholder community and the general public.  </w:t>
      </w:r>
      <w:r>
        <w:t>In that regard</w:t>
      </w:r>
      <w:r w:rsidRPr="00AD77F7">
        <w:t xml:space="preserve">, UPOV’s website is an important means of communication and will be updated with suitable new materials in order to explain the importance of </w:t>
      </w:r>
      <w:r w:rsidRPr="00AD77F7">
        <w:rPr>
          <w:snapToGrid w:val="0"/>
        </w:rPr>
        <w:t>plant variety protection</w:t>
      </w:r>
      <w:r>
        <w:t xml:space="preserve"> for a broad</w:t>
      </w:r>
      <w:r w:rsidRPr="00AD77F7">
        <w:t xml:space="preserve"> audience (see Sub-program UV.4:  External Relations).</w:t>
      </w:r>
      <w:r>
        <w:t xml:space="preserve">  Other means of communication, such as social media, will also be explored.</w:t>
      </w:r>
      <w:r w:rsidRPr="00AD77F7">
        <w:t xml:space="preserve">  UPOV will also continue to contribute to the work of relevant intergovernmental organizations, such as the Worl</w:t>
      </w:r>
      <w:r w:rsidR="00D74825">
        <w:t xml:space="preserve">d Trade Organization (WTO), the </w:t>
      </w:r>
      <w:r w:rsidRPr="00AD77F7">
        <w:t>Convention on Biological Diversity (CBD) and the Food and Agriculture Organization of the United Nations (FAO), in order to explain the UPOV system of plant variety protection, with the aim of securing mutual supportiveness.</w:t>
      </w:r>
      <w:r>
        <w:t xml:space="preserve"> </w:t>
      </w:r>
    </w:p>
    <w:p w:rsidR="00421639" w:rsidRDefault="00421639" w:rsidP="00421639">
      <w:pPr>
        <w:rPr>
          <w:color w:val="000000"/>
        </w:rPr>
      </w:pPr>
    </w:p>
    <w:p w:rsidR="00421639" w:rsidRPr="00DD6106" w:rsidRDefault="00421639" w:rsidP="00421639"/>
    <w:p w:rsidR="00421639" w:rsidRPr="00DD6106" w:rsidRDefault="00421639" w:rsidP="00421639">
      <w:pPr>
        <w:rPr>
          <w:b/>
        </w:rPr>
      </w:pPr>
      <w:r w:rsidRPr="00DD6106">
        <w:br w:type="page"/>
      </w:r>
      <w:r w:rsidRPr="00DD6106">
        <w:rPr>
          <w:b/>
        </w:rPr>
        <w:t>2.</w:t>
      </w:r>
      <w:r w:rsidRPr="00DD6106">
        <w:rPr>
          <w:b/>
        </w:rPr>
        <w:tab/>
        <w:t>OBJECTIVES AND EXPECTED RESULTS BY SUB-PROGRAM</w:t>
      </w:r>
    </w:p>
    <w:p w:rsidR="00421639" w:rsidRPr="00DD6106" w:rsidRDefault="00421639"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rsidR="00421639" w:rsidRPr="00DD6106" w:rsidRDefault="00421639" w:rsidP="00421639">
      <w:pPr>
        <w:tabs>
          <w:tab w:val="left" w:pos="567"/>
        </w:tabs>
        <w:ind w:left="2835" w:hanging="2835"/>
        <w:rPr>
          <w:b/>
        </w:rPr>
      </w:pPr>
      <w:r w:rsidRPr="00DD6106">
        <w:rPr>
          <w:b/>
        </w:rPr>
        <w:t>2.1</w:t>
      </w:r>
      <w:r w:rsidRPr="00DD6106">
        <w:rPr>
          <w:b/>
        </w:rPr>
        <w:tab/>
      </w:r>
      <w:r w:rsidRPr="00DD6106">
        <w:rPr>
          <w:b/>
          <w:u w:val="single"/>
        </w:rPr>
        <w:t>Sub-program UV.1</w:t>
      </w:r>
      <w:r w:rsidRPr="00DD6106">
        <w:rPr>
          <w:b/>
        </w:rPr>
        <w:t>:</w:t>
      </w:r>
      <w:r w:rsidRPr="00DD6106">
        <w:rPr>
          <w:b/>
        </w:rPr>
        <w:tab/>
      </w:r>
      <w:r w:rsidRPr="00DD6106">
        <w:rPr>
          <w:b/>
          <w:u w:val="single"/>
        </w:rPr>
        <w:t>Overall Policy on Plant Variety Protection</w:t>
      </w:r>
    </w:p>
    <w:p w:rsidR="00421639" w:rsidRPr="00DD6106" w:rsidRDefault="00421639" w:rsidP="00421639"/>
    <w:p w:rsidR="00421639" w:rsidRPr="00DD6106" w:rsidRDefault="00421639" w:rsidP="00421639">
      <w:pPr>
        <w:rPr>
          <w:b/>
        </w:rPr>
      </w:pPr>
      <w:r w:rsidRPr="00DD6106">
        <w:rPr>
          <w:b/>
        </w:rPr>
        <w:t>2.1.1</w:t>
      </w:r>
      <w:r w:rsidRPr="00DD6106">
        <w:rPr>
          <w:b/>
        </w:rPr>
        <w:tab/>
        <w:t>Objectives</w:t>
      </w:r>
    </w:p>
    <w:p w:rsidR="00421639" w:rsidRPr="00DD6106" w:rsidRDefault="00421639" w:rsidP="00421639"/>
    <w:p w:rsidR="00421639" w:rsidRPr="00DD6106" w:rsidRDefault="00421639" w:rsidP="00421639">
      <w:r w:rsidRPr="00DD6106">
        <w:tab/>
        <w:t>(a)</w:t>
      </w:r>
      <w:r w:rsidRPr="00DD6106">
        <w:tab/>
        <w:t>Policy direction and executive management.</w:t>
      </w:r>
    </w:p>
    <w:p w:rsidR="00421639" w:rsidRPr="00DD6106" w:rsidRDefault="00421639" w:rsidP="00421639"/>
    <w:p w:rsidR="00421639" w:rsidRPr="00DD6106" w:rsidRDefault="00421639" w:rsidP="00421639">
      <w:r w:rsidRPr="00DD6106">
        <w:tab/>
        <w:t>(b)</w:t>
      </w:r>
      <w:r w:rsidRPr="00DD6106">
        <w:tab/>
        <w:t>Planning, implementation and evaluation of program and budget.</w:t>
      </w:r>
    </w:p>
    <w:p w:rsidR="00421639" w:rsidRPr="00DD6106" w:rsidRDefault="00421639" w:rsidP="00421639"/>
    <w:p w:rsidR="00421639" w:rsidRPr="00DD6106" w:rsidRDefault="00421639" w:rsidP="00421639">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2.1.2</w:t>
      </w:r>
      <w:r w:rsidRPr="00DD6106">
        <w:rPr>
          <w:b/>
        </w:rPr>
        <w:tab/>
        <w:t>Narrative</w:t>
      </w:r>
    </w:p>
    <w:p w:rsidR="00421639" w:rsidRPr="00DD6106" w:rsidRDefault="00421639"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421639" w:rsidRPr="008B1BFE" w:rsidRDefault="00421639" w:rsidP="00421639">
      <w:pPr>
        <w:tabs>
          <w:tab w:val="left" w:pos="567"/>
        </w:tabs>
        <w:rPr>
          <w:spacing w:val="-2"/>
        </w:rPr>
      </w:pPr>
      <w:r w:rsidRPr="00DD6106">
        <w:t xml:space="preserve">This sub-program provides the framework for policy making, management and coordination of the activities </w:t>
      </w:r>
      <w:r w:rsidRPr="008B1BFE">
        <w:rPr>
          <w:spacing w:val="-2"/>
        </w:rPr>
        <w:t>within UPOV’s overall program, as established by the Council with the guidance of the Consultative Committee.</w:t>
      </w:r>
    </w:p>
    <w:p w:rsidR="00421639" w:rsidRPr="00DD6106" w:rsidRDefault="00421639"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421639" w:rsidRPr="00DD6106" w:rsidRDefault="00421639"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2.1.3</w:t>
      </w:r>
      <w:r w:rsidRPr="00DD6106">
        <w:rPr>
          <w:b/>
        </w:rPr>
        <w:tab/>
        <w:t>Activities</w:t>
      </w:r>
    </w:p>
    <w:p w:rsidR="00421639" w:rsidRPr="00DD6106" w:rsidRDefault="00421639"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p>
    <w:p w:rsidR="00421639" w:rsidRPr="00DD6106" w:rsidRDefault="00421639" w:rsidP="00421639">
      <w:pPr>
        <w:spacing w:after="120"/>
        <w:ind w:left="1276" w:hanging="709"/>
      </w:pPr>
      <w:r w:rsidRPr="00DD6106">
        <w:t>(</w:t>
      </w:r>
      <w:proofErr w:type="spellStart"/>
      <w:r w:rsidRPr="00DD6106">
        <w:t>i</w:t>
      </w:r>
      <w:proofErr w:type="spellEnd"/>
      <w:r w:rsidRPr="00DD6106">
        <w:t>)</w:t>
      </w:r>
      <w:r w:rsidRPr="00DD6106">
        <w:tab/>
        <w:t>Four sessions of the Council and four sessions of the Consultative Committee.</w:t>
      </w:r>
    </w:p>
    <w:p w:rsidR="00421639" w:rsidRPr="00DD6106" w:rsidRDefault="00421639" w:rsidP="00421639">
      <w:pPr>
        <w:spacing w:after="120"/>
        <w:ind w:left="1276" w:hanging="709"/>
      </w:pPr>
      <w:r w:rsidRPr="00DD6106">
        <w:t>(ii)</w:t>
      </w:r>
      <w:r>
        <w:tab/>
      </w:r>
      <w:r w:rsidRPr="00DD6106">
        <w:t xml:space="preserve">Coordination, monitoring and performance assessment of the Program and Budget for the </w:t>
      </w:r>
      <w:r w:rsidRPr="008B1BFE">
        <w:t>2014­2015 Biennium</w:t>
      </w:r>
      <w:r w:rsidRPr="00DD6106">
        <w:t>.</w:t>
      </w:r>
    </w:p>
    <w:p w:rsidR="00421639" w:rsidRPr="00DD6106" w:rsidRDefault="00421639" w:rsidP="00421639">
      <w:pPr>
        <w:spacing w:after="120"/>
        <w:ind w:left="1276" w:hanging="709"/>
      </w:pPr>
      <w:r w:rsidRPr="00DD6106">
        <w:t>(iii)</w:t>
      </w:r>
      <w:r w:rsidRPr="00DD6106">
        <w:tab/>
        <w:t xml:space="preserve">Preparation and adoption of the Program and Budget for the </w:t>
      </w:r>
      <w:r>
        <w:rPr>
          <w:color w:val="000000"/>
        </w:rPr>
        <w:t>2016</w:t>
      </w:r>
      <w:r>
        <w:rPr>
          <w:color w:val="000000"/>
        </w:rPr>
        <w:noBreakHyphen/>
        <w:t>2017</w:t>
      </w:r>
      <w:r w:rsidRPr="00DD6106">
        <w:rPr>
          <w:color w:val="000000"/>
        </w:rPr>
        <w:t xml:space="preserve"> Biennium</w:t>
      </w:r>
      <w:r w:rsidRPr="00DD6106">
        <w:t>.</w:t>
      </w:r>
    </w:p>
    <w:p w:rsidR="00421639" w:rsidRPr="00DD6106" w:rsidRDefault="00421639" w:rsidP="00421639">
      <w:pPr>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pPr>
    </w:p>
    <w:p w:rsidR="00421639" w:rsidRPr="00DD6106" w:rsidRDefault="00421639"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2.1.4</w:t>
      </w:r>
      <w:r w:rsidRPr="00DD6106">
        <w:rPr>
          <w:b/>
        </w:rPr>
        <w:tab/>
        <w:t>Expected Results and Performance Indicators</w:t>
      </w:r>
    </w:p>
    <w:p w:rsidR="00421639" w:rsidRPr="00DD6106" w:rsidRDefault="00421639" w:rsidP="00421639">
      <w:pPr>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pPr>
    </w:p>
    <w:tbl>
      <w:tblPr>
        <w:tblW w:w="9889" w:type="dxa"/>
        <w:tblInd w:w="-103" w:type="dxa"/>
        <w:tblLayout w:type="fixed"/>
        <w:tblCellMar>
          <w:left w:w="0" w:type="dxa"/>
          <w:right w:w="0" w:type="dxa"/>
        </w:tblCellMar>
        <w:tblLook w:val="0000" w:firstRow="0" w:lastRow="0" w:firstColumn="0" w:lastColumn="0" w:noHBand="0" w:noVBand="0"/>
      </w:tblPr>
      <w:tblGrid>
        <w:gridCol w:w="4643"/>
        <w:gridCol w:w="5246"/>
      </w:tblGrid>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120" w:after="120"/>
              <w:jc w:val="center"/>
              <w:rPr>
                <w:color w:val="000000"/>
                <w:u w:val="single"/>
              </w:rPr>
            </w:pPr>
            <w:r w:rsidRPr="00DD6106">
              <w:rPr>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120" w:after="120"/>
              <w:jc w:val="center"/>
              <w:rPr>
                <w:color w:val="000000"/>
                <w:u w:val="single"/>
              </w:rPr>
            </w:pPr>
            <w:r w:rsidRPr="00DD6106">
              <w:rPr>
                <w:color w:val="000000"/>
                <w:u w:val="single"/>
              </w:rPr>
              <w:t>Performance Indicators</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60" w:after="60"/>
              <w:ind w:left="534" w:hanging="426"/>
              <w:jc w:val="left"/>
              <w:rPr>
                <w:color w:val="000000"/>
              </w:rPr>
            </w:pPr>
            <w:r w:rsidRPr="00DD6106">
              <w:rPr>
                <w:color w:val="000000"/>
              </w:rPr>
              <w:t>1.</w:t>
            </w:r>
            <w:r w:rsidRPr="00DD6106">
              <w:rPr>
                <w:color w:val="000000"/>
              </w:rPr>
              <w:tab/>
              <w:t>Organization of Council and Consultative Committee sessions</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60" w:after="60"/>
              <w:ind w:left="568" w:hanging="425"/>
              <w:jc w:val="left"/>
              <w:rPr>
                <w:color w:val="000000"/>
              </w:rPr>
            </w:pPr>
            <w:r w:rsidRPr="00DD6106">
              <w:rPr>
                <w:color w:val="000000"/>
              </w:rPr>
              <w:t>(a)</w:t>
            </w:r>
            <w:r w:rsidRPr="00DD6106">
              <w:rPr>
                <w:color w:val="000000"/>
              </w:rPr>
              <w:tab/>
              <w:t>participation in the sessions of the Council and the Consultative Committee</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60" w:after="60"/>
              <w:ind w:left="534" w:hanging="426"/>
              <w:jc w:val="left"/>
              <w:rPr>
                <w:color w:val="000000"/>
              </w:rPr>
            </w:pPr>
            <w:r w:rsidRPr="00DD6106">
              <w:rPr>
                <w:color w:val="000000"/>
              </w:rPr>
              <w:t>2.</w:t>
            </w:r>
            <w:r w:rsidRPr="00DD6106">
              <w:rPr>
                <w:color w:val="000000"/>
              </w:rPr>
              <w:tab/>
            </w:r>
            <w:r w:rsidRPr="00DD6106">
              <w:t>Coordination, monitoring and performance assessment</w:t>
            </w:r>
            <w:r w:rsidRPr="00DD6106">
              <w:rPr>
                <w:color w:val="000000"/>
              </w:rPr>
              <w:t xml:space="preserve"> of </w:t>
            </w:r>
            <w:r w:rsidRPr="00DD6106">
              <w:t xml:space="preserve">Program and Budget for the </w:t>
            </w:r>
            <w:r>
              <w:rPr>
                <w:snapToGrid w:val="0"/>
              </w:rPr>
              <w:t>2014­2015</w:t>
            </w:r>
            <w:r w:rsidRPr="00DD6106">
              <w:t xml:space="preserve"> Biennium</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60" w:after="60"/>
              <w:ind w:left="568" w:hanging="425"/>
              <w:jc w:val="left"/>
              <w:rPr>
                <w:color w:val="000000"/>
              </w:rPr>
            </w:pPr>
            <w:r w:rsidRPr="00DD6106">
              <w:rPr>
                <w:color w:val="000000"/>
              </w:rPr>
              <w:t>(a)</w:t>
            </w:r>
            <w:r w:rsidRPr="00DD6106">
              <w:rPr>
                <w:color w:val="000000"/>
              </w:rPr>
              <w:tab/>
              <w:t xml:space="preserve">delivery of program within budget for the </w:t>
            </w:r>
            <w:r>
              <w:rPr>
                <w:snapToGrid w:val="0"/>
              </w:rPr>
              <w:t>2014­2015</w:t>
            </w:r>
            <w:r w:rsidRPr="00DD6106">
              <w:t xml:space="preserve"> </w:t>
            </w:r>
            <w:r w:rsidRPr="00DD6106">
              <w:rPr>
                <w:color w:val="000000"/>
              </w:rPr>
              <w:t>Biennium</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60" w:after="60"/>
              <w:ind w:left="534" w:hanging="426"/>
              <w:jc w:val="left"/>
              <w:rPr>
                <w:color w:val="000000"/>
              </w:rPr>
            </w:pPr>
            <w:r w:rsidRPr="00DD6106">
              <w:rPr>
                <w:color w:val="000000"/>
              </w:rPr>
              <w:t>3.</w:t>
            </w:r>
            <w:r w:rsidRPr="00DD6106">
              <w:t xml:space="preserve"> </w:t>
            </w:r>
            <w:r w:rsidRPr="00DD6106">
              <w:tab/>
              <w:t xml:space="preserve">Preparation and adoption of the Program and Budget for the </w:t>
            </w:r>
            <w:r>
              <w:rPr>
                <w:color w:val="000000"/>
              </w:rPr>
              <w:t>2016</w:t>
            </w:r>
            <w:r>
              <w:rPr>
                <w:color w:val="000000"/>
              </w:rPr>
              <w:noBreakHyphen/>
              <w:t xml:space="preserve">2017 </w:t>
            </w:r>
            <w:r w:rsidRPr="00DD6106">
              <w:t>Biennium</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60" w:after="60"/>
              <w:ind w:left="568" w:hanging="425"/>
              <w:jc w:val="left"/>
              <w:rPr>
                <w:color w:val="000000"/>
              </w:rPr>
            </w:pPr>
            <w:r w:rsidRPr="00DD6106">
              <w:rPr>
                <w:color w:val="000000"/>
              </w:rPr>
              <w:t>(a)</w:t>
            </w:r>
            <w:r w:rsidRPr="00DD6106">
              <w:rPr>
                <w:color w:val="000000"/>
              </w:rPr>
              <w:tab/>
              <w:t xml:space="preserve">preparation and adoption of the Program and Budget for the </w:t>
            </w:r>
            <w:r>
              <w:rPr>
                <w:color w:val="000000"/>
              </w:rPr>
              <w:t>2016</w:t>
            </w:r>
            <w:r>
              <w:rPr>
                <w:color w:val="000000"/>
              </w:rPr>
              <w:noBreakHyphen/>
              <w:t xml:space="preserve">2017 </w:t>
            </w:r>
            <w:r w:rsidRPr="00DD6106">
              <w:rPr>
                <w:color w:val="000000"/>
              </w:rPr>
              <w:t>Biennium in accordance with the “Financial Regulations and Rules of UPOV”</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60" w:after="60"/>
              <w:ind w:left="534" w:hanging="426"/>
              <w:jc w:val="left"/>
              <w:rPr>
                <w:color w:val="000000"/>
              </w:rPr>
            </w:pPr>
            <w:r w:rsidRPr="00DD6106">
              <w:rPr>
                <w:color w:val="000000"/>
              </w:rPr>
              <w:t>4.</w:t>
            </w:r>
            <w:r w:rsidRPr="00DD6106">
              <w:rPr>
                <w:color w:val="000000"/>
              </w:rPr>
              <w:tab/>
              <w:t xml:space="preserve">Council policy </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60" w:after="60"/>
              <w:ind w:left="568" w:hanging="425"/>
              <w:jc w:val="left"/>
              <w:rPr>
                <w:color w:val="000000"/>
              </w:rPr>
            </w:pPr>
            <w:r w:rsidRPr="00DD6106">
              <w:rPr>
                <w:color w:val="000000"/>
              </w:rPr>
              <w:t>(a)</w:t>
            </w:r>
            <w:r w:rsidRPr="00DD6106">
              <w:rPr>
                <w:color w:val="000000"/>
              </w:rPr>
              <w:tab/>
              <w:t>recommendations by the</w:t>
            </w:r>
            <w:r>
              <w:rPr>
                <w:color w:val="000000"/>
              </w:rPr>
              <w:t xml:space="preserve"> </w:t>
            </w:r>
            <w:r w:rsidRPr="00DD6106">
              <w:rPr>
                <w:color w:val="000000"/>
              </w:rPr>
              <w:t>Consultative Committee;</w:t>
            </w:r>
          </w:p>
          <w:p w:rsidR="00421639" w:rsidRPr="00DD6106" w:rsidRDefault="00421639" w:rsidP="00DC35EC">
            <w:pPr>
              <w:keepNext/>
              <w:spacing w:before="60" w:after="60"/>
              <w:ind w:left="568" w:hanging="425"/>
              <w:jc w:val="left"/>
              <w:rPr>
                <w:color w:val="000000"/>
              </w:rPr>
            </w:pPr>
            <w:r w:rsidRPr="00DD6106">
              <w:rPr>
                <w:color w:val="000000"/>
              </w:rPr>
              <w:t>(b)</w:t>
            </w:r>
            <w:r w:rsidRPr="00DD6106">
              <w:rPr>
                <w:color w:val="000000"/>
              </w:rPr>
              <w:tab/>
              <w:t>decisions by the Council;</w:t>
            </w:r>
          </w:p>
          <w:p w:rsidR="00421639" w:rsidRPr="00DD6106" w:rsidRDefault="00421639" w:rsidP="00DC35EC">
            <w:pPr>
              <w:keepNext/>
              <w:spacing w:before="60" w:after="60"/>
              <w:ind w:left="568" w:hanging="425"/>
              <w:jc w:val="left"/>
              <w:rPr>
                <w:color w:val="000000"/>
              </w:rPr>
            </w:pPr>
            <w:r w:rsidRPr="00DD6106">
              <w:rPr>
                <w:color w:val="000000"/>
              </w:rPr>
              <w:t>(c)</w:t>
            </w:r>
            <w:r w:rsidRPr="00DD6106">
              <w:rPr>
                <w:color w:val="000000"/>
              </w:rPr>
              <w:tab/>
              <w:t>adoption of information a</w:t>
            </w:r>
            <w:r>
              <w:rPr>
                <w:color w:val="000000"/>
              </w:rPr>
              <w:t>nd position papers by the </w:t>
            </w:r>
            <w:r w:rsidRPr="00DD6106">
              <w:rPr>
                <w:color w:val="000000"/>
              </w:rPr>
              <w:t>Council.</w:t>
            </w:r>
          </w:p>
        </w:tc>
      </w:tr>
    </w:tbl>
    <w:p w:rsidR="00421639" w:rsidRPr="00DD6106" w:rsidRDefault="00421639" w:rsidP="00421639">
      <w:pPr>
        <w:keepNext/>
        <w:tabs>
          <w:tab w:val="left" w:pos="567"/>
        </w:tabs>
        <w:ind w:left="2835" w:hanging="2835"/>
        <w:rPr>
          <w:b/>
        </w:rPr>
      </w:pPr>
      <w:r w:rsidRPr="00DD6106">
        <w:br w:type="page"/>
      </w:r>
      <w:r w:rsidRPr="00DD6106">
        <w:rPr>
          <w:b/>
        </w:rPr>
        <w:t>2.2</w:t>
      </w:r>
      <w:r w:rsidRPr="00DD6106">
        <w:rPr>
          <w:b/>
        </w:rPr>
        <w:tab/>
      </w:r>
      <w:r w:rsidRPr="00DD6106">
        <w:rPr>
          <w:b/>
          <w:u w:val="single"/>
        </w:rPr>
        <w:t>Sub-program UV.2</w:t>
      </w:r>
      <w:r w:rsidRPr="00DD6106">
        <w:rPr>
          <w:b/>
        </w:rPr>
        <w:t>:</w:t>
      </w:r>
      <w:r w:rsidRPr="00DD6106">
        <w:rPr>
          <w:b/>
        </w:rPr>
        <w:tab/>
      </w:r>
      <w:r w:rsidRPr="00DD6106">
        <w:rPr>
          <w:b/>
          <w:u w:val="single"/>
        </w:rPr>
        <w:t xml:space="preserve">Services to the </w:t>
      </w:r>
      <w:smartTag w:uri="urn:schemas-microsoft-com:office:smarttags" w:element="place">
        <w:r w:rsidRPr="00DD6106">
          <w:rPr>
            <w:b/>
            <w:u w:val="single"/>
          </w:rPr>
          <w:t>Union</w:t>
        </w:r>
      </w:smartTag>
      <w:r w:rsidRPr="00DD6106">
        <w:rPr>
          <w:b/>
          <w:u w:val="single"/>
        </w:rPr>
        <w:t xml:space="preserve"> for Enhancin</w:t>
      </w:r>
      <w:r>
        <w:rPr>
          <w:b/>
          <w:u w:val="single"/>
        </w:rPr>
        <w:t>g the Effectiveness of the UPOV </w:t>
      </w:r>
      <w:r w:rsidRPr="00DD6106">
        <w:rPr>
          <w:b/>
          <w:u w:val="single"/>
        </w:rPr>
        <w:t>System</w:t>
      </w:r>
      <w:r w:rsidRPr="00DD6106">
        <w:rPr>
          <w:b/>
        </w:rPr>
        <w:t xml:space="preserve"> </w:t>
      </w:r>
    </w:p>
    <w:p w:rsidR="00421639" w:rsidRPr="00DD6106" w:rsidRDefault="00421639" w:rsidP="00421639">
      <w:pPr>
        <w:keepNext/>
      </w:pPr>
    </w:p>
    <w:p w:rsidR="00421639" w:rsidRPr="00DD6106" w:rsidRDefault="00421639" w:rsidP="00421639">
      <w:pPr>
        <w:keepNext/>
        <w:rPr>
          <w:b/>
        </w:rPr>
      </w:pPr>
      <w:r w:rsidRPr="00DD6106">
        <w:rPr>
          <w:b/>
        </w:rPr>
        <w:t>2.2.1</w:t>
      </w:r>
      <w:r w:rsidRPr="00DD6106">
        <w:rPr>
          <w:b/>
        </w:rPr>
        <w:tab/>
        <w:t>Objectives:</w:t>
      </w:r>
    </w:p>
    <w:p w:rsidR="00421639" w:rsidRPr="00DD6106" w:rsidRDefault="00421639" w:rsidP="00421639">
      <w:pPr>
        <w:keepNext/>
        <w:ind w:left="142"/>
      </w:pPr>
    </w:p>
    <w:p w:rsidR="00421639" w:rsidRPr="00DD6106" w:rsidRDefault="00421639" w:rsidP="00421639">
      <w:r w:rsidRPr="00DD6106">
        <w:tab/>
        <w:t>(a)</w:t>
      </w:r>
      <w:r w:rsidRPr="00DD6106">
        <w:tab/>
        <w:t>To maintain and improve the effectiveness of the UPOV system</w:t>
      </w:r>
      <w:r w:rsidR="001A0E1A">
        <w:t>.</w:t>
      </w:r>
      <w:r w:rsidRPr="00DD6106">
        <w:t xml:space="preserve"> </w:t>
      </w:r>
    </w:p>
    <w:p w:rsidR="00421639" w:rsidRPr="00DD6106" w:rsidRDefault="00421639" w:rsidP="00421639"/>
    <w:p w:rsidR="00421639" w:rsidRPr="00DD6106" w:rsidRDefault="00421639" w:rsidP="00421639">
      <w:r w:rsidRPr="00DD6106">
        <w:tab/>
        <w:t>(b)</w:t>
      </w:r>
      <w:r w:rsidRPr="00DD6106">
        <w:tab/>
        <w:t>To provide and develop the legal, administrative and technical basis for international cooperation in plant variety protection according to the UPOV Convention.</w:t>
      </w:r>
    </w:p>
    <w:p w:rsidR="00421639" w:rsidRPr="00DD6106" w:rsidRDefault="00421639" w:rsidP="00421639">
      <w:pPr>
        <w:ind w:left="2410" w:hanging="2410"/>
      </w:pPr>
    </w:p>
    <w:p w:rsidR="00421639" w:rsidRPr="00DD6106" w:rsidRDefault="00421639" w:rsidP="00421639">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2.2.2</w:t>
      </w:r>
      <w:r w:rsidRPr="00DD6106">
        <w:rPr>
          <w:b/>
        </w:rPr>
        <w:tab/>
        <w:t>Narrative</w:t>
      </w:r>
    </w:p>
    <w:p w:rsidR="00421639" w:rsidRPr="00DD6106" w:rsidRDefault="00421639" w:rsidP="00421639"/>
    <w:p w:rsidR="00421639" w:rsidRDefault="00421639" w:rsidP="00421639">
      <w:pPr>
        <w:tabs>
          <w:tab w:val="left" w:pos="851"/>
        </w:tabs>
      </w:pPr>
      <w:r w:rsidRPr="00DD6106">
        <w:t>2.2.2.1</w:t>
      </w:r>
      <w:r w:rsidRPr="00DD6106">
        <w:tab/>
      </w:r>
      <w:r w:rsidRPr="00513371">
        <w:t xml:space="preserve">In order to provide continuous improvement in services for an increasing membership, resources are focused on the development of guidance and information materials, databases and electronic forms that are made available through relevant, particularly electronic, media.  Resources in this context include both the Office of the Union and the individual members of the </w:t>
      </w:r>
      <w:smartTag w:uri="urn:schemas-microsoft-com:office:smarttags" w:element="place">
        <w:r w:rsidRPr="00513371">
          <w:t>Union</w:t>
        </w:r>
      </w:smartTag>
      <w:r w:rsidRPr="00513371">
        <w:t xml:space="preserve">, particularly through their participation in UPOV bodies and by the provision of information to facilitate cooperation.  This sub-program covers the provision of legal, administrative and technical guidance and information concerning the </w:t>
      </w:r>
      <w:smartTag w:uri="urn:schemas-microsoft-com:office:smarttags" w:element="PersonName">
        <w:r w:rsidRPr="00513371">
          <w:t>UPOV</w:t>
        </w:r>
      </w:smartTag>
      <w:r w:rsidRPr="00513371">
        <w:t xml:space="preserve"> system of </w:t>
      </w:r>
      <w:r w:rsidRPr="00513371">
        <w:rPr>
          <w:snapToGrid w:val="0"/>
        </w:rPr>
        <w:t>plant variety protection</w:t>
      </w:r>
      <w:r w:rsidRPr="00513371">
        <w:t xml:space="preserve">, support for cooperation between members of the </w:t>
      </w:r>
      <w:smartTag w:uri="urn:schemas-microsoft-com:office:smarttags" w:element="place">
        <w:r w:rsidRPr="00513371">
          <w:t>Union</w:t>
        </w:r>
      </w:smartTag>
      <w:r w:rsidRPr="00513371">
        <w:t xml:space="preserve">, the work of the relevant </w:t>
      </w:r>
      <w:smartTag w:uri="urn:schemas-microsoft-com:office:smarttags" w:element="PersonName">
        <w:r w:rsidRPr="00513371">
          <w:t>UPOV</w:t>
        </w:r>
      </w:smartTag>
      <w:r w:rsidRPr="00513371">
        <w:t xml:space="preserve"> bodies, measures to facilitate applications for plant breeders’ rights and the provision of information on the operation of the </w:t>
      </w:r>
      <w:smartTag w:uri="urn:schemas-microsoft-com:office:smarttags" w:element="PersonName">
        <w:r w:rsidRPr="00513371">
          <w:t>UPOV</w:t>
        </w:r>
      </w:smartTag>
      <w:r w:rsidRPr="00513371">
        <w:t xml:space="preserve"> system for stakeholders.</w:t>
      </w:r>
      <w:r>
        <w:t xml:space="preserve">  </w:t>
      </w:r>
    </w:p>
    <w:p w:rsidR="00421639" w:rsidRDefault="00421639" w:rsidP="00421639">
      <w:pPr>
        <w:tabs>
          <w:tab w:val="left" w:pos="567"/>
        </w:tabs>
      </w:pPr>
    </w:p>
    <w:p w:rsidR="00421639" w:rsidRPr="00171D26" w:rsidRDefault="00421639" w:rsidP="00421639">
      <w:pPr>
        <w:tabs>
          <w:tab w:val="left" w:pos="567"/>
        </w:tabs>
        <w:rPr>
          <w:i/>
        </w:rPr>
      </w:pPr>
      <w:r w:rsidRPr="00171D26">
        <w:rPr>
          <w:i/>
        </w:rPr>
        <w:t xml:space="preserve">Guidance </w:t>
      </w:r>
      <w:r>
        <w:rPr>
          <w:i/>
        </w:rPr>
        <w:t xml:space="preserve">and information </w:t>
      </w:r>
      <w:r w:rsidRPr="00171D26">
        <w:rPr>
          <w:i/>
        </w:rPr>
        <w:t>material</w:t>
      </w:r>
      <w:r>
        <w:rPr>
          <w:i/>
        </w:rPr>
        <w:t>s</w:t>
      </w:r>
    </w:p>
    <w:p w:rsidR="00421639" w:rsidRPr="00DD6106" w:rsidRDefault="00421639" w:rsidP="00421639">
      <w:pPr>
        <w:tabs>
          <w:tab w:val="left" w:pos="567"/>
        </w:tabs>
      </w:pPr>
    </w:p>
    <w:p w:rsidR="00421639" w:rsidRPr="00DD6106" w:rsidRDefault="00421639" w:rsidP="00421639">
      <w:pPr>
        <w:tabs>
          <w:tab w:val="left" w:pos="851"/>
        </w:tabs>
        <w:rPr>
          <w:snapToGrid w:val="0"/>
        </w:rPr>
      </w:pPr>
      <w:r w:rsidRPr="00DD6106">
        <w:t>2.2.2.2</w:t>
      </w:r>
      <w:r w:rsidRPr="00DD6106">
        <w:tab/>
        <w:t xml:space="preserve">The effectiveness of the </w:t>
      </w:r>
      <w:smartTag w:uri="urn:schemas-microsoft-com:office:smarttags" w:element="PersonName">
        <w:r w:rsidRPr="00DD6106">
          <w:t>UPOV</w:t>
        </w:r>
      </w:smartTag>
      <w:r w:rsidRPr="00DD6106">
        <w:t xml:space="preserve"> system is enhanced by the provision of guidance and information materials such as </w:t>
      </w:r>
      <w:r w:rsidRPr="00DD6106">
        <w:rPr>
          <w:snapToGrid w:val="0"/>
          <w:szCs w:val="24"/>
        </w:rPr>
        <w:t>Explanatory Notes (“</w:t>
      </w:r>
      <w:smartTag w:uri="urn:schemas-microsoft-com:office:smarttags" w:element="PersonName">
        <w:r w:rsidRPr="00DD6106">
          <w:rPr>
            <w:snapToGrid w:val="0"/>
            <w:szCs w:val="24"/>
          </w:rPr>
          <w:t>UPOV</w:t>
        </w:r>
      </w:smartTag>
      <w:r w:rsidRPr="00DD6106">
        <w:rPr>
          <w:snapToGrid w:val="0"/>
          <w:szCs w:val="24"/>
        </w:rPr>
        <w:t>/EXN” series)</w:t>
      </w:r>
      <w:r w:rsidRPr="00DD6106">
        <w:rPr>
          <w:snapToGrid w:val="0"/>
        </w:rPr>
        <w:t>, Information Documents (“</w:t>
      </w:r>
      <w:smartTag w:uri="urn:schemas-microsoft-com:office:smarttags" w:element="PersonName">
        <w:r w:rsidRPr="00DD6106">
          <w:rPr>
            <w:snapToGrid w:val="0"/>
          </w:rPr>
          <w:t>UPOV</w:t>
        </w:r>
      </w:smartTag>
      <w:r w:rsidRPr="00DD6106">
        <w:rPr>
          <w:snapToGrid w:val="0"/>
        </w:rPr>
        <w:t xml:space="preserve">/INF” series), the </w:t>
      </w:r>
      <w:r>
        <w:rPr>
          <w:snapToGrid w:val="0"/>
        </w:rPr>
        <w:t>“</w:t>
      </w:r>
      <w:r w:rsidRPr="00DD6106">
        <w:rPr>
          <w:snapToGrid w:val="0"/>
        </w:rPr>
        <w:t>General Introduction to the Examination of Distinctness, Uniformity and Stability and the Development of Harmonized Descriptions of New Varieties of Plants</w:t>
      </w:r>
      <w:r>
        <w:rPr>
          <w:snapToGrid w:val="0"/>
        </w:rPr>
        <w:t>”</w:t>
      </w:r>
      <w:r w:rsidRPr="00DD6106">
        <w:rPr>
          <w:snapToGrid w:val="0"/>
        </w:rPr>
        <w:t>, with its ass</w:t>
      </w:r>
      <w:r>
        <w:rPr>
          <w:snapToGrid w:val="0"/>
        </w:rPr>
        <w:t>ociated TGP documents, and Test </w:t>
      </w:r>
      <w:r w:rsidRPr="00DD6106">
        <w:rPr>
          <w:snapToGrid w:val="0"/>
        </w:rPr>
        <w:t xml:space="preserve">Guidelines.  Such materials provide the basis for harmonization and, thereby, facilitate cooperation between members of the </w:t>
      </w:r>
      <w:smartTag w:uri="urn:schemas-microsoft-com:office:smarttags" w:element="place">
        <w:r w:rsidRPr="00DD6106">
          <w:rPr>
            <w:snapToGrid w:val="0"/>
          </w:rPr>
          <w:t>Union</w:t>
        </w:r>
      </w:smartTag>
      <w:r w:rsidRPr="00DD6106">
        <w:rPr>
          <w:snapToGrid w:val="0"/>
        </w:rPr>
        <w:t xml:space="preserve">.  The identification of relevant matters for guidance and the development of appropriate materials continues to be a key objective of the work of the Administrative and Legal Committee (CAJ), </w:t>
      </w:r>
      <w:r>
        <w:rPr>
          <w:snapToGrid w:val="0"/>
        </w:rPr>
        <w:t xml:space="preserve">the </w:t>
      </w:r>
      <w:r w:rsidRPr="00DD6106">
        <w:rPr>
          <w:snapToGrid w:val="0"/>
        </w:rPr>
        <w:t xml:space="preserve">Technical Committee (TC) and the Technical Working Parties (TWPs).  In that respect, the involvement of organizations representing stakeholders is an important means of ensuring that guidance and information is as effective as possible.  </w:t>
      </w:r>
    </w:p>
    <w:p w:rsidR="00421639" w:rsidRDefault="00421639" w:rsidP="00421639">
      <w:pPr>
        <w:tabs>
          <w:tab w:val="left" w:pos="567"/>
        </w:tabs>
        <w:rPr>
          <w:snapToGrid w:val="0"/>
        </w:rPr>
      </w:pPr>
    </w:p>
    <w:p w:rsidR="00421639" w:rsidRPr="00DD6106" w:rsidRDefault="00421639" w:rsidP="00421639">
      <w:pPr>
        <w:tabs>
          <w:tab w:val="left" w:pos="851"/>
        </w:tabs>
      </w:pPr>
      <w:r w:rsidRPr="00513371">
        <w:rPr>
          <w:bCs/>
          <w:szCs w:val="24"/>
        </w:rPr>
        <w:t>2.2.</w:t>
      </w:r>
      <w:r w:rsidRPr="00513371">
        <w:t>2.3</w:t>
      </w:r>
      <w:r w:rsidRPr="00513371">
        <w:rPr>
          <w:bCs/>
          <w:szCs w:val="24"/>
        </w:rPr>
        <w:tab/>
        <w:t xml:space="preserve">An important aspect for the effective operation of the </w:t>
      </w:r>
      <w:smartTag w:uri="urn:schemas-microsoft-com:office:smarttags" w:element="PersonName">
        <w:r w:rsidRPr="00513371">
          <w:rPr>
            <w:bCs/>
            <w:szCs w:val="24"/>
          </w:rPr>
          <w:t>UPOV</w:t>
        </w:r>
      </w:smartTag>
      <w:r w:rsidRPr="00513371">
        <w:rPr>
          <w:bCs/>
          <w:szCs w:val="24"/>
        </w:rPr>
        <w:t xml:space="preserve"> system is that all stakeholders, including breeders, </w:t>
      </w:r>
      <w:r>
        <w:rPr>
          <w:bCs/>
          <w:szCs w:val="24"/>
        </w:rPr>
        <w:t>seed and plant producers</w:t>
      </w:r>
      <w:r w:rsidRPr="00513371">
        <w:rPr>
          <w:bCs/>
          <w:szCs w:val="24"/>
        </w:rPr>
        <w:t xml:space="preserve"> and farmers, have a good understanding of the </w:t>
      </w:r>
      <w:smartTag w:uri="urn:schemas-microsoft-com:office:smarttags" w:element="PersonName">
        <w:r w:rsidRPr="00513371">
          <w:rPr>
            <w:bCs/>
            <w:szCs w:val="24"/>
          </w:rPr>
          <w:t>UPOV</w:t>
        </w:r>
      </w:smartTag>
      <w:r w:rsidRPr="00513371">
        <w:rPr>
          <w:bCs/>
          <w:szCs w:val="24"/>
        </w:rPr>
        <w:t xml:space="preserve"> system.  The guidance material and information developed by </w:t>
      </w:r>
      <w:smartTag w:uri="urn:schemas-microsoft-com:office:smarttags" w:element="PersonName">
        <w:r w:rsidRPr="00513371">
          <w:rPr>
            <w:bCs/>
            <w:szCs w:val="24"/>
          </w:rPr>
          <w:t>UPOV</w:t>
        </w:r>
      </w:smartTag>
      <w:r w:rsidRPr="00513371">
        <w:rPr>
          <w:bCs/>
          <w:szCs w:val="24"/>
        </w:rPr>
        <w:t xml:space="preserve"> provide a basis for providing stakeholders with an explanation of the </w:t>
      </w:r>
      <w:smartTag w:uri="urn:schemas-microsoft-com:office:smarttags" w:element="PersonName">
        <w:r w:rsidRPr="00513371">
          <w:rPr>
            <w:bCs/>
            <w:szCs w:val="24"/>
          </w:rPr>
          <w:t>UPOV</w:t>
        </w:r>
      </w:smartTag>
      <w:r w:rsidRPr="00513371">
        <w:rPr>
          <w:bCs/>
          <w:szCs w:val="24"/>
        </w:rPr>
        <w:t xml:space="preserve"> system and information on its operation.  This sub­program includes the development of communication methods and materials that are suited for a range of stakeholders</w:t>
      </w:r>
      <w:r w:rsidRPr="00513371">
        <w:t>.</w:t>
      </w:r>
      <w:r>
        <w:rPr>
          <w:bCs/>
          <w:szCs w:val="24"/>
        </w:rPr>
        <w:t xml:space="preserve"> </w:t>
      </w:r>
      <w:r w:rsidRPr="00DD6106">
        <w:rPr>
          <w:bCs/>
          <w:szCs w:val="24"/>
        </w:rPr>
        <w:t xml:space="preserve"> </w:t>
      </w:r>
    </w:p>
    <w:p w:rsidR="00421639" w:rsidRDefault="00421639" w:rsidP="00421639">
      <w:pPr>
        <w:tabs>
          <w:tab w:val="left" w:pos="567"/>
        </w:tabs>
        <w:rPr>
          <w:snapToGrid w:val="0"/>
        </w:rPr>
      </w:pPr>
    </w:p>
    <w:p w:rsidR="00421639" w:rsidRPr="00D76254" w:rsidRDefault="00421639" w:rsidP="00421639">
      <w:pPr>
        <w:tabs>
          <w:tab w:val="left" w:pos="567"/>
        </w:tabs>
        <w:rPr>
          <w:i/>
          <w:snapToGrid w:val="0"/>
        </w:rPr>
      </w:pPr>
      <w:r w:rsidRPr="00D76254">
        <w:rPr>
          <w:i/>
          <w:snapToGrid w:val="0"/>
        </w:rPr>
        <w:t>Cooperation</w:t>
      </w:r>
    </w:p>
    <w:p w:rsidR="00421639" w:rsidRPr="00DD6106" w:rsidRDefault="00421639" w:rsidP="00421639">
      <w:pPr>
        <w:tabs>
          <w:tab w:val="left" w:pos="567"/>
        </w:tabs>
        <w:rPr>
          <w:snapToGrid w:val="0"/>
        </w:rPr>
      </w:pPr>
    </w:p>
    <w:p w:rsidR="00421639" w:rsidRPr="00095334" w:rsidRDefault="00421639" w:rsidP="00421639">
      <w:pPr>
        <w:tabs>
          <w:tab w:val="left" w:pos="851"/>
        </w:tabs>
        <w:rPr>
          <w:bCs/>
          <w:szCs w:val="24"/>
        </w:rPr>
      </w:pPr>
      <w:r w:rsidRPr="00513371">
        <w:rPr>
          <w:snapToGrid w:val="0"/>
        </w:rPr>
        <w:t>2.2.</w:t>
      </w:r>
      <w:r w:rsidRPr="00513371">
        <w:t>2.</w:t>
      </w:r>
      <w:r w:rsidRPr="00513371">
        <w:rPr>
          <w:snapToGrid w:val="0"/>
        </w:rPr>
        <w:t>4</w:t>
      </w:r>
      <w:r w:rsidRPr="00513371">
        <w:rPr>
          <w:snapToGrid w:val="0"/>
        </w:rPr>
        <w:tab/>
      </w:r>
      <w:r w:rsidRPr="00095334">
        <w:rPr>
          <w:bCs/>
          <w:szCs w:val="24"/>
        </w:rPr>
        <w:t xml:space="preserve">Cooperation between members of the </w:t>
      </w:r>
      <w:smartTag w:uri="urn:schemas-microsoft-com:office:smarttags" w:element="place">
        <w:r w:rsidRPr="00095334">
          <w:rPr>
            <w:bCs/>
            <w:szCs w:val="24"/>
          </w:rPr>
          <w:t>Union</w:t>
        </w:r>
      </w:smartTag>
      <w:r w:rsidRPr="00095334">
        <w:rPr>
          <w:bCs/>
          <w:szCs w:val="24"/>
        </w:rPr>
        <w:t xml:space="preserve"> is a key feature of the </w:t>
      </w:r>
      <w:smartTag w:uri="urn:schemas-microsoft-com:office:smarttags" w:element="PersonName">
        <w:r w:rsidRPr="00095334">
          <w:rPr>
            <w:bCs/>
            <w:szCs w:val="24"/>
          </w:rPr>
          <w:t>UPOV</w:t>
        </w:r>
      </w:smartTag>
      <w:r w:rsidRPr="00095334">
        <w:rPr>
          <w:bCs/>
          <w:szCs w:val="24"/>
        </w:rPr>
        <w:t xml:space="preserve"> system and is the basis for an efficient system covering all plant genera and species.  Such efficiency is an important means of ensuring that the </w:t>
      </w:r>
      <w:smartTag w:uri="urn:schemas-microsoft-com:office:smarttags" w:element="PersonName">
        <w:r w:rsidRPr="00095334">
          <w:rPr>
            <w:bCs/>
            <w:szCs w:val="24"/>
          </w:rPr>
          <w:t>UPOV</w:t>
        </w:r>
      </w:smartTag>
      <w:r w:rsidRPr="00095334">
        <w:rPr>
          <w:bCs/>
          <w:szCs w:val="24"/>
        </w:rPr>
        <w:t xml:space="preserve"> system is accessible and affordable for all types of breeders.</w:t>
      </w:r>
    </w:p>
    <w:p w:rsidR="00421639" w:rsidRPr="00095334" w:rsidRDefault="00421639" w:rsidP="00421639">
      <w:pPr>
        <w:tabs>
          <w:tab w:val="left" w:pos="851"/>
        </w:tabs>
        <w:rPr>
          <w:bCs/>
          <w:szCs w:val="24"/>
        </w:rPr>
      </w:pPr>
    </w:p>
    <w:p w:rsidR="00421639" w:rsidRPr="00095334" w:rsidRDefault="00421639" w:rsidP="00421639">
      <w:pPr>
        <w:tabs>
          <w:tab w:val="left" w:pos="851"/>
        </w:tabs>
        <w:rPr>
          <w:bCs/>
          <w:szCs w:val="24"/>
        </w:rPr>
      </w:pPr>
      <w:r w:rsidRPr="00095334">
        <w:rPr>
          <w:bCs/>
          <w:szCs w:val="24"/>
        </w:rPr>
        <w:t>2.2.2.5</w:t>
      </w:r>
      <w:r w:rsidRPr="00095334">
        <w:rPr>
          <w:bCs/>
          <w:szCs w:val="24"/>
        </w:rPr>
        <w:tab/>
        <w:t xml:space="preserve">The cooperation within </w:t>
      </w:r>
      <w:smartTag w:uri="urn:schemas-microsoft-com:office:smarttags" w:element="PersonName">
        <w:r w:rsidRPr="00095334">
          <w:rPr>
            <w:bCs/>
            <w:szCs w:val="24"/>
          </w:rPr>
          <w:t>UPOV</w:t>
        </w:r>
      </w:smartTag>
      <w:r w:rsidRPr="00095334">
        <w:rPr>
          <w:bCs/>
          <w:szCs w:val="24"/>
        </w:rPr>
        <w:t xml:space="preserve"> relies to a major extent on the input of members of the </w:t>
      </w:r>
      <w:smartTag w:uri="urn:schemas-microsoft-com:office:smarttags" w:element="place">
        <w:r w:rsidRPr="00095334">
          <w:rPr>
            <w:bCs/>
            <w:szCs w:val="24"/>
          </w:rPr>
          <w:t>Union</w:t>
        </w:r>
      </w:smartTag>
      <w:r>
        <w:rPr>
          <w:bCs/>
          <w:szCs w:val="24"/>
        </w:rPr>
        <w:t>.  In </w:t>
      </w:r>
      <w:r w:rsidRPr="00095334">
        <w:rPr>
          <w:bCs/>
          <w:szCs w:val="24"/>
        </w:rPr>
        <w:t>particular, cooperation in the examination of DUS relies on experts from members of the Union in the development of Test Guidelines and on the willingness of members of the Union to share their practical experience with particular plant genera and species, for example in the form of the GENIE database.</w:t>
      </w:r>
      <w:r w:rsidR="008E35A1">
        <w:rPr>
          <w:bCs/>
          <w:szCs w:val="24"/>
        </w:rPr>
        <w:t xml:space="preserve">  The development of an electronic Test Guidelines template is intended to assist members of the Union in the process of developing Test Guidelines.</w:t>
      </w:r>
      <w:r w:rsidRPr="00095334">
        <w:rPr>
          <w:bCs/>
          <w:szCs w:val="24"/>
        </w:rPr>
        <w:t xml:space="preserve">  The contribution of data by members of the Union to the </w:t>
      </w:r>
      <w:r w:rsidRPr="00513371">
        <w:rPr>
          <w:bCs/>
          <w:szCs w:val="24"/>
        </w:rPr>
        <w:t xml:space="preserve">Plant Variety Database (PLUTO) provides essential support for the examination of variety denominations.  Those contributions are further enhanced by the contribution of data by the </w:t>
      </w:r>
      <w:proofErr w:type="spellStart"/>
      <w:r w:rsidRPr="00513371">
        <w:rPr>
          <w:bCs/>
          <w:szCs w:val="24"/>
        </w:rPr>
        <w:t>Organisation</w:t>
      </w:r>
      <w:proofErr w:type="spellEnd"/>
      <w:r w:rsidRPr="00513371">
        <w:rPr>
          <w:bCs/>
          <w:szCs w:val="24"/>
        </w:rPr>
        <w:t xml:space="preserve"> for Economic Co-operation and Development (OECD) and by the cooperation agreements between </w:t>
      </w:r>
      <w:smartTag w:uri="urn:schemas-microsoft-com:office:smarttags" w:element="PersonName">
        <w:r w:rsidRPr="00513371">
          <w:rPr>
            <w:bCs/>
            <w:szCs w:val="24"/>
          </w:rPr>
          <w:t>UPOV</w:t>
        </w:r>
      </w:smartTag>
      <w:r w:rsidRPr="00513371">
        <w:rPr>
          <w:bCs/>
          <w:szCs w:val="24"/>
        </w:rPr>
        <w:t xml:space="preserve"> and the </w:t>
      </w:r>
      <w:r w:rsidRPr="00095334">
        <w:rPr>
          <w:bCs/>
          <w:szCs w:val="24"/>
        </w:rPr>
        <w:t xml:space="preserve">World Intellectual Property Organization (WIPO) and </w:t>
      </w:r>
      <w:r w:rsidRPr="00513371">
        <w:rPr>
          <w:bCs/>
          <w:szCs w:val="24"/>
        </w:rPr>
        <w:t xml:space="preserve">between </w:t>
      </w:r>
      <w:smartTag w:uri="urn:schemas-microsoft-com:office:smarttags" w:element="PersonName">
        <w:r w:rsidRPr="00513371">
          <w:rPr>
            <w:bCs/>
            <w:szCs w:val="24"/>
          </w:rPr>
          <w:t>UPOV</w:t>
        </w:r>
      </w:smartTag>
      <w:r w:rsidRPr="00095334">
        <w:rPr>
          <w:bCs/>
          <w:szCs w:val="24"/>
        </w:rPr>
        <w:t xml:space="preserve"> and the Community Plant Variety Office of the European Union (CPVO). The sharing of software applications, such as the DUST package (</w:t>
      </w:r>
      <w:smartTag w:uri="urn:schemas-microsoft-com:office:smarttags" w:element="country-region">
        <w:r w:rsidRPr="00095334">
          <w:rPr>
            <w:bCs/>
            <w:szCs w:val="24"/>
          </w:rPr>
          <w:t>United Kingdom</w:t>
        </w:r>
      </w:smartTag>
      <w:r w:rsidRPr="00095334">
        <w:rPr>
          <w:bCs/>
          <w:szCs w:val="24"/>
        </w:rPr>
        <w:t>) and the GAIA software and SIRIUS system (</w:t>
      </w:r>
      <w:smartTag w:uri="urn:schemas-microsoft-com:office:smarttags" w:element="place">
        <w:smartTag w:uri="urn:schemas-microsoft-com:office:smarttags" w:element="country-region">
          <w:r w:rsidRPr="00095334">
            <w:rPr>
              <w:bCs/>
              <w:szCs w:val="24"/>
            </w:rPr>
            <w:t>France</w:t>
          </w:r>
        </w:smartTag>
      </w:smartTag>
      <w:r w:rsidRPr="00095334">
        <w:rPr>
          <w:bCs/>
          <w:szCs w:val="24"/>
        </w:rPr>
        <w:t xml:space="preserve">), also provide an important means of support for the examination of varieties.  </w:t>
      </w:r>
    </w:p>
    <w:p w:rsidR="00421639" w:rsidRPr="00095334" w:rsidRDefault="00421639" w:rsidP="00421639">
      <w:pPr>
        <w:tabs>
          <w:tab w:val="left" w:pos="851"/>
        </w:tabs>
        <w:rPr>
          <w:bCs/>
          <w:szCs w:val="24"/>
        </w:rPr>
      </w:pPr>
    </w:p>
    <w:p w:rsidR="00421639" w:rsidRPr="00513371" w:rsidRDefault="00421639" w:rsidP="00491CB1">
      <w:pPr>
        <w:keepLines/>
        <w:tabs>
          <w:tab w:val="left" w:pos="851"/>
        </w:tabs>
        <w:rPr>
          <w:bCs/>
          <w:szCs w:val="24"/>
        </w:rPr>
      </w:pPr>
      <w:r w:rsidRPr="00095334">
        <w:rPr>
          <w:bCs/>
          <w:szCs w:val="24"/>
        </w:rPr>
        <w:t>2.2.2.6</w:t>
      </w:r>
      <w:r w:rsidRPr="00095334">
        <w:rPr>
          <w:bCs/>
          <w:szCs w:val="24"/>
        </w:rPr>
        <w:tab/>
      </w:r>
      <w:r w:rsidRPr="00513371">
        <w:t xml:space="preserve">In order to improve the understanding of the </w:t>
      </w:r>
      <w:smartTag w:uri="urn:schemas-microsoft-com:office:smarttags" w:element="PersonName">
        <w:r w:rsidRPr="00513371">
          <w:t>UPOV</w:t>
        </w:r>
      </w:smartTag>
      <w:r w:rsidRPr="00513371">
        <w:t xml:space="preserve"> system, members of the </w:t>
      </w:r>
      <w:smartTag w:uri="urn:schemas-microsoft-com:office:smarttags" w:element="place">
        <w:r w:rsidRPr="00513371">
          <w:t>Union</w:t>
        </w:r>
      </w:smartTag>
      <w:r w:rsidRPr="00513371">
        <w:t xml:space="preserve"> are providing additional extra-budgetary resources to make material available in </w:t>
      </w:r>
      <w:r w:rsidRPr="00513371">
        <w:rPr>
          <w:color w:val="000000"/>
        </w:rPr>
        <w:t xml:space="preserve">languages other than the </w:t>
      </w:r>
      <w:smartTag w:uri="urn:schemas-microsoft-com:office:smarttags" w:element="PersonName">
        <w:r w:rsidRPr="00513371">
          <w:rPr>
            <w:color w:val="000000"/>
          </w:rPr>
          <w:t>UPOV</w:t>
        </w:r>
      </w:smartTag>
      <w:r w:rsidRPr="00513371">
        <w:rPr>
          <w:color w:val="000000"/>
        </w:rPr>
        <w:t xml:space="preserve"> languages (English, French, German and Spanish).  Such initiatives include the establishment by the </w:t>
      </w:r>
      <w:smartTag w:uri="urn:schemas-microsoft-com:office:smarttags" w:element="country-region">
        <w:r w:rsidRPr="00513371">
          <w:rPr>
            <w:color w:val="000000"/>
          </w:rPr>
          <w:t>Russian Federation</w:t>
        </w:r>
      </w:smartTag>
      <w:r w:rsidRPr="00513371">
        <w:rPr>
          <w:color w:val="000000"/>
        </w:rPr>
        <w:t xml:space="preserve"> of a Russian language website and the funding of </w:t>
      </w:r>
      <w:smartTag w:uri="urn:schemas-microsoft-com:office:smarttags" w:element="PersonName">
        <w:r w:rsidRPr="00513371">
          <w:rPr>
            <w:color w:val="000000"/>
          </w:rPr>
          <w:t>translation</w:t>
        </w:r>
      </w:smartTag>
      <w:r w:rsidRPr="00513371">
        <w:rPr>
          <w:color w:val="000000"/>
        </w:rPr>
        <w:t xml:space="preserve"> of </w:t>
      </w:r>
      <w:smartTag w:uri="urn:schemas-microsoft-com:office:smarttags" w:element="PersonName">
        <w:r w:rsidRPr="00513371">
          <w:rPr>
            <w:color w:val="000000"/>
          </w:rPr>
          <w:t>UPOV</w:t>
        </w:r>
      </w:smartTag>
      <w:r w:rsidRPr="00513371">
        <w:rPr>
          <w:color w:val="000000"/>
        </w:rPr>
        <w:t xml:space="preserve"> materials by </w:t>
      </w:r>
      <w:smartTag w:uri="urn:schemas-microsoft-com:office:smarttags" w:element="country-region">
        <w:r w:rsidRPr="00513371">
          <w:rPr>
            <w:color w:val="000000"/>
          </w:rPr>
          <w:t>Japan</w:t>
        </w:r>
      </w:smartTag>
      <w:r w:rsidRPr="00513371">
        <w:rPr>
          <w:color w:val="000000"/>
        </w:rPr>
        <w:t xml:space="preserve">, through the </w:t>
      </w:r>
      <w:smartTag w:uri="urn:schemas-microsoft-com:office:smarttags" w:element="country-region">
        <w:smartTag w:uri="urn:schemas-microsoft-com:office:smarttags" w:element="place">
          <w:r w:rsidRPr="00513371">
            <w:rPr>
              <w:color w:val="000000"/>
            </w:rPr>
            <w:t>Japan</w:t>
          </w:r>
        </w:smartTag>
      </w:smartTag>
      <w:r w:rsidRPr="00513371">
        <w:rPr>
          <w:color w:val="000000"/>
        </w:rPr>
        <w:t xml:space="preserve"> Fund-in-Trust. </w:t>
      </w:r>
    </w:p>
    <w:p w:rsidR="00421639" w:rsidRPr="00513371" w:rsidRDefault="00421639" w:rsidP="00421639">
      <w:pPr>
        <w:rPr>
          <w:bCs/>
          <w:szCs w:val="24"/>
        </w:rPr>
      </w:pPr>
    </w:p>
    <w:p w:rsidR="00421639" w:rsidRPr="00513371" w:rsidRDefault="00421639" w:rsidP="00421639">
      <w:pPr>
        <w:keepNext/>
        <w:rPr>
          <w:bCs/>
          <w:i/>
          <w:szCs w:val="24"/>
        </w:rPr>
      </w:pPr>
      <w:r w:rsidRPr="00513371">
        <w:rPr>
          <w:bCs/>
          <w:i/>
          <w:szCs w:val="24"/>
        </w:rPr>
        <w:t>Facilitating applications</w:t>
      </w:r>
      <w:r w:rsidRPr="00513371">
        <w:t xml:space="preserve"> </w:t>
      </w:r>
      <w:r w:rsidRPr="00513371">
        <w:rPr>
          <w:bCs/>
          <w:i/>
          <w:szCs w:val="24"/>
        </w:rPr>
        <w:t>for plant breeders’ rights</w:t>
      </w:r>
    </w:p>
    <w:p w:rsidR="00421639" w:rsidRPr="00513371" w:rsidRDefault="00421639" w:rsidP="00421639">
      <w:pPr>
        <w:keepNext/>
        <w:rPr>
          <w:bCs/>
          <w:szCs w:val="24"/>
        </w:rPr>
      </w:pPr>
    </w:p>
    <w:p w:rsidR="00421639" w:rsidRPr="00513371" w:rsidRDefault="00421639" w:rsidP="00421639">
      <w:pPr>
        <w:tabs>
          <w:tab w:val="left" w:pos="851"/>
        </w:tabs>
        <w:rPr>
          <w:bCs/>
          <w:szCs w:val="24"/>
        </w:rPr>
      </w:pPr>
      <w:r w:rsidRPr="00513371">
        <w:rPr>
          <w:bCs/>
          <w:szCs w:val="24"/>
        </w:rPr>
        <w:t>2.2.</w:t>
      </w:r>
      <w:r w:rsidRPr="00513371">
        <w:t>2.7</w:t>
      </w:r>
      <w:r w:rsidRPr="00513371">
        <w:rPr>
          <w:bCs/>
          <w:szCs w:val="24"/>
        </w:rPr>
        <w:tab/>
        <w:t xml:space="preserve">Initiatives to facilitate applications, such as standardized application forms and </w:t>
      </w:r>
      <w:r w:rsidR="008E35A1">
        <w:rPr>
          <w:bCs/>
          <w:szCs w:val="24"/>
        </w:rPr>
        <w:t xml:space="preserve">UPOV </w:t>
      </w:r>
      <w:r w:rsidRPr="00513371">
        <w:rPr>
          <w:bCs/>
          <w:szCs w:val="24"/>
        </w:rPr>
        <w:t>references</w:t>
      </w:r>
      <w:r w:rsidR="008E35A1">
        <w:rPr>
          <w:bCs/>
          <w:szCs w:val="24"/>
        </w:rPr>
        <w:t>,</w:t>
      </w:r>
      <w:r w:rsidRPr="00513371">
        <w:rPr>
          <w:bCs/>
          <w:szCs w:val="24"/>
        </w:rPr>
        <w:t xml:space="preserve"> and cooperation between members of the Union in the development of electronic application systems, provide direct benefits for applicants.  </w:t>
      </w:r>
    </w:p>
    <w:p w:rsidR="00421639" w:rsidRPr="00513371" w:rsidRDefault="00421639" w:rsidP="00421639">
      <w:pPr>
        <w:rPr>
          <w:bCs/>
          <w:szCs w:val="24"/>
        </w:rPr>
      </w:pPr>
    </w:p>
    <w:p w:rsidR="00421639" w:rsidRPr="00513371" w:rsidRDefault="00421639" w:rsidP="00421639">
      <w:pPr>
        <w:rPr>
          <w:b/>
        </w:rPr>
      </w:pPr>
      <w:r w:rsidRPr="00513371">
        <w:rPr>
          <w:b/>
        </w:rPr>
        <w:t>2.2.3</w:t>
      </w:r>
      <w:r w:rsidRPr="00513371">
        <w:rPr>
          <w:b/>
        </w:rPr>
        <w:tab/>
        <w:t>Activities</w:t>
      </w:r>
    </w:p>
    <w:p w:rsidR="00421639" w:rsidRPr="00513371" w:rsidRDefault="00421639" w:rsidP="00421639"/>
    <w:p w:rsidR="00421639" w:rsidRPr="00513371" w:rsidRDefault="00421639" w:rsidP="00421639">
      <w:pPr>
        <w:numPr>
          <w:ilvl w:val="0"/>
          <w:numId w:val="9"/>
        </w:numPr>
        <w:tabs>
          <w:tab w:val="clear" w:pos="720"/>
        </w:tabs>
        <w:spacing w:after="120"/>
        <w:ind w:left="1134" w:hanging="567"/>
      </w:pPr>
      <w:r w:rsidRPr="00513371">
        <w:t>Four sessions of the Administrative and Legal Committee, two sessions of the Technical Committee, 11 sessions of Technical Working Parties, including one session of the Working Group on Biochemical and Molecular Techniques, and DNA</w:t>
      </w:r>
      <w:r w:rsidRPr="00513371">
        <w:noBreakHyphen/>
        <w:t>Profiling in Particular (BMT), and their respective preparatory workshops.</w:t>
      </w:r>
    </w:p>
    <w:p w:rsidR="00421639" w:rsidRPr="00513371" w:rsidRDefault="00421639" w:rsidP="00421639">
      <w:pPr>
        <w:numPr>
          <w:ilvl w:val="0"/>
          <w:numId w:val="9"/>
        </w:numPr>
        <w:tabs>
          <w:tab w:val="clear" w:pos="720"/>
        </w:tabs>
        <w:spacing w:after="120"/>
        <w:ind w:left="1134" w:hanging="567"/>
      </w:pPr>
      <w:r w:rsidRPr="00513371">
        <w:t xml:space="preserve">Development of guidance and information materials, including </w:t>
      </w:r>
      <w:r w:rsidRPr="00513371">
        <w:rPr>
          <w:szCs w:val="24"/>
        </w:rPr>
        <w:t>Explanatory Notes and Information Documents</w:t>
      </w:r>
      <w:r w:rsidRPr="00513371">
        <w:t>, concerning the UPOV Convention.</w:t>
      </w:r>
    </w:p>
    <w:p w:rsidR="00421639" w:rsidRPr="00513371" w:rsidRDefault="00421639" w:rsidP="00421639">
      <w:pPr>
        <w:numPr>
          <w:ilvl w:val="0"/>
          <w:numId w:val="9"/>
        </w:numPr>
        <w:tabs>
          <w:tab w:val="clear" w:pos="720"/>
        </w:tabs>
        <w:spacing w:after="120"/>
        <w:ind w:left="1134" w:hanging="567"/>
      </w:pPr>
      <w:r w:rsidRPr="00513371">
        <w:t xml:space="preserve">Development and dissemination of information material for </w:t>
      </w:r>
      <w:r w:rsidRPr="00513371">
        <w:rPr>
          <w:bCs/>
          <w:szCs w:val="24"/>
        </w:rPr>
        <w:t xml:space="preserve">stakeholders, including breeders, </w:t>
      </w:r>
      <w:r>
        <w:rPr>
          <w:bCs/>
          <w:szCs w:val="24"/>
        </w:rPr>
        <w:t>seed and plant producers</w:t>
      </w:r>
      <w:r w:rsidRPr="00513371">
        <w:rPr>
          <w:bCs/>
          <w:szCs w:val="24"/>
        </w:rPr>
        <w:t xml:space="preserve"> and farmers.</w:t>
      </w:r>
    </w:p>
    <w:p w:rsidR="00421639" w:rsidRPr="00513371" w:rsidRDefault="00421639" w:rsidP="00421639">
      <w:pPr>
        <w:numPr>
          <w:ilvl w:val="0"/>
          <w:numId w:val="9"/>
        </w:numPr>
        <w:tabs>
          <w:tab w:val="clear" w:pos="720"/>
        </w:tabs>
        <w:spacing w:after="120"/>
        <w:ind w:left="1134" w:hanging="567"/>
      </w:pPr>
      <w:r w:rsidRPr="00513371">
        <w:t>Further development of guidance documents on the examination of Distinctness, Uniformity and Stability (“DUS”), including the “General Introduction to the Examination of Distinctness, Uniformity and Stability and the Development of Harmonized Descriptions of New Varieties of Plants” (General Introduction) and the associated Test Guidelines’ Procedures (TGP) documents.</w:t>
      </w:r>
    </w:p>
    <w:p w:rsidR="00421639" w:rsidRPr="00513371" w:rsidRDefault="00421639" w:rsidP="00421639">
      <w:pPr>
        <w:numPr>
          <w:ilvl w:val="0"/>
          <w:numId w:val="9"/>
        </w:numPr>
        <w:tabs>
          <w:tab w:val="clear" w:pos="720"/>
        </w:tabs>
        <w:spacing w:after="120"/>
        <w:ind w:left="1134" w:hanging="567"/>
      </w:pPr>
      <w:r w:rsidRPr="00513371">
        <w:t>Development of Test Guidelines.</w:t>
      </w:r>
    </w:p>
    <w:p w:rsidR="00421639" w:rsidRPr="00513371" w:rsidRDefault="00421639" w:rsidP="00421639">
      <w:pPr>
        <w:numPr>
          <w:ilvl w:val="0"/>
          <w:numId w:val="9"/>
        </w:numPr>
        <w:tabs>
          <w:tab w:val="clear" w:pos="720"/>
        </w:tabs>
        <w:spacing w:after="120"/>
        <w:ind w:left="1134" w:hanging="567"/>
      </w:pPr>
      <w:r w:rsidRPr="00513371">
        <w:t>Assessment of new methods for Distinctness, Uniformity and Stability (DUS) examination.</w:t>
      </w:r>
    </w:p>
    <w:p w:rsidR="00421639" w:rsidRPr="00513371" w:rsidRDefault="00421639" w:rsidP="00421639">
      <w:pPr>
        <w:numPr>
          <w:ilvl w:val="0"/>
          <w:numId w:val="9"/>
        </w:numPr>
        <w:tabs>
          <w:tab w:val="clear" w:pos="720"/>
        </w:tabs>
        <w:spacing w:after="120"/>
        <w:ind w:left="1134" w:hanging="567"/>
      </w:pPr>
      <w:r w:rsidRPr="00513371">
        <w:t xml:space="preserve">Consideration of the possible use of molecular markers in DUS testing and providing a forum for consideration of their use in variety identification and in </w:t>
      </w:r>
      <w:r w:rsidRPr="00513371">
        <w:rPr>
          <w:lang w:val="en-GB"/>
        </w:rPr>
        <w:t>essential derivation</w:t>
      </w:r>
      <w:r w:rsidRPr="00513371">
        <w:t>.</w:t>
      </w:r>
    </w:p>
    <w:p w:rsidR="00421639" w:rsidRPr="00513371" w:rsidRDefault="00421639" w:rsidP="00421639">
      <w:pPr>
        <w:keepLines/>
        <w:numPr>
          <w:ilvl w:val="0"/>
          <w:numId w:val="9"/>
        </w:numPr>
        <w:tabs>
          <w:tab w:val="clear" w:pos="720"/>
        </w:tabs>
        <w:spacing w:after="120"/>
        <w:ind w:left="1134" w:hanging="567"/>
      </w:pPr>
      <w:r w:rsidRPr="00513371">
        <w:t xml:space="preserve">Updating and further development of the </w:t>
      </w:r>
      <w:r w:rsidR="008E35A1">
        <w:t xml:space="preserve">PLUTO </w:t>
      </w:r>
      <w:r w:rsidRPr="00513371">
        <w:t>Plant Variety Database.</w:t>
      </w:r>
    </w:p>
    <w:p w:rsidR="00421639" w:rsidRPr="00513371" w:rsidRDefault="00421639" w:rsidP="00421639">
      <w:pPr>
        <w:keepLines/>
        <w:numPr>
          <w:ilvl w:val="0"/>
          <w:numId w:val="9"/>
        </w:numPr>
        <w:tabs>
          <w:tab w:val="clear" w:pos="720"/>
        </w:tabs>
        <w:spacing w:after="120"/>
        <w:ind w:left="1134" w:hanging="567"/>
      </w:pPr>
      <w:r w:rsidRPr="00513371">
        <w:t>Updating of the GENIE database.</w:t>
      </w:r>
    </w:p>
    <w:p w:rsidR="00421639" w:rsidRPr="00513371" w:rsidRDefault="00421639" w:rsidP="00421639">
      <w:pPr>
        <w:keepLines/>
        <w:numPr>
          <w:ilvl w:val="0"/>
          <w:numId w:val="9"/>
        </w:numPr>
        <w:tabs>
          <w:tab w:val="clear" w:pos="720"/>
        </w:tabs>
        <w:spacing w:after="120"/>
        <w:ind w:left="1134" w:hanging="567"/>
      </w:pPr>
      <w:r w:rsidRPr="00513371">
        <w:t xml:space="preserve">Maintenance of the UPOV </w:t>
      </w:r>
      <w:proofErr w:type="spellStart"/>
      <w:r w:rsidRPr="00513371">
        <w:t>Lex</w:t>
      </w:r>
      <w:proofErr w:type="spellEnd"/>
      <w:r w:rsidRPr="00513371">
        <w:t xml:space="preserve"> collection of legislation</w:t>
      </w:r>
      <w:r>
        <w:t xml:space="preserve"> and relevant notifications</w:t>
      </w:r>
      <w:r w:rsidRPr="00513371">
        <w:t>.</w:t>
      </w:r>
    </w:p>
    <w:p w:rsidR="00421639" w:rsidRPr="00513371" w:rsidRDefault="00421639" w:rsidP="00421639">
      <w:pPr>
        <w:keepLines/>
        <w:numPr>
          <w:ilvl w:val="0"/>
          <w:numId w:val="9"/>
        </w:numPr>
        <w:tabs>
          <w:tab w:val="clear" w:pos="720"/>
        </w:tabs>
        <w:spacing w:after="120"/>
        <w:ind w:left="1134" w:hanging="567"/>
      </w:pPr>
      <w:r w:rsidRPr="00513371">
        <w:t xml:space="preserve">Updating of </w:t>
      </w:r>
      <w:r>
        <w:t xml:space="preserve">the </w:t>
      </w:r>
      <w:r w:rsidRPr="00513371">
        <w:t>UPOV Collection.</w:t>
      </w:r>
    </w:p>
    <w:p w:rsidR="00421639" w:rsidRPr="00513371" w:rsidRDefault="00421639" w:rsidP="00421639">
      <w:pPr>
        <w:keepLines/>
        <w:numPr>
          <w:ilvl w:val="0"/>
          <w:numId w:val="9"/>
        </w:numPr>
        <w:tabs>
          <w:tab w:val="clear" w:pos="720"/>
        </w:tabs>
        <w:spacing w:after="120"/>
        <w:ind w:left="1134" w:hanging="567"/>
      </w:pPr>
      <w:r w:rsidRPr="00513371">
        <w:t xml:space="preserve">Development of </w:t>
      </w:r>
      <w:r>
        <w:t xml:space="preserve">an </w:t>
      </w:r>
      <w:r w:rsidRPr="00513371">
        <w:t>electronic application form</w:t>
      </w:r>
      <w:r>
        <w:t>.</w:t>
      </w:r>
    </w:p>
    <w:p w:rsidR="008E35A1" w:rsidRDefault="008E35A1" w:rsidP="00421639">
      <w:pPr>
        <w:numPr>
          <w:ilvl w:val="0"/>
          <w:numId w:val="9"/>
        </w:numPr>
        <w:tabs>
          <w:tab w:val="clear" w:pos="720"/>
        </w:tabs>
        <w:spacing w:after="120"/>
        <w:ind w:left="1134" w:hanging="567"/>
      </w:pPr>
      <w:r>
        <w:t>Further development of an electronic Test Guidelines template</w:t>
      </w:r>
    </w:p>
    <w:p w:rsidR="00421639" w:rsidRPr="00DD6106" w:rsidRDefault="00421639" w:rsidP="00421639">
      <w:pPr>
        <w:numPr>
          <w:ilvl w:val="0"/>
          <w:numId w:val="9"/>
        </w:numPr>
        <w:tabs>
          <w:tab w:val="clear" w:pos="720"/>
        </w:tabs>
        <w:spacing w:after="120"/>
        <w:ind w:left="1134" w:hanging="567"/>
      </w:pPr>
      <w:r w:rsidRPr="00DD6106">
        <w:t>Seminars or symposia on relevant topics in conjunction with UPOV sessions</w:t>
      </w:r>
      <w:r>
        <w:t>.</w:t>
      </w:r>
    </w:p>
    <w:p w:rsidR="00421639" w:rsidRPr="00DD6106" w:rsidRDefault="00421639" w:rsidP="00421639">
      <w:pPr>
        <w:numPr>
          <w:ilvl w:val="0"/>
          <w:numId w:val="9"/>
        </w:numPr>
        <w:tabs>
          <w:tab w:val="clear" w:pos="720"/>
        </w:tabs>
        <w:spacing w:after="120"/>
        <w:ind w:left="1134" w:hanging="567"/>
      </w:pPr>
      <w:r>
        <w:t>Maintenance and further development</w:t>
      </w:r>
      <w:r w:rsidRPr="00DD6106">
        <w:t xml:space="preserve"> of </w:t>
      </w:r>
      <w:r>
        <w:t xml:space="preserve">the </w:t>
      </w:r>
      <w:r w:rsidRPr="00DD6106">
        <w:t>UPOV website</w:t>
      </w:r>
      <w:r>
        <w:t xml:space="preserve"> and other communication media. </w:t>
      </w:r>
      <w:r w:rsidRPr="00DD6106">
        <w:t xml:space="preserve"> </w:t>
      </w:r>
    </w:p>
    <w:p w:rsidR="00421639" w:rsidRPr="00DD6106" w:rsidRDefault="00421639" w:rsidP="00421639">
      <w:pPr>
        <w:rPr>
          <w:b/>
          <w:color w:val="000000"/>
        </w:rPr>
      </w:pPr>
    </w:p>
    <w:p w:rsidR="00421639" w:rsidRPr="00DD6106" w:rsidRDefault="00421639" w:rsidP="00421639">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2.2.4</w:t>
      </w:r>
      <w:r w:rsidRPr="00DD6106">
        <w:rPr>
          <w:b/>
        </w:rPr>
        <w:tab/>
        <w:t>Expected Results and Performance Indicators</w:t>
      </w:r>
    </w:p>
    <w:p w:rsidR="00421639" w:rsidRPr="00DD6106" w:rsidRDefault="00421639" w:rsidP="00421639">
      <w:pPr>
        <w:keepNext/>
        <w:rPr>
          <w:b/>
          <w:color w:val="000000"/>
        </w:rPr>
      </w:pPr>
    </w:p>
    <w:tbl>
      <w:tblPr>
        <w:tblW w:w="9889" w:type="dxa"/>
        <w:tblInd w:w="-103" w:type="dxa"/>
        <w:tblLayout w:type="fixed"/>
        <w:tblCellMar>
          <w:left w:w="0" w:type="dxa"/>
          <w:right w:w="0" w:type="dxa"/>
        </w:tblCellMar>
        <w:tblLook w:val="0000" w:firstRow="0" w:lastRow="0" w:firstColumn="0" w:lastColumn="0" w:noHBand="0" w:noVBand="0"/>
      </w:tblPr>
      <w:tblGrid>
        <w:gridCol w:w="4643"/>
        <w:gridCol w:w="5246"/>
      </w:tblGrid>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widowControl w:val="0"/>
              <w:spacing w:before="120" w:after="120"/>
              <w:jc w:val="center"/>
              <w:rPr>
                <w:color w:val="000000"/>
                <w:u w:val="single"/>
              </w:rPr>
            </w:pPr>
            <w:r w:rsidRPr="00DD6106">
              <w:rPr>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widowControl w:val="0"/>
              <w:spacing w:before="120" w:after="120"/>
              <w:jc w:val="center"/>
              <w:rPr>
                <w:color w:val="000000"/>
                <w:u w:val="single"/>
              </w:rPr>
            </w:pPr>
            <w:r w:rsidRPr="00DD6106">
              <w:rPr>
                <w:color w:val="000000"/>
                <w:u w:val="single"/>
              </w:rPr>
              <w:t>Performance Indicators</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513371" w:rsidRDefault="00421639" w:rsidP="00DC35EC">
            <w:pPr>
              <w:keepNext/>
              <w:widowControl w:val="0"/>
              <w:spacing w:before="60" w:after="60"/>
              <w:ind w:left="108"/>
              <w:jc w:val="left"/>
              <w:rPr>
                <w:color w:val="000000"/>
              </w:rPr>
            </w:pPr>
            <w:r w:rsidRPr="00513371">
              <w:rPr>
                <w:color w:val="000000"/>
              </w:rPr>
              <w:t>1.</w:t>
            </w:r>
            <w:r w:rsidRPr="00513371">
              <w:rPr>
                <w:color w:val="000000"/>
              </w:rPr>
              <w:tab/>
              <w:t>Guidance on the UPOV Convention and its implementation and information on its application</w:t>
            </w:r>
          </w:p>
        </w:tc>
        <w:tc>
          <w:tcPr>
            <w:tcW w:w="5246" w:type="dxa"/>
            <w:tcBorders>
              <w:top w:val="single" w:sz="4" w:space="0" w:color="000000"/>
              <w:left w:val="single" w:sz="4" w:space="0" w:color="000000"/>
              <w:bottom w:val="single" w:sz="4" w:space="0" w:color="000000"/>
              <w:right w:val="single" w:sz="4" w:space="0" w:color="000000"/>
            </w:tcBorders>
          </w:tcPr>
          <w:p w:rsidR="00421639" w:rsidRPr="00513371" w:rsidRDefault="00421639" w:rsidP="00DC35EC">
            <w:pPr>
              <w:keepNext/>
              <w:widowControl w:val="0"/>
              <w:spacing w:before="60" w:after="60"/>
              <w:ind w:left="143"/>
              <w:jc w:val="left"/>
              <w:rPr>
                <w:color w:val="000000"/>
              </w:rPr>
            </w:pPr>
            <w:r w:rsidRPr="00513371">
              <w:rPr>
                <w:color w:val="000000"/>
              </w:rPr>
              <w:t>(a)</w:t>
            </w:r>
            <w:r w:rsidRPr="00513371">
              <w:rPr>
                <w:color w:val="000000"/>
              </w:rPr>
              <w:tab/>
              <w:t>adoption of new or revised information materials concerning the UPOV Convention;</w:t>
            </w:r>
          </w:p>
          <w:p w:rsidR="00421639" w:rsidRPr="00513371" w:rsidRDefault="00421639" w:rsidP="00DC35EC">
            <w:pPr>
              <w:keepNext/>
              <w:widowControl w:val="0"/>
              <w:spacing w:before="60" w:after="60"/>
              <w:ind w:left="143"/>
              <w:jc w:val="left"/>
              <w:rPr>
                <w:color w:val="000000"/>
              </w:rPr>
            </w:pPr>
            <w:r w:rsidRPr="00513371">
              <w:rPr>
                <w:color w:val="000000"/>
              </w:rPr>
              <w:t>(b)</w:t>
            </w:r>
            <w:r w:rsidRPr="00513371">
              <w:rPr>
                <w:color w:val="000000"/>
              </w:rPr>
              <w:tab/>
              <w:t xml:space="preserve">development and dissemination of information material for stakeholders, including breeders, </w:t>
            </w:r>
            <w:r>
              <w:rPr>
                <w:color w:val="000000"/>
              </w:rPr>
              <w:t>seed and plant producers</w:t>
            </w:r>
            <w:r w:rsidRPr="00513371">
              <w:rPr>
                <w:color w:val="000000"/>
              </w:rPr>
              <w:t xml:space="preserve"> and farmers</w:t>
            </w:r>
            <w:r>
              <w:rPr>
                <w:color w:val="000000"/>
              </w:rPr>
              <w:t>;</w:t>
            </w:r>
          </w:p>
          <w:p w:rsidR="00421639" w:rsidRPr="00513371" w:rsidRDefault="00421639" w:rsidP="00DC35EC">
            <w:pPr>
              <w:keepNext/>
              <w:widowControl w:val="0"/>
              <w:spacing w:before="60" w:after="60"/>
              <w:ind w:left="143"/>
              <w:jc w:val="left"/>
              <w:rPr>
                <w:color w:val="000000"/>
              </w:rPr>
            </w:pPr>
            <w:r w:rsidRPr="00513371">
              <w:rPr>
                <w:color w:val="000000"/>
              </w:rPr>
              <w:t>(</w:t>
            </w:r>
            <w:r>
              <w:rPr>
                <w:color w:val="000000"/>
              </w:rPr>
              <w:t>c</w:t>
            </w:r>
            <w:r w:rsidRPr="00513371">
              <w:rPr>
                <w:color w:val="000000"/>
              </w:rPr>
              <w:t>)</w:t>
            </w:r>
            <w:r w:rsidRPr="00513371">
              <w:rPr>
                <w:color w:val="000000"/>
              </w:rPr>
              <w:tab/>
              <w:t>publication of the UPOV Gazette and Newsletter;</w:t>
            </w:r>
          </w:p>
          <w:p w:rsidR="00421639" w:rsidRPr="00513371" w:rsidRDefault="00421639" w:rsidP="00DC35EC">
            <w:pPr>
              <w:keepNext/>
              <w:widowControl w:val="0"/>
              <w:spacing w:before="60" w:after="60"/>
              <w:ind w:left="143"/>
              <w:jc w:val="left"/>
              <w:rPr>
                <w:color w:val="000000"/>
              </w:rPr>
            </w:pPr>
            <w:r>
              <w:rPr>
                <w:color w:val="000000"/>
              </w:rPr>
              <w:t>(d</w:t>
            </w:r>
            <w:r w:rsidRPr="00513371">
              <w:rPr>
                <w:color w:val="000000"/>
              </w:rPr>
              <w:t>)</w:t>
            </w:r>
            <w:r w:rsidRPr="00513371">
              <w:rPr>
                <w:color w:val="000000"/>
              </w:rPr>
              <w:tab/>
              <w:t>inclusion of laws</w:t>
            </w:r>
            <w:r>
              <w:rPr>
                <w:color w:val="000000"/>
              </w:rPr>
              <w:t xml:space="preserve"> and relevant notifications</w:t>
            </w:r>
            <w:r w:rsidRPr="00513371">
              <w:rPr>
                <w:color w:val="000000"/>
              </w:rPr>
              <w:t xml:space="preserve"> of members of the </w:t>
            </w:r>
            <w:smartTag w:uri="urn:schemas-microsoft-com:office:smarttags" w:element="place">
              <w:r w:rsidRPr="00513371">
                <w:rPr>
                  <w:color w:val="000000"/>
                </w:rPr>
                <w:t>Union</w:t>
              </w:r>
            </w:smartTag>
            <w:r w:rsidRPr="00513371">
              <w:rPr>
                <w:color w:val="000000"/>
              </w:rPr>
              <w:t xml:space="preserve"> in UPOV </w:t>
            </w:r>
            <w:proofErr w:type="spellStart"/>
            <w:r w:rsidRPr="00513371">
              <w:rPr>
                <w:color w:val="000000"/>
              </w:rPr>
              <w:t>Lex</w:t>
            </w:r>
            <w:proofErr w:type="spellEnd"/>
            <w:r w:rsidRPr="00513371">
              <w:rPr>
                <w:color w:val="000000"/>
              </w:rPr>
              <w:t>;</w:t>
            </w:r>
          </w:p>
          <w:p w:rsidR="00421639" w:rsidRPr="00513371" w:rsidRDefault="00421639" w:rsidP="00DC35EC">
            <w:pPr>
              <w:keepNext/>
              <w:widowControl w:val="0"/>
              <w:spacing w:before="60" w:after="60"/>
              <w:ind w:left="143"/>
              <w:jc w:val="left"/>
              <w:rPr>
                <w:color w:val="000000"/>
              </w:rPr>
            </w:pPr>
            <w:r>
              <w:rPr>
                <w:color w:val="000000"/>
              </w:rPr>
              <w:t>(e</w:t>
            </w:r>
            <w:r w:rsidRPr="00513371">
              <w:rPr>
                <w:color w:val="000000"/>
              </w:rPr>
              <w:t>)</w:t>
            </w:r>
            <w:r w:rsidRPr="00513371">
              <w:rPr>
                <w:color w:val="000000"/>
              </w:rPr>
              <w:tab/>
              <w:t xml:space="preserve">participation in seminars and symposia held in </w:t>
            </w:r>
            <w:smartTag w:uri="urn:schemas-microsoft-com:office:smarttags" w:element="place">
              <w:smartTag w:uri="urn:schemas-microsoft-com:office:smarttags" w:element="City">
                <w:r w:rsidRPr="00513371">
                  <w:rPr>
                    <w:color w:val="000000"/>
                  </w:rPr>
                  <w:t>Geneva</w:t>
                </w:r>
              </w:smartTag>
            </w:smartTag>
            <w:r w:rsidRPr="00513371">
              <w:rPr>
                <w:color w:val="000000"/>
              </w:rPr>
              <w:t xml:space="preserve"> in conjunction with UPOV sessions.</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513371" w:rsidRDefault="00421639" w:rsidP="00DC35EC">
            <w:pPr>
              <w:widowControl w:val="0"/>
              <w:spacing w:before="60" w:after="60"/>
              <w:ind w:left="108"/>
              <w:jc w:val="left"/>
              <w:rPr>
                <w:color w:val="000000"/>
              </w:rPr>
            </w:pPr>
            <w:r w:rsidRPr="00513371">
              <w:rPr>
                <w:color w:val="000000"/>
              </w:rPr>
              <w:t>2.</w:t>
            </w:r>
            <w:r w:rsidRPr="00513371">
              <w:rPr>
                <w:color w:val="000000"/>
              </w:rPr>
              <w:tab/>
              <w:t>Guidance on the examination of varieties</w:t>
            </w:r>
          </w:p>
        </w:tc>
        <w:tc>
          <w:tcPr>
            <w:tcW w:w="5246" w:type="dxa"/>
            <w:tcBorders>
              <w:top w:val="single" w:sz="4" w:space="0" w:color="000000"/>
              <w:left w:val="single" w:sz="4" w:space="0" w:color="000000"/>
              <w:bottom w:val="single" w:sz="4" w:space="0" w:color="000000"/>
              <w:right w:val="single" w:sz="4" w:space="0" w:color="000000"/>
            </w:tcBorders>
          </w:tcPr>
          <w:p w:rsidR="00421639" w:rsidRPr="00513371" w:rsidRDefault="00421639" w:rsidP="00DC35EC">
            <w:pPr>
              <w:widowControl w:val="0"/>
              <w:spacing w:before="60" w:after="60"/>
              <w:ind w:left="143"/>
              <w:jc w:val="left"/>
              <w:rPr>
                <w:color w:val="000000"/>
              </w:rPr>
            </w:pPr>
            <w:r w:rsidRPr="00513371">
              <w:rPr>
                <w:color w:val="000000"/>
              </w:rPr>
              <w:t>(a)</w:t>
            </w:r>
            <w:r w:rsidRPr="00513371">
              <w:rPr>
                <w:color w:val="000000"/>
              </w:rPr>
              <w:tab/>
              <w:t>adoption of new or revised TGP documents and information materials;</w:t>
            </w:r>
          </w:p>
          <w:p w:rsidR="00421639" w:rsidRPr="00513371" w:rsidRDefault="00421639" w:rsidP="00DC35EC">
            <w:pPr>
              <w:widowControl w:val="0"/>
              <w:spacing w:before="60" w:after="60"/>
              <w:ind w:left="143"/>
              <w:jc w:val="left"/>
              <w:rPr>
                <w:color w:val="000000"/>
              </w:rPr>
            </w:pPr>
            <w:r w:rsidRPr="00513371">
              <w:rPr>
                <w:color w:val="000000"/>
              </w:rPr>
              <w:t>(b)</w:t>
            </w:r>
            <w:r w:rsidRPr="00513371">
              <w:rPr>
                <w:color w:val="000000"/>
              </w:rPr>
              <w:tab/>
              <w:t>adoption of new or revised Test Guidelines;</w:t>
            </w:r>
          </w:p>
          <w:p w:rsidR="00421639" w:rsidRPr="00513371" w:rsidRDefault="00421639" w:rsidP="00DC35EC">
            <w:pPr>
              <w:widowControl w:val="0"/>
              <w:spacing w:before="60" w:after="60"/>
              <w:ind w:left="143"/>
              <w:jc w:val="left"/>
              <w:rPr>
                <w:color w:val="000000"/>
              </w:rPr>
            </w:pPr>
            <w:r w:rsidRPr="00513371">
              <w:rPr>
                <w:color w:val="000000"/>
              </w:rPr>
              <w:t>(c)</w:t>
            </w:r>
            <w:r w:rsidRPr="00513371">
              <w:rPr>
                <w:color w:val="000000"/>
              </w:rPr>
              <w:tab/>
              <w:t>number of appli</w:t>
            </w:r>
            <w:r>
              <w:rPr>
                <w:color w:val="000000"/>
              </w:rPr>
              <w:t>cations covered by adopted Test </w:t>
            </w:r>
            <w:r w:rsidRPr="00513371">
              <w:rPr>
                <w:color w:val="000000"/>
              </w:rPr>
              <w:t>Guidelines</w:t>
            </w:r>
            <w:r>
              <w:rPr>
                <w:color w:val="000000"/>
              </w:rPr>
              <w:t>;</w:t>
            </w:r>
          </w:p>
          <w:p w:rsidR="00421639" w:rsidRPr="00513371" w:rsidRDefault="00421639" w:rsidP="00DC35EC">
            <w:pPr>
              <w:widowControl w:val="0"/>
              <w:spacing w:before="60" w:after="60"/>
              <w:ind w:left="143"/>
              <w:jc w:val="left"/>
              <w:rPr>
                <w:color w:val="000000"/>
              </w:rPr>
            </w:pPr>
            <w:r>
              <w:rPr>
                <w:color w:val="000000"/>
              </w:rPr>
              <w:t>(d</w:t>
            </w:r>
            <w:r w:rsidRPr="00513371">
              <w:rPr>
                <w:color w:val="000000"/>
              </w:rPr>
              <w:t>)</w:t>
            </w:r>
            <w:r w:rsidRPr="00513371">
              <w:rPr>
                <w:color w:val="000000"/>
              </w:rPr>
              <w:tab/>
              <w:t xml:space="preserve">participation in seminars and symposia held in </w:t>
            </w:r>
            <w:smartTag w:uri="urn:schemas-microsoft-com:office:smarttags" w:element="place">
              <w:smartTag w:uri="urn:schemas-microsoft-com:office:smarttags" w:element="City">
                <w:r w:rsidRPr="00513371">
                  <w:rPr>
                    <w:color w:val="000000"/>
                  </w:rPr>
                  <w:t>Geneva</w:t>
                </w:r>
              </w:smartTag>
            </w:smartTag>
            <w:r w:rsidRPr="00513371">
              <w:rPr>
                <w:color w:val="000000"/>
              </w:rPr>
              <w:t xml:space="preserve"> in conjunction with UPOV sessions.</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widowControl w:val="0"/>
              <w:spacing w:before="60" w:after="60"/>
              <w:ind w:left="108"/>
              <w:jc w:val="left"/>
              <w:rPr>
                <w:color w:val="000000"/>
              </w:rPr>
            </w:pPr>
            <w:r w:rsidRPr="00DD6106">
              <w:rPr>
                <w:color w:val="000000"/>
              </w:rPr>
              <w:t>3.</w:t>
            </w:r>
            <w:r w:rsidRPr="00DD6106">
              <w:rPr>
                <w:color w:val="000000"/>
              </w:rPr>
              <w:tab/>
              <w:t>Cooperation for the examination of plant breeders’ rights</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widowControl w:val="0"/>
              <w:spacing w:before="60" w:after="60"/>
              <w:ind w:left="143"/>
              <w:jc w:val="left"/>
              <w:rPr>
                <w:color w:val="000000"/>
              </w:rPr>
            </w:pPr>
            <w:r w:rsidRPr="00DD6106">
              <w:rPr>
                <w:color w:val="000000"/>
              </w:rPr>
              <w:t>(a)</w:t>
            </w:r>
            <w:r w:rsidRPr="00DD6106">
              <w:rPr>
                <w:color w:val="000000"/>
              </w:rPr>
              <w:tab/>
              <w:t>plant genera and species for which members of the</w:t>
            </w:r>
            <w:r>
              <w:rPr>
                <w:color w:val="000000"/>
              </w:rPr>
              <w:t> </w:t>
            </w:r>
            <w:smartTag w:uri="urn:schemas-microsoft-com:office:smarttags" w:element="place">
              <w:r w:rsidRPr="00DD6106">
                <w:rPr>
                  <w:color w:val="000000"/>
                </w:rPr>
                <w:t>Union</w:t>
              </w:r>
            </w:smartTag>
            <w:r w:rsidRPr="00DD6106">
              <w:rPr>
                <w:color w:val="000000"/>
              </w:rPr>
              <w:t xml:space="preserve"> have practical experience;</w:t>
            </w:r>
          </w:p>
          <w:p w:rsidR="00421639" w:rsidRPr="00DD6106" w:rsidRDefault="00421639" w:rsidP="00DC35EC">
            <w:pPr>
              <w:widowControl w:val="0"/>
              <w:spacing w:before="60" w:after="60"/>
              <w:ind w:left="143"/>
              <w:jc w:val="left"/>
              <w:rPr>
                <w:color w:val="000000"/>
              </w:rPr>
            </w:pPr>
            <w:r w:rsidRPr="00DD6106">
              <w:rPr>
                <w:color w:val="000000"/>
              </w:rPr>
              <w:t>(b)</w:t>
            </w:r>
            <w:r w:rsidRPr="00DD6106">
              <w:rPr>
                <w:color w:val="000000"/>
              </w:rPr>
              <w:tab/>
              <w:t>plant genera and species for which members of the</w:t>
            </w:r>
            <w:r>
              <w:rPr>
                <w:color w:val="000000"/>
              </w:rPr>
              <w:t> </w:t>
            </w:r>
            <w:smartTag w:uri="urn:schemas-microsoft-com:office:smarttags" w:element="place">
              <w:r w:rsidRPr="00DD6106">
                <w:rPr>
                  <w:color w:val="000000"/>
                </w:rPr>
                <w:t>Uni</w:t>
              </w:r>
              <w:r>
                <w:rPr>
                  <w:color w:val="000000"/>
                </w:rPr>
                <w:t>on</w:t>
              </w:r>
            </w:smartTag>
            <w:r>
              <w:rPr>
                <w:color w:val="000000"/>
              </w:rPr>
              <w:t xml:space="preserve"> cooperate in DUS examination</w:t>
            </w:r>
            <w:r w:rsidRPr="00DD6106">
              <w:rPr>
                <w:color w:val="000000"/>
              </w:rPr>
              <w:t>;</w:t>
            </w:r>
          </w:p>
          <w:p w:rsidR="00421639" w:rsidRPr="00DD6106" w:rsidRDefault="00421639" w:rsidP="00DC35EC">
            <w:pPr>
              <w:widowControl w:val="0"/>
              <w:spacing w:before="60" w:after="60"/>
              <w:ind w:left="143"/>
              <w:jc w:val="left"/>
              <w:rPr>
                <w:color w:val="000000"/>
              </w:rPr>
            </w:pPr>
            <w:r w:rsidRPr="00DD6106">
              <w:rPr>
                <w:color w:val="000000"/>
              </w:rPr>
              <w:t>(c)</w:t>
            </w:r>
            <w:r w:rsidRPr="00DD6106">
              <w:rPr>
                <w:color w:val="000000"/>
              </w:rPr>
              <w:tab/>
              <w:t xml:space="preserve">participation in the development of Test Guidelines; </w:t>
            </w:r>
          </w:p>
          <w:p w:rsidR="005B0934" w:rsidRDefault="005B0934" w:rsidP="00DC35EC">
            <w:pPr>
              <w:widowControl w:val="0"/>
              <w:spacing w:before="60" w:after="60"/>
              <w:ind w:left="143"/>
              <w:jc w:val="left"/>
              <w:rPr>
                <w:color w:val="000000"/>
              </w:rPr>
            </w:pPr>
            <w:r>
              <w:rPr>
                <w:color w:val="000000"/>
              </w:rPr>
              <w:t>(d)</w:t>
            </w:r>
            <w:r>
              <w:rPr>
                <w:color w:val="000000"/>
              </w:rPr>
              <w:tab/>
              <w:t>use of the electronic Test Guidelines template</w:t>
            </w:r>
          </w:p>
          <w:p w:rsidR="00421639" w:rsidRPr="00DD6106" w:rsidRDefault="00421639" w:rsidP="00DC35EC">
            <w:pPr>
              <w:widowControl w:val="0"/>
              <w:spacing w:before="60" w:after="60"/>
              <w:ind w:left="143"/>
              <w:jc w:val="left"/>
              <w:rPr>
                <w:color w:val="000000"/>
              </w:rPr>
            </w:pPr>
            <w:r w:rsidRPr="00DD6106">
              <w:rPr>
                <w:color w:val="000000"/>
              </w:rPr>
              <w:t>(</w:t>
            </w:r>
            <w:r w:rsidR="005B0934">
              <w:rPr>
                <w:color w:val="000000"/>
              </w:rPr>
              <w:t>e</w:t>
            </w:r>
            <w:r w:rsidRPr="00DD6106">
              <w:rPr>
                <w:color w:val="000000"/>
              </w:rPr>
              <w:t>)</w:t>
            </w:r>
            <w:r w:rsidRPr="00DD6106">
              <w:rPr>
                <w:color w:val="000000"/>
              </w:rPr>
              <w:tab/>
              <w:t>quality and completeness of data in the Plant Variety Database a</w:t>
            </w:r>
            <w:r>
              <w:rPr>
                <w:color w:val="000000"/>
              </w:rPr>
              <w:t>nd quality of search facility</w:t>
            </w:r>
            <w:r w:rsidRPr="00DD6106">
              <w:rPr>
                <w:color w:val="000000"/>
              </w:rPr>
              <w:t xml:space="preserve"> and facilities for access to other relevant data;</w:t>
            </w:r>
          </w:p>
          <w:p w:rsidR="00421639" w:rsidRPr="00DD6106" w:rsidRDefault="00421639" w:rsidP="005B0934">
            <w:pPr>
              <w:widowControl w:val="0"/>
              <w:spacing w:before="60" w:after="60"/>
              <w:ind w:left="143"/>
              <w:jc w:val="left"/>
              <w:rPr>
                <w:color w:val="000000"/>
              </w:rPr>
            </w:pPr>
            <w:r w:rsidRPr="00DD6106">
              <w:rPr>
                <w:color w:val="000000"/>
              </w:rPr>
              <w:t>(</w:t>
            </w:r>
            <w:r w:rsidR="005B0934">
              <w:rPr>
                <w:color w:val="000000"/>
              </w:rPr>
              <w:t>f</w:t>
            </w:r>
            <w:r w:rsidRPr="00DD6106">
              <w:rPr>
                <w:color w:val="000000"/>
              </w:rPr>
              <w:t>)</w:t>
            </w:r>
            <w:r w:rsidRPr="00DD6106">
              <w:rPr>
                <w:color w:val="000000"/>
              </w:rPr>
              <w:tab/>
              <w:t>exchangeable software included in document UPOV/INF/16 “Exchangeable Software”.</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widowControl w:val="0"/>
              <w:spacing w:before="60" w:after="60"/>
              <w:ind w:left="108"/>
              <w:jc w:val="left"/>
              <w:rPr>
                <w:color w:val="000000"/>
              </w:rPr>
            </w:pPr>
            <w:r w:rsidRPr="00DD6106">
              <w:rPr>
                <w:color w:val="000000"/>
              </w:rPr>
              <w:t>4.</w:t>
            </w:r>
            <w:r w:rsidRPr="00DD6106">
              <w:rPr>
                <w:color w:val="000000"/>
              </w:rPr>
              <w:tab/>
              <w:t xml:space="preserve">Participation by members of the </w:t>
            </w:r>
            <w:smartTag w:uri="urn:schemas-microsoft-com:office:smarttags" w:element="place">
              <w:r w:rsidRPr="00DD6106">
                <w:rPr>
                  <w:color w:val="000000"/>
                </w:rPr>
                <w:t>Union</w:t>
              </w:r>
            </w:smartTag>
            <w:r w:rsidRPr="00DD6106">
              <w:rPr>
                <w:color w:val="000000"/>
              </w:rPr>
              <w:t xml:space="preserve"> and </w:t>
            </w:r>
            <w:r>
              <w:rPr>
                <w:color w:val="000000"/>
              </w:rPr>
              <w:t>observers</w:t>
            </w:r>
            <w:r w:rsidRPr="00DD6106">
              <w:rPr>
                <w:color w:val="000000"/>
              </w:rPr>
              <w:t xml:space="preserve"> in the work of the UPOV bodies </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widowControl w:val="0"/>
              <w:spacing w:before="60" w:after="60"/>
              <w:ind w:left="143"/>
              <w:jc w:val="left"/>
              <w:rPr>
                <w:color w:val="000000"/>
              </w:rPr>
            </w:pPr>
            <w:r w:rsidRPr="00DD6106">
              <w:rPr>
                <w:color w:val="000000"/>
              </w:rPr>
              <w:t>(a)</w:t>
            </w:r>
            <w:r w:rsidRPr="00DD6106">
              <w:rPr>
                <w:color w:val="000000"/>
              </w:rPr>
              <w:tab/>
              <w:t>participation in the Administrative and Legal Committee, Technical Committee and Technical Working Parties and associated preparatory workshops.</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widowControl w:val="0"/>
              <w:spacing w:before="60" w:after="60"/>
              <w:ind w:left="108"/>
              <w:jc w:val="left"/>
              <w:rPr>
                <w:color w:val="000000"/>
              </w:rPr>
            </w:pPr>
            <w:r w:rsidRPr="00DD6106">
              <w:rPr>
                <w:color w:val="000000"/>
              </w:rPr>
              <w:t>5.</w:t>
            </w:r>
            <w:r w:rsidRPr="00DD6106">
              <w:rPr>
                <w:color w:val="000000"/>
              </w:rPr>
              <w:tab/>
              <w:t>UPOV documents and materials in additional languages</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widowControl w:val="0"/>
              <w:spacing w:before="60" w:after="60"/>
              <w:ind w:left="143"/>
              <w:jc w:val="left"/>
              <w:rPr>
                <w:color w:val="000000"/>
              </w:rPr>
            </w:pPr>
            <w:r w:rsidRPr="00DD6106">
              <w:rPr>
                <w:color w:val="000000"/>
              </w:rPr>
              <w:t>(a)</w:t>
            </w:r>
            <w:r w:rsidRPr="00DD6106">
              <w:rPr>
                <w:color w:val="000000"/>
              </w:rPr>
              <w:tab/>
              <w:t>availability of UPOV documents and materials in languages other than the UPOV languages (English, French, German and Spanish).</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513371" w:rsidRDefault="00421639" w:rsidP="00DC35EC">
            <w:pPr>
              <w:widowControl w:val="0"/>
              <w:spacing w:before="60" w:after="60"/>
              <w:ind w:left="108"/>
              <w:jc w:val="left"/>
              <w:rPr>
                <w:color w:val="000000"/>
              </w:rPr>
            </w:pPr>
            <w:r w:rsidRPr="00513371">
              <w:rPr>
                <w:color w:val="000000"/>
              </w:rPr>
              <w:t>6.</w:t>
            </w:r>
            <w:r w:rsidRPr="00513371">
              <w:rPr>
                <w:color w:val="000000"/>
              </w:rPr>
              <w:tab/>
              <w:t xml:space="preserve">Facilitating applications for plant breeders’ rights </w:t>
            </w:r>
          </w:p>
        </w:tc>
        <w:tc>
          <w:tcPr>
            <w:tcW w:w="5246" w:type="dxa"/>
            <w:tcBorders>
              <w:top w:val="single" w:sz="4" w:space="0" w:color="000000"/>
              <w:left w:val="single" w:sz="4" w:space="0" w:color="000000"/>
              <w:bottom w:val="single" w:sz="4" w:space="0" w:color="000000"/>
              <w:right w:val="single" w:sz="4" w:space="0" w:color="000000"/>
            </w:tcBorders>
          </w:tcPr>
          <w:p w:rsidR="00421639" w:rsidRPr="00513371" w:rsidRDefault="00421639" w:rsidP="00DC35EC">
            <w:pPr>
              <w:widowControl w:val="0"/>
              <w:spacing w:before="60" w:after="60"/>
              <w:ind w:left="143"/>
              <w:jc w:val="left"/>
              <w:rPr>
                <w:color w:val="000000"/>
              </w:rPr>
            </w:pPr>
            <w:r w:rsidRPr="00513371">
              <w:rPr>
                <w:color w:val="000000"/>
              </w:rPr>
              <w:t>(a)</w:t>
            </w:r>
            <w:r w:rsidRPr="00513371">
              <w:rPr>
                <w:color w:val="000000"/>
              </w:rPr>
              <w:tab/>
              <w:t>number of titles granted;</w:t>
            </w:r>
          </w:p>
          <w:p w:rsidR="00421639" w:rsidRPr="00513371" w:rsidRDefault="00421639" w:rsidP="00DC35EC">
            <w:pPr>
              <w:widowControl w:val="0"/>
              <w:spacing w:before="60" w:after="60"/>
              <w:ind w:left="143"/>
              <w:jc w:val="left"/>
              <w:rPr>
                <w:color w:val="000000"/>
              </w:rPr>
            </w:pPr>
            <w:r w:rsidRPr="00513371">
              <w:rPr>
                <w:color w:val="000000"/>
              </w:rPr>
              <w:t>(b)</w:t>
            </w:r>
            <w:r w:rsidRPr="00513371">
              <w:rPr>
                <w:color w:val="000000"/>
              </w:rPr>
              <w:tab/>
              <w:t>number of titles in force;</w:t>
            </w:r>
          </w:p>
          <w:p w:rsidR="00421639" w:rsidRPr="00513371" w:rsidRDefault="00421639" w:rsidP="00DC35EC">
            <w:pPr>
              <w:widowControl w:val="0"/>
              <w:spacing w:before="60" w:after="60"/>
              <w:ind w:left="143"/>
              <w:jc w:val="left"/>
              <w:rPr>
                <w:color w:val="000000"/>
              </w:rPr>
            </w:pPr>
            <w:r w:rsidRPr="00513371">
              <w:rPr>
                <w:color w:val="000000"/>
              </w:rPr>
              <w:t>(c)</w:t>
            </w:r>
            <w:r w:rsidRPr="00513371">
              <w:rPr>
                <w:color w:val="000000"/>
              </w:rPr>
              <w:tab/>
              <w:t xml:space="preserve">number of genera/species protected by members of the </w:t>
            </w:r>
            <w:smartTag w:uri="urn:schemas-microsoft-com:office:smarttags" w:element="place">
              <w:r w:rsidRPr="00513371">
                <w:rPr>
                  <w:color w:val="000000"/>
                </w:rPr>
                <w:t>Union</w:t>
              </w:r>
            </w:smartTag>
            <w:r w:rsidRPr="00513371">
              <w:rPr>
                <w:color w:val="000000"/>
              </w:rPr>
              <w:t>;</w:t>
            </w:r>
          </w:p>
          <w:p w:rsidR="00421639" w:rsidRPr="00513371" w:rsidRDefault="00421639" w:rsidP="00DC35EC">
            <w:pPr>
              <w:widowControl w:val="0"/>
              <w:spacing w:before="60" w:after="60"/>
              <w:ind w:left="143"/>
              <w:jc w:val="left"/>
              <w:rPr>
                <w:color w:val="000000"/>
              </w:rPr>
            </w:pPr>
            <w:r w:rsidRPr="00513371">
              <w:rPr>
                <w:color w:val="000000"/>
              </w:rPr>
              <w:t>(d)</w:t>
            </w:r>
            <w:r w:rsidRPr="00513371">
              <w:rPr>
                <w:color w:val="000000"/>
              </w:rPr>
              <w:tab/>
              <w:t xml:space="preserve">number of genera/species for which varieties have been protected; </w:t>
            </w:r>
          </w:p>
          <w:p w:rsidR="00421639" w:rsidRPr="00513371" w:rsidRDefault="00421639" w:rsidP="00DC35EC">
            <w:pPr>
              <w:widowControl w:val="0"/>
              <w:spacing w:before="60" w:after="60"/>
              <w:ind w:left="143"/>
              <w:jc w:val="left"/>
              <w:rPr>
                <w:color w:val="000000"/>
              </w:rPr>
            </w:pPr>
            <w:r w:rsidRPr="00513371">
              <w:rPr>
                <w:color w:val="000000"/>
              </w:rPr>
              <w:t>(e)</w:t>
            </w:r>
            <w:r w:rsidRPr="00513371">
              <w:rPr>
                <w:color w:val="000000"/>
              </w:rPr>
              <w:tab/>
              <w:t xml:space="preserve">use by members of the </w:t>
            </w:r>
            <w:smartTag w:uri="urn:schemas-microsoft-com:office:smarttags" w:element="place">
              <w:r w:rsidRPr="00513371">
                <w:rPr>
                  <w:color w:val="000000"/>
                </w:rPr>
                <w:t>Union</w:t>
              </w:r>
            </w:smartTag>
            <w:r w:rsidRPr="00513371">
              <w:rPr>
                <w:color w:val="000000"/>
              </w:rPr>
              <w:t xml:space="preserve"> of standard UPOV references in application forms;</w:t>
            </w:r>
          </w:p>
          <w:p w:rsidR="00421639" w:rsidRPr="00513371" w:rsidRDefault="00421639" w:rsidP="00DC35EC">
            <w:pPr>
              <w:widowControl w:val="0"/>
              <w:spacing w:before="60" w:after="60"/>
              <w:ind w:left="143"/>
              <w:jc w:val="left"/>
              <w:rPr>
                <w:color w:val="000000"/>
              </w:rPr>
            </w:pPr>
            <w:r w:rsidRPr="00513371">
              <w:rPr>
                <w:color w:val="000000"/>
              </w:rPr>
              <w:t>(f)</w:t>
            </w:r>
            <w:r w:rsidRPr="00513371">
              <w:rPr>
                <w:color w:val="000000"/>
              </w:rPr>
              <w:tab/>
            </w:r>
            <w:r w:rsidRPr="00513371">
              <w:t xml:space="preserve">development of </w:t>
            </w:r>
            <w:r>
              <w:t xml:space="preserve">an </w:t>
            </w:r>
            <w:r w:rsidRPr="00513371">
              <w:t>electronic application form</w:t>
            </w:r>
            <w:r w:rsidRPr="00513371">
              <w:rPr>
                <w:color w:val="000000"/>
              </w:rPr>
              <w:t>.</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513371" w:rsidRDefault="00421639" w:rsidP="00DC35EC">
            <w:pPr>
              <w:widowControl w:val="0"/>
              <w:spacing w:before="60" w:after="60"/>
              <w:ind w:left="108"/>
              <w:jc w:val="left"/>
              <w:rPr>
                <w:color w:val="000000"/>
              </w:rPr>
            </w:pPr>
            <w:r w:rsidRPr="00513371">
              <w:rPr>
                <w:color w:val="000000"/>
              </w:rPr>
              <w:t>7.</w:t>
            </w:r>
            <w:r w:rsidRPr="00513371">
              <w:rPr>
                <w:color w:val="000000"/>
              </w:rPr>
              <w:tab/>
              <w:t xml:space="preserve">Provision of information on the UPOV Convention for stakeholders including breeders, </w:t>
            </w:r>
            <w:r>
              <w:rPr>
                <w:bCs/>
                <w:szCs w:val="24"/>
              </w:rPr>
              <w:t>seed and plant producers</w:t>
            </w:r>
            <w:r w:rsidRPr="00513371">
              <w:rPr>
                <w:color w:val="000000"/>
              </w:rPr>
              <w:t xml:space="preserve"> and farmers</w:t>
            </w:r>
          </w:p>
        </w:tc>
        <w:tc>
          <w:tcPr>
            <w:tcW w:w="5246" w:type="dxa"/>
            <w:tcBorders>
              <w:top w:val="single" w:sz="4" w:space="0" w:color="000000"/>
              <w:left w:val="single" w:sz="4" w:space="0" w:color="000000"/>
              <w:bottom w:val="single" w:sz="4" w:space="0" w:color="000000"/>
              <w:right w:val="single" w:sz="4" w:space="0" w:color="000000"/>
            </w:tcBorders>
          </w:tcPr>
          <w:p w:rsidR="00421639" w:rsidRPr="00513371" w:rsidRDefault="00421639" w:rsidP="00DC35EC">
            <w:pPr>
              <w:widowControl w:val="0"/>
              <w:spacing w:before="60" w:after="60"/>
              <w:ind w:left="143"/>
              <w:jc w:val="left"/>
              <w:rPr>
                <w:color w:val="000000"/>
              </w:rPr>
            </w:pPr>
            <w:r w:rsidRPr="00513371">
              <w:rPr>
                <w:color w:val="000000"/>
              </w:rPr>
              <w:t>(a)</w:t>
            </w:r>
            <w:r w:rsidRPr="00513371">
              <w:rPr>
                <w:color w:val="000000"/>
              </w:rPr>
              <w:tab/>
              <w:t>stakeholder-orientated information on the UPOV website and through other communication media.</w:t>
            </w:r>
          </w:p>
        </w:tc>
      </w:tr>
    </w:tbl>
    <w:p w:rsidR="00421639" w:rsidRPr="00DD6106" w:rsidRDefault="00421639" w:rsidP="00421639">
      <w:pPr>
        <w:keepNext/>
        <w:tabs>
          <w:tab w:val="left" w:pos="567"/>
        </w:tabs>
        <w:ind w:left="2835" w:hanging="2835"/>
        <w:rPr>
          <w:b/>
        </w:rPr>
      </w:pPr>
      <w:r w:rsidRPr="00DD6106">
        <w:rPr>
          <w:b/>
        </w:rPr>
        <w:br w:type="page"/>
        <w:t>2.3</w:t>
      </w:r>
      <w:r w:rsidRPr="00DD6106">
        <w:rPr>
          <w:b/>
        </w:rPr>
        <w:tab/>
      </w:r>
      <w:r w:rsidRPr="00DD6106">
        <w:rPr>
          <w:b/>
          <w:u w:val="single"/>
        </w:rPr>
        <w:t>Sub-program UV.3</w:t>
      </w:r>
      <w:r w:rsidRPr="00DD6106">
        <w:rPr>
          <w:b/>
        </w:rPr>
        <w:t>:</w:t>
      </w:r>
      <w:r w:rsidRPr="00DD6106">
        <w:rPr>
          <w:b/>
        </w:rPr>
        <w:tab/>
      </w:r>
      <w:r w:rsidRPr="00DD6106">
        <w:rPr>
          <w:b/>
          <w:u w:val="single"/>
        </w:rPr>
        <w:t>Assistance in the Introduction and Implementation of the UPOV System</w:t>
      </w:r>
    </w:p>
    <w:p w:rsidR="00421639" w:rsidRPr="00DD6106" w:rsidRDefault="00421639" w:rsidP="00421639"/>
    <w:p w:rsidR="00421639" w:rsidRPr="00DD6106" w:rsidRDefault="00421639" w:rsidP="00421639">
      <w:pPr>
        <w:keepNext/>
        <w:rPr>
          <w:b/>
        </w:rPr>
      </w:pPr>
      <w:r w:rsidRPr="00DD6106">
        <w:rPr>
          <w:b/>
        </w:rPr>
        <w:t>2.3.1</w:t>
      </w:r>
      <w:r w:rsidRPr="00DD6106">
        <w:rPr>
          <w:b/>
        </w:rPr>
        <w:tab/>
        <w:t>Objectives</w:t>
      </w:r>
    </w:p>
    <w:p w:rsidR="00421639" w:rsidRPr="00DD6106" w:rsidRDefault="00421639" w:rsidP="00421639">
      <w:pPr>
        <w:keepNext/>
      </w:pPr>
    </w:p>
    <w:p w:rsidR="00421639" w:rsidRPr="00DD6106" w:rsidRDefault="00421639" w:rsidP="00421639">
      <w:r w:rsidRPr="00DD6106">
        <w:tab/>
        <w:t>(a)</w:t>
      </w:r>
      <w:r w:rsidRPr="00DD6106">
        <w:tab/>
        <w:t xml:space="preserve">To raise awareness of the role of </w:t>
      </w:r>
      <w:r w:rsidRPr="00DD6106">
        <w:rPr>
          <w:snapToGrid w:val="0"/>
        </w:rPr>
        <w:t>plant variety protection</w:t>
      </w:r>
      <w:r w:rsidRPr="00DD6106">
        <w:t xml:space="preserve"> according to the UPOV Convention.</w:t>
      </w:r>
    </w:p>
    <w:p w:rsidR="00421639" w:rsidRPr="00DD6106" w:rsidRDefault="00421639" w:rsidP="00421639"/>
    <w:p w:rsidR="00421639" w:rsidRPr="00DD6106" w:rsidRDefault="00421639" w:rsidP="00421639">
      <w:r w:rsidRPr="00DD6106">
        <w:tab/>
        <w:t>(b)</w:t>
      </w:r>
      <w:r w:rsidRPr="00DD6106">
        <w:tab/>
        <w:t>To assist States and organizations, particularly governments of developing countries and countries in transition to a market economy, in the development of legislation in accordance with the 1991</w:t>
      </w:r>
      <w:r>
        <w:t> </w:t>
      </w:r>
      <w:r w:rsidRPr="00DD6106">
        <w:t>Act of the UPOV Convention.</w:t>
      </w:r>
    </w:p>
    <w:p w:rsidR="00421639" w:rsidRPr="00DD6106" w:rsidRDefault="00421639" w:rsidP="00421639"/>
    <w:p w:rsidR="00421639" w:rsidRPr="00DD6106" w:rsidRDefault="00421639" w:rsidP="00421639">
      <w:r w:rsidRPr="00DD6106">
        <w:tab/>
        <w:t>(c)</w:t>
      </w:r>
      <w:r w:rsidRPr="00DD6106">
        <w:tab/>
        <w:t>To assist States and organizations in their accession to the 1991 Act of the UPOV Convention.</w:t>
      </w:r>
    </w:p>
    <w:p w:rsidR="00421639" w:rsidRPr="00DD6106" w:rsidRDefault="00421639" w:rsidP="00421639"/>
    <w:p w:rsidR="00421639" w:rsidRPr="00513371" w:rsidRDefault="00421639" w:rsidP="00421639">
      <w:r w:rsidRPr="00DD6106">
        <w:tab/>
        <w:t>(d)</w:t>
      </w:r>
      <w:r w:rsidRPr="00DD6106">
        <w:tab/>
        <w:t xml:space="preserve">To assist States and organizations in implementing an effective </w:t>
      </w:r>
      <w:r w:rsidRPr="00DD6106">
        <w:rPr>
          <w:snapToGrid w:val="0"/>
        </w:rPr>
        <w:t>plant variety protection</w:t>
      </w:r>
      <w:r w:rsidRPr="00DD6106">
        <w:t xml:space="preserve"> </w:t>
      </w:r>
      <w:r w:rsidRPr="00513371">
        <w:t>system in accordance with the UPOV Convention.</w:t>
      </w:r>
    </w:p>
    <w:p w:rsidR="00421639" w:rsidRPr="00513371" w:rsidRDefault="00421639" w:rsidP="00421639"/>
    <w:p w:rsidR="00421639" w:rsidRPr="00513371" w:rsidRDefault="00421639" w:rsidP="00421639">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513371">
        <w:rPr>
          <w:b/>
        </w:rPr>
        <w:t>2.3.2</w:t>
      </w:r>
      <w:r w:rsidRPr="00513371">
        <w:rPr>
          <w:b/>
        </w:rPr>
        <w:tab/>
        <w:t>Narrative</w:t>
      </w:r>
    </w:p>
    <w:p w:rsidR="00421639" w:rsidRPr="00513371" w:rsidRDefault="00421639" w:rsidP="00421639"/>
    <w:p w:rsidR="00421639" w:rsidRPr="00DD6106" w:rsidRDefault="00421639" w:rsidP="00421639">
      <w:pPr>
        <w:tabs>
          <w:tab w:val="left" w:pos="851"/>
        </w:tabs>
      </w:pPr>
      <w:r w:rsidRPr="00513371">
        <w:t>2.3.2.1</w:t>
      </w:r>
      <w:r w:rsidRPr="00513371">
        <w:tab/>
        <w:t>This sub-program covers the assistance provided in response to requests by</w:t>
      </w:r>
      <w:r>
        <w:t xml:space="preserve"> members of the </w:t>
      </w:r>
      <w:r w:rsidRPr="00513371">
        <w:t xml:space="preserve">Union and potential members of the </w:t>
      </w:r>
      <w:smartTag w:uri="urn:schemas-microsoft-com:office:smarttags" w:element="place">
        <w:r w:rsidRPr="00513371">
          <w:t>Union</w:t>
        </w:r>
      </w:smartTag>
      <w:r w:rsidRPr="00513371">
        <w:t xml:space="preserve">.  Satisfying the demand for assistance in the introduction and implementation of the </w:t>
      </w:r>
      <w:r>
        <w:t>UPOV system</w:t>
      </w:r>
      <w:r w:rsidRPr="00513371">
        <w:t xml:space="preserve"> within available resources relies on the development of electronic tools (e.g. website, distance-learning courses, web conferencing</w:t>
      </w:r>
      <w:r>
        <w:t>,</w:t>
      </w:r>
      <w:r w:rsidRPr="00513371">
        <w:t xml:space="preserve"> etc.), the prioritization of assistance by the Office of the </w:t>
      </w:r>
      <w:smartTag w:uri="urn:schemas-microsoft-com:office:smarttags" w:element="place">
        <w:r w:rsidRPr="00513371">
          <w:t>Union</w:t>
        </w:r>
      </w:smartTag>
      <w:r w:rsidRPr="00513371">
        <w:t xml:space="preserve"> and the use of external resources for training and assistance according to available finances.  Individual assistance (e.g. missions) for members of the Union and potential members of the Union is supported by the regular budget, but extra-budgetary funds and support in kind </w:t>
      </w:r>
      <w:r w:rsidR="005B0934">
        <w:t xml:space="preserve">also </w:t>
      </w:r>
      <w:r w:rsidRPr="00513371">
        <w:t xml:space="preserve">provide major support.  To provide greater flexibility according to need and available resources, and thereby maximize the assistance that can be offered, the Office of the </w:t>
      </w:r>
      <w:smartTag w:uri="urn:schemas-microsoft-com:office:smarttags" w:element="place">
        <w:r w:rsidRPr="00513371">
          <w:t>Union</w:t>
        </w:r>
      </w:smartTag>
      <w:r w:rsidRPr="00513371">
        <w:t xml:space="preserve"> will increasingly use external resources (e.g. administrative support for distance-learning courses, editing of publications) and will </w:t>
      </w:r>
      <w:r>
        <w:t xml:space="preserve">make increasing use of </w:t>
      </w:r>
      <w:r w:rsidRPr="00AD77F7">
        <w:t>external trainers</w:t>
      </w:r>
      <w:r w:rsidRPr="00513371">
        <w:t>.</w:t>
      </w:r>
      <w:r>
        <w:t xml:space="preserve"> </w:t>
      </w:r>
    </w:p>
    <w:p w:rsidR="00421639" w:rsidRPr="00DD6106" w:rsidRDefault="00421639" w:rsidP="00421639"/>
    <w:p w:rsidR="00421639" w:rsidRPr="00C06D61" w:rsidRDefault="00421639" w:rsidP="00421639">
      <w:pPr>
        <w:tabs>
          <w:tab w:val="left" w:pos="851"/>
        </w:tabs>
      </w:pPr>
      <w:r w:rsidRPr="00C06D61">
        <w:t>2.3.2.2</w:t>
      </w:r>
      <w:r w:rsidRPr="00C06D61">
        <w:tab/>
        <w:t xml:space="preserve">As of </w:t>
      </w:r>
      <w:r w:rsidR="005B0934" w:rsidRPr="00C06D61">
        <w:t xml:space="preserve">July </w:t>
      </w:r>
      <w:r w:rsidRPr="00C06D61">
        <w:t xml:space="preserve">31, 2013, there were 71 members of the Union, of which 51 were bound by the 1991 Act of the UPOV Convention. </w:t>
      </w:r>
    </w:p>
    <w:p w:rsidR="00421639" w:rsidRPr="00C06D61" w:rsidRDefault="00421639" w:rsidP="00421639"/>
    <w:p w:rsidR="00421639" w:rsidRPr="00DD6106" w:rsidRDefault="00421639" w:rsidP="00421639">
      <w:pPr>
        <w:tabs>
          <w:tab w:val="left" w:pos="851"/>
        </w:tabs>
      </w:pPr>
      <w:r w:rsidRPr="00C06D61">
        <w:t>2.3.2.3</w:t>
      </w:r>
      <w:r w:rsidRPr="00C06D61">
        <w:tab/>
        <w:t xml:space="preserve">As of </w:t>
      </w:r>
      <w:r w:rsidR="005B0934" w:rsidRPr="00C06D61">
        <w:t xml:space="preserve">July </w:t>
      </w:r>
      <w:r w:rsidRPr="00C06D61">
        <w:t>31, 2013, 16 States and one intergovernmental organization had initiated the procedure for acceding to the UPOV Convention, and 2</w:t>
      </w:r>
      <w:r w:rsidR="009371E4" w:rsidRPr="00C06D61">
        <w:t>4</w:t>
      </w:r>
      <w:r w:rsidRPr="00C06D61">
        <w:t xml:space="preserve"> States and two intergovernmental organizations had been in</w:t>
      </w:r>
      <w:r w:rsidRPr="006A35CC">
        <w:t xml:space="preserve"> contact with the Office of the Union for assistance in the development of laws based on the UPOV Convention.  The resources within the regular budget of UPOV to finance the activities required under</w:t>
      </w:r>
      <w:r w:rsidRPr="00DD6106">
        <w:t xml:space="preserve"> this sub-program are limited.  The priority for providing assistance by the Office of the </w:t>
      </w:r>
      <w:smartTag w:uri="urn:schemas-microsoft-com:office:smarttags" w:element="place">
        <w:r w:rsidRPr="00DD6106">
          <w:t>Union</w:t>
        </w:r>
      </w:smartTag>
      <w:r w:rsidRPr="00DD6106">
        <w:t xml:space="preserve"> is as follows:</w:t>
      </w:r>
    </w:p>
    <w:p w:rsidR="00421639" w:rsidRPr="00DD6106" w:rsidRDefault="00421639" w:rsidP="00421639"/>
    <w:p w:rsidR="00421639" w:rsidRPr="00DD6106" w:rsidRDefault="00421639" w:rsidP="00421639">
      <w:pPr>
        <w:spacing w:after="120"/>
        <w:ind w:left="567"/>
      </w:pPr>
      <w:r w:rsidRPr="00DD6106">
        <w:t>(</w:t>
      </w:r>
      <w:proofErr w:type="spellStart"/>
      <w:r w:rsidRPr="00DD6106">
        <w:t>i</w:t>
      </w:r>
      <w:proofErr w:type="spellEnd"/>
      <w:r w:rsidRPr="00DD6106">
        <w:t>)</w:t>
      </w:r>
      <w:r w:rsidRPr="00DD6106">
        <w:tab/>
        <w:t xml:space="preserve">assistance to existing members of the </w:t>
      </w:r>
      <w:smartTag w:uri="urn:schemas-microsoft-com:office:smarttags" w:element="place">
        <w:r w:rsidRPr="00DD6106">
          <w:t>Union</w:t>
        </w:r>
      </w:smartTag>
      <w:r w:rsidRPr="00DD6106">
        <w:t>;</w:t>
      </w:r>
    </w:p>
    <w:p w:rsidR="00421639" w:rsidRPr="00DD6106" w:rsidRDefault="00421639" w:rsidP="00421639">
      <w:pPr>
        <w:spacing w:after="120"/>
        <w:ind w:left="567"/>
      </w:pPr>
      <w:r w:rsidRPr="00DD6106">
        <w:t>(ii)</w:t>
      </w:r>
      <w:r w:rsidRPr="00DD6106">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rsidR="00421639" w:rsidRPr="00DD6106" w:rsidRDefault="00421639" w:rsidP="00421639">
      <w:pPr>
        <w:tabs>
          <w:tab w:val="left" w:pos="567"/>
        </w:tabs>
        <w:ind w:left="567"/>
      </w:pPr>
      <w:r w:rsidRPr="00DD6106">
        <w:t>(iii)</w:t>
      </w:r>
      <w:r w:rsidRPr="00DD6106">
        <w:tab/>
        <w:t xml:space="preserve">assistance to States and certain organizations that are not members of the </w:t>
      </w:r>
      <w:smartTag w:uri="urn:schemas-microsoft-com:office:smarttags" w:element="place">
        <w:r w:rsidRPr="00DD6106">
          <w:t>Union</w:t>
        </w:r>
      </w:smartTag>
      <w:r w:rsidRPr="00DD6106">
        <w:t xml:space="preserve">, in the implementation of legislation that has received a positive decision of the Council, according to their commitment to accede to the UPOV Convention.  </w:t>
      </w:r>
    </w:p>
    <w:p w:rsidR="00421639" w:rsidRPr="00DD6106" w:rsidRDefault="00421639" w:rsidP="00421639">
      <w:pPr>
        <w:tabs>
          <w:tab w:val="left" w:pos="567"/>
        </w:tabs>
        <w:ind w:left="567"/>
      </w:pPr>
    </w:p>
    <w:p w:rsidR="00421639" w:rsidRPr="00DD6106" w:rsidRDefault="00421639" w:rsidP="00421639">
      <w:pPr>
        <w:tabs>
          <w:tab w:val="left" w:pos="851"/>
        </w:tabs>
      </w:pPr>
      <w:r>
        <w:t>2.3.2.4</w:t>
      </w:r>
      <w:r w:rsidRPr="00DD6106">
        <w:tab/>
        <w:t>Activities in this sub-program will involve an increasing use of electronic training materials, particularly distance</w:t>
      </w:r>
      <w:r>
        <w:t xml:space="preserve"> </w:t>
      </w:r>
      <w:r w:rsidRPr="00DD6106">
        <w:t>learning courses, and new communication technologies, in order to maximize the effectiveness of available resources.  The availability of commun</w:t>
      </w:r>
      <w:r>
        <w:t xml:space="preserve">ication technologies will mean that </w:t>
      </w:r>
      <w:r w:rsidRPr="00DD6106">
        <w:t xml:space="preserve">activities (e.g. seminars on selected topics) held in </w:t>
      </w:r>
      <w:smartTag w:uri="urn:schemas-microsoft-com:office:smarttags" w:element="City">
        <w:r w:rsidRPr="00DD6106">
          <w:t>Geneva</w:t>
        </w:r>
      </w:smartTag>
      <w:r>
        <w:t xml:space="preserve"> will be available to an audience beyond the participants in </w:t>
      </w:r>
      <w:smartTag w:uri="urn:schemas-microsoft-com:office:smarttags" w:element="City">
        <w:smartTag w:uri="urn:schemas-microsoft-com:office:smarttags" w:element="place">
          <w:r>
            <w:t>Geneva</w:t>
          </w:r>
        </w:smartTag>
      </w:smartTag>
      <w:r w:rsidRPr="00DD6106">
        <w:t xml:space="preserve">.  The Office of the Union will continue to explore synergies in its activities with members of the </w:t>
      </w:r>
      <w:smartTag w:uri="urn:schemas-microsoft-com:office:smarttags" w:element="place">
        <w:r w:rsidRPr="00DD6106">
          <w:t>Union</w:t>
        </w:r>
      </w:smartTag>
      <w:r w:rsidRPr="00DD6106">
        <w:t xml:space="preserve"> and other partners.  </w:t>
      </w:r>
    </w:p>
    <w:p w:rsidR="00421639" w:rsidRPr="00DD6106" w:rsidRDefault="00421639" w:rsidP="00421639">
      <w:pPr>
        <w:tabs>
          <w:tab w:val="left" w:pos="567"/>
        </w:tabs>
      </w:pPr>
    </w:p>
    <w:p w:rsidR="00421639" w:rsidRPr="00DD6106" w:rsidRDefault="00421639" w:rsidP="00421639">
      <w:pPr>
        <w:keepNext/>
        <w:tabs>
          <w:tab w:val="left" w:pos="567"/>
        </w:tabs>
        <w:rPr>
          <w:u w:val="single"/>
        </w:rPr>
      </w:pPr>
      <w:r w:rsidRPr="00DD6106">
        <w:rPr>
          <w:u w:val="single"/>
        </w:rPr>
        <w:t>Additional resources</w:t>
      </w:r>
    </w:p>
    <w:p w:rsidR="00421639" w:rsidRPr="00DD6106" w:rsidRDefault="00421639" w:rsidP="00421639">
      <w:pPr>
        <w:keepNext/>
        <w:tabs>
          <w:tab w:val="left" w:pos="567"/>
        </w:tabs>
      </w:pPr>
    </w:p>
    <w:p w:rsidR="00421639" w:rsidRPr="00DD6106" w:rsidRDefault="00421639" w:rsidP="00421639">
      <w:pPr>
        <w:keepNext/>
        <w:tabs>
          <w:tab w:val="left" w:pos="851"/>
        </w:tabs>
      </w:pPr>
      <w:r>
        <w:t>2.3.2.5</w:t>
      </w:r>
      <w:r w:rsidRPr="00DD6106">
        <w:tab/>
        <w:t xml:space="preserve">A major feature of this sub-program is to provide a framework within which the Office of the Union can efficiently supplement its resources with financial resources and support in kind made available by members of the </w:t>
      </w:r>
      <w:smartTag w:uri="urn:schemas-microsoft-com:office:smarttags" w:element="place">
        <w:r w:rsidRPr="00DD6106">
          <w:t>Union</w:t>
        </w:r>
      </w:smartTag>
      <w:r w:rsidRPr="00DD6106">
        <w:t xml:space="preserve"> and other bodies.  In general, the support can be categorized as follows:</w:t>
      </w:r>
    </w:p>
    <w:p w:rsidR="00421639" w:rsidRPr="00DD6106" w:rsidRDefault="00421639" w:rsidP="00421639">
      <w:pPr>
        <w:tabs>
          <w:tab w:val="left" w:pos="567"/>
        </w:tabs>
      </w:pPr>
    </w:p>
    <w:p w:rsidR="00421639" w:rsidRPr="00DD6106" w:rsidRDefault="00421639" w:rsidP="00421639">
      <w:pPr>
        <w:keepNext/>
        <w:tabs>
          <w:tab w:val="left" w:pos="567"/>
        </w:tabs>
        <w:rPr>
          <w:i/>
        </w:rPr>
      </w:pPr>
      <w:r w:rsidRPr="002C0995">
        <w:rPr>
          <w:i/>
        </w:rPr>
        <w:t xml:space="preserve">Assistance provided by the Office of the </w:t>
      </w:r>
      <w:smartTag w:uri="urn:schemas-microsoft-com:office:smarttags" w:element="place">
        <w:r w:rsidRPr="002C0995">
          <w:rPr>
            <w:i/>
          </w:rPr>
          <w:t>Union</w:t>
        </w:r>
      </w:smartTag>
      <w:r w:rsidRPr="002C0995">
        <w:rPr>
          <w:i/>
        </w:rPr>
        <w:t xml:space="preserve"> through extra-budgetary financial resources</w:t>
      </w:r>
    </w:p>
    <w:p w:rsidR="00421639" w:rsidRPr="00DD6106" w:rsidRDefault="00421639" w:rsidP="00421639">
      <w:pPr>
        <w:keepNext/>
        <w:tabs>
          <w:tab w:val="left" w:pos="567"/>
        </w:tabs>
      </w:pPr>
    </w:p>
    <w:p w:rsidR="00421639" w:rsidRPr="00DD6106" w:rsidRDefault="00421639" w:rsidP="00421639">
      <w:pPr>
        <w:keepNext/>
        <w:tabs>
          <w:tab w:val="left" w:pos="851"/>
        </w:tabs>
      </w:pPr>
      <w:r w:rsidRPr="00DD6106">
        <w:t>2.3.2.</w:t>
      </w:r>
      <w:r>
        <w:t>6</w:t>
      </w:r>
      <w:r w:rsidRPr="00DD6106">
        <w:tab/>
        <w:t>UPOV greatly benefits from additional financial resources provided</w:t>
      </w:r>
      <w:r>
        <w:t>, for example</w:t>
      </w:r>
      <w:r w:rsidRPr="00DD6106">
        <w:t xml:space="preserve"> in the form of Funds in Trust, which are voluntary financial donations provided to UPOV by a member of the Union, usually provided to finance a specific program of activities mutually agreed between the Office of the Union and the donor member of the Union.  Those resources are particularly important in enabling UPOV to provide assistance.  In recognition that such Funds in Trust involve UPOV staff or oth</w:t>
      </w:r>
      <w:r>
        <w:t>er resources, the Office of the </w:t>
      </w:r>
      <w:r w:rsidRPr="00DD6106">
        <w:t xml:space="preserve">Union and the member of the </w:t>
      </w:r>
      <w:smartTag w:uri="urn:schemas-microsoft-com:office:smarttags" w:element="place">
        <w:r w:rsidRPr="00DD6106">
          <w:t>Union</w:t>
        </w:r>
      </w:smartTag>
      <w:r w:rsidRPr="00DD6106">
        <w:t xml:space="preserve"> concerned jointly develop a program of activities in accordance with the policy and priorities set by the UPOV Council.</w:t>
      </w:r>
    </w:p>
    <w:p w:rsidR="00421639" w:rsidRPr="00DD6106" w:rsidRDefault="00421639" w:rsidP="00421639">
      <w:pPr>
        <w:tabs>
          <w:tab w:val="left" w:pos="567"/>
        </w:tabs>
      </w:pPr>
    </w:p>
    <w:tbl>
      <w:tblPr>
        <w:tblStyle w:val="TableGrid"/>
        <w:tblW w:w="0" w:type="auto"/>
        <w:tblInd w:w="675" w:type="dxa"/>
        <w:tblLook w:val="01E0" w:firstRow="1" w:lastRow="1" w:firstColumn="1" w:lastColumn="1" w:noHBand="0" w:noVBand="0"/>
      </w:tblPr>
      <w:tblGrid>
        <w:gridCol w:w="7371"/>
      </w:tblGrid>
      <w:tr w:rsidR="00421639" w:rsidRPr="00DD6106" w:rsidTr="00DC35EC">
        <w:tc>
          <w:tcPr>
            <w:tcW w:w="7371" w:type="dxa"/>
          </w:tcPr>
          <w:p w:rsidR="00421639" w:rsidRPr="00DD6106" w:rsidRDefault="00421639" w:rsidP="00DC35EC">
            <w:pPr>
              <w:tabs>
                <w:tab w:val="left" w:pos="567"/>
              </w:tabs>
            </w:pPr>
            <w:r w:rsidRPr="00DD6106">
              <w:t>Example</w:t>
            </w:r>
            <w:r>
              <w:t>s</w:t>
            </w:r>
            <w:r w:rsidRPr="00DD6106">
              <w:t>:</w:t>
            </w:r>
          </w:p>
          <w:p w:rsidR="00421639" w:rsidRPr="00DD6106" w:rsidRDefault="00421639" w:rsidP="00DC35EC">
            <w:pPr>
              <w:tabs>
                <w:tab w:val="left" w:pos="567"/>
              </w:tabs>
            </w:pPr>
          </w:p>
          <w:p w:rsidR="00421639" w:rsidRPr="002C0995" w:rsidRDefault="00421639" w:rsidP="00DC35EC">
            <w:pPr>
              <w:numPr>
                <w:ilvl w:val="0"/>
                <w:numId w:val="8"/>
              </w:numPr>
              <w:tabs>
                <w:tab w:val="clear" w:pos="720"/>
                <w:tab w:val="left" w:pos="601"/>
              </w:tabs>
              <w:spacing w:after="120"/>
              <w:ind w:left="601" w:hanging="244"/>
            </w:pPr>
            <w:r w:rsidRPr="00DD6106">
              <w:t xml:space="preserve">The Funds-in-Trust provided by the Japanese Government for activities in </w:t>
            </w:r>
            <w:r w:rsidRPr="002C0995">
              <w:t>the Asian region</w:t>
            </w:r>
          </w:p>
          <w:p w:rsidR="00421639" w:rsidRPr="00DD6106" w:rsidRDefault="00421639" w:rsidP="00DC35EC">
            <w:pPr>
              <w:numPr>
                <w:ilvl w:val="0"/>
                <w:numId w:val="8"/>
              </w:numPr>
              <w:tabs>
                <w:tab w:val="clear" w:pos="720"/>
                <w:tab w:val="left" w:pos="601"/>
              </w:tabs>
              <w:spacing w:after="120"/>
              <w:ind w:left="601" w:hanging="244"/>
            </w:pPr>
            <w:r w:rsidRPr="002C0995">
              <w:t xml:space="preserve">Memorandum of Understanding between the </w:t>
            </w:r>
            <w:smartTag w:uri="urn:schemas-microsoft-com:office:smarttags" w:element="country-region">
              <w:smartTag w:uri="urn:schemas-microsoft-com:office:smarttags" w:element="place">
                <w:r w:rsidRPr="002C0995">
                  <w:t>United States</w:t>
                </w:r>
              </w:smartTag>
            </w:smartTag>
            <w:r w:rsidRPr="002C0995">
              <w:t xml:space="preserve"> Patent and Trademark Office (USPTO) and UPOV</w:t>
            </w:r>
          </w:p>
        </w:tc>
      </w:tr>
    </w:tbl>
    <w:p w:rsidR="00421639" w:rsidRPr="00DD6106" w:rsidRDefault="00421639" w:rsidP="00421639">
      <w:pPr>
        <w:tabs>
          <w:tab w:val="left" w:pos="567"/>
        </w:tabs>
      </w:pPr>
    </w:p>
    <w:p w:rsidR="00421639" w:rsidRPr="00DD6106" w:rsidRDefault="00421639" w:rsidP="00421639">
      <w:pPr>
        <w:keepNext/>
        <w:tabs>
          <w:tab w:val="left" w:pos="567"/>
        </w:tabs>
        <w:rPr>
          <w:i/>
        </w:rPr>
      </w:pPr>
      <w:r w:rsidRPr="00DD6106">
        <w:rPr>
          <w:i/>
        </w:rPr>
        <w:t xml:space="preserve">Support from members of the </w:t>
      </w:r>
      <w:smartTag w:uri="urn:schemas-microsoft-com:office:smarttags" w:element="place">
        <w:r w:rsidRPr="00DD6106">
          <w:rPr>
            <w:i/>
          </w:rPr>
          <w:t>Union</w:t>
        </w:r>
      </w:smartTag>
    </w:p>
    <w:p w:rsidR="00421639" w:rsidRPr="00DD6106" w:rsidRDefault="00421639" w:rsidP="00421639">
      <w:pPr>
        <w:keepNext/>
        <w:tabs>
          <w:tab w:val="left" w:pos="567"/>
        </w:tabs>
      </w:pPr>
    </w:p>
    <w:p w:rsidR="00421639" w:rsidRPr="00DD6106" w:rsidRDefault="00421639" w:rsidP="00421639">
      <w:pPr>
        <w:tabs>
          <w:tab w:val="left" w:pos="851"/>
        </w:tabs>
      </w:pPr>
      <w:r w:rsidRPr="00DD6106">
        <w:t>2.3.2.</w:t>
      </w:r>
      <w:r>
        <w:t>7</w:t>
      </w:r>
      <w:r w:rsidRPr="00DD6106">
        <w:tab/>
        <w:t xml:space="preserve">A number of members of the </w:t>
      </w:r>
      <w:smartTag w:uri="urn:schemas-microsoft-com:office:smarttags" w:element="place">
        <w:r w:rsidRPr="00DD6106">
          <w:t>Union</w:t>
        </w:r>
      </w:smartTag>
      <w:r w:rsidRPr="00DD6106">
        <w:t xml:space="preserve"> provide important assistance to States and relevant organizations.  As far as possible, and where appropriate, the Office of the Union explains the priorities that the Council has established for assistance; however, it is a matter for each member of the </w:t>
      </w:r>
      <w:smartTag w:uri="urn:schemas-microsoft-com:office:smarttags" w:element="place">
        <w:r w:rsidRPr="00DD6106">
          <w:t>Union</w:t>
        </w:r>
      </w:smartTag>
      <w:r w:rsidRPr="00DD6106">
        <w:t xml:space="preserve"> to decide on the activities that it wishes to pursue.  Where the Office of the Union is requested to cooperate in such activities, it will cooperate as far as possible and within the policy and priorities set out by the Council for assistance by the Office of the </w:t>
      </w:r>
      <w:smartTag w:uri="urn:schemas-microsoft-com:office:smarttags" w:element="place">
        <w:r w:rsidRPr="00DD6106">
          <w:t>Union</w:t>
        </w:r>
      </w:smartTag>
      <w:r w:rsidRPr="00DD6106">
        <w:t xml:space="preserve">.  </w:t>
      </w:r>
    </w:p>
    <w:p w:rsidR="00421639" w:rsidRPr="00DD6106" w:rsidRDefault="00421639" w:rsidP="00421639">
      <w:pPr>
        <w:tabs>
          <w:tab w:val="left" w:pos="567"/>
        </w:tabs>
      </w:pPr>
    </w:p>
    <w:p w:rsidR="00421639" w:rsidRPr="00DD6106" w:rsidRDefault="00421639" w:rsidP="00421639">
      <w:pPr>
        <w:tabs>
          <w:tab w:val="left" w:pos="851"/>
        </w:tabs>
      </w:pPr>
      <w:r>
        <w:t>2.3.2.8</w:t>
      </w:r>
      <w:r w:rsidRPr="00DD6106">
        <w:rPr>
          <w:color w:val="000000"/>
        </w:rPr>
        <w:tab/>
        <w:t xml:space="preserve">An essential resource for the work of UPOV is the support in kind provided by many members of the </w:t>
      </w:r>
      <w:smartTag w:uri="urn:schemas-microsoft-com:office:smarttags" w:element="place">
        <w:r w:rsidRPr="00DD6106">
          <w:rPr>
            <w:color w:val="000000"/>
          </w:rPr>
          <w:t>Union</w:t>
        </w:r>
      </w:smartTag>
      <w:r w:rsidRPr="00DD6106">
        <w:rPr>
          <w:color w:val="000000"/>
        </w:rPr>
        <w:t xml:space="preserve"> in the form of experts acting as lecturers in UPOV ac</w:t>
      </w:r>
      <w:r>
        <w:rPr>
          <w:color w:val="000000"/>
        </w:rPr>
        <w:t xml:space="preserve">tivities and tutors in distance </w:t>
      </w:r>
      <w:r w:rsidRPr="00DD6106">
        <w:rPr>
          <w:color w:val="000000"/>
        </w:rPr>
        <w:t>learning courses.  A further important form of s</w:t>
      </w:r>
      <w:r w:rsidRPr="00DD6106">
        <w:t>upport in kind</w:t>
      </w:r>
      <w:r w:rsidRPr="00DD6106">
        <w:rPr>
          <w:color w:val="000000"/>
        </w:rPr>
        <w:t xml:space="preserve"> is medium</w:t>
      </w:r>
      <w:r w:rsidRPr="00DD6106">
        <w:rPr>
          <w:color w:val="000000"/>
        </w:rPr>
        <w:noBreakHyphen/>
        <w:t xml:space="preserve">term internship of </w:t>
      </w:r>
      <w:r w:rsidR="005B0934" w:rsidRPr="00DD6106">
        <w:rPr>
          <w:color w:val="000000"/>
        </w:rPr>
        <w:t>suitabl</w:t>
      </w:r>
      <w:r w:rsidR="005B0934">
        <w:rPr>
          <w:color w:val="000000"/>
        </w:rPr>
        <w:t>y</w:t>
      </w:r>
      <w:r w:rsidR="005B0934" w:rsidRPr="00DD6106">
        <w:rPr>
          <w:color w:val="000000"/>
        </w:rPr>
        <w:t xml:space="preserve"> </w:t>
      </w:r>
      <w:r w:rsidRPr="00DD6106">
        <w:rPr>
          <w:color w:val="000000"/>
        </w:rPr>
        <w:t>qualified officials, fully funded by members of the Union, such as was provided by the Republic of Korea in 2009-2010.</w:t>
      </w:r>
    </w:p>
    <w:p w:rsidR="00421639" w:rsidRPr="00DD6106" w:rsidRDefault="00421639" w:rsidP="00421639">
      <w:pPr>
        <w:tabs>
          <w:tab w:val="left" w:pos="567"/>
        </w:tabs>
      </w:pPr>
    </w:p>
    <w:p w:rsidR="00421639" w:rsidRPr="00DD6106" w:rsidRDefault="00421639" w:rsidP="00421639">
      <w:pPr>
        <w:keepNext/>
        <w:tabs>
          <w:tab w:val="left" w:pos="567"/>
        </w:tabs>
        <w:rPr>
          <w:i/>
        </w:rPr>
      </w:pPr>
      <w:r w:rsidRPr="00DD6106">
        <w:rPr>
          <w:i/>
        </w:rPr>
        <w:t>Training courses on plant variety protection</w:t>
      </w:r>
    </w:p>
    <w:p w:rsidR="00421639" w:rsidRPr="00DD6106" w:rsidRDefault="00421639" w:rsidP="00421639">
      <w:pPr>
        <w:keepNext/>
        <w:tabs>
          <w:tab w:val="left" w:pos="567"/>
        </w:tabs>
      </w:pPr>
    </w:p>
    <w:p w:rsidR="00421639" w:rsidRPr="00913886" w:rsidRDefault="00421639" w:rsidP="00421639">
      <w:pPr>
        <w:tabs>
          <w:tab w:val="left" w:pos="851"/>
        </w:tabs>
        <w:rPr>
          <w:rFonts w:cs="Arial"/>
          <w:spacing w:val="-2"/>
        </w:rPr>
      </w:pPr>
      <w:r w:rsidRPr="00913886">
        <w:rPr>
          <w:rFonts w:cs="Arial"/>
        </w:rPr>
        <w:t>2.3.2.9</w:t>
      </w:r>
      <w:r w:rsidRPr="00913886">
        <w:rPr>
          <w:rFonts w:cs="Arial"/>
        </w:rPr>
        <w:tab/>
        <w:t>A number of members of the Union provide training courses in plant variety protection according to the UPOV Convention (e.g.: the “Training Course on the Protection of Plant Breeders’ Rights”, organized by the Japan International Cooperation Agency (JICA) (Japan);  the “</w:t>
      </w:r>
      <w:r w:rsidRPr="00913886">
        <w:rPr>
          <w:rFonts w:cs="Arial"/>
          <w:i/>
        </w:rPr>
        <w:t xml:space="preserve">Taller </w:t>
      </w:r>
      <w:proofErr w:type="spellStart"/>
      <w:r w:rsidRPr="00913886">
        <w:rPr>
          <w:rFonts w:cs="Arial"/>
          <w:i/>
        </w:rPr>
        <w:t>in</w:t>
      </w:r>
      <w:r>
        <w:rPr>
          <w:rFonts w:cs="Arial"/>
          <w:i/>
        </w:rPr>
        <w:t>ternacional</w:t>
      </w:r>
      <w:proofErr w:type="spellEnd"/>
      <w:r>
        <w:rPr>
          <w:rFonts w:cs="Arial"/>
          <w:i/>
        </w:rPr>
        <w:t xml:space="preserve"> de </w:t>
      </w:r>
      <w:proofErr w:type="spellStart"/>
      <w:r>
        <w:rPr>
          <w:rFonts w:cs="Arial"/>
          <w:i/>
        </w:rPr>
        <w:t>evaluación</w:t>
      </w:r>
      <w:proofErr w:type="spellEnd"/>
      <w:r>
        <w:rPr>
          <w:rFonts w:cs="Arial"/>
          <w:i/>
        </w:rPr>
        <w:t xml:space="preserve"> de la </w:t>
      </w:r>
      <w:r w:rsidRPr="00913886">
        <w:rPr>
          <w:rFonts w:cs="Arial"/>
          <w:i/>
        </w:rPr>
        <w:t xml:space="preserve">distinction, </w:t>
      </w:r>
      <w:proofErr w:type="spellStart"/>
      <w:r w:rsidRPr="00913886">
        <w:rPr>
          <w:rFonts w:cs="Arial"/>
          <w:i/>
        </w:rPr>
        <w:t>homogeneidad</w:t>
      </w:r>
      <w:proofErr w:type="spellEnd"/>
      <w:r w:rsidRPr="00913886">
        <w:rPr>
          <w:rFonts w:cs="Arial"/>
          <w:i/>
        </w:rPr>
        <w:t xml:space="preserve"> y </w:t>
      </w:r>
      <w:proofErr w:type="spellStart"/>
      <w:r w:rsidRPr="00913886">
        <w:rPr>
          <w:rFonts w:cs="Arial"/>
          <w:i/>
        </w:rPr>
        <w:t>estabilidad</w:t>
      </w:r>
      <w:proofErr w:type="spellEnd"/>
      <w:r w:rsidRPr="00913886">
        <w:rPr>
          <w:rFonts w:cs="Arial"/>
          <w:i/>
        </w:rPr>
        <w:t xml:space="preserve"> (DHE) de </w:t>
      </w:r>
      <w:proofErr w:type="spellStart"/>
      <w:r w:rsidRPr="00913886">
        <w:rPr>
          <w:rFonts w:cs="Arial"/>
          <w:i/>
        </w:rPr>
        <w:t>variedades</w:t>
      </w:r>
      <w:proofErr w:type="spellEnd"/>
      <w:r w:rsidRPr="00913886">
        <w:rPr>
          <w:rFonts w:cs="Arial"/>
          <w:i/>
        </w:rPr>
        <w:t xml:space="preserve"> </w:t>
      </w:r>
      <w:proofErr w:type="spellStart"/>
      <w:r w:rsidRPr="00913886">
        <w:rPr>
          <w:rFonts w:cs="Arial"/>
          <w:i/>
        </w:rPr>
        <w:t>vegetales</w:t>
      </w:r>
      <w:proofErr w:type="spellEnd"/>
      <w:r w:rsidRPr="00913886">
        <w:rPr>
          <w:rFonts w:cs="Arial"/>
        </w:rPr>
        <w:t xml:space="preserve">” organized by the </w:t>
      </w:r>
      <w:proofErr w:type="spellStart"/>
      <w:r w:rsidRPr="00913886">
        <w:rPr>
          <w:rFonts w:cs="Arial"/>
          <w:i/>
        </w:rPr>
        <w:t>Servicio</w:t>
      </w:r>
      <w:proofErr w:type="spellEnd"/>
      <w:r w:rsidRPr="00913886">
        <w:rPr>
          <w:rFonts w:cs="Arial"/>
          <w:i/>
        </w:rPr>
        <w:t xml:space="preserve"> </w:t>
      </w:r>
      <w:proofErr w:type="spellStart"/>
      <w:r w:rsidRPr="00913886">
        <w:rPr>
          <w:rFonts w:cs="Arial"/>
          <w:i/>
        </w:rPr>
        <w:t>Nacional</w:t>
      </w:r>
      <w:proofErr w:type="spellEnd"/>
      <w:r w:rsidRPr="00913886">
        <w:rPr>
          <w:rFonts w:cs="Arial"/>
          <w:i/>
        </w:rPr>
        <w:t xml:space="preserve"> de </w:t>
      </w:r>
      <w:proofErr w:type="spellStart"/>
      <w:r w:rsidRPr="00913886">
        <w:rPr>
          <w:rFonts w:cs="Arial"/>
          <w:i/>
        </w:rPr>
        <w:t>Inspección</w:t>
      </w:r>
      <w:proofErr w:type="spellEnd"/>
      <w:r w:rsidRPr="00913886">
        <w:rPr>
          <w:rFonts w:cs="Arial"/>
          <w:i/>
        </w:rPr>
        <w:t xml:space="preserve"> y </w:t>
      </w:r>
      <w:proofErr w:type="spellStart"/>
      <w:r w:rsidRPr="00913886">
        <w:rPr>
          <w:rFonts w:cs="Arial"/>
          <w:i/>
        </w:rPr>
        <w:t>Certificación</w:t>
      </w:r>
      <w:proofErr w:type="spellEnd"/>
      <w:r w:rsidRPr="00913886">
        <w:rPr>
          <w:rFonts w:cs="Arial"/>
          <w:i/>
        </w:rPr>
        <w:t xml:space="preserve"> de </w:t>
      </w:r>
      <w:proofErr w:type="spellStart"/>
      <w:r w:rsidRPr="00913886">
        <w:rPr>
          <w:rFonts w:cs="Arial"/>
          <w:i/>
        </w:rPr>
        <w:t>Semillas</w:t>
      </w:r>
      <w:proofErr w:type="spellEnd"/>
      <w:r w:rsidRPr="00913886">
        <w:rPr>
          <w:rFonts w:cs="Arial"/>
        </w:rPr>
        <w:t xml:space="preserve"> (SNICS) and the </w:t>
      </w:r>
      <w:proofErr w:type="spellStart"/>
      <w:r w:rsidRPr="00913886">
        <w:rPr>
          <w:rFonts w:cs="Arial"/>
          <w:i/>
        </w:rPr>
        <w:t>Colegio</w:t>
      </w:r>
      <w:proofErr w:type="spellEnd"/>
      <w:r w:rsidRPr="00913886">
        <w:rPr>
          <w:rFonts w:cs="Arial"/>
          <w:i/>
        </w:rPr>
        <w:t xml:space="preserve"> de </w:t>
      </w:r>
      <w:proofErr w:type="spellStart"/>
      <w:r w:rsidRPr="00913886">
        <w:rPr>
          <w:rFonts w:cs="Arial"/>
          <w:i/>
        </w:rPr>
        <w:t>Postgraduados</w:t>
      </w:r>
      <w:proofErr w:type="spellEnd"/>
      <w:r w:rsidRPr="00913886">
        <w:rPr>
          <w:rFonts w:cs="Arial"/>
        </w:rPr>
        <w:t xml:space="preserve"> (Mexico);  the “Plant Variety Protection Course”, organized by </w:t>
      </w:r>
      <w:proofErr w:type="spellStart"/>
      <w:r w:rsidRPr="00913886">
        <w:rPr>
          <w:rFonts w:cs="Arial"/>
        </w:rPr>
        <w:t>Naktuinbouw</w:t>
      </w:r>
      <w:proofErr w:type="spellEnd"/>
      <w:r w:rsidRPr="00913886">
        <w:rPr>
          <w:rFonts w:cs="Arial"/>
        </w:rPr>
        <w:t xml:space="preserve"> (Netherlands);  the “Training Course on Plant Variety Protection”, organized by the Korean Seed &amp; Variety Service (KSVS) and the Korean International Cooperation Agency (KOICA) (Republic of Korea); </w:t>
      </w:r>
      <w:r w:rsidRPr="006F24A8">
        <w:rPr>
          <w:rFonts w:cs="Arial"/>
        </w:rPr>
        <w:t>the “</w:t>
      </w:r>
      <w:proofErr w:type="spellStart"/>
      <w:r w:rsidRPr="006F24A8">
        <w:rPr>
          <w:rFonts w:cs="Arial"/>
          <w:i/>
        </w:rPr>
        <w:t>Curso</w:t>
      </w:r>
      <w:proofErr w:type="spellEnd"/>
      <w:r w:rsidRPr="006F24A8">
        <w:rPr>
          <w:rFonts w:cs="Arial"/>
          <w:i/>
        </w:rPr>
        <w:t xml:space="preserve"> de </w:t>
      </w:r>
      <w:proofErr w:type="spellStart"/>
      <w:r w:rsidRPr="006F24A8">
        <w:rPr>
          <w:rFonts w:cs="Arial"/>
          <w:i/>
        </w:rPr>
        <w:t>formación</w:t>
      </w:r>
      <w:proofErr w:type="spellEnd"/>
      <w:r w:rsidRPr="006F24A8">
        <w:rPr>
          <w:rFonts w:cs="Arial"/>
          <w:i/>
        </w:rPr>
        <w:t xml:space="preserve"> </w:t>
      </w:r>
      <w:proofErr w:type="spellStart"/>
      <w:r w:rsidRPr="006F24A8">
        <w:rPr>
          <w:rFonts w:cs="Arial"/>
          <w:i/>
        </w:rPr>
        <w:t>sobre</w:t>
      </w:r>
      <w:proofErr w:type="spellEnd"/>
      <w:r w:rsidRPr="006F24A8">
        <w:rPr>
          <w:rFonts w:cs="Arial"/>
          <w:i/>
        </w:rPr>
        <w:t xml:space="preserve"> la </w:t>
      </w:r>
      <w:proofErr w:type="spellStart"/>
      <w:r w:rsidRPr="006F24A8">
        <w:rPr>
          <w:rFonts w:cs="Arial"/>
          <w:i/>
        </w:rPr>
        <w:t>protección</w:t>
      </w:r>
      <w:proofErr w:type="spellEnd"/>
      <w:r w:rsidRPr="006F24A8">
        <w:rPr>
          <w:rFonts w:cs="Arial"/>
          <w:i/>
        </w:rPr>
        <w:t xml:space="preserve"> de </w:t>
      </w:r>
      <w:proofErr w:type="spellStart"/>
      <w:r w:rsidRPr="006F24A8">
        <w:rPr>
          <w:rFonts w:cs="Arial"/>
          <w:i/>
        </w:rPr>
        <w:t>las</w:t>
      </w:r>
      <w:proofErr w:type="spellEnd"/>
      <w:r w:rsidRPr="006F24A8">
        <w:rPr>
          <w:rFonts w:cs="Arial"/>
          <w:i/>
        </w:rPr>
        <w:t> </w:t>
      </w:r>
      <w:proofErr w:type="spellStart"/>
      <w:r w:rsidRPr="006F24A8">
        <w:rPr>
          <w:rFonts w:cs="Arial"/>
          <w:i/>
        </w:rPr>
        <w:t>obtenciones</w:t>
      </w:r>
      <w:proofErr w:type="spellEnd"/>
      <w:r w:rsidRPr="006F24A8">
        <w:rPr>
          <w:rFonts w:cs="Arial"/>
          <w:i/>
        </w:rPr>
        <w:t xml:space="preserve"> </w:t>
      </w:r>
      <w:proofErr w:type="spellStart"/>
      <w:r w:rsidRPr="006F24A8">
        <w:rPr>
          <w:rFonts w:cs="Arial"/>
          <w:i/>
        </w:rPr>
        <w:t>vegetales</w:t>
      </w:r>
      <w:proofErr w:type="spellEnd"/>
      <w:r w:rsidRPr="006F24A8">
        <w:rPr>
          <w:rFonts w:cs="Arial"/>
          <w:i/>
        </w:rPr>
        <w:t xml:space="preserve"> para </w:t>
      </w:r>
      <w:proofErr w:type="spellStart"/>
      <w:r w:rsidRPr="006F24A8">
        <w:rPr>
          <w:rFonts w:cs="Arial"/>
          <w:i/>
        </w:rPr>
        <w:t>países</w:t>
      </w:r>
      <w:proofErr w:type="spellEnd"/>
      <w:r w:rsidRPr="006F24A8">
        <w:rPr>
          <w:rFonts w:cs="Arial"/>
          <w:i/>
        </w:rPr>
        <w:t xml:space="preserve"> </w:t>
      </w:r>
      <w:proofErr w:type="spellStart"/>
      <w:r w:rsidRPr="006F24A8">
        <w:rPr>
          <w:rFonts w:cs="Arial"/>
          <w:i/>
        </w:rPr>
        <w:t>Iberoamericanos</w:t>
      </w:r>
      <w:proofErr w:type="spellEnd"/>
      <w:r w:rsidRPr="006F24A8">
        <w:rPr>
          <w:rFonts w:cs="Arial"/>
        </w:rPr>
        <w:t xml:space="preserve">”, organized by the </w:t>
      </w:r>
      <w:proofErr w:type="spellStart"/>
      <w:r w:rsidRPr="006F24A8">
        <w:rPr>
          <w:rFonts w:cs="Arial"/>
          <w:i/>
        </w:rPr>
        <w:t>Instituto</w:t>
      </w:r>
      <w:proofErr w:type="spellEnd"/>
      <w:r w:rsidRPr="006F24A8">
        <w:rPr>
          <w:rFonts w:cs="Arial"/>
          <w:i/>
        </w:rPr>
        <w:t xml:space="preserve"> </w:t>
      </w:r>
      <w:proofErr w:type="spellStart"/>
      <w:r w:rsidRPr="006F24A8">
        <w:rPr>
          <w:rFonts w:cs="Arial"/>
          <w:i/>
        </w:rPr>
        <w:t>Nacional</w:t>
      </w:r>
      <w:proofErr w:type="spellEnd"/>
      <w:r w:rsidRPr="006F24A8">
        <w:rPr>
          <w:rFonts w:cs="Arial"/>
          <w:i/>
        </w:rPr>
        <w:t xml:space="preserve"> de </w:t>
      </w:r>
      <w:proofErr w:type="spellStart"/>
      <w:r w:rsidRPr="006F24A8">
        <w:rPr>
          <w:rFonts w:cs="Arial"/>
          <w:i/>
        </w:rPr>
        <w:t>Semillas</w:t>
      </w:r>
      <w:proofErr w:type="spellEnd"/>
      <w:r w:rsidRPr="006F24A8">
        <w:rPr>
          <w:rFonts w:cs="Arial"/>
        </w:rPr>
        <w:t xml:space="preserve"> (INASE) (Uruguay), the </w:t>
      </w:r>
      <w:proofErr w:type="spellStart"/>
      <w:r w:rsidRPr="006F24A8">
        <w:rPr>
          <w:rFonts w:cs="Arial"/>
          <w:i/>
        </w:rPr>
        <w:t>Oficina</w:t>
      </w:r>
      <w:proofErr w:type="spellEnd"/>
      <w:r w:rsidRPr="006F24A8">
        <w:rPr>
          <w:rFonts w:cs="Arial"/>
          <w:i/>
        </w:rPr>
        <w:t xml:space="preserve"> Española de </w:t>
      </w:r>
      <w:proofErr w:type="spellStart"/>
      <w:r w:rsidRPr="006F24A8">
        <w:rPr>
          <w:rFonts w:cs="Arial"/>
          <w:i/>
        </w:rPr>
        <w:t>Variedades</w:t>
      </w:r>
      <w:proofErr w:type="spellEnd"/>
      <w:r w:rsidRPr="006F24A8">
        <w:rPr>
          <w:rFonts w:cs="Arial"/>
          <w:i/>
        </w:rPr>
        <w:t xml:space="preserve"> </w:t>
      </w:r>
      <w:proofErr w:type="spellStart"/>
      <w:r w:rsidRPr="006F24A8">
        <w:rPr>
          <w:rFonts w:cs="Arial"/>
          <w:i/>
        </w:rPr>
        <w:t>Vegetales</w:t>
      </w:r>
      <w:proofErr w:type="spellEnd"/>
      <w:r w:rsidRPr="006F24A8">
        <w:rPr>
          <w:rFonts w:cs="Arial"/>
        </w:rPr>
        <w:t xml:space="preserve"> (OEVV) (Spain), the </w:t>
      </w:r>
      <w:proofErr w:type="spellStart"/>
      <w:r w:rsidRPr="006F24A8">
        <w:rPr>
          <w:rFonts w:cs="Arial"/>
          <w:i/>
        </w:rPr>
        <w:t>Agencia</w:t>
      </w:r>
      <w:proofErr w:type="spellEnd"/>
      <w:r w:rsidRPr="006F24A8">
        <w:rPr>
          <w:rFonts w:cs="Arial"/>
          <w:i/>
        </w:rPr>
        <w:t xml:space="preserve"> Española de </w:t>
      </w:r>
      <w:proofErr w:type="spellStart"/>
      <w:r w:rsidRPr="006F24A8">
        <w:rPr>
          <w:rFonts w:cs="Arial"/>
          <w:i/>
        </w:rPr>
        <w:t>Cooperación</w:t>
      </w:r>
      <w:proofErr w:type="spellEnd"/>
      <w:r w:rsidRPr="006F24A8">
        <w:rPr>
          <w:rFonts w:cs="Arial"/>
          <w:i/>
        </w:rPr>
        <w:t xml:space="preserve"> </w:t>
      </w:r>
      <w:proofErr w:type="spellStart"/>
      <w:r w:rsidRPr="006F24A8">
        <w:rPr>
          <w:rFonts w:cs="Arial"/>
          <w:i/>
        </w:rPr>
        <w:t>Internacional</w:t>
      </w:r>
      <w:proofErr w:type="spellEnd"/>
      <w:r w:rsidRPr="006F24A8">
        <w:rPr>
          <w:rFonts w:cs="Arial"/>
        </w:rPr>
        <w:t xml:space="preserve"> </w:t>
      </w:r>
      <w:r w:rsidRPr="006F24A8">
        <w:rPr>
          <w:rFonts w:cs="Arial"/>
          <w:i/>
        </w:rPr>
        <w:t xml:space="preserve">para el </w:t>
      </w:r>
      <w:proofErr w:type="spellStart"/>
      <w:r w:rsidRPr="006F24A8">
        <w:rPr>
          <w:rFonts w:cs="Arial"/>
          <w:i/>
        </w:rPr>
        <w:t>Desarrollo</w:t>
      </w:r>
      <w:proofErr w:type="spellEnd"/>
      <w:r w:rsidRPr="006F24A8">
        <w:rPr>
          <w:rFonts w:cs="Arial"/>
        </w:rPr>
        <w:t xml:space="preserve"> (AECID) (Spain), the United States Patent and </w:t>
      </w:r>
      <w:r w:rsidRPr="006F24A8">
        <w:rPr>
          <w:rFonts w:cs="Arial"/>
          <w:spacing w:val="-2"/>
        </w:rPr>
        <w:t>Trademark Office (USPTO) (United States of America) and the World Intellect</w:t>
      </w:r>
      <w:r w:rsidRPr="00913886">
        <w:rPr>
          <w:rFonts w:cs="Arial"/>
          <w:spacing w:val="-2"/>
        </w:rPr>
        <w:t>ual Property Organization (WIPO)</w:t>
      </w:r>
      <w:r w:rsidRPr="00913886">
        <w:rPr>
          <w:rFonts w:cs="Arial"/>
        </w:rPr>
        <w:t xml:space="preserve">; </w:t>
      </w:r>
      <w:r>
        <w:rPr>
          <w:rFonts w:cs="Arial"/>
        </w:rPr>
        <w:t xml:space="preserve"> and the </w:t>
      </w:r>
      <w:r w:rsidRPr="00913886">
        <w:rPr>
          <w:rFonts w:cs="Arial"/>
        </w:rPr>
        <w:t xml:space="preserve">“Plant Variety Protection Under UPOV Convention” course, organized by the </w:t>
      </w:r>
      <w:r w:rsidRPr="00913886">
        <w:rPr>
          <w:rFonts w:cs="Arial"/>
          <w:spacing w:val="-2"/>
        </w:rPr>
        <w:t>USPTO Global Intellectual Property Academy).</w:t>
      </w:r>
    </w:p>
    <w:p w:rsidR="00421639" w:rsidRPr="00913886" w:rsidRDefault="00421639" w:rsidP="00421639">
      <w:pPr>
        <w:tabs>
          <w:tab w:val="left" w:pos="567"/>
        </w:tabs>
        <w:rPr>
          <w:rFonts w:cs="Arial"/>
        </w:rPr>
      </w:pPr>
    </w:p>
    <w:p w:rsidR="00421639" w:rsidRPr="00DD6106" w:rsidRDefault="00421639" w:rsidP="00421639">
      <w:pPr>
        <w:tabs>
          <w:tab w:val="left" w:pos="851"/>
        </w:tabs>
      </w:pPr>
      <w:r>
        <w:t>2.3.2.10</w:t>
      </w:r>
      <w:r w:rsidRPr="00DD6106">
        <w:tab/>
        <w:t>In the case of such training courses and other training courses that, in the v</w:t>
      </w:r>
      <w:r>
        <w:t>iew of the Office of the </w:t>
      </w:r>
      <w:r w:rsidRPr="00DD6106">
        <w:t xml:space="preserve">Union, meet the policies and priorities set out by the Council, the Office of the </w:t>
      </w:r>
      <w:smartTag w:uri="urn:schemas-microsoft-com:office:smarttags" w:element="place">
        <w:r w:rsidRPr="00DD6106">
          <w:t>Union</w:t>
        </w:r>
      </w:smartTag>
      <w:r w:rsidRPr="00DD6106">
        <w:t xml:space="preserve"> seeks to provide as much support as possible in the design and operation of the training courses.  In that regard, the organizers of the training courses are encouraged to discuss with the Office of the Union their selection of trainees and the content of the course, with regard to the policies and priorities established by the Council, and are also encouraged to enable trainees to complete the UPOV distance learning course DL­205 “Introduction to the UPOV System of Plant Variety Protection” before, or during, the training course. </w:t>
      </w:r>
    </w:p>
    <w:p w:rsidR="00421639" w:rsidRPr="00DD6106" w:rsidRDefault="00421639" w:rsidP="00421639">
      <w:pPr>
        <w:tabs>
          <w:tab w:val="left" w:pos="567"/>
        </w:tabs>
      </w:pPr>
    </w:p>
    <w:p w:rsidR="00421639" w:rsidRPr="00DD6106" w:rsidRDefault="00421639" w:rsidP="00421639">
      <w:pPr>
        <w:keepNext/>
        <w:tabs>
          <w:tab w:val="left" w:pos="567"/>
        </w:tabs>
        <w:rPr>
          <w:i/>
        </w:rPr>
      </w:pPr>
      <w:r w:rsidRPr="00DD6106">
        <w:rPr>
          <w:i/>
        </w:rPr>
        <w:t>Cooperation with other organizations and bodies</w:t>
      </w:r>
    </w:p>
    <w:p w:rsidR="00421639" w:rsidRPr="00DD6106" w:rsidRDefault="00421639" w:rsidP="00421639">
      <w:pPr>
        <w:keepNext/>
        <w:tabs>
          <w:tab w:val="left" w:pos="567"/>
        </w:tabs>
      </w:pPr>
    </w:p>
    <w:p w:rsidR="00421639" w:rsidRPr="00DD6106" w:rsidRDefault="00421639" w:rsidP="00421639">
      <w:pPr>
        <w:tabs>
          <w:tab w:val="left" w:pos="851"/>
        </w:tabs>
      </w:pPr>
      <w:r>
        <w:t>2.3.2.11</w:t>
      </w:r>
      <w:r w:rsidRPr="00DD6106">
        <w:tab/>
        <w:t xml:space="preserve">UPOV’s cooperation with the World Intellectual Property Organization (WIPO) is an important means of providing assistance to States and relevant organizations in an effective way.  </w:t>
      </w:r>
    </w:p>
    <w:p w:rsidR="00421639" w:rsidRPr="00DD6106" w:rsidRDefault="00421639" w:rsidP="00421639"/>
    <w:p w:rsidR="00421639" w:rsidRPr="00DD6106" w:rsidRDefault="00421639" w:rsidP="00421639">
      <w:pPr>
        <w:tabs>
          <w:tab w:val="left" w:pos="851"/>
        </w:tabs>
      </w:pPr>
      <w:r>
        <w:t>2.3.2.12</w:t>
      </w:r>
      <w:r w:rsidRPr="00DD6106">
        <w:tab/>
        <w:t xml:space="preserve">The </w:t>
      </w:r>
      <w:r w:rsidRPr="00DD6106">
        <w:rPr>
          <w:szCs w:val="24"/>
        </w:rPr>
        <w:t>East Asia Plant Variety Protection (EAPVP) Forum</w:t>
      </w:r>
      <w:r w:rsidRPr="00DD6106">
        <w:t xml:space="preserve"> works </w:t>
      </w:r>
      <w:r w:rsidRPr="00DD6106">
        <w:rPr>
          <w:szCs w:val="24"/>
        </w:rPr>
        <w:t xml:space="preserve">to facilitate the improvement of the implementation and the harmonization of the plant variety protection system in the Asian region and the </w:t>
      </w:r>
      <w:r w:rsidRPr="00DD6106">
        <w:t xml:space="preserve">Office of the </w:t>
      </w:r>
      <w:smartTag w:uri="urn:schemas-microsoft-com:office:smarttags" w:element="place">
        <w:r w:rsidRPr="00DD6106">
          <w:t>Union</w:t>
        </w:r>
      </w:smartTag>
      <w:r w:rsidRPr="00DD6106">
        <w:t xml:space="preserve"> will continue to work with the Forum</w:t>
      </w:r>
      <w:r w:rsidRPr="00DD6106">
        <w:rPr>
          <w:szCs w:val="24"/>
        </w:rPr>
        <w:t>.</w:t>
      </w:r>
      <w:r w:rsidRPr="00DD6106">
        <w:t xml:space="preserve"> </w:t>
      </w:r>
    </w:p>
    <w:p w:rsidR="00421639" w:rsidRPr="00DD6106" w:rsidRDefault="00421639" w:rsidP="00421639">
      <w:pPr>
        <w:tabs>
          <w:tab w:val="left" w:pos="851"/>
        </w:tabs>
      </w:pPr>
    </w:p>
    <w:p w:rsidR="00421639" w:rsidRPr="00DD6106" w:rsidRDefault="00421639" w:rsidP="00421639">
      <w:pPr>
        <w:tabs>
          <w:tab w:val="left" w:pos="851"/>
        </w:tabs>
      </w:pPr>
      <w:r>
        <w:t>2.3.2.13</w:t>
      </w:r>
      <w:r w:rsidRPr="00DD6106">
        <w:rPr>
          <w:szCs w:val="24"/>
        </w:rPr>
        <w:tab/>
        <w:t>The World Seed Project</w:t>
      </w:r>
      <w:r>
        <w:rPr>
          <w:szCs w:val="24"/>
        </w:rPr>
        <w:t xml:space="preserve"> (WSP)</w:t>
      </w:r>
      <w:r w:rsidRPr="00DD6106">
        <w:rPr>
          <w:szCs w:val="24"/>
        </w:rPr>
        <w:t xml:space="preserve"> </w:t>
      </w:r>
      <w:r>
        <w:rPr>
          <w:szCs w:val="24"/>
        </w:rPr>
        <w:t xml:space="preserve">is intended to </w:t>
      </w:r>
      <w:r w:rsidRPr="00DD6106">
        <w:rPr>
          <w:szCs w:val="24"/>
        </w:rPr>
        <w:t xml:space="preserve">provide an additional means of assistance to selected </w:t>
      </w:r>
      <w:r>
        <w:rPr>
          <w:szCs w:val="24"/>
        </w:rPr>
        <w:t>countries</w:t>
      </w:r>
      <w:r w:rsidRPr="00DD6106">
        <w:rPr>
          <w:szCs w:val="24"/>
        </w:rPr>
        <w:t xml:space="preserve"> in developing </w:t>
      </w:r>
      <w:r w:rsidRPr="00DD6106">
        <w:rPr>
          <w:snapToGrid w:val="0"/>
          <w:szCs w:val="24"/>
        </w:rPr>
        <w:t>plant variety protection</w:t>
      </w:r>
      <w:r w:rsidRPr="00DD6106">
        <w:rPr>
          <w:szCs w:val="24"/>
        </w:rPr>
        <w:t xml:space="preserve"> in </w:t>
      </w:r>
      <w:r>
        <w:rPr>
          <w:szCs w:val="24"/>
        </w:rPr>
        <w:t>accordance</w:t>
      </w:r>
      <w:r w:rsidRPr="00DD6106">
        <w:rPr>
          <w:szCs w:val="24"/>
        </w:rPr>
        <w:t xml:space="preserve"> with the UPOV Convention.  </w:t>
      </w:r>
      <w:r w:rsidRPr="009B674A">
        <w:rPr>
          <w:szCs w:val="24"/>
        </w:rPr>
        <w:t>The WSP</w:t>
      </w:r>
      <w:r>
        <w:rPr>
          <w:szCs w:val="24"/>
        </w:rPr>
        <w:t xml:space="preserve"> was conceived</w:t>
      </w:r>
      <w:r w:rsidRPr="009B674A">
        <w:rPr>
          <w:szCs w:val="24"/>
        </w:rPr>
        <w:t xml:space="preserve"> to provide a framework to facilitate the development of</w:t>
      </w:r>
      <w:r>
        <w:rPr>
          <w:szCs w:val="24"/>
        </w:rPr>
        <w:t xml:space="preserve"> </w:t>
      </w:r>
      <w:r w:rsidRPr="009B674A">
        <w:rPr>
          <w:szCs w:val="24"/>
        </w:rPr>
        <w:t xml:space="preserve">new plant varieties and the delivery of high quality seed to farmers to enhance crop productivity. </w:t>
      </w:r>
      <w:r>
        <w:rPr>
          <w:szCs w:val="24"/>
        </w:rPr>
        <w:t xml:space="preserve"> </w:t>
      </w:r>
      <w:r w:rsidRPr="009B674A">
        <w:rPr>
          <w:szCs w:val="24"/>
        </w:rPr>
        <w:t xml:space="preserve">Through the combined efforts of </w:t>
      </w:r>
      <w:r>
        <w:rPr>
          <w:szCs w:val="24"/>
        </w:rPr>
        <w:t xml:space="preserve">the </w:t>
      </w:r>
      <w:r w:rsidRPr="009B674A">
        <w:rPr>
          <w:szCs w:val="24"/>
        </w:rPr>
        <w:t xml:space="preserve">Food and Agriculture Organization of </w:t>
      </w:r>
      <w:r w:rsidRPr="009B674A">
        <w:rPr>
          <w:color w:val="000000"/>
          <w:szCs w:val="24"/>
        </w:rPr>
        <w:t>the United Nations (FAO)</w:t>
      </w:r>
      <w:r w:rsidRPr="009B674A">
        <w:rPr>
          <w:szCs w:val="24"/>
        </w:rPr>
        <w:t xml:space="preserve">, </w:t>
      </w:r>
      <w:r>
        <w:rPr>
          <w:szCs w:val="24"/>
        </w:rPr>
        <w:t xml:space="preserve">the </w:t>
      </w:r>
      <w:r w:rsidRPr="009B674A">
        <w:rPr>
          <w:color w:val="000000"/>
          <w:szCs w:val="24"/>
        </w:rPr>
        <w:t>International Seed Federation (ISF)</w:t>
      </w:r>
      <w:r w:rsidRPr="009B674A">
        <w:rPr>
          <w:szCs w:val="24"/>
        </w:rPr>
        <w:t xml:space="preserve">, </w:t>
      </w:r>
      <w:r>
        <w:rPr>
          <w:szCs w:val="24"/>
        </w:rPr>
        <w:t xml:space="preserve">the </w:t>
      </w:r>
      <w:r w:rsidRPr="009B674A">
        <w:rPr>
          <w:szCs w:val="24"/>
        </w:rPr>
        <w:t xml:space="preserve">International Seed Testing Association (ISTA), </w:t>
      </w:r>
      <w:r>
        <w:rPr>
          <w:szCs w:val="24"/>
        </w:rPr>
        <w:t xml:space="preserve">the </w:t>
      </w:r>
      <w:proofErr w:type="spellStart"/>
      <w:r w:rsidRPr="009B674A">
        <w:rPr>
          <w:szCs w:val="24"/>
        </w:rPr>
        <w:t>Organisation</w:t>
      </w:r>
      <w:proofErr w:type="spellEnd"/>
      <w:r w:rsidRPr="009B674A">
        <w:rPr>
          <w:szCs w:val="24"/>
        </w:rPr>
        <w:t xml:space="preserve"> for Economic Co-operation and Development (OECD)</w:t>
      </w:r>
      <w:r>
        <w:rPr>
          <w:szCs w:val="24"/>
        </w:rPr>
        <w:t xml:space="preserve"> and UPOV, the project is intended to</w:t>
      </w:r>
      <w:r w:rsidRPr="009B674A">
        <w:rPr>
          <w:szCs w:val="24"/>
        </w:rPr>
        <w:t xml:space="preserve"> assist</w:t>
      </w:r>
      <w:r>
        <w:rPr>
          <w:szCs w:val="24"/>
        </w:rPr>
        <w:t xml:space="preserve"> </w:t>
      </w:r>
      <w:r w:rsidRPr="009B674A">
        <w:rPr>
          <w:szCs w:val="24"/>
        </w:rPr>
        <w:t>the selected countries in the development and implementation of a predictable, reliable, effective,</w:t>
      </w:r>
      <w:r>
        <w:rPr>
          <w:szCs w:val="24"/>
        </w:rPr>
        <w:t xml:space="preserve"> </w:t>
      </w:r>
      <w:r w:rsidRPr="009B674A">
        <w:rPr>
          <w:szCs w:val="24"/>
        </w:rPr>
        <w:t>and affordable regulatory regimes.</w:t>
      </w:r>
      <w:r>
        <w:rPr>
          <w:szCs w:val="24"/>
        </w:rPr>
        <w:t xml:space="preserve">  </w:t>
      </w:r>
      <w:r w:rsidRPr="009B674A">
        <w:rPr>
          <w:szCs w:val="24"/>
        </w:rPr>
        <w:t>Countries to be involved in the WSP will be identified on the basis that the project is fully compatible</w:t>
      </w:r>
      <w:r>
        <w:rPr>
          <w:szCs w:val="24"/>
        </w:rPr>
        <w:t xml:space="preserve"> </w:t>
      </w:r>
      <w:r w:rsidRPr="009B674A">
        <w:rPr>
          <w:szCs w:val="24"/>
        </w:rPr>
        <w:t>with their vision for the development of a seed supply system that can respond to the challenges</w:t>
      </w:r>
      <w:r>
        <w:rPr>
          <w:szCs w:val="24"/>
        </w:rPr>
        <w:t xml:space="preserve"> </w:t>
      </w:r>
      <w:r w:rsidRPr="009B674A">
        <w:rPr>
          <w:szCs w:val="24"/>
        </w:rPr>
        <w:t>which agriculture faces in their country.</w:t>
      </w:r>
      <w:r>
        <w:rPr>
          <w:szCs w:val="24"/>
        </w:rPr>
        <w:t xml:space="preserve">  T</w:t>
      </w:r>
      <w:r w:rsidRPr="00DD6106">
        <w:rPr>
          <w:szCs w:val="24"/>
        </w:rPr>
        <w:t xml:space="preserve">he World Seed Project will </w:t>
      </w:r>
      <w:r>
        <w:rPr>
          <w:szCs w:val="24"/>
        </w:rPr>
        <w:t>require funding</w:t>
      </w:r>
      <w:r w:rsidRPr="00DD6106">
        <w:rPr>
          <w:szCs w:val="24"/>
        </w:rPr>
        <w:t xml:space="preserve"> by external donors.</w:t>
      </w:r>
      <w:r w:rsidRPr="00DD6106">
        <w:t xml:space="preserve"> </w:t>
      </w:r>
    </w:p>
    <w:p w:rsidR="00421639" w:rsidRPr="00DD6106" w:rsidRDefault="00421639" w:rsidP="00421639">
      <w:pPr>
        <w:tabs>
          <w:tab w:val="left" w:pos="851"/>
        </w:tabs>
        <w:rPr>
          <w:color w:val="000000"/>
        </w:rPr>
      </w:pPr>
    </w:p>
    <w:p w:rsidR="00421639" w:rsidRPr="00DD6106" w:rsidRDefault="00421639" w:rsidP="00421639">
      <w:pPr>
        <w:tabs>
          <w:tab w:val="left" w:pos="851"/>
        </w:tabs>
      </w:pPr>
      <w:r>
        <w:t>2.3.2.14</w:t>
      </w:r>
      <w:r w:rsidRPr="00DD6106">
        <w:tab/>
        <w:t>As appropriate, the Office of the Union will work with the organizations mentioned above and other relevant organizations within the policy and priorities set out by the Council for assistance</w:t>
      </w:r>
      <w:r>
        <w:t xml:space="preserve"> provided</w:t>
      </w:r>
      <w:r w:rsidRPr="00DD6106">
        <w:t xml:space="preserve"> by the Office of the </w:t>
      </w:r>
      <w:smartTag w:uri="urn:schemas-microsoft-com:office:smarttags" w:element="place">
        <w:r w:rsidRPr="00DD6106">
          <w:t>Union</w:t>
        </w:r>
      </w:smartTag>
      <w:r w:rsidRPr="00DD6106">
        <w:t xml:space="preserve">.  </w:t>
      </w:r>
    </w:p>
    <w:p w:rsidR="00421639" w:rsidRDefault="00421639" w:rsidP="00421639">
      <w:pPr>
        <w:keepNext/>
        <w:rPr>
          <w:i/>
        </w:rPr>
      </w:pPr>
    </w:p>
    <w:p w:rsidR="00421639" w:rsidRPr="00DD6106" w:rsidRDefault="00421639" w:rsidP="00421639">
      <w:pPr>
        <w:keepNext/>
        <w:rPr>
          <w:i/>
        </w:rPr>
      </w:pPr>
      <w:r w:rsidRPr="00DD6106">
        <w:rPr>
          <w:i/>
        </w:rPr>
        <w:t>Donor funding</w:t>
      </w:r>
    </w:p>
    <w:p w:rsidR="00421639" w:rsidRPr="00DD6106" w:rsidRDefault="00421639" w:rsidP="00421639">
      <w:pPr>
        <w:keepNext/>
        <w:rPr>
          <w:i/>
        </w:rPr>
      </w:pPr>
    </w:p>
    <w:p w:rsidR="00421639" w:rsidRPr="00DD6106" w:rsidRDefault="00421639" w:rsidP="00421639">
      <w:pPr>
        <w:pStyle w:val="BodyText"/>
        <w:tabs>
          <w:tab w:val="left" w:pos="851"/>
        </w:tabs>
        <w:rPr>
          <w:iCs/>
          <w:szCs w:val="24"/>
        </w:rPr>
      </w:pPr>
      <w:r>
        <w:t>2.3.2.15</w:t>
      </w:r>
      <w:r w:rsidRPr="00DD6106">
        <w:tab/>
        <w:t xml:space="preserve">UPOV has developed an “Assistance webpage” for members of the </w:t>
      </w:r>
      <w:smartTag w:uri="urn:schemas-microsoft-com:office:smarttags" w:element="place">
        <w:r w:rsidRPr="00DD6106">
          <w:t>Union</w:t>
        </w:r>
      </w:smartTag>
      <w:r w:rsidRPr="00DD6106">
        <w:t xml:space="preserve"> to use as a tool</w:t>
      </w:r>
      <w:r w:rsidRPr="00DD6106">
        <w:rPr>
          <w:szCs w:val="24"/>
        </w:rPr>
        <w:t xml:space="preserve"> to </w:t>
      </w:r>
      <w:r w:rsidRPr="00DD6106">
        <w:rPr>
          <w:iCs/>
          <w:szCs w:val="24"/>
        </w:rPr>
        <w:t>mobilize additional extra-budgetary reso</w:t>
      </w:r>
      <w:r>
        <w:rPr>
          <w:iCs/>
          <w:szCs w:val="24"/>
        </w:rPr>
        <w:t xml:space="preserve">urces through donor funding. </w:t>
      </w:r>
    </w:p>
    <w:p w:rsidR="00421639" w:rsidRPr="00DD6106" w:rsidRDefault="00421639" w:rsidP="00421639">
      <w:pPr>
        <w:rPr>
          <w:i/>
        </w:rPr>
      </w:pPr>
    </w:p>
    <w:p w:rsidR="00421639" w:rsidRPr="00DD6106" w:rsidRDefault="00421639" w:rsidP="00421639">
      <w:pPr>
        <w:rPr>
          <w:b/>
        </w:rPr>
      </w:pPr>
      <w:r w:rsidRPr="00DD6106">
        <w:rPr>
          <w:b/>
        </w:rPr>
        <w:t>2.3.3</w:t>
      </w:r>
      <w:r w:rsidRPr="00DD6106">
        <w:rPr>
          <w:b/>
        </w:rPr>
        <w:tab/>
        <w:t>Activities</w:t>
      </w:r>
    </w:p>
    <w:p w:rsidR="00421639" w:rsidRPr="00DD6106" w:rsidRDefault="00421639" w:rsidP="00421639"/>
    <w:p w:rsidR="00421639" w:rsidRPr="00DD6106" w:rsidRDefault="00421639" w:rsidP="00421639">
      <w:pPr>
        <w:numPr>
          <w:ilvl w:val="0"/>
          <w:numId w:val="10"/>
        </w:numPr>
        <w:tabs>
          <w:tab w:val="clear" w:pos="720"/>
        </w:tabs>
        <w:spacing w:after="120"/>
        <w:ind w:left="1134" w:hanging="567"/>
      </w:pPr>
      <w:r w:rsidRPr="00DD6106">
        <w:t>Ass</w:t>
      </w:r>
      <w:r>
        <w:t>istance in drafting legislation.</w:t>
      </w:r>
    </w:p>
    <w:p w:rsidR="00421639" w:rsidRPr="00DD6106" w:rsidRDefault="00421639" w:rsidP="00421639">
      <w:pPr>
        <w:numPr>
          <w:ilvl w:val="0"/>
          <w:numId w:val="10"/>
        </w:numPr>
        <w:tabs>
          <w:tab w:val="clear" w:pos="720"/>
        </w:tabs>
        <w:spacing w:after="120"/>
        <w:ind w:left="1134" w:hanging="567"/>
      </w:pPr>
      <w:r w:rsidRPr="00DD6106">
        <w:t>Development and operation of distance</w:t>
      </w:r>
      <w:r>
        <w:t xml:space="preserve"> learning courses.</w:t>
      </w:r>
    </w:p>
    <w:p w:rsidR="00421639" w:rsidRPr="002C0995" w:rsidRDefault="00421639" w:rsidP="00421639">
      <w:pPr>
        <w:numPr>
          <w:ilvl w:val="0"/>
          <w:numId w:val="10"/>
        </w:numPr>
        <w:tabs>
          <w:tab w:val="clear" w:pos="720"/>
        </w:tabs>
        <w:spacing w:after="120"/>
        <w:ind w:left="1134" w:hanging="567"/>
      </w:pPr>
      <w:r w:rsidRPr="002C0995">
        <w:t>Tra</w:t>
      </w:r>
      <w:r>
        <w:t>ining and assistance activities.</w:t>
      </w:r>
    </w:p>
    <w:p w:rsidR="00421639" w:rsidRPr="002C0995" w:rsidRDefault="00421639" w:rsidP="00421639">
      <w:pPr>
        <w:numPr>
          <w:ilvl w:val="0"/>
          <w:numId w:val="10"/>
        </w:numPr>
        <w:tabs>
          <w:tab w:val="clear" w:pos="720"/>
        </w:tabs>
        <w:spacing w:after="120"/>
        <w:ind w:left="1134" w:hanging="567"/>
      </w:pPr>
      <w:r w:rsidRPr="002C0995">
        <w:t>Support for projects to introduc</w:t>
      </w:r>
      <w:r>
        <w:t>e and implement the UPOV system.</w:t>
      </w:r>
    </w:p>
    <w:p w:rsidR="00421639" w:rsidRPr="002C0995" w:rsidRDefault="00421639" w:rsidP="00421639">
      <w:pPr>
        <w:numPr>
          <w:ilvl w:val="0"/>
          <w:numId w:val="10"/>
        </w:numPr>
        <w:tabs>
          <w:tab w:val="clear" w:pos="720"/>
        </w:tabs>
        <w:spacing w:after="120"/>
        <w:ind w:left="1134" w:hanging="567"/>
      </w:pPr>
      <w:r w:rsidRPr="002C0995">
        <w:t xml:space="preserve">Publications on the role of the UPOV system of </w:t>
      </w:r>
      <w:r w:rsidRPr="002C0995">
        <w:rPr>
          <w:snapToGrid w:val="0"/>
        </w:rPr>
        <w:t>plant variety protection, to be made available through the UPOV website and other com</w:t>
      </w:r>
      <w:r>
        <w:rPr>
          <w:snapToGrid w:val="0"/>
        </w:rPr>
        <w:t>munication channels.</w:t>
      </w:r>
    </w:p>
    <w:p w:rsidR="00421639" w:rsidRPr="002C0995" w:rsidRDefault="00421639" w:rsidP="00421639">
      <w:pPr>
        <w:numPr>
          <w:ilvl w:val="0"/>
          <w:numId w:val="10"/>
        </w:numPr>
        <w:tabs>
          <w:tab w:val="clear" w:pos="720"/>
        </w:tabs>
        <w:spacing w:after="120"/>
        <w:ind w:left="1134" w:hanging="567"/>
      </w:pPr>
      <w:r w:rsidRPr="002C0995">
        <w:rPr>
          <w:snapToGrid w:val="0"/>
        </w:rPr>
        <w:t>Awareness-raising events.</w:t>
      </w:r>
    </w:p>
    <w:p w:rsidR="00421639" w:rsidRPr="00DD6106" w:rsidRDefault="00421639" w:rsidP="00421639">
      <w:pPr>
        <w:tabs>
          <w:tab w:val="left" w:pos="567"/>
        </w:tabs>
      </w:pPr>
    </w:p>
    <w:p w:rsidR="00421639" w:rsidRPr="00DD6106" w:rsidRDefault="00421639" w:rsidP="00421639">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t>2.3.4</w:t>
      </w:r>
      <w:r w:rsidRPr="00DD6106">
        <w:rPr>
          <w:b/>
        </w:rPr>
        <w:tab/>
        <w:t>Expected Results and Performance Indicators</w:t>
      </w:r>
    </w:p>
    <w:p w:rsidR="00421639" w:rsidRPr="00DD6106" w:rsidRDefault="00421639" w:rsidP="00421639">
      <w:pPr>
        <w:keepNext/>
        <w:tabs>
          <w:tab w:val="left" w:pos="567"/>
        </w:tabs>
      </w:pPr>
    </w:p>
    <w:tbl>
      <w:tblPr>
        <w:tblW w:w="9889" w:type="dxa"/>
        <w:tblInd w:w="-103" w:type="dxa"/>
        <w:tblLayout w:type="fixed"/>
        <w:tblCellMar>
          <w:left w:w="0" w:type="dxa"/>
          <w:right w:w="0" w:type="dxa"/>
        </w:tblCellMar>
        <w:tblLook w:val="0000" w:firstRow="0" w:lastRow="0" w:firstColumn="0" w:lastColumn="0" w:noHBand="0" w:noVBand="0"/>
      </w:tblPr>
      <w:tblGrid>
        <w:gridCol w:w="4643"/>
        <w:gridCol w:w="5246"/>
      </w:tblGrid>
      <w:tr w:rsidR="00421639" w:rsidRPr="00DD6106" w:rsidTr="00DC35EC">
        <w:trPr>
          <w:cantSplit/>
          <w:tblHeader/>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120" w:after="120"/>
              <w:ind w:left="108"/>
              <w:jc w:val="center"/>
              <w:rPr>
                <w:color w:val="000000"/>
                <w:u w:val="single"/>
              </w:rPr>
            </w:pPr>
            <w:r w:rsidRPr="00DD6106">
              <w:rPr>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120" w:after="120"/>
              <w:jc w:val="center"/>
              <w:rPr>
                <w:color w:val="000000"/>
                <w:u w:val="single"/>
              </w:rPr>
            </w:pPr>
            <w:r w:rsidRPr="00DD6106">
              <w:rPr>
                <w:color w:val="000000"/>
                <w:u w:val="single"/>
              </w:rPr>
              <w:t>Performance Indicators</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spacing w:before="60" w:after="60"/>
              <w:ind w:left="108"/>
              <w:jc w:val="left"/>
              <w:rPr>
                <w:color w:val="000000"/>
              </w:rPr>
            </w:pPr>
            <w:r w:rsidRPr="00DD6106">
              <w:rPr>
                <w:color w:val="000000"/>
              </w:rPr>
              <w:t>1.</w:t>
            </w:r>
            <w:r w:rsidRPr="00DD6106">
              <w:rPr>
                <w:color w:val="000000"/>
              </w:rPr>
              <w:tab/>
              <w:t xml:space="preserve">Raising awareness of the role of plant variety protection in accordance with the UPOV Convention </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spacing w:before="60" w:after="60"/>
              <w:ind w:left="143"/>
              <w:jc w:val="left"/>
              <w:rPr>
                <w:color w:val="000000"/>
              </w:rPr>
            </w:pPr>
            <w:r w:rsidRPr="00DD6106">
              <w:rPr>
                <w:color w:val="000000"/>
              </w:rPr>
              <w:t>(a)</w:t>
            </w:r>
            <w:r w:rsidRPr="00DD6106">
              <w:rPr>
                <w:color w:val="000000"/>
              </w:rPr>
              <w:tab/>
              <w:t xml:space="preserve">publications on the role of </w:t>
            </w:r>
            <w:r w:rsidRPr="00DD6106">
              <w:rPr>
                <w:snapToGrid w:val="0"/>
                <w:color w:val="000000"/>
              </w:rPr>
              <w:t>plant variety protection</w:t>
            </w:r>
            <w:r>
              <w:rPr>
                <w:snapToGrid w:val="0"/>
                <w:color w:val="000000"/>
              </w:rPr>
              <w:t xml:space="preserve"> </w:t>
            </w:r>
            <w:r w:rsidRPr="002C0995">
              <w:rPr>
                <w:snapToGrid w:val="0"/>
              </w:rPr>
              <w:t>made available through the UPOV website and other communication channels</w:t>
            </w:r>
            <w:r w:rsidRPr="002C0995">
              <w:rPr>
                <w:snapToGrid w:val="0"/>
                <w:color w:val="000000"/>
              </w:rPr>
              <w:t>;</w:t>
            </w:r>
          </w:p>
          <w:p w:rsidR="00421639" w:rsidRPr="00DD6106" w:rsidRDefault="00421639" w:rsidP="00DC35EC">
            <w:pPr>
              <w:spacing w:before="60" w:after="60"/>
              <w:ind w:left="143"/>
              <w:jc w:val="left"/>
              <w:rPr>
                <w:color w:val="000000"/>
              </w:rPr>
            </w:pPr>
            <w:r w:rsidRPr="00DD6106">
              <w:rPr>
                <w:color w:val="000000"/>
              </w:rPr>
              <w:t xml:space="preserve">(b) </w:t>
            </w:r>
            <w:r w:rsidRPr="00DD6106">
              <w:rPr>
                <w:color w:val="000000"/>
              </w:rPr>
              <w:tab/>
            </w:r>
            <w:r w:rsidRPr="00DD6106">
              <w:t>States and organizations</w:t>
            </w:r>
            <w:r w:rsidRPr="00DD6106">
              <w:rPr>
                <w:color w:val="000000"/>
              </w:rPr>
              <w:t xml:space="preserve"> provided with information at UPOV activities;</w:t>
            </w:r>
          </w:p>
          <w:p w:rsidR="00421639" w:rsidRPr="00DD6106" w:rsidRDefault="00421639" w:rsidP="00DC35EC">
            <w:pPr>
              <w:spacing w:before="60" w:after="60"/>
              <w:ind w:left="143"/>
              <w:jc w:val="left"/>
              <w:rPr>
                <w:color w:val="000000"/>
              </w:rPr>
            </w:pPr>
            <w:r w:rsidRPr="00DD6106">
              <w:rPr>
                <w:color w:val="000000"/>
              </w:rPr>
              <w:t>(c)</w:t>
            </w:r>
            <w:r w:rsidRPr="00DD6106">
              <w:rPr>
                <w:color w:val="000000"/>
              </w:rPr>
              <w:tab/>
            </w:r>
            <w:r w:rsidRPr="00DD6106">
              <w:t>States and organizations</w:t>
            </w:r>
            <w:r w:rsidRPr="00DD6106">
              <w:rPr>
                <w:color w:val="000000"/>
              </w:rPr>
              <w:t xml:space="preserve"> that contact the Office of the </w:t>
            </w:r>
            <w:smartTag w:uri="urn:schemas-microsoft-com:office:smarttags" w:element="place">
              <w:r w:rsidRPr="00DD6106">
                <w:rPr>
                  <w:color w:val="000000"/>
                </w:rPr>
                <w:t>Union</w:t>
              </w:r>
            </w:smartTag>
            <w:r w:rsidRPr="00DD6106">
              <w:rPr>
                <w:color w:val="000000"/>
              </w:rPr>
              <w:t xml:space="preserve"> for assistance in the development of legislation on plant variety protection;</w:t>
            </w:r>
          </w:p>
          <w:p w:rsidR="00421639" w:rsidRPr="00DD6106" w:rsidRDefault="00421639" w:rsidP="00DC35EC">
            <w:pPr>
              <w:spacing w:before="60" w:after="60"/>
              <w:ind w:left="143"/>
              <w:jc w:val="left"/>
            </w:pPr>
            <w:r w:rsidRPr="00DD6106">
              <w:t>(d)</w:t>
            </w:r>
            <w:r w:rsidRPr="00DD6106">
              <w:tab/>
              <w:t xml:space="preserve">States and organizations that initiate with the Council of UPOV the procedure for becoming members of the </w:t>
            </w:r>
            <w:smartTag w:uri="urn:schemas-microsoft-com:office:smarttags" w:element="place">
              <w:r w:rsidRPr="00DD6106">
                <w:t>Union</w:t>
              </w:r>
            </w:smartTag>
            <w:r w:rsidRPr="00DD6106">
              <w:t>;</w:t>
            </w:r>
          </w:p>
          <w:p w:rsidR="00421639" w:rsidRPr="00DD6106" w:rsidRDefault="00421639" w:rsidP="005B0934">
            <w:pPr>
              <w:spacing w:before="60" w:after="60"/>
              <w:ind w:left="143"/>
              <w:jc w:val="left"/>
            </w:pPr>
            <w:r w:rsidRPr="00DD6106">
              <w:t>(e)</w:t>
            </w:r>
            <w:r w:rsidRPr="00DD6106">
              <w:tab/>
              <w:t>participation in UPOV awareness-raising activities, or activities involving</w:t>
            </w:r>
            <w:r w:rsidRPr="00DD6106">
              <w:rPr>
                <w:color w:val="000000"/>
              </w:rPr>
              <w:t xml:space="preserve"> UPOV staff or UPOV trainers on behalf of UPOV</w:t>
            </w:r>
            <w:r w:rsidRPr="00DD6106">
              <w:t>.</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spacing w:before="60" w:after="60"/>
              <w:ind w:left="108"/>
              <w:jc w:val="left"/>
              <w:rPr>
                <w:color w:val="000000"/>
              </w:rPr>
            </w:pPr>
            <w:r w:rsidRPr="00DD6106">
              <w:rPr>
                <w:color w:val="000000"/>
              </w:rPr>
              <w:t>2.</w:t>
            </w:r>
            <w:r w:rsidRPr="00DD6106">
              <w:rPr>
                <w:color w:val="000000"/>
              </w:rPr>
              <w:tab/>
              <w:t xml:space="preserve">Assistance in drafting legislation on plant variety protection in accordance with the 1991 Act of the UPOV Convention </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spacing w:before="60" w:after="60"/>
              <w:ind w:left="143"/>
              <w:jc w:val="left"/>
              <w:rPr>
                <w:color w:val="000000"/>
              </w:rPr>
            </w:pPr>
            <w:r w:rsidRPr="00DD6106">
              <w:rPr>
                <w:color w:val="000000"/>
              </w:rPr>
              <w:t xml:space="preserve">(a) </w:t>
            </w:r>
            <w:r w:rsidRPr="00DD6106">
              <w:rPr>
                <w:color w:val="000000"/>
              </w:rPr>
              <w:tab/>
            </w:r>
            <w:r w:rsidRPr="00DD6106">
              <w:t>States and organizations</w:t>
            </w:r>
            <w:r w:rsidRPr="00DD6106">
              <w:rPr>
                <w:color w:val="000000"/>
              </w:rPr>
              <w:t xml:space="preserve"> provided with comments on laws;</w:t>
            </w:r>
          </w:p>
          <w:p w:rsidR="00421639" w:rsidRPr="00DD6106" w:rsidRDefault="00421639" w:rsidP="00DC35EC">
            <w:pPr>
              <w:spacing w:before="60" w:after="60"/>
              <w:ind w:left="143"/>
              <w:jc w:val="left"/>
            </w:pPr>
            <w:r w:rsidRPr="00DD6106">
              <w:t>(b)</w:t>
            </w:r>
            <w:r w:rsidRPr="00DD6106">
              <w:tab/>
              <w:t>States and organizations receiving a positive advice from the Council of UPOV;</w:t>
            </w:r>
          </w:p>
          <w:p w:rsidR="00421639" w:rsidRPr="00DD6106" w:rsidRDefault="00421639" w:rsidP="00DC35EC">
            <w:pPr>
              <w:spacing w:before="60" w:after="60"/>
              <w:ind w:left="143"/>
              <w:jc w:val="left"/>
            </w:pPr>
            <w:r w:rsidRPr="00DD6106">
              <w:rPr>
                <w:color w:val="000000"/>
              </w:rPr>
              <w:t>(c)</w:t>
            </w:r>
            <w:r w:rsidRPr="00DD6106">
              <w:rPr>
                <w:color w:val="000000"/>
              </w:rPr>
              <w:tab/>
              <w:t>meetings with government officials.</w:t>
            </w:r>
            <w:r w:rsidRPr="00DD6106">
              <w:t xml:space="preserve"> </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spacing w:before="60" w:after="60"/>
              <w:ind w:left="108"/>
              <w:jc w:val="left"/>
              <w:rPr>
                <w:color w:val="000000"/>
              </w:rPr>
            </w:pPr>
            <w:r w:rsidRPr="00DD6106">
              <w:t>3.</w:t>
            </w:r>
            <w:r w:rsidRPr="00DD6106">
              <w:tab/>
              <w:t>Assistance to States and organizations in the accession to the 1991 Act of the UPOV Convention</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spacing w:before="60" w:after="60"/>
              <w:ind w:left="143"/>
              <w:jc w:val="left"/>
            </w:pPr>
            <w:r w:rsidRPr="00DD6106">
              <w:t>(a)</w:t>
            </w:r>
            <w:r w:rsidRPr="00DD6106">
              <w:tab/>
              <w:t>States that accede to or ratify the 1991 Act of the UPOV Convention;</w:t>
            </w:r>
          </w:p>
          <w:p w:rsidR="00421639" w:rsidRPr="00DD6106" w:rsidRDefault="00421639" w:rsidP="00DC35EC">
            <w:pPr>
              <w:spacing w:before="60" w:after="60"/>
              <w:ind w:left="143"/>
              <w:jc w:val="left"/>
              <w:rPr>
                <w:color w:val="000000"/>
              </w:rPr>
            </w:pPr>
            <w:r w:rsidRPr="00DD6106">
              <w:t>(b)</w:t>
            </w:r>
            <w:r w:rsidRPr="00DD6106">
              <w:tab/>
              <w:t xml:space="preserve">States and organizations that become members of the </w:t>
            </w:r>
            <w:smartTag w:uri="urn:schemas-microsoft-com:office:smarttags" w:element="place">
              <w:r w:rsidRPr="00DD6106">
                <w:t>Union</w:t>
              </w:r>
            </w:smartTag>
            <w:r w:rsidRPr="00DD6106">
              <w:t>.</w:t>
            </w:r>
          </w:p>
        </w:tc>
      </w:tr>
      <w:tr w:rsidR="00421639" w:rsidRPr="00DD6106"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DD6106" w:rsidRDefault="00421639" w:rsidP="005B0934">
            <w:pPr>
              <w:spacing w:before="60" w:after="60"/>
              <w:ind w:left="108"/>
              <w:jc w:val="left"/>
              <w:rPr>
                <w:color w:val="000000"/>
              </w:rPr>
            </w:pPr>
            <w:r w:rsidRPr="00DD6106">
              <w:rPr>
                <w:color w:val="000000"/>
              </w:rPr>
              <w:t>4.</w:t>
            </w:r>
            <w:r w:rsidRPr="00DD6106">
              <w:rPr>
                <w:color w:val="000000"/>
              </w:rPr>
              <w:tab/>
              <w:t>A</w:t>
            </w:r>
            <w:r w:rsidRPr="006F24A8">
              <w:rPr>
                <w:color w:val="000000"/>
              </w:rPr>
              <w:t>ssistance in implementing an effective plant variety protection syste</w:t>
            </w:r>
            <w:r w:rsidRPr="00DD6106">
              <w:rPr>
                <w:color w:val="000000"/>
              </w:rPr>
              <w:t>m in accordance with the UPOV Convention</w:t>
            </w:r>
          </w:p>
        </w:tc>
        <w:tc>
          <w:tcPr>
            <w:tcW w:w="524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spacing w:before="60" w:after="60"/>
              <w:ind w:left="143"/>
              <w:jc w:val="left"/>
              <w:rPr>
                <w:color w:val="000000"/>
              </w:rPr>
            </w:pPr>
            <w:r w:rsidRPr="00DD6106">
              <w:rPr>
                <w:color w:val="000000"/>
              </w:rPr>
              <w:t>(a)</w:t>
            </w:r>
            <w:r w:rsidRPr="00DD6106">
              <w:rPr>
                <w:color w:val="000000"/>
              </w:rPr>
              <w:tab/>
              <w:t>participation in distance learning courses;</w:t>
            </w:r>
          </w:p>
          <w:p w:rsidR="00421639" w:rsidRPr="00DD6106" w:rsidRDefault="00421639" w:rsidP="00DC35EC">
            <w:pPr>
              <w:widowControl w:val="0"/>
              <w:spacing w:before="60" w:after="60"/>
              <w:ind w:left="143"/>
              <w:jc w:val="left"/>
              <w:rPr>
                <w:color w:val="000000"/>
              </w:rPr>
            </w:pPr>
            <w:bookmarkStart w:id="7" w:name="OLE_LINK3"/>
            <w:bookmarkStart w:id="8" w:name="OLE_LINK4"/>
            <w:r w:rsidRPr="00DD6106">
              <w:rPr>
                <w:color w:val="000000"/>
              </w:rPr>
              <w:t>(b)</w:t>
            </w:r>
            <w:r w:rsidRPr="00DD6106">
              <w:rPr>
                <w:color w:val="000000"/>
              </w:rPr>
              <w:tab/>
              <w:t xml:space="preserve">participation by </w:t>
            </w:r>
            <w:smartTag w:uri="urn:schemas-microsoft-com:office:smarttags" w:element="place">
              <w:smartTag w:uri="urn:schemas-microsoft-com:office:smarttags" w:element="PlaceName">
                <w:r w:rsidRPr="00DD6106">
                  <w:rPr>
                    <w:color w:val="000000"/>
                  </w:rPr>
                  <w:t>observer</w:t>
                </w:r>
              </w:smartTag>
              <w:r w:rsidRPr="00DD6106">
                <w:rPr>
                  <w:color w:val="000000"/>
                </w:rPr>
                <w:t xml:space="preserve"> </w:t>
              </w:r>
              <w:smartTag w:uri="urn:schemas-microsoft-com:office:smarttags" w:element="PlaceType">
                <w:r w:rsidRPr="00DD6106">
                  <w:rPr>
                    <w:color w:val="000000"/>
                  </w:rPr>
                  <w:t>States</w:t>
                </w:r>
              </w:smartTag>
            </w:smartTag>
            <w:r w:rsidRPr="00DD6106">
              <w:rPr>
                <w:color w:val="000000"/>
              </w:rPr>
              <w:t xml:space="preserve"> and organizations in the CAJ, TC, TWPs and the associated preparatory workshops;</w:t>
            </w:r>
          </w:p>
          <w:bookmarkEnd w:id="7"/>
          <w:bookmarkEnd w:id="8"/>
          <w:p w:rsidR="00421639" w:rsidRPr="00DD6106" w:rsidRDefault="00421639" w:rsidP="00DC35EC">
            <w:pPr>
              <w:widowControl w:val="0"/>
              <w:spacing w:before="60" w:after="60"/>
              <w:ind w:left="143"/>
              <w:jc w:val="left"/>
              <w:rPr>
                <w:color w:val="000000"/>
              </w:rPr>
            </w:pPr>
            <w:r w:rsidRPr="00DD6106">
              <w:rPr>
                <w:color w:val="000000"/>
              </w:rPr>
              <w:t>(c)</w:t>
            </w:r>
            <w:r w:rsidRPr="00DD6106">
              <w:rPr>
                <w:color w:val="000000"/>
              </w:rPr>
              <w:tab/>
              <w:t>participation in UPOV activities;</w:t>
            </w:r>
          </w:p>
          <w:p w:rsidR="00421639" w:rsidRPr="00DD6106" w:rsidRDefault="00421639" w:rsidP="00DC35EC">
            <w:pPr>
              <w:widowControl w:val="0"/>
              <w:spacing w:before="60" w:after="60"/>
              <w:ind w:left="143"/>
              <w:jc w:val="left"/>
              <w:rPr>
                <w:color w:val="000000"/>
              </w:rPr>
            </w:pPr>
            <w:r w:rsidRPr="00DD6106">
              <w:rPr>
                <w:color w:val="000000"/>
              </w:rPr>
              <w:t>(d)</w:t>
            </w:r>
            <w:r w:rsidRPr="00DD6106">
              <w:rPr>
                <w:color w:val="000000"/>
              </w:rPr>
              <w:tab/>
              <w:t>participation in activities involving UPOV staff or UPOV trainers on behalf of UPOV;</w:t>
            </w:r>
          </w:p>
          <w:p w:rsidR="00421639" w:rsidRPr="00DD6106" w:rsidRDefault="00421639" w:rsidP="00DC35EC">
            <w:pPr>
              <w:spacing w:before="60" w:after="60"/>
              <w:ind w:left="143"/>
              <w:jc w:val="left"/>
              <w:rPr>
                <w:color w:val="000000"/>
              </w:rPr>
            </w:pPr>
            <w:r w:rsidRPr="00DD6106">
              <w:rPr>
                <w:color w:val="000000"/>
              </w:rPr>
              <w:t>(e)</w:t>
            </w:r>
            <w:r w:rsidRPr="00DD6106">
              <w:rPr>
                <w:color w:val="000000"/>
              </w:rPr>
              <w:tab/>
              <w:t>training provided by UPOV trainers in non-UPOV activities;</w:t>
            </w:r>
          </w:p>
          <w:p w:rsidR="00421639" w:rsidRPr="00DD6106" w:rsidRDefault="00421639" w:rsidP="00DC35EC">
            <w:pPr>
              <w:spacing w:before="60" w:after="60"/>
              <w:ind w:left="143"/>
              <w:jc w:val="left"/>
              <w:rPr>
                <w:color w:val="000000"/>
              </w:rPr>
            </w:pPr>
            <w:r w:rsidRPr="00DD6106">
              <w:rPr>
                <w:color w:val="000000"/>
              </w:rPr>
              <w:t>(f)</w:t>
            </w:r>
            <w:r w:rsidRPr="00DD6106">
              <w:rPr>
                <w:color w:val="000000"/>
              </w:rPr>
              <w:tab/>
              <w:t>implementation of projects with partner organizations and donors;</w:t>
            </w:r>
          </w:p>
          <w:p w:rsidR="00421639" w:rsidRPr="00DD6106" w:rsidRDefault="00421639" w:rsidP="00DC35EC">
            <w:pPr>
              <w:spacing w:before="60" w:after="60"/>
              <w:ind w:left="143"/>
              <w:jc w:val="left"/>
              <w:rPr>
                <w:color w:val="000000"/>
              </w:rPr>
            </w:pPr>
            <w:r w:rsidRPr="00DD6106">
              <w:rPr>
                <w:color w:val="000000"/>
              </w:rPr>
              <w:t>(g)</w:t>
            </w:r>
            <w:r w:rsidRPr="00DD6106">
              <w:rPr>
                <w:color w:val="000000"/>
              </w:rPr>
              <w:tab/>
              <w:t>use of assistance web-page to obtain project support.</w:t>
            </w:r>
          </w:p>
        </w:tc>
      </w:tr>
    </w:tbl>
    <w:p w:rsidR="00421639" w:rsidRPr="00DD6106" w:rsidRDefault="00421639" w:rsidP="00421639"/>
    <w:p w:rsidR="00421639" w:rsidRPr="00DD6106" w:rsidRDefault="00421639" w:rsidP="00421639">
      <w:pPr>
        <w:keepNext/>
        <w:tabs>
          <w:tab w:val="left" w:pos="567"/>
        </w:tabs>
        <w:ind w:left="2835" w:hanging="2835"/>
        <w:rPr>
          <w:b/>
          <w:u w:val="single"/>
        </w:rPr>
      </w:pPr>
      <w:r w:rsidRPr="00DD6106">
        <w:rPr>
          <w:b/>
        </w:rPr>
        <w:br w:type="page"/>
        <w:t>2.4</w:t>
      </w:r>
      <w:r w:rsidRPr="00DD6106">
        <w:rPr>
          <w:b/>
        </w:rPr>
        <w:tab/>
      </w:r>
      <w:r w:rsidRPr="00DD6106">
        <w:rPr>
          <w:b/>
          <w:u w:val="single"/>
        </w:rPr>
        <w:t>Sub-program UV.4</w:t>
      </w:r>
      <w:r w:rsidRPr="00DD6106">
        <w:rPr>
          <w:b/>
        </w:rPr>
        <w:t>:</w:t>
      </w:r>
      <w:r w:rsidRPr="00DD6106">
        <w:rPr>
          <w:b/>
        </w:rPr>
        <w:tab/>
      </w:r>
      <w:r w:rsidRPr="00DD6106">
        <w:rPr>
          <w:b/>
          <w:u w:val="single"/>
        </w:rPr>
        <w:tab/>
        <w:t>External Relations</w:t>
      </w:r>
    </w:p>
    <w:p w:rsidR="00421639" w:rsidRPr="00DD6106" w:rsidRDefault="00421639" w:rsidP="00421639">
      <w:pPr>
        <w:keepNext/>
      </w:pPr>
    </w:p>
    <w:p w:rsidR="00421639" w:rsidRPr="00DD6106" w:rsidRDefault="00421639" w:rsidP="00421639">
      <w:pPr>
        <w:keepNext/>
        <w:rPr>
          <w:b/>
          <w:color w:val="000000"/>
        </w:rPr>
      </w:pPr>
      <w:r w:rsidRPr="00DD6106">
        <w:rPr>
          <w:b/>
          <w:color w:val="000000"/>
        </w:rPr>
        <w:t>2.4.1</w:t>
      </w:r>
      <w:r w:rsidRPr="00DD6106">
        <w:rPr>
          <w:b/>
          <w:color w:val="000000"/>
        </w:rPr>
        <w:tab/>
        <w:t>Objectives</w:t>
      </w:r>
    </w:p>
    <w:p w:rsidR="00421639" w:rsidRPr="00DD6106" w:rsidRDefault="00421639" w:rsidP="00421639">
      <w:pPr>
        <w:keepNext/>
        <w:tabs>
          <w:tab w:val="num" w:pos="567"/>
        </w:tabs>
      </w:pPr>
    </w:p>
    <w:p w:rsidR="00421639" w:rsidRPr="006F24A8" w:rsidRDefault="00421639" w:rsidP="00421639">
      <w:r w:rsidRPr="00DD6106">
        <w:tab/>
        <w:t>(a)</w:t>
      </w:r>
      <w:r w:rsidRPr="00DD6106">
        <w:tab/>
      </w:r>
      <w:r w:rsidRPr="006F24A8">
        <w:t>To broaden and enhance the understanding of the UPOV sys</w:t>
      </w:r>
      <w:r>
        <w:t>tem of plant variety protection.</w:t>
      </w:r>
    </w:p>
    <w:p w:rsidR="00421639" w:rsidRPr="006F24A8" w:rsidRDefault="00421639" w:rsidP="00421639"/>
    <w:p w:rsidR="00421639" w:rsidRDefault="00421639" w:rsidP="00421639">
      <w:r w:rsidRPr="006F24A8">
        <w:tab/>
        <w:t>(b)</w:t>
      </w:r>
      <w:r w:rsidRPr="006F24A8">
        <w:tab/>
        <w:t>To provide information on the UPOV Convention to other intergovernmental organizations, with the aim of achieving mutual supportiveness with other international treaties.</w:t>
      </w:r>
    </w:p>
    <w:p w:rsidR="00EC2F57" w:rsidRDefault="00EC2F57" w:rsidP="00421639"/>
    <w:p w:rsidR="00EC2F57" w:rsidRPr="00650965" w:rsidRDefault="00EC2F57" w:rsidP="00421639">
      <w:r w:rsidRPr="00650965">
        <w:tab/>
        <w:t>(c)</w:t>
      </w:r>
      <w:r w:rsidRPr="00650965">
        <w:tab/>
        <w:t>To inform members of the Union of developments of relevance to UPOV.</w:t>
      </w:r>
    </w:p>
    <w:p w:rsidR="00421639" w:rsidRPr="006F24A8" w:rsidRDefault="00421639" w:rsidP="00421639"/>
    <w:p w:rsidR="00421639" w:rsidRPr="006F24A8" w:rsidRDefault="00421639" w:rsidP="00421639">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6F24A8">
        <w:rPr>
          <w:b/>
        </w:rPr>
        <w:t>2.4.2</w:t>
      </w:r>
      <w:r w:rsidRPr="006F24A8">
        <w:rPr>
          <w:b/>
        </w:rPr>
        <w:tab/>
        <w:t>Narrative</w:t>
      </w:r>
    </w:p>
    <w:p w:rsidR="00421639" w:rsidRPr="006F24A8" w:rsidRDefault="00421639" w:rsidP="00421639">
      <w:pPr>
        <w:tabs>
          <w:tab w:val="left" w:pos="567"/>
        </w:tabs>
      </w:pPr>
    </w:p>
    <w:p w:rsidR="00421639" w:rsidRPr="006F24A8" w:rsidRDefault="00421639" w:rsidP="00421639">
      <w:pPr>
        <w:tabs>
          <w:tab w:val="left" w:pos="851"/>
        </w:tabs>
      </w:pPr>
      <w:r w:rsidRPr="006F24A8">
        <w:t>2.4.2.1</w:t>
      </w:r>
      <w:r w:rsidRPr="006F24A8">
        <w:tab/>
        <w:t xml:space="preserve">The UPOV system is an effective and balanced </w:t>
      </w:r>
      <w:r w:rsidRPr="006F24A8">
        <w:rPr>
          <w:i/>
        </w:rPr>
        <w:t>sui generis</w:t>
      </w:r>
      <w:r w:rsidRPr="006F24A8">
        <w:t xml:space="preserve"> system of intellectual property protection and UPOV needs to explain its system in relevant policy fields. </w:t>
      </w:r>
    </w:p>
    <w:p w:rsidR="00421639" w:rsidRPr="006F24A8" w:rsidRDefault="00421639" w:rsidP="00421639">
      <w:pPr>
        <w:tabs>
          <w:tab w:val="left" w:pos="851"/>
        </w:tabs>
      </w:pPr>
    </w:p>
    <w:p w:rsidR="00421639" w:rsidRPr="006F24A8" w:rsidRDefault="00421639" w:rsidP="00421639">
      <w:pPr>
        <w:tabs>
          <w:tab w:val="left" w:pos="851"/>
        </w:tabs>
      </w:pPr>
      <w:r w:rsidRPr="006F24A8">
        <w:t>2.4.2.2</w:t>
      </w:r>
      <w:r w:rsidRPr="006F24A8">
        <w:tab/>
        <w:t>UPOV’s website is an important means of communication with</w:t>
      </w:r>
      <w:r w:rsidR="00EC2F57">
        <w:t xml:space="preserve"> </w:t>
      </w:r>
      <w:r w:rsidR="00EC2F57" w:rsidRPr="00650965">
        <w:t>stakeholders and</w:t>
      </w:r>
      <w:r w:rsidRPr="00650965">
        <w:t xml:space="preserve"> the</w:t>
      </w:r>
      <w:r w:rsidR="00EC2F57" w:rsidRPr="00650965">
        <w:t xml:space="preserve"> general</w:t>
      </w:r>
      <w:r w:rsidRPr="006F24A8">
        <w:t xml:space="preserve"> public and will be updated with suitable new materials in order to explain the importance of </w:t>
      </w:r>
      <w:r w:rsidRPr="006F24A8">
        <w:rPr>
          <w:snapToGrid w:val="0"/>
        </w:rPr>
        <w:t>plant variety protection</w:t>
      </w:r>
      <w:r w:rsidRPr="006F24A8">
        <w:t xml:space="preserve"> for a </w:t>
      </w:r>
      <w:r w:rsidR="00EC2F57" w:rsidRPr="00650965">
        <w:t>range of</w:t>
      </w:r>
      <w:r w:rsidR="00EC2F57">
        <w:t xml:space="preserve"> </w:t>
      </w:r>
      <w:r w:rsidRPr="006F24A8">
        <w:t>audience</w:t>
      </w:r>
      <w:r w:rsidR="00EC2F57" w:rsidRPr="00650965">
        <w:t>s</w:t>
      </w:r>
      <w:r w:rsidRPr="006F24A8">
        <w:t xml:space="preserve">.  Other means of communications, such as social media will be used as appropriate.  Where appropriate, UPOV will contribute to articles in relevant publications.   </w:t>
      </w:r>
    </w:p>
    <w:p w:rsidR="00421639" w:rsidRPr="006F24A8" w:rsidRDefault="00421639" w:rsidP="00421639">
      <w:pPr>
        <w:tabs>
          <w:tab w:val="left" w:pos="851"/>
        </w:tabs>
      </w:pPr>
    </w:p>
    <w:p w:rsidR="00EC2F57" w:rsidRPr="00650965" w:rsidRDefault="00EC2F57" w:rsidP="00EC2F57">
      <w:pPr>
        <w:tabs>
          <w:tab w:val="left" w:pos="851"/>
        </w:tabs>
      </w:pPr>
      <w:r w:rsidRPr="00DD6106">
        <w:t>2.4.2.</w:t>
      </w:r>
      <w:r w:rsidRPr="00650965">
        <w:t>3</w:t>
      </w:r>
      <w:r w:rsidRPr="00DD6106">
        <w:tab/>
        <w:t xml:space="preserve">UPOV will maintain contacts with </w:t>
      </w:r>
      <w:r w:rsidRPr="00650965">
        <w:t>intergovernmental</w:t>
      </w:r>
      <w:r w:rsidR="00486CD9" w:rsidRPr="00650965">
        <w:t xml:space="preserve"> organizations</w:t>
      </w:r>
      <w:r w:rsidRPr="00650965">
        <w:t xml:space="preserve"> and</w:t>
      </w:r>
      <w:r w:rsidR="00486CD9" w:rsidRPr="00650965">
        <w:t xml:space="preserve"> with</w:t>
      </w:r>
      <w:r>
        <w:t xml:space="preserve"> </w:t>
      </w:r>
      <w:r w:rsidRPr="00DD6106">
        <w:t>non-governmental organizations representing stakeholders, including</w:t>
      </w:r>
      <w:r>
        <w:t xml:space="preserve"> </w:t>
      </w:r>
      <w:r w:rsidRPr="00650965">
        <w:t>breeders,</w:t>
      </w:r>
      <w:r w:rsidRPr="00DD6106">
        <w:t xml:space="preserve"> farmers and growers, in order to explain the UPOV system of plant variety protection</w:t>
      </w:r>
      <w:r>
        <w:t xml:space="preserve"> </w:t>
      </w:r>
      <w:r w:rsidRPr="00650965">
        <w:t xml:space="preserve">and to exchange information. </w:t>
      </w:r>
    </w:p>
    <w:p w:rsidR="00EC2F57" w:rsidRPr="00DD6106" w:rsidRDefault="00EC2F57" w:rsidP="00EC2F57"/>
    <w:p w:rsidR="00486CD9" w:rsidRPr="00DD6106" w:rsidRDefault="00486CD9" w:rsidP="00486CD9">
      <w:pPr>
        <w:tabs>
          <w:tab w:val="left" w:pos="851"/>
        </w:tabs>
      </w:pPr>
      <w:r w:rsidRPr="00486CD9">
        <w:t>2.4.2.4</w:t>
      </w:r>
      <w:r w:rsidRPr="00DD6106">
        <w:tab/>
        <w:t xml:space="preserve">With regard to intergovernmental organizations in the seed sector, UPOV’s contacts with the </w:t>
      </w:r>
      <w:proofErr w:type="spellStart"/>
      <w:r w:rsidRPr="00DD6106">
        <w:t>Organisation</w:t>
      </w:r>
      <w:proofErr w:type="spellEnd"/>
      <w:r w:rsidRPr="00DD6106">
        <w:t xml:space="preserve"> for Economic Co-operation and Development (OECD), in respect of the OECD’s seed trade scheme, and with the International Seed Testing Association (ISTA), are of particular </w:t>
      </w:r>
      <w:r w:rsidRPr="00650965">
        <w:t>relevance</w:t>
      </w:r>
      <w:r w:rsidRPr="00DD6106">
        <w:t xml:space="preserve">.  </w:t>
      </w:r>
    </w:p>
    <w:p w:rsidR="00486CD9" w:rsidRPr="00DD6106" w:rsidRDefault="00486CD9" w:rsidP="00486CD9">
      <w:pPr>
        <w:tabs>
          <w:tab w:val="left" w:pos="851"/>
        </w:tabs>
      </w:pPr>
    </w:p>
    <w:p w:rsidR="00486CD9" w:rsidRPr="00DD6106" w:rsidRDefault="00486CD9" w:rsidP="00486CD9">
      <w:pPr>
        <w:tabs>
          <w:tab w:val="left" w:pos="851"/>
        </w:tabs>
      </w:pPr>
      <w:r w:rsidRPr="006F24A8">
        <w:t>2.4.2.</w:t>
      </w:r>
      <w:r w:rsidRPr="00650965">
        <w:t>5</w:t>
      </w:r>
      <w:r w:rsidRPr="006F24A8">
        <w:tab/>
        <w:t xml:space="preserve">UPOV will contribute to the work of relevant </w:t>
      </w:r>
      <w:r w:rsidRPr="00650965">
        <w:t xml:space="preserve">intergovernmental </w:t>
      </w:r>
      <w:r w:rsidRPr="006F24A8">
        <w:t>organizations in order to explain the UPOV system of plant variety protection</w:t>
      </w:r>
      <w:r>
        <w:t xml:space="preserve"> </w:t>
      </w:r>
      <w:r w:rsidRPr="00650965">
        <w:t>and to exchange information</w:t>
      </w:r>
      <w:r w:rsidRPr="006F24A8">
        <w:t>, with the aim of securing mutual supportiveness.  In particular, UPOV will maintain contacts with WIPO;  WTO and, in particular, its Council for Trade-Related Aspects of Intellectual Property Rights (Council for TRIPS);  the Conference of the Parties to the Convention on Biological Diversity (CBD) including, in particular, its various committees and working groups concerning the Nagoya Protocol on Access to Genetic Resources and the Fair and Equitable Sharing of Benefits Arising from their Utilization to the Convention on Biological Diversity;  and the Food and Agriculture Organization of the United Nations (FAO) including, in particular, the Governing Body of the Internati</w:t>
      </w:r>
      <w:r w:rsidRPr="00DD6106">
        <w:t>onal Treaty on Plant Genetic Resources for Food and Agriculture</w:t>
      </w:r>
      <w:r>
        <w:t xml:space="preserve"> (ITPGRFA)</w:t>
      </w:r>
      <w:r w:rsidRPr="00DD6106">
        <w:t xml:space="preserve"> and the Commission on Genetic Resources for Food and Agriculture</w:t>
      </w:r>
      <w:r>
        <w:t xml:space="preserve"> (CGRFA)</w:t>
      </w:r>
      <w:r w:rsidRPr="00DD6106">
        <w:t>.</w:t>
      </w:r>
    </w:p>
    <w:p w:rsidR="00486CD9" w:rsidRPr="00DD6106" w:rsidRDefault="00486CD9" w:rsidP="00486CD9">
      <w:pPr>
        <w:tabs>
          <w:tab w:val="left" w:pos="851"/>
        </w:tabs>
      </w:pPr>
    </w:p>
    <w:p w:rsidR="00EC2F57" w:rsidRPr="00DD6106" w:rsidRDefault="00EC2F57" w:rsidP="00EC2F57">
      <w:pPr>
        <w:tabs>
          <w:tab w:val="left" w:pos="851"/>
        </w:tabs>
      </w:pPr>
      <w:r w:rsidRPr="00DD6106">
        <w:t>2.4.2.</w:t>
      </w:r>
      <w:r w:rsidR="00486CD9" w:rsidRPr="00650965">
        <w:t>6</w:t>
      </w:r>
      <w:r w:rsidRPr="00DD6106">
        <w:tab/>
        <w:t>With respect to cooperation with non-governmental organizations</w:t>
      </w:r>
      <w:r>
        <w:t xml:space="preserve"> </w:t>
      </w:r>
      <w:r w:rsidRPr="00650965">
        <w:t>representing breeders</w:t>
      </w:r>
      <w:r w:rsidRPr="00DD6106">
        <w:t>, UPOV will</w:t>
      </w:r>
      <w:r w:rsidR="00486CD9" w:rsidRPr="00650965">
        <w:t>, in particular,</w:t>
      </w:r>
      <w:r w:rsidRPr="00DD6106">
        <w:t xml:space="preserve"> seek to maintain contacts with the International Community of Breeders of Asexually Reproduced Ornamental and Fruit-Tree Varieties (CIOPORA), the International Seed Federation (ISF) and regional associations of breeders, including the African Seed Trade Association (AFSTA), the Asia and Pacific Seed Association (APSA), the European Seed Association (ESA), the </w:t>
      </w:r>
      <w:proofErr w:type="spellStart"/>
      <w:r w:rsidRPr="00DD6106">
        <w:rPr>
          <w:i/>
          <w:snapToGrid w:val="0"/>
        </w:rPr>
        <w:t>Federación</w:t>
      </w:r>
      <w:proofErr w:type="spellEnd"/>
      <w:r w:rsidRPr="00DD6106">
        <w:rPr>
          <w:i/>
          <w:snapToGrid w:val="0"/>
        </w:rPr>
        <w:t xml:space="preserve"> </w:t>
      </w:r>
      <w:proofErr w:type="spellStart"/>
      <w:r w:rsidRPr="00DD6106">
        <w:rPr>
          <w:i/>
          <w:snapToGrid w:val="0"/>
        </w:rPr>
        <w:t>Latinoamericana</w:t>
      </w:r>
      <w:proofErr w:type="spellEnd"/>
      <w:r w:rsidRPr="00DD6106">
        <w:rPr>
          <w:i/>
          <w:snapToGrid w:val="0"/>
        </w:rPr>
        <w:t xml:space="preserve"> de </w:t>
      </w:r>
      <w:proofErr w:type="spellStart"/>
      <w:r w:rsidRPr="00DD6106">
        <w:rPr>
          <w:i/>
          <w:snapToGrid w:val="0"/>
        </w:rPr>
        <w:t>Asociaciones</w:t>
      </w:r>
      <w:proofErr w:type="spellEnd"/>
      <w:r w:rsidRPr="00DD6106">
        <w:rPr>
          <w:i/>
          <w:snapToGrid w:val="0"/>
        </w:rPr>
        <w:t xml:space="preserve"> de </w:t>
      </w:r>
      <w:proofErr w:type="spellStart"/>
      <w:r w:rsidRPr="00DD6106">
        <w:rPr>
          <w:i/>
          <w:snapToGrid w:val="0"/>
        </w:rPr>
        <w:t>Semillistas</w:t>
      </w:r>
      <w:proofErr w:type="spellEnd"/>
      <w:r w:rsidRPr="00DD6106">
        <w:rPr>
          <w:snapToGrid w:val="0"/>
        </w:rPr>
        <w:t xml:space="preserve"> </w:t>
      </w:r>
      <w:r w:rsidRPr="00DD6106">
        <w:t xml:space="preserve">(FELAS) and the Seed Association of the Americas (SAA).  The role of plant variety protection for public sector research institutes means that UPOV will </w:t>
      </w:r>
      <w:r w:rsidRPr="00650965">
        <w:t>also</w:t>
      </w:r>
      <w:r>
        <w:t xml:space="preserve"> </w:t>
      </w:r>
      <w:r w:rsidRPr="00DD6106">
        <w:t>seek to develop and maintain contacts with relevant centers of the Consultative Group on International Agricultural Research (CGIAR).</w:t>
      </w:r>
    </w:p>
    <w:p w:rsidR="00EC2F57" w:rsidRPr="00DD6106" w:rsidRDefault="00EC2F57" w:rsidP="00EC2F57">
      <w:pPr>
        <w:tabs>
          <w:tab w:val="left" w:pos="851"/>
        </w:tabs>
      </w:pPr>
    </w:p>
    <w:p w:rsidR="00421639" w:rsidRPr="00DD6106" w:rsidRDefault="00421639" w:rsidP="00421639">
      <w:pPr>
        <w:keepNext/>
        <w:rPr>
          <w:b/>
        </w:rPr>
      </w:pPr>
      <w:r w:rsidRPr="00DD6106">
        <w:rPr>
          <w:b/>
        </w:rPr>
        <w:t>2.4.3</w:t>
      </w:r>
      <w:r w:rsidRPr="00DD6106">
        <w:rPr>
          <w:b/>
        </w:rPr>
        <w:tab/>
        <w:t>Activities</w:t>
      </w:r>
    </w:p>
    <w:p w:rsidR="00421639" w:rsidRPr="00DD6106" w:rsidRDefault="00421639" w:rsidP="00421639">
      <w:pPr>
        <w:keepNext/>
      </w:pPr>
    </w:p>
    <w:p w:rsidR="00421639" w:rsidRPr="00DD6106" w:rsidRDefault="00421639" w:rsidP="00421639">
      <w:pPr>
        <w:numPr>
          <w:ilvl w:val="0"/>
          <w:numId w:val="11"/>
        </w:numPr>
        <w:tabs>
          <w:tab w:val="clear" w:pos="720"/>
        </w:tabs>
        <w:spacing w:after="120"/>
        <w:ind w:left="1134" w:hanging="567"/>
      </w:pPr>
      <w:r w:rsidRPr="00DD6106">
        <w:t>Participation in meetings with intergovernmental and</w:t>
      </w:r>
      <w:r>
        <w:t xml:space="preserve"> non-governmental organizations.</w:t>
      </w:r>
    </w:p>
    <w:p w:rsidR="00421639" w:rsidRPr="00DD6106" w:rsidRDefault="00421639" w:rsidP="00421639">
      <w:pPr>
        <w:numPr>
          <w:ilvl w:val="0"/>
          <w:numId w:val="11"/>
        </w:numPr>
        <w:tabs>
          <w:tab w:val="clear" w:pos="720"/>
        </w:tabs>
        <w:spacing w:after="120"/>
        <w:ind w:left="1134" w:hanging="567"/>
      </w:pPr>
      <w:r w:rsidRPr="00DD6106">
        <w:t xml:space="preserve">Provision of comments and information to other </w:t>
      </w:r>
      <w:r>
        <w:t>intergovernmental organizations.</w:t>
      </w:r>
    </w:p>
    <w:p w:rsidR="00421639" w:rsidRDefault="00421639" w:rsidP="00421639">
      <w:pPr>
        <w:numPr>
          <w:ilvl w:val="0"/>
          <w:numId w:val="11"/>
        </w:numPr>
        <w:tabs>
          <w:tab w:val="clear" w:pos="720"/>
        </w:tabs>
        <w:spacing w:after="120"/>
        <w:ind w:left="1134" w:hanging="567"/>
      </w:pPr>
      <w:r w:rsidRPr="00DD6106">
        <w:t>Updating of UPOV’s information material and development of materials suited to a public audience.</w:t>
      </w:r>
    </w:p>
    <w:p w:rsidR="0009121A" w:rsidRPr="00650965" w:rsidRDefault="0009121A" w:rsidP="00421639">
      <w:pPr>
        <w:numPr>
          <w:ilvl w:val="0"/>
          <w:numId w:val="11"/>
        </w:numPr>
        <w:tabs>
          <w:tab w:val="clear" w:pos="720"/>
        </w:tabs>
        <w:spacing w:after="120"/>
        <w:ind w:left="1134" w:hanging="567"/>
      </w:pPr>
      <w:r w:rsidRPr="00650965">
        <w:t>Report to members of the Union on exchanges of information with intergovernmental and non</w:t>
      </w:r>
      <w:r w:rsidRPr="00650965">
        <w:noBreakHyphen/>
        <w:t>governmental organizations.</w:t>
      </w:r>
    </w:p>
    <w:p w:rsidR="00421639" w:rsidRPr="00DD6106" w:rsidRDefault="00421639" w:rsidP="00421639">
      <w:pPr>
        <w:ind w:left="851" w:hanging="284"/>
      </w:pPr>
    </w:p>
    <w:p w:rsidR="00421639" w:rsidRPr="00DD6106" w:rsidRDefault="00421639" w:rsidP="00421639">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t>2.4.4</w:t>
      </w:r>
      <w:r w:rsidRPr="00DD6106">
        <w:rPr>
          <w:b/>
        </w:rPr>
        <w:tab/>
        <w:t>Expected Results and Performance Indicators</w:t>
      </w:r>
    </w:p>
    <w:p w:rsidR="00421639" w:rsidRPr="00DD6106" w:rsidRDefault="00421639" w:rsidP="00421639">
      <w:pPr>
        <w:keepNext/>
      </w:pPr>
    </w:p>
    <w:tbl>
      <w:tblPr>
        <w:tblW w:w="9889" w:type="dxa"/>
        <w:tblInd w:w="-103" w:type="dxa"/>
        <w:tblLayout w:type="fixed"/>
        <w:tblCellMar>
          <w:left w:w="0" w:type="dxa"/>
          <w:right w:w="0" w:type="dxa"/>
        </w:tblCellMar>
        <w:tblLook w:val="0000" w:firstRow="0" w:lastRow="0" w:firstColumn="0" w:lastColumn="0" w:noHBand="0" w:noVBand="0"/>
      </w:tblPr>
      <w:tblGrid>
        <w:gridCol w:w="4503"/>
        <w:gridCol w:w="5386"/>
      </w:tblGrid>
      <w:tr w:rsidR="00421639" w:rsidRPr="00DD6106" w:rsidTr="00DC35EC">
        <w:trPr>
          <w:cantSplit/>
          <w:trHeight w:val="580"/>
        </w:trPr>
        <w:tc>
          <w:tcPr>
            <w:tcW w:w="450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120" w:after="120"/>
              <w:ind w:left="108" w:firstLine="108"/>
              <w:jc w:val="center"/>
              <w:rPr>
                <w:color w:val="000000"/>
                <w:u w:val="single"/>
              </w:rPr>
            </w:pPr>
            <w:r w:rsidRPr="00DD6106">
              <w:rPr>
                <w:color w:val="000000"/>
                <w:u w:val="single"/>
              </w:rPr>
              <w:t>Expected Results</w:t>
            </w:r>
          </w:p>
        </w:tc>
        <w:tc>
          <w:tcPr>
            <w:tcW w:w="538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120" w:after="120"/>
              <w:jc w:val="center"/>
              <w:rPr>
                <w:color w:val="000000"/>
                <w:u w:val="single"/>
              </w:rPr>
            </w:pPr>
            <w:r w:rsidRPr="00DD6106">
              <w:rPr>
                <w:color w:val="000000"/>
                <w:u w:val="single"/>
              </w:rPr>
              <w:t>Performance Indicators</w:t>
            </w:r>
          </w:p>
        </w:tc>
      </w:tr>
      <w:tr w:rsidR="00421639" w:rsidRPr="00DD6106" w:rsidTr="00DC35EC">
        <w:trPr>
          <w:cantSplit/>
        </w:trPr>
        <w:tc>
          <w:tcPr>
            <w:tcW w:w="450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60" w:after="60"/>
              <w:ind w:left="108"/>
              <w:jc w:val="left"/>
              <w:rPr>
                <w:color w:val="000000"/>
              </w:rPr>
            </w:pPr>
            <w:r w:rsidRPr="00DD6106">
              <w:rPr>
                <w:color w:val="000000"/>
              </w:rPr>
              <w:t>1.</w:t>
            </w:r>
            <w:r w:rsidRPr="00DD6106">
              <w:rPr>
                <w:color w:val="000000"/>
              </w:rPr>
              <w:tab/>
              <w:t>Increased public understanding of UPOV’s role and activities</w:t>
            </w:r>
          </w:p>
        </w:tc>
        <w:tc>
          <w:tcPr>
            <w:tcW w:w="5386" w:type="dxa"/>
            <w:tcBorders>
              <w:top w:val="single" w:sz="4" w:space="0" w:color="000000"/>
              <w:left w:val="single" w:sz="4" w:space="0" w:color="000000"/>
              <w:bottom w:val="single" w:sz="4" w:space="0" w:color="000000"/>
              <w:right w:val="single" w:sz="4" w:space="0" w:color="000000"/>
            </w:tcBorders>
          </w:tcPr>
          <w:p w:rsidR="00421639" w:rsidRPr="002C0995" w:rsidRDefault="00421639" w:rsidP="00DC35EC">
            <w:pPr>
              <w:spacing w:before="60" w:after="60"/>
              <w:ind w:left="141"/>
              <w:jc w:val="left"/>
              <w:rPr>
                <w:color w:val="000000"/>
              </w:rPr>
            </w:pPr>
            <w:r w:rsidRPr="00DD6106">
              <w:rPr>
                <w:color w:val="000000"/>
              </w:rPr>
              <w:t>(a)</w:t>
            </w:r>
            <w:r w:rsidRPr="00DD6106">
              <w:rPr>
                <w:color w:val="000000"/>
              </w:rPr>
              <w:tab/>
              <w:t>availa</w:t>
            </w:r>
            <w:r w:rsidRPr="002C0995">
              <w:rPr>
                <w:color w:val="000000"/>
              </w:rPr>
              <w:t>bility of public-orientated information and materials on UPOV website and through other media;</w:t>
            </w:r>
          </w:p>
          <w:p w:rsidR="00421639" w:rsidRPr="002C0995" w:rsidRDefault="00421639" w:rsidP="00DC35EC">
            <w:pPr>
              <w:spacing w:before="60" w:after="60"/>
              <w:ind w:left="141"/>
              <w:jc w:val="left"/>
              <w:rPr>
                <w:color w:val="000000"/>
              </w:rPr>
            </w:pPr>
            <w:r w:rsidRPr="002C0995">
              <w:rPr>
                <w:color w:val="000000"/>
              </w:rPr>
              <w:t>(b)</w:t>
            </w:r>
            <w:r w:rsidRPr="002C0995">
              <w:rPr>
                <w:color w:val="000000"/>
              </w:rPr>
              <w:tab/>
              <w:t>articles in relevant publications</w:t>
            </w:r>
            <w:r>
              <w:rPr>
                <w:color w:val="000000"/>
              </w:rPr>
              <w:t xml:space="preserve"> to which UPOV has contributed;</w:t>
            </w:r>
          </w:p>
          <w:p w:rsidR="00421639" w:rsidRPr="00DD6106" w:rsidRDefault="00421639" w:rsidP="00DC35EC">
            <w:pPr>
              <w:spacing w:before="60" w:after="60"/>
              <w:ind w:left="141"/>
              <w:jc w:val="left"/>
              <w:rPr>
                <w:color w:val="000000"/>
              </w:rPr>
            </w:pPr>
            <w:r w:rsidRPr="002C0995">
              <w:rPr>
                <w:color w:val="000000"/>
              </w:rPr>
              <w:t>(c)</w:t>
            </w:r>
            <w:r w:rsidRPr="002C0995">
              <w:rPr>
                <w:color w:val="000000"/>
              </w:rPr>
              <w:tab/>
              <w:t xml:space="preserve">use of </w:t>
            </w:r>
            <w:r>
              <w:rPr>
                <w:color w:val="000000"/>
              </w:rPr>
              <w:t xml:space="preserve">UPOV </w:t>
            </w:r>
            <w:r w:rsidRPr="002C0995">
              <w:rPr>
                <w:color w:val="000000"/>
              </w:rPr>
              <w:t>website and other media.</w:t>
            </w:r>
          </w:p>
        </w:tc>
      </w:tr>
      <w:tr w:rsidR="00421639" w:rsidRPr="00DD6106" w:rsidTr="00DC35EC">
        <w:trPr>
          <w:cantSplit/>
        </w:trPr>
        <w:tc>
          <w:tcPr>
            <w:tcW w:w="4503"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keepNext/>
              <w:spacing w:before="60" w:after="60"/>
              <w:ind w:left="108"/>
              <w:jc w:val="left"/>
              <w:rPr>
                <w:color w:val="000000"/>
              </w:rPr>
            </w:pPr>
            <w:r w:rsidRPr="00DD6106">
              <w:rPr>
                <w:color w:val="000000"/>
              </w:rPr>
              <w:t>2.</w:t>
            </w:r>
            <w:r w:rsidRPr="00DD6106">
              <w:rPr>
                <w:color w:val="000000"/>
              </w:rPr>
              <w:tab/>
              <w:t>Provision of information to other organizations</w:t>
            </w:r>
          </w:p>
        </w:tc>
        <w:tc>
          <w:tcPr>
            <w:tcW w:w="5386" w:type="dxa"/>
            <w:tcBorders>
              <w:top w:val="single" w:sz="4" w:space="0" w:color="000000"/>
              <w:left w:val="single" w:sz="4" w:space="0" w:color="000000"/>
              <w:bottom w:val="single" w:sz="4" w:space="0" w:color="000000"/>
              <w:right w:val="single" w:sz="4" w:space="0" w:color="000000"/>
            </w:tcBorders>
          </w:tcPr>
          <w:p w:rsidR="00421639" w:rsidRPr="00DD6106" w:rsidRDefault="00421639" w:rsidP="00DC35EC">
            <w:pPr>
              <w:spacing w:before="60" w:after="60"/>
              <w:ind w:left="141"/>
              <w:jc w:val="left"/>
              <w:rPr>
                <w:color w:val="000000"/>
              </w:rPr>
            </w:pPr>
            <w:r w:rsidRPr="00DD6106">
              <w:rPr>
                <w:color w:val="000000"/>
              </w:rPr>
              <w:t>(a)</w:t>
            </w:r>
            <w:r w:rsidRPr="00DD6106">
              <w:rPr>
                <w:color w:val="000000"/>
              </w:rPr>
              <w:tab/>
              <w:t>participation at meetings of, and with, relevant organizations;</w:t>
            </w:r>
          </w:p>
          <w:p w:rsidR="00421639" w:rsidRPr="00DD6106" w:rsidRDefault="00421639" w:rsidP="00DC35EC">
            <w:pPr>
              <w:spacing w:before="60" w:after="60"/>
              <w:ind w:left="141"/>
              <w:jc w:val="left"/>
              <w:rPr>
                <w:color w:val="000000"/>
              </w:rPr>
            </w:pPr>
            <w:r w:rsidRPr="00DD6106">
              <w:rPr>
                <w:color w:val="000000"/>
              </w:rPr>
              <w:t>(b)</w:t>
            </w:r>
            <w:r w:rsidRPr="00DD6106">
              <w:rPr>
                <w:color w:val="000000"/>
              </w:rPr>
              <w:tab/>
              <w:t>contributions made to relevant organizations.</w:t>
            </w:r>
          </w:p>
        </w:tc>
      </w:tr>
      <w:tr w:rsidR="0009121A" w:rsidRPr="00650965" w:rsidTr="00DC35EC">
        <w:trPr>
          <w:cantSplit/>
        </w:trPr>
        <w:tc>
          <w:tcPr>
            <w:tcW w:w="4503" w:type="dxa"/>
            <w:tcBorders>
              <w:top w:val="single" w:sz="4" w:space="0" w:color="000000"/>
              <w:left w:val="single" w:sz="4" w:space="0" w:color="000000"/>
              <w:bottom w:val="single" w:sz="4" w:space="0" w:color="000000"/>
              <w:right w:val="single" w:sz="4" w:space="0" w:color="000000"/>
            </w:tcBorders>
          </w:tcPr>
          <w:p w:rsidR="0009121A" w:rsidRPr="00650965" w:rsidRDefault="0009121A" w:rsidP="00DC35EC">
            <w:pPr>
              <w:keepNext/>
              <w:spacing w:before="60" w:after="60"/>
              <w:ind w:left="108"/>
              <w:jc w:val="left"/>
              <w:rPr>
                <w:color w:val="000000"/>
              </w:rPr>
            </w:pPr>
            <w:r w:rsidRPr="00650965">
              <w:rPr>
                <w:color w:val="000000"/>
              </w:rPr>
              <w:t>3.</w:t>
            </w:r>
            <w:r w:rsidRPr="00650965">
              <w:rPr>
                <w:color w:val="000000"/>
              </w:rPr>
              <w:tab/>
              <w:t>Information provided to members of the Union</w:t>
            </w:r>
          </w:p>
        </w:tc>
        <w:tc>
          <w:tcPr>
            <w:tcW w:w="5386" w:type="dxa"/>
            <w:tcBorders>
              <w:top w:val="single" w:sz="4" w:space="0" w:color="000000"/>
              <w:left w:val="single" w:sz="4" w:space="0" w:color="000000"/>
              <w:bottom w:val="single" w:sz="4" w:space="0" w:color="000000"/>
              <w:right w:val="single" w:sz="4" w:space="0" w:color="000000"/>
            </w:tcBorders>
          </w:tcPr>
          <w:p w:rsidR="0009121A" w:rsidRPr="00650965" w:rsidRDefault="0009121A" w:rsidP="00DC35EC">
            <w:pPr>
              <w:spacing w:before="60" w:after="60"/>
              <w:ind w:left="141"/>
              <w:jc w:val="left"/>
              <w:rPr>
                <w:color w:val="000000"/>
              </w:rPr>
            </w:pPr>
            <w:r w:rsidRPr="00650965">
              <w:rPr>
                <w:color w:val="000000"/>
              </w:rPr>
              <w:t>(a)</w:t>
            </w:r>
            <w:r w:rsidRPr="00650965">
              <w:rPr>
                <w:color w:val="000000"/>
              </w:rPr>
              <w:tab/>
              <w:t>reports on information and developments of relevance to UPOV.</w:t>
            </w:r>
          </w:p>
        </w:tc>
      </w:tr>
    </w:tbl>
    <w:p w:rsidR="00421639" w:rsidRPr="00DD6106" w:rsidRDefault="00421639" w:rsidP="00421639"/>
    <w:p w:rsidR="00421639" w:rsidRPr="006F24A8" w:rsidRDefault="00421639" w:rsidP="00421639">
      <w:pPr>
        <w:keepNext/>
        <w:rPr>
          <w:b/>
        </w:rPr>
      </w:pPr>
      <w:r w:rsidRPr="00DD6106">
        <w:br w:type="page"/>
      </w:r>
      <w:r w:rsidRPr="006F24A8">
        <w:rPr>
          <w:b/>
        </w:rPr>
        <w:t>3.</w:t>
      </w:r>
      <w:r w:rsidRPr="006F24A8">
        <w:rPr>
          <w:b/>
        </w:rPr>
        <w:tab/>
        <w:t>PROPOSED BUDGET</w:t>
      </w:r>
    </w:p>
    <w:p w:rsidR="00421639" w:rsidRPr="00784DBB" w:rsidRDefault="00421639" w:rsidP="00421639">
      <w:pPr>
        <w:keepNext/>
      </w:pPr>
    </w:p>
    <w:p w:rsidR="00421639" w:rsidRDefault="00421639" w:rsidP="00421639">
      <w:pPr>
        <w:rPr>
          <w:spacing w:val="-2"/>
          <w:szCs w:val="24"/>
        </w:rPr>
      </w:pPr>
      <w:r w:rsidRPr="00C058E1">
        <w:t>3.1</w:t>
      </w:r>
      <w:r w:rsidRPr="00C058E1">
        <w:tab/>
      </w:r>
      <w:r w:rsidRPr="00C058E1">
        <w:rPr>
          <w:spacing w:val="-2"/>
          <w:szCs w:val="24"/>
        </w:rPr>
        <w:t xml:space="preserve">The proposed budget for the </w:t>
      </w:r>
      <w:r w:rsidRPr="00C058E1">
        <w:rPr>
          <w:snapToGrid w:val="0"/>
          <w:spacing w:val="-2"/>
          <w:szCs w:val="24"/>
        </w:rPr>
        <w:t>2014­2015</w:t>
      </w:r>
      <w:r w:rsidRPr="00C058E1">
        <w:rPr>
          <w:spacing w:val="-2"/>
          <w:szCs w:val="24"/>
        </w:rPr>
        <w:t xml:space="preserve"> Biennium anticipates an income of 6,794,000 Swiss francs</w:t>
      </w:r>
      <w:r>
        <w:rPr>
          <w:spacing w:val="-2"/>
          <w:szCs w:val="24"/>
        </w:rPr>
        <w:t xml:space="preserve"> </w:t>
      </w:r>
      <w:r w:rsidRPr="00C058E1">
        <w:rPr>
          <w:spacing w:val="-2"/>
          <w:szCs w:val="24"/>
        </w:rPr>
        <w:t xml:space="preserve">compared to the 2012­2013 budget of 6,798,000 Swiss francs (see </w:t>
      </w:r>
      <w:r w:rsidRPr="00C058E1">
        <w:rPr>
          <w:b/>
          <w:spacing w:val="-2"/>
          <w:szCs w:val="24"/>
        </w:rPr>
        <w:t>Tables 1 and 2</w:t>
      </w:r>
      <w:r w:rsidRPr="00C058E1">
        <w:rPr>
          <w:spacing w:val="-2"/>
          <w:szCs w:val="24"/>
        </w:rPr>
        <w:t>).</w:t>
      </w:r>
      <w:r w:rsidRPr="00DD6106">
        <w:rPr>
          <w:spacing w:val="-2"/>
          <w:szCs w:val="24"/>
        </w:rPr>
        <w:t xml:space="preserve">    </w:t>
      </w:r>
    </w:p>
    <w:p w:rsidR="00421639" w:rsidRDefault="00421639" w:rsidP="00421639">
      <w:pPr>
        <w:rPr>
          <w:spacing w:val="-2"/>
          <w:szCs w:val="24"/>
        </w:rPr>
      </w:pPr>
    </w:p>
    <w:p w:rsidR="00421639" w:rsidRPr="00D0256F" w:rsidRDefault="00421639" w:rsidP="00421639">
      <w:pPr>
        <w:jc w:val="center"/>
        <w:rPr>
          <w:b/>
        </w:rPr>
      </w:pPr>
      <w:r w:rsidRPr="00D0256F">
        <w:rPr>
          <w:b/>
        </w:rPr>
        <w:t>Table 1:  Income and Expenditure 2010-2011, 2012-2013 and 2014-</w:t>
      </w:r>
      <w:r>
        <w:rPr>
          <w:b/>
        </w:rPr>
        <w:t>20</w:t>
      </w:r>
      <w:r w:rsidRPr="00D0256F">
        <w:rPr>
          <w:b/>
        </w:rPr>
        <w:t>15</w:t>
      </w:r>
    </w:p>
    <w:p w:rsidR="00421639" w:rsidRPr="00D0256F" w:rsidRDefault="00421639" w:rsidP="00421639">
      <w:pPr>
        <w:jc w:val="center"/>
      </w:pPr>
      <w:r w:rsidRPr="00D0256F">
        <w:t>(in thousands of Swiss francs)</w:t>
      </w:r>
    </w:p>
    <w:p w:rsidR="00421639" w:rsidRDefault="00421639" w:rsidP="00421639">
      <w:pPr>
        <w:rPr>
          <w:spacing w:val="-2"/>
          <w:szCs w:val="24"/>
        </w:rPr>
      </w:pPr>
    </w:p>
    <w:tbl>
      <w:tblPr>
        <w:tblW w:w="9356" w:type="dxa"/>
        <w:tblInd w:w="250" w:type="dxa"/>
        <w:tblLook w:val="04A0" w:firstRow="1" w:lastRow="0" w:firstColumn="1" w:lastColumn="0" w:noHBand="0" w:noVBand="1"/>
      </w:tblPr>
      <w:tblGrid>
        <w:gridCol w:w="3827"/>
        <w:gridCol w:w="1211"/>
        <w:gridCol w:w="1231"/>
        <w:gridCol w:w="680"/>
        <w:gridCol w:w="960"/>
        <w:gridCol w:w="1447"/>
      </w:tblGrid>
      <w:tr w:rsidR="001856B5" w:rsidRPr="001856B5" w:rsidTr="001856B5">
        <w:tc>
          <w:tcPr>
            <w:tcW w:w="3827" w:type="dxa"/>
            <w:tcBorders>
              <w:top w:val="single" w:sz="4" w:space="0" w:color="auto"/>
              <w:left w:val="single" w:sz="4" w:space="0" w:color="auto"/>
              <w:bottom w:val="nil"/>
              <w:right w:val="nil"/>
            </w:tcBorders>
            <w:shd w:val="clear" w:color="auto" w:fill="auto"/>
          </w:tcPr>
          <w:p w:rsidR="001856B5" w:rsidRPr="001856B5" w:rsidRDefault="001856B5" w:rsidP="001856B5">
            <w:pPr>
              <w:spacing w:after="120"/>
              <w:ind w:firstLineChars="100" w:firstLine="200"/>
              <w:jc w:val="left"/>
              <w:rPr>
                <w:rFonts w:cs="Arial"/>
                <w:i/>
                <w:iCs/>
              </w:rPr>
            </w:pPr>
          </w:p>
        </w:tc>
        <w:tc>
          <w:tcPr>
            <w:tcW w:w="1211" w:type="dxa"/>
            <w:tcBorders>
              <w:top w:val="single" w:sz="4" w:space="0" w:color="auto"/>
              <w:left w:val="single" w:sz="4" w:space="0" w:color="auto"/>
              <w:bottom w:val="nil"/>
              <w:right w:val="nil"/>
            </w:tcBorders>
            <w:shd w:val="clear" w:color="auto" w:fill="auto"/>
            <w:hideMark/>
          </w:tcPr>
          <w:p w:rsidR="001856B5" w:rsidRPr="001856B5" w:rsidRDefault="001856B5" w:rsidP="001856B5">
            <w:pPr>
              <w:spacing w:after="120"/>
              <w:jc w:val="center"/>
              <w:rPr>
                <w:rFonts w:cs="Arial"/>
                <w:i/>
                <w:iCs/>
                <w:color w:val="000000"/>
              </w:rPr>
            </w:pPr>
            <w:r w:rsidRPr="001856B5">
              <w:rPr>
                <w:rFonts w:cs="Arial"/>
                <w:i/>
                <w:iCs/>
                <w:color w:val="000000"/>
              </w:rPr>
              <w:t>2010-2011</w:t>
            </w:r>
          </w:p>
        </w:tc>
        <w:tc>
          <w:tcPr>
            <w:tcW w:w="1231" w:type="dxa"/>
            <w:tcBorders>
              <w:top w:val="single" w:sz="4" w:space="0" w:color="auto"/>
              <w:left w:val="single" w:sz="4" w:space="0" w:color="auto"/>
              <w:bottom w:val="nil"/>
              <w:right w:val="nil"/>
            </w:tcBorders>
            <w:shd w:val="clear" w:color="auto" w:fill="auto"/>
            <w:hideMark/>
          </w:tcPr>
          <w:p w:rsidR="001856B5" w:rsidRPr="001856B5" w:rsidRDefault="001856B5" w:rsidP="001856B5">
            <w:pPr>
              <w:spacing w:after="120"/>
              <w:jc w:val="center"/>
              <w:rPr>
                <w:rFonts w:cs="Arial"/>
                <w:i/>
                <w:iCs/>
                <w:color w:val="000000"/>
              </w:rPr>
            </w:pPr>
            <w:r w:rsidRPr="001856B5">
              <w:rPr>
                <w:rFonts w:cs="Arial"/>
                <w:i/>
                <w:iCs/>
                <w:color w:val="000000"/>
              </w:rPr>
              <w:t>2012-2013</w:t>
            </w:r>
          </w:p>
        </w:tc>
        <w:tc>
          <w:tcPr>
            <w:tcW w:w="1640" w:type="dxa"/>
            <w:gridSpan w:val="2"/>
            <w:tcBorders>
              <w:top w:val="single" w:sz="4" w:space="0" w:color="auto"/>
              <w:left w:val="single" w:sz="4" w:space="0" w:color="auto"/>
              <w:bottom w:val="nil"/>
              <w:right w:val="nil"/>
            </w:tcBorders>
            <w:shd w:val="clear" w:color="auto" w:fill="auto"/>
            <w:hideMark/>
          </w:tcPr>
          <w:p w:rsidR="001856B5" w:rsidRPr="001856B5" w:rsidRDefault="001856B5" w:rsidP="001856B5">
            <w:pPr>
              <w:spacing w:after="120"/>
              <w:jc w:val="center"/>
              <w:rPr>
                <w:rFonts w:cs="Arial"/>
                <w:i/>
                <w:iCs/>
                <w:color w:val="000000"/>
              </w:rPr>
            </w:pPr>
            <w:r w:rsidRPr="001856B5">
              <w:rPr>
                <w:rFonts w:cs="Arial"/>
                <w:i/>
                <w:iCs/>
                <w:color w:val="000000"/>
              </w:rPr>
              <w:t>Variation</w:t>
            </w:r>
          </w:p>
        </w:tc>
        <w:tc>
          <w:tcPr>
            <w:tcW w:w="1447" w:type="dxa"/>
            <w:tcBorders>
              <w:top w:val="single" w:sz="4" w:space="0" w:color="auto"/>
              <w:left w:val="single" w:sz="4" w:space="0" w:color="auto"/>
              <w:bottom w:val="nil"/>
              <w:right w:val="single" w:sz="4" w:space="0" w:color="auto"/>
            </w:tcBorders>
            <w:shd w:val="clear" w:color="auto" w:fill="auto"/>
            <w:hideMark/>
          </w:tcPr>
          <w:p w:rsidR="001856B5" w:rsidRPr="001856B5" w:rsidRDefault="001856B5" w:rsidP="001856B5">
            <w:pPr>
              <w:spacing w:after="120"/>
              <w:jc w:val="center"/>
              <w:rPr>
                <w:rFonts w:cs="Arial"/>
                <w:i/>
                <w:iCs/>
                <w:color w:val="000000"/>
              </w:rPr>
            </w:pPr>
            <w:r w:rsidRPr="001856B5">
              <w:rPr>
                <w:rFonts w:cs="Arial"/>
                <w:i/>
                <w:iCs/>
                <w:color w:val="000000"/>
              </w:rPr>
              <w:t>2014-2015</w:t>
            </w:r>
          </w:p>
        </w:tc>
      </w:tr>
      <w:tr w:rsidR="001856B5" w:rsidRPr="001856B5" w:rsidTr="001856B5">
        <w:trPr>
          <w:trHeight w:val="255"/>
        </w:trPr>
        <w:tc>
          <w:tcPr>
            <w:tcW w:w="3827" w:type="dxa"/>
            <w:tcBorders>
              <w:top w:val="nil"/>
              <w:left w:val="single" w:sz="4" w:space="0" w:color="auto"/>
              <w:bottom w:val="nil"/>
              <w:right w:val="nil"/>
            </w:tcBorders>
            <w:shd w:val="clear" w:color="auto" w:fill="auto"/>
          </w:tcPr>
          <w:p w:rsidR="001856B5" w:rsidRPr="001856B5" w:rsidRDefault="001856B5" w:rsidP="001856B5">
            <w:pPr>
              <w:ind w:firstLineChars="100" w:firstLine="200"/>
              <w:jc w:val="left"/>
              <w:rPr>
                <w:rFonts w:cs="Arial"/>
                <w:i/>
                <w:iCs/>
              </w:rPr>
            </w:pPr>
          </w:p>
        </w:tc>
        <w:tc>
          <w:tcPr>
            <w:tcW w:w="1211" w:type="dxa"/>
            <w:tcBorders>
              <w:top w:val="nil"/>
              <w:left w:val="single" w:sz="4" w:space="0" w:color="auto"/>
              <w:bottom w:val="nil"/>
              <w:right w:val="nil"/>
            </w:tcBorders>
            <w:shd w:val="clear" w:color="auto" w:fill="auto"/>
            <w:hideMark/>
          </w:tcPr>
          <w:p w:rsidR="001856B5" w:rsidRPr="001856B5" w:rsidRDefault="001856B5" w:rsidP="001856B5">
            <w:pPr>
              <w:jc w:val="center"/>
              <w:rPr>
                <w:rFonts w:cs="Arial"/>
                <w:i/>
                <w:iCs/>
                <w:color w:val="000000"/>
              </w:rPr>
            </w:pPr>
            <w:r w:rsidRPr="001856B5">
              <w:rPr>
                <w:rFonts w:cs="Arial"/>
                <w:i/>
                <w:iCs/>
                <w:color w:val="000000"/>
              </w:rPr>
              <w:t>Actual</w:t>
            </w:r>
          </w:p>
        </w:tc>
        <w:tc>
          <w:tcPr>
            <w:tcW w:w="1231" w:type="dxa"/>
            <w:tcBorders>
              <w:top w:val="nil"/>
              <w:left w:val="single" w:sz="4" w:space="0" w:color="auto"/>
              <w:bottom w:val="nil"/>
              <w:right w:val="nil"/>
            </w:tcBorders>
            <w:shd w:val="clear" w:color="auto" w:fill="auto"/>
            <w:hideMark/>
          </w:tcPr>
          <w:p w:rsidR="001856B5" w:rsidRPr="001856B5" w:rsidRDefault="001856B5" w:rsidP="001856B5">
            <w:pPr>
              <w:jc w:val="center"/>
              <w:rPr>
                <w:rFonts w:cs="Arial"/>
                <w:i/>
                <w:iCs/>
                <w:color w:val="000000"/>
              </w:rPr>
            </w:pPr>
            <w:r w:rsidRPr="001856B5">
              <w:rPr>
                <w:rFonts w:cs="Arial"/>
                <w:i/>
                <w:iCs/>
                <w:color w:val="000000"/>
              </w:rPr>
              <w:t>Budget</w:t>
            </w:r>
          </w:p>
        </w:tc>
        <w:tc>
          <w:tcPr>
            <w:tcW w:w="680" w:type="dxa"/>
            <w:tcBorders>
              <w:top w:val="nil"/>
              <w:left w:val="single" w:sz="4" w:space="0" w:color="auto"/>
              <w:bottom w:val="single" w:sz="4" w:space="0" w:color="auto"/>
              <w:right w:val="nil"/>
            </w:tcBorders>
            <w:shd w:val="clear" w:color="auto" w:fill="auto"/>
            <w:hideMark/>
          </w:tcPr>
          <w:p w:rsidR="001856B5" w:rsidRPr="001856B5" w:rsidRDefault="001856B5" w:rsidP="001856B5">
            <w:pPr>
              <w:rPr>
                <w:rFonts w:cs="Arial"/>
                <w:i/>
                <w:iCs/>
              </w:rPr>
            </w:pPr>
            <w:r w:rsidRPr="001856B5">
              <w:rPr>
                <w:rFonts w:cs="Arial"/>
                <w:i/>
                <w:iCs/>
              </w:rPr>
              <w:t> </w:t>
            </w:r>
          </w:p>
        </w:tc>
        <w:tc>
          <w:tcPr>
            <w:tcW w:w="960" w:type="dxa"/>
            <w:tcBorders>
              <w:top w:val="nil"/>
              <w:left w:val="nil"/>
              <w:bottom w:val="single" w:sz="4" w:space="0" w:color="auto"/>
              <w:right w:val="nil"/>
            </w:tcBorders>
            <w:shd w:val="clear" w:color="auto" w:fill="auto"/>
            <w:hideMark/>
          </w:tcPr>
          <w:p w:rsidR="001856B5" w:rsidRPr="001856B5" w:rsidRDefault="001856B5" w:rsidP="001856B5">
            <w:pPr>
              <w:rPr>
                <w:rFonts w:cs="Arial"/>
                <w:i/>
                <w:iCs/>
              </w:rPr>
            </w:pPr>
            <w:r w:rsidRPr="001856B5">
              <w:rPr>
                <w:rFonts w:cs="Arial"/>
                <w:i/>
                <w:iCs/>
              </w:rPr>
              <w:t> </w:t>
            </w:r>
          </w:p>
        </w:tc>
        <w:tc>
          <w:tcPr>
            <w:tcW w:w="1447" w:type="dxa"/>
            <w:tcBorders>
              <w:top w:val="nil"/>
              <w:left w:val="single" w:sz="4" w:space="0" w:color="auto"/>
              <w:bottom w:val="nil"/>
              <w:right w:val="single" w:sz="4" w:space="0" w:color="auto"/>
            </w:tcBorders>
            <w:shd w:val="clear" w:color="auto" w:fill="auto"/>
            <w:hideMark/>
          </w:tcPr>
          <w:p w:rsidR="001856B5" w:rsidRPr="001856B5" w:rsidRDefault="001856B5" w:rsidP="001856B5">
            <w:pPr>
              <w:jc w:val="center"/>
              <w:rPr>
                <w:rFonts w:cs="Arial"/>
                <w:i/>
                <w:iCs/>
                <w:color w:val="000000"/>
              </w:rPr>
            </w:pPr>
            <w:r w:rsidRPr="001856B5">
              <w:rPr>
                <w:rFonts w:cs="Arial"/>
                <w:i/>
                <w:iCs/>
                <w:color w:val="000000"/>
              </w:rPr>
              <w:t>Proposed</w:t>
            </w:r>
          </w:p>
        </w:tc>
      </w:tr>
      <w:tr w:rsidR="001856B5" w:rsidRPr="001856B5" w:rsidTr="001856B5">
        <w:trPr>
          <w:trHeight w:val="255"/>
        </w:trPr>
        <w:tc>
          <w:tcPr>
            <w:tcW w:w="3827" w:type="dxa"/>
            <w:tcBorders>
              <w:top w:val="nil"/>
              <w:left w:val="single" w:sz="4" w:space="0" w:color="auto"/>
              <w:bottom w:val="single" w:sz="4" w:space="0" w:color="auto"/>
              <w:right w:val="nil"/>
            </w:tcBorders>
            <w:shd w:val="clear" w:color="auto" w:fill="auto"/>
            <w:vAlign w:val="bottom"/>
          </w:tcPr>
          <w:p w:rsidR="001856B5" w:rsidRPr="001856B5" w:rsidRDefault="001856B5" w:rsidP="001856B5">
            <w:pPr>
              <w:ind w:firstLineChars="100" w:firstLine="200"/>
              <w:jc w:val="left"/>
              <w:rPr>
                <w:rFonts w:cs="Arial"/>
                <w:i/>
                <w:iCs/>
              </w:rPr>
            </w:pPr>
          </w:p>
        </w:tc>
        <w:tc>
          <w:tcPr>
            <w:tcW w:w="1211" w:type="dxa"/>
            <w:tcBorders>
              <w:top w:val="nil"/>
              <w:left w:val="single" w:sz="4" w:space="0" w:color="auto"/>
              <w:bottom w:val="single" w:sz="4" w:space="0" w:color="auto"/>
              <w:right w:val="nil"/>
            </w:tcBorders>
            <w:shd w:val="clear" w:color="auto" w:fill="auto"/>
            <w:vAlign w:val="bottom"/>
            <w:hideMark/>
          </w:tcPr>
          <w:p w:rsidR="001856B5" w:rsidRPr="001856B5" w:rsidRDefault="001856B5" w:rsidP="001856B5">
            <w:pPr>
              <w:jc w:val="center"/>
              <w:rPr>
                <w:rFonts w:cs="Arial"/>
                <w:i/>
                <w:iCs/>
                <w:color w:val="000000"/>
              </w:rPr>
            </w:pPr>
            <w:r w:rsidRPr="001856B5">
              <w:rPr>
                <w:rFonts w:cs="Arial"/>
                <w:i/>
                <w:iCs/>
                <w:color w:val="000000"/>
              </w:rPr>
              <w:t>A</w:t>
            </w:r>
          </w:p>
        </w:tc>
        <w:tc>
          <w:tcPr>
            <w:tcW w:w="1231" w:type="dxa"/>
            <w:tcBorders>
              <w:top w:val="nil"/>
              <w:left w:val="single" w:sz="4" w:space="0" w:color="auto"/>
              <w:bottom w:val="single" w:sz="4" w:space="0" w:color="auto"/>
              <w:right w:val="nil"/>
            </w:tcBorders>
            <w:shd w:val="clear" w:color="auto" w:fill="auto"/>
            <w:vAlign w:val="bottom"/>
            <w:hideMark/>
          </w:tcPr>
          <w:p w:rsidR="001856B5" w:rsidRPr="001856B5" w:rsidRDefault="001856B5" w:rsidP="001856B5">
            <w:pPr>
              <w:jc w:val="center"/>
              <w:rPr>
                <w:rFonts w:cs="Arial"/>
                <w:i/>
                <w:iCs/>
                <w:color w:val="000000"/>
              </w:rPr>
            </w:pPr>
            <w:r w:rsidRPr="001856B5">
              <w:rPr>
                <w:rFonts w:cs="Arial"/>
                <w:i/>
                <w:iCs/>
                <w:color w:val="000000"/>
              </w:rPr>
              <w:t>B</w:t>
            </w:r>
          </w:p>
        </w:tc>
        <w:tc>
          <w:tcPr>
            <w:tcW w:w="680" w:type="dxa"/>
            <w:tcBorders>
              <w:top w:val="nil"/>
              <w:left w:val="single" w:sz="4" w:space="0" w:color="auto"/>
              <w:bottom w:val="single" w:sz="4" w:space="0" w:color="auto"/>
              <w:right w:val="single" w:sz="4" w:space="0" w:color="auto"/>
            </w:tcBorders>
            <w:shd w:val="clear" w:color="auto" w:fill="auto"/>
            <w:vAlign w:val="bottom"/>
            <w:hideMark/>
          </w:tcPr>
          <w:p w:rsidR="001856B5" w:rsidRPr="001856B5" w:rsidRDefault="001856B5" w:rsidP="001856B5">
            <w:pPr>
              <w:jc w:val="center"/>
              <w:rPr>
                <w:rFonts w:cs="Arial"/>
                <w:i/>
                <w:iCs/>
                <w:color w:val="000000"/>
              </w:rPr>
            </w:pPr>
            <w:r w:rsidRPr="001856B5">
              <w:rPr>
                <w:rFonts w:cs="Arial"/>
                <w:i/>
                <w:iCs/>
                <w:color w:val="000000"/>
              </w:rPr>
              <w:t>C</w:t>
            </w:r>
          </w:p>
        </w:tc>
        <w:tc>
          <w:tcPr>
            <w:tcW w:w="960" w:type="dxa"/>
            <w:tcBorders>
              <w:top w:val="nil"/>
              <w:left w:val="nil"/>
              <w:bottom w:val="single" w:sz="4" w:space="0" w:color="auto"/>
              <w:right w:val="nil"/>
            </w:tcBorders>
            <w:shd w:val="clear" w:color="auto" w:fill="auto"/>
            <w:vAlign w:val="bottom"/>
            <w:hideMark/>
          </w:tcPr>
          <w:p w:rsidR="001856B5" w:rsidRPr="001856B5" w:rsidRDefault="001856B5" w:rsidP="001856B5">
            <w:pPr>
              <w:jc w:val="center"/>
              <w:rPr>
                <w:rFonts w:cs="Arial"/>
                <w:i/>
                <w:iCs/>
                <w:color w:val="000000"/>
              </w:rPr>
            </w:pPr>
            <w:r w:rsidRPr="001856B5">
              <w:rPr>
                <w:rFonts w:cs="Arial"/>
                <w:i/>
                <w:iCs/>
                <w:color w:val="000000"/>
              </w:rPr>
              <w:t>C/B</w:t>
            </w:r>
          </w:p>
        </w:tc>
        <w:tc>
          <w:tcPr>
            <w:tcW w:w="1447" w:type="dxa"/>
            <w:tcBorders>
              <w:top w:val="nil"/>
              <w:left w:val="single" w:sz="4" w:space="0" w:color="auto"/>
              <w:bottom w:val="single" w:sz="4" w:space="0" w:color="auto"/>
              <w:right w:val="single" w:sz="4" w:space="0" w:color="auto"/>
            </w:tcBorders>
            <w:shd w:val="clear" w:color="auto" w:fill="auto"/>
            <w:vAlign w:val="bottom"/>
            <w:hideMark/>
          </w:tcPr>
          <w:p w:rsidR="001856B5" w:rsidRPr="001856B5" w:rsidRDefault="001856B5" w:rsidP="001856B5">
            <w:pPr>
              <w:jc w:val="center"/>
              <w:rPr>
                <w:rFonts w:cs="Arial"/>
                <w:i/>
                <w:iCs/>
                <w:color w:val="000000"/>
              </w:rPr>
            </w:pPr>
            <w:r w:rsidRPr="001856B5">
              <w:rPr>
                <w:rFonts w:cs="Arial"/>
                <w:i/>
                <w:iCs/>
                <w:color w:val="000000"/>
              </w:rPr>
              <w:t>D=B+C</w:t>
            </w:r>
          </w:p>
        </w:tc>
      </w:tr>
      <w:tr w:rsidR="001856B5" w:rsidRPr="001856B5" w:rsidTr="001856B5">
        <w:trPr>
          <w:trHeight w:val="240"/>
        </w:trPr>
        <w:tc>
          <w:tcPr>
            <w:tcW w:w="3827" w:type="dxa"/>
            <w:tcBorders>
              <w:top w:val="nil"/>
              <w:left w:val="single" w:sz="4" w:space="0" w:color="auto"/>
              <w:bottom w:val="nil"/>
              <w:right w:val="nil"/>
            </w:tcBorders>
            <w:shd w:val="clear" w:color="auto" w:fill="auto"/>
            <w:hideMark/>
          </w:tcPr>
          <w:p w:rsidR="001856B5" w:rsidRPr="001856B5" w:rsidRDefault="001856B5" w:rsidP="001856B5">
            <w:pPr>
              <w:ind w:firstLineChars="100" w:firstLine="200"/>
              <w:jc w:val="left"/>
              <w:rPr>
                <w:rFonts w:cs="Arial"/>
              </w:rPr>
            </w:pPr>
            <w:r w:rsidRPr="001856B5">
              <w:rPr>
                <w:rFonts w:cs="Arial"/>
              </w:rPr>
              <w:t> </w:t>
            </w:r>
          </w:p>
        </w:tc>
        <w:tc>
          <w:tcPr>
            <w:tcW w:w="1211" w:type="dxa"/>
            <w:tcBorders>
              <w:top w:val="nil"/>
              <w:left w:val="single" w:sz="4" w:space="0" w:color="auto"/>
              <w:bottom w:val="nil"/>
              <w:right w:val="nil"/>
            </w:tcBorders>
            <w:shd w:val="clear" w:color="auto" w:fill="auto"/>
            <w:hideMark/>
          </w:tcPr>
          <w:p w:rsidR="001856B5" w:rsidRPr="001856B5" w:rsidRDefault="001856B5" w:rsidP="001856B5">
            <w:pPr>
              <w:rPr>
                <w:rFonts w:cs="Arial"/>
              </w:rPr>
            </w:pPr>
            <w:r w:rsidRPr="001856B5">
              <w:rPr>
                <w:rFonts w:cs="Arial"/>
              </w:rPr>
              <w:t> </w:t>
            </w:r>
          </w:p>
        </w:tc>
        <w:tc>
          <w:tcPr>
            <w:tcW w:w="1231" w:type="dxa"/>
            <w:tcBorders>
              <w:top w:val="nil"/>
              <w:left w:val="nil"/>
              <w:bottom w:val="nil"/>
              <w:right w:val="nil"/>
            </w:tcBorders>
            <w:shd w:val="clear" w:color="auto" w:fill="auto"/>
            <w:hideMark/>
          </w:tcPr>
          <w:p w:rsidR="001856B5" w:rsidRPr="001856B5" w:rsidRDefault="001856B5" w:rsidP="001856B5">
            <w:pPr>
              <w:rPr>
                <w:rFonts w:cs="Arial"/>
              </w:rPr>
            </w:pPr>
            <w:r w:rsidRPr="001856B5">
              <w:rPr>
                <w:rFonts w:cs="Arial"/>
              </w:rPr>
              <w:t> </w:t>
            </w:r>
          </w:p>
        </w:tc>
        <w:tc>
          <w:tcPr>
            <w:tcW w:w="680" w:type="dxa"/>
            <w:tcBorders>
              <w:top w:val="nil"/>
              <w:left w:val="nil"/>
              <w:bottom w:val="nil"/>
              <w:right w:val="nil"/>
            </w:tcBorders>
            <w:shd w:val="clear" w:color="auto" w:fill="auto"/>
            <w:hideMark/>
          </w:tcPr>
          <w:p w:rsidR="001856B5" w:rsidRPr="001856B5" w:rsidRDefault="001856B5" w:rsidP="001856B5">
            <w:pPr>
              <w:rPr>
                <w:rFonts w:cs="Arial"/>
              </w:rPr>
            </w:pPr>
            <w:r w:rsidRPr="001856B5">
              <w:rPr>
                <w:rFonts w:cs="Arial"/>
              </w:rPr>
              <w:t> </w:t>
            </w:r>
          </w:p>
        </w:tc>
        <w:tc>
          <w:tcPr>
            <w:tcW w:w="960" w:type="dxa"/>
            <w:tcBorders>
              <w:top w:val="nil"/>
              <w:left w:val="nil"/>
              <w:bottom w:val="nil"/>
              <w:right w:val="nil"/>
            </w:tcBorders>
            <w:shd w:val="clear" w:color="auto" w:fill="auto"/>
            <w:hideMark/>
          </w:tcPr>
          <w:p w:rsidR="001856B5" w:rsidRPr="001856B5" w:rsidRDefault="001856B5" w:rsidP="001856B5">
            <w:pPr>
              <w:rPr>
                <w:rFonts w:cs="Arial"/>
              </w:rPr>
            </w:pPr>
            <w:r w:rsidRPr="001856B5">
              <w:rPr>
                <w:rFonts w:cs="Arial"/>
              </w:rPr>
              <w:t> </w:t>
            </w:r>
          </w:p>
        </w:tc>
        <w:tc>
          <w:tcPr>
            <w:tcW w:w="1447" w:type="dxa"/>
            <w:tcBorders>
              <w:top w:val="nil"/>
              <w:left w:val="single" w:sz="4" w:space="0" w:color="auto"/>
              <w:bottom w:val="nil"/>
              <w:right w:val="single" w:sz="4" w:space="0" w:color="auto"/>
            </w:tcBorders>
            <w:shd w:val="clear" w:color="auto" w:fill="auto"/>
            <w:hideMark/>
          </w:tcPr>
          <w:p w:rsidR="001856B5" w:rsidRPr="001856B5" w:rsidRDefault="001856B5" w:rsidP="001856B5">
            <w:pPr>
              <w:rPr>
                <w:rFonts w:cs="Arial"/>
              </w:rPr>
            </w:pPr>
            <w:r w:rsidRPr="001856B5">
              <w:rPr>
                <w:rFonts w:cs="Arial"/>
              </w:rPr>
              <w:t> </w:t>
            </w:r>
          </w:p>
        </w:tc>
      </w:tr>
      <w:tr w:rsidR="001856B5" w:rsidRPr="001856B5" w:rsidTr="001856B5">
        <w:trPr>
          <w:trHeight w:val="315"/>
        </w:trPr>
        <w:tc>
          <w:tcPr>
            <w:tcW w:w="3827" w:type="dxa"/>
            <w:tcBorders>
              <w:top w:val="nil"/>
              <w:left w:val="single" w:sz="4" w:space="0" w:color="auto"/>
              <w:bottom w:val="nil"/>
              <w:right w:val="nil"/>
            </w:tcBorders>
            <w:shd w:val="clear" w:color="auto" w:fill="auto"/>
            <w:vAlign w:val="bottom"/>
            <w:hideMark/>
          </w:tcPr>
          <w:p w:rsidR="001856B5" w:rsidRPr="001856B5" w:rsidRDefault="001856B5" w:rsidP="001856B5">
            <w:pPr>
              <w:jc w:val="left"/>
              <w:rPr>
                <w:rFonts w:cs="Arial"/>
              </w:rPr>
            </w:pPr>
            <w:r w:rsidRPr="001856B5">
              <w:rPr>
                <w:rFonts w:cs="Arial"/>
              </w:rPr>
              <w:t>1. Income</w:t>
            </w:r>
          </w:p>
        </w:tc>
        <w:tc>
          <w:tcPr>
            <w:tcW w:w="1211" w:type="dxa"/>
            <w:tcBorders>
              <w:top w:val="nil"/>
              <w:left w:val="single" w:sz="4" w:space="0" w:color="auto"/>
              <w:bottom w:val="nil"/>
              <w:right w:val="nil"/>
            </w:tcBorders>
            <w:shd w:val="clear" w:color="auto" w:fill="auto"/>
            <w:vAlign w:val="bottom"/>
            <w:hideMark/>
          </w:tcPr>
          <w:p w:rsidR="001856B5" w:rsidRPr="001856B5" w:rsidRDefault="001856B5" w:rsidP="001856B5">
            <w:pPr>
              <w:jc w:val="right"/>
              <w:rPr>
                <w:rFonts w:cs="Arial"/>
                <w:color w:val="000000"/>
              </w:rPr>
            </w:pPr>
            <w:r w:rsidRPr="001856B5">
              <w:rPr>
                <w:rFonts w:cs="Arial"/>
                <w:color w:val="000000"/>
              </w:rPr>
              <w:t>6,901</w:t>
            </w:r>
          </w:p>
        </w:tc>
        <w:tc>
          <w:tcPr>
            <w:tcW w:w="1231" w:type="dxa"/>
            <w:tcBorders>
              <w:top w:val="nil"/>
              <w:left w:val="nil"/>
              <w:bottom w:val="nil"/>
              <w:right w:val="nil"/>
            </w:tcBorders>
            <w:shd w:val="clear" w:color="auto" w:fill="auto"/>
            <w:vAlign w:val="bottom"/>
            <w:hideMark/>
          </w:tcPr>
          <w:p w:rsidR="001856B5" w:rsidRPr="001856B5" w:rsidRDefault="001856B5" w:rsidP="001856B5">
            <w:pPr>
              <w:jc w:val="right"/>
              <w:rPr>
                <w:rFonts w:cs="Arial"/>
                <w:color w:val="000000"/>
              </w:rPr>
            </w:pPr>
            <w:r w:rsidRPr="001856B5">
              <w:rPr>
                <w:rFonts w:cs="Arial"/>
                <w:color w:val="000000"/>
              </w:rPr>
              <w:t>6,798</w:t>
            </w:r>
          </w:p>
        </w:tc>
        <w:tc>
          <w:tcPr>
            <w:tcW w:w="680" w:type="dxa"/>
            <w:tcBorders>
              <w:top w:val="nil"/>
              <w:left w:val="nil"/>
              <w:bottom w:val="nil"/>
              <w:right w:val="nil"/>
            </w:tcBorders>
            <w:shd w:val="clear" w:color="auto" w:fill="auto"/>
            <w:vAlign w:val="bottom"/>
            <w:hideMark/>
          </w:tcPr>
          <w:p w:rsidR="001856B5" w:rsidRPr="001856B5" w:rsidRDefault="001856B5" w:rsidP="001856B5">
            <w:pPr>
              <w:jc w:val="right"/>
              <w:rPr>
                <w:rFonts w:cs="Arial"/>
                <w:color w:val="000000"/>
              </w:rPr>
            </w:pPr>
            <w:r w:rsidRPr="001856B5">
              <w:rPr>
                <w:rFonts w:cs="Arial"/>
                <w:color w:val="000000"/>
              </w:rPr>
              <w:t>-4</w:t>
            </w:r>
          </w:p>
        </w:tc>
        <w:tc>
          <w:tcPr>
            <w:tcW w:w="960" w:type="dxa"/>
            <w:tcBorders>
              <w:top w:val="nil"/>
              <w:left w:val="nil"/>
              <w:bottom w:val="nil"/>
              <w:right w:val="nil"/>
            </w:tcBorders>
            <w:shd w:val="clear" w:color="auto" w:fill="auto"/>
            <w:vAlign w:val="bottom"/>
            <w:hideMark/>
          </w:tcPr>
          <w:p w:rsidR="001856B5" w:rsidRPr="001856B5" w:rsidRDefault="001856B5" w:rsidP="001856B5">
            <w:pPr>
              <w:jc w:val="right"/>
              <w:rPr>
                <w:rFonts w:cs="Arial"/>
                <w:color w:val="000000"/>
              </w:rPr>
            </w:pPr>
            <w:r w:rsidRPr="001856B5">
              <w:rPr>
                <w:rFonts w:cs="Arial"/>
                <w:color w:val="000000"/>
              </w:rPr>
              <w:t>-0.1%</w:t>
            </w:r>
          </w:p>
        </w:tc>
        <w:tc>
          <w:tcPr>
            <w:tcW w:w="1447" w:type="dxa"/>
            <w:tcBorders>
              <w:top w:val="nil"/>
              <w:left w:val="single" w:sz="4" w:space="0" w:color="auto"/>
              <w:bottom w:val="nil"/>
              <w:right w:val="single" w:sz="4" w:space="0" w:color="auto"/>
            </w:tcBorders>
            <w:shd w:val="clear" w:color="auto" w:fill="auto"/>
            <w:vAlign w:val="bottom"/>
            <w:hideMark/>
          </w:tcPr>
          <w:p w:rsidR="001856B5" w:rsidRPr="001856B5" w:rsidRDefault="001856B5" w:rsidP="001856B5">
            <w:pPr>
              <w:jc w:val="right"/>
              <w:rPr>
                <w:rFonts w:cs="Arial"/>
                <w:color w:val="000000"/>
              </w:rPr>
            </w:pPr>
            <w:r w:rsidRPr="001856B5">
              <w:rPr>
                <w:rFonts w:cs="Arial"/>
                <w:color w:val="000000"/>
              </w:rPr>
              <w:t>6,794</w:t>
            </w:r>
          </w:p>
        </w:tc>
      </w:tr>
      <w:tr w:rsidR="001856B5" w:rsidRPr="001856B5" w:rsidTr="001856B5">
        <w:trPr>
          <w:trHeight w:val="315"/>
        </w:trPr>
        <w:tc>
          <w:tcPr>
            <w:tcW w:w="3827" w:type="dxa"/>
            <w:tcBorders>
              <w:top w:val="nil"/>
              <w:left w:val="single" w:sz="4" w:space="0" w:color="auto"/>
              <w:bottom w:val="nil"/>
              <w:right w:val="nil"/>
            </w:tcBorders>
            <w:shd w:val="clear" w:color="auto" w:fill="auto"/>
            <w:vAlign w:val="bottom"/>
            <w:hideMark/>
          </w:tcPr>
          <w:p w:rsidR="001856B5" w:rsidRPr="001856B5" w:rsidRDefault="001856B5" w:rsidP="001856B5">
            <w:pPr>
              <w:jc w:val="left"/>
              <w:rPr>
                <w:rFonts w:cs="Arial"/>
              </w:rPr>
            </w:pPr>
            <w:r w:rsidRPr="001856B5">
              <w:rPr>
                <w:rFonts w:cs="Arial"/>
              </w:rPr>
              <w:t>2. Expenditure</w:t>
            </w:r>
          </w:p>
        </w:tc>
        <w:tc>
          <w:tcPr>
            <w:tcW w:w="1211" w:type="dxa"/>
            <w:tcBorders>
              <w:top w:val="nil"/>
              <w:left w:val="single" w:sz="4" w:space="0" w:color="auto"/>
              <w:bottom w:val="nil"/>
              <w:right w:val="nil"/>
            </w:tcBorders>
            <w:shd w:val="clear" w:color="auto" w:fill="auto"/>
            <w:vAlign w:val="bottom"/>
            <w:hideMark/>
          </w:tcPr>
          <w:p w:rsidR="001856B5" w:rsidRPr="001856B5" w:rsidRDefault="001856B5" w:rsidP="001856B5">
            <w:pPr>
              <w:jc w:val="right"/>
              <w:rPr>
                <w:rFonts w:cs="Arial"/>
                <w:color w:val="000000"/>
              </w:rPr>
            </w:pPr>
            <w:r w:rsidRPr="001856B5">
              <w:rPr>
                <w:rFonts w:cs="Arial"/>
                <w:color w:val="000000"/>
              </w:rPr>
              <w:t>6,479</w:t>
            </w:r>
          </w:p>
        </w:tc>
        <w:tc>
          <w:tcPr>
            <w:tcW w:w="1231" w:type="dxa"/>
            <w:tcBorders>
              <w:top w:val="nil"/>
              <w:left w:val="nil"/>
              <w:bottom w:val="nil"/>
              <w:right w:val="nil"/>
            </w:tcBorders>
            <w:shd w:val="clear" w:color="auto" w:fill="auto"/>
            <w:vAlign w:val="bottom"/>
            <w:hideMark/>
          </w:tcPr>
          <w:p w:rsidR="001856B5" w:rsidRPr="001856B5" w:rsidRDefault="001856B5" w:rsidP="001856B5">
            <w:pPr>
              <w:jc w:val="right"/>
              <w:rPr>
                <w:rFonts w:cs="Arial"/>
                <w:color w:val="000000"/>
              </w:rPr>
            </w:pPr>
            <w:r w:rsidRPr="001856B5">
              <w:rPr>
                <w:rFonts w:cs="Arial"/>
                <w:color w:val="000000"/>
              </w:rPr>
              <w:t>6,798</w:t>
            </w:r>
          </w:p>
        </w:tc>
        <w:tc>
          <w:tcPr>
            <w:tcW w:w="680" w:type="dxa"/>
            <w:tcBorders>
              <w:top w:val="nil"/>
              <w:left w:val="nil"/>
              <w:bottom w:val="nil"/>
              <w:right w:val="nil"/>
            </w:tcBorders>
            <w:shd w:val="clear" w:color="auto" w:fill="auto"/>
            <w:vAlign w:val="bottom"/>
            <w:hideMark/>
          </w:tcPr>
          <w:p w:rsidR="001856B5" w:rsidRPr="001856B5" w:rsidRDefault="001856B5" w:rsidP="001856B5">
            <w:pPr>
              <w:jc w:val="right"/>
              <w:rPr>
                <w:rFonts w:cs="Arial"/>
                <w:color w:val="000000"/>
              </w:rPr>
            </w:pPr>
            <w:r w:rsidRPr="001856B5">
              <w:rPr>
                <w:rFonts w:cs="Arial"/>
                <w:color w:val="000000"/>
              </w:rPr>
              <w:t>-4</w:t>
            </w:r>
          </w:p>
        </w:tc>
        <w:tc>
          <w:tcPr>
            <w:tcW w:w="960" w:type="dxa"/>
            <w:tcBorders>
              <w:top w:val="nil"/>
              <w:left w:val="nil"/>
              <w:bottom w:val="nil"/>
              <w:right w:val="nil"/>
            </w:tcBorders>
            <w:shd w:val="clear" w:color="auto" w:fill="auto"/>
            <w:vAlign w:val="bottom"/>
            <w:hideMark/>
          </w:tcPr>
          <w:p w:rsidR="001856B5" w:rsidRPr="001856B5" w:rsidRDefault="001856B5" w:rsidP="001856B5">
            <w:pPr>
              <w:jc w:val="right"/>
              <w:rPr>
                <w:rFonts w:cs="Arial"/>
                <w:color w:val="000000"/>
              </w:rPr>
            </w:pPr>
            <w:r w:rsidRPr="001856B5">
              <w:rPr>
                <w:rFonts w:cs="Arial"/>
                <w:color w:val="000000"/>
              </w:rPr>
              <w:t>-0.1%</w:t>
            </w:r>
          </w:p>
        </w:tc>
        <w:tc>
          <w:tcPr>
            <w:tcW w:w="1447" w:type="dxa"/>
            <w:tcBorders>
              <w:top w:val="nil"/>
              <w:left w:val="single" w:sz="4" w:space="0" w:color="auto"/>
              <w:bottom w:val="nil"/>
              <w:right w:val="single" w:sz="4" w:space="0" w:color="auto"/>
            </w:tcBorders>
            <w:shd w:val="clear" w:color="auto" w:fill="auto"/>
            <w:vAlign w:val="bottom"/>
            <w:hideMark/>
          </w:tcPr>
          <w:p w:rsidR="001856B5" w:rsidRPr="001856B5" w:rsidRDefault="001856B5" w:rsidP="001856B5">
            <w:pPr>
              <w:jc w:val="right"/>
              <w:rPr>
                <w:rFonts w:cs="Arial"/>
                <w:color w:val="000000"/>
              </w:rPr>
            </w:pPr>
            <w:r w:rsidRPr="001856B5">
              <w:rPr>
                <w:rFonts w:cs="Arial"/>
                <w:color w:val="000000"/>
              </w:rPr>
              <w:t>6,794</w:t>
            </w:r>
          </w:p>
        </w:tc>
      </w:tr>
      <w:tr w:rsidR="001856B5" w:rsidRPr="001856B5" w:rsidTr="001856B5">
        <w:trPr>
          <w:trHeight w:val="315"/>
        </w:trPr>
        <w:tc>
          <w:tcPr>
            <w:tcW w:w="3827" w:type="dxa"/>
            <w:tcBorders>
              <w:top w:val="nil"/>
              <w:left w:val="single" w:sz="4" w:space="0" w:color="auto"/>
              <w:bottom w:val="single" w:sz="4" w:space="0" w:color="auto"/>
              <w:right w:val="nil"/>
            </w:tcBorders>
            <w:shd w:val="clear" w:color="auto" w:fill="auto"/>
            <w:vAlign w:val="bottom"/>
            <w:hideMark/>
          </w:tcPr>
          <w:p w:rsidR="001856B5" w:rsidRPr="001856B5" w:rsidRDefault="001856B5" w:rsidP="001856B5">
            <w:pPr>
              <w:jc w:val="left"/>
              <w:rPr>
                <w:rFonts w:cs="Arial"/>
                <w:b/>
                <w:bCs/>
              </w:rPr>
            </w:pPr>
            <w:r w:rsidRPr="001856B5">
              <w:rPr>
                <w:rFonts w:cs="Arial"/>
                <w:b/>
                <w:bCs/>
              </w:rPr>
              <w:t>Difference (1-2)</w:t>
            </w:r>
          </w:p>
        </w:tc>
        <w:tc>
          <w:tcPr>
            <w:tcW w:w="1211" w:type="dxa"/>
            <w:tcBorders>
              <w:top w:val="single" w:sz="4" w:space="0" w:color="auto"/>
              <w:left w:val="single" w:sz="4" w:space="0" w:color="auto"/>
              <w:bottom w:val="single" w:sz="4" w:space="0" w:color="auto"/>
              <w:right w:val="nil"/>
            </w:tcBorders>
            <w:shd w:val="clear" w:color="auto" w:fill="auto"/>
            <w:vAlign w:val="bottom"/>
            <w:hideMark/>
          </w:tcPr>
          <w:p w:rsidR="001856B5" w:rsidRPr="001856B5" w:rsidRDefault="001856B5" w:rsidP="001856B5">
            <w:pPr>
              <w:jc w:val="right"/>
              <w:rPr>
                <w:rFonts w:cs="Arial"/>
                <w:b/>
                <w:bCs/>
                <w:color w:val="000000"/>
              </w:rPr>
            </w:pPr>
            <w:r w:rsidRPr="001856B5">
              <w:rPr>
                <w:rFonts w:cs="Arial"/>
                <w:b/>
                <w:bCs/>
                <w:color w:val="000000"/>
              </w:rPr>
              <w:t>422</w:t>
            </w:r>
          </w:p>
        </w:tc>
        <w:tc>
          <w:tcPr>
            <w:tcW w:w="1231" w:type="dxa"/>
            <w:tcBorders>
              <w:top w:val="single" w:sz="4" w:space="0" w:color="auto"/>
              <w:left w:val="nil"/>
              <w:bottom w:val="single" w:sz="4" w:space="0" w:color="auto"/>
              <w:right w:val="nil"/>
            </w:tcBorders>
            <w:shd w:val="clear" w:color="auto" w:fill="auto"/>
            <w:vAlign w:val="bottom"/>
            <w:hideMark/>
          </w:tcPr>
          <w:p w:rsidR="001856B5" w:rsidRPr="001856B5" w:rsidRDefault="001856B5" w:rsidP="001856B5">
            <w:pPr>
              <w:jc w:val="right"/>
              <w:rPr>
                <w:rFonts w:cs="Arial"/>
                <w:b/>
                <w:bCs/>
                <w:color w:val="000000"/>
              </w:rPr>
            </w:pPr>
            <w:r w:rsidRPr="001856B5">
              <w:rPr>
                <w:rFonts w:cs="Arial"/>
                <w:b/>
                <w:bCs/>
                <w:color w:val="000000"/>
              </w:rPr>
              <w:t>-</w:t>
            </w:r>
          </w:p>
        </w:tc>
        <w:tc>
          <w:tcPr>
            <w:tcW w:w="680" w:type="dxa"/>
            <w:tcBorders>
              <w:top w:val="single" w:sz="4" w:space="0" w:color="auto"/>
              <w:left w:val="nil"/>
              <w:bottom w:val="single" w:sz="4" w:space="0" w:color="auto"/>
              <w:right w:val="nil"/>
            </w:tcBorders>
            <w:shd w:val="clear" w:color="auto" w:fill="auto"/>
            <w:vAlign w:val="bottom"/>
            <w:hideMark/>
          </w:tcPr>
          <w:p w:rsidR="001856B5" w:rsidRPr="001856B5" w:rsidRDefault="001856B5" w:rsidP="001856B5">
            <w:pPr>
              <w:jc w:val="right"/>
              <w:rPr>
                <w:rFonts w:cs="Arial"/>
                <w:b/>
                <w:bCs/>
                <w:color w:val="000000"/>
              </w:rPr>
            </w:pPr>
            <w:r>
              <w:rPr>
                <w:rFonts w:cs="Arial"/>
                <w:b/>
                <w:bCs/>
                <w:color w:val="000000"/>
              </w:rPr>
              <w:t>-</w:t>
            </w:r>
          </w:p>
        </w:tc>
        <w:tc>
          <w:tcPr>
            <w:tcW w:w="960" w:type="dxa"/>
            <w:tcBorders>
              <w:top w:val="single" w:sz="4" w:space="0" w:color="auto"/>
              <w:left w:val="nil"/>
              <w:bottom w:val="single" w:sz="4" w:space="0" w:color="auto"/>
              <w:right w:val="nil"/>
            </w:tcBorders>
            <w:shd w:val="clear" w:color="auto" w:fill="auto"/>
            <w:vAlign w:val="bottom"/>
            <w:hideMark/>
          </w:tcPr>
          <w:p w:rsidR="001856B5" w:rsidRPr="001856B5" w:rsidRDefault="001856B5" w:rsidP="001856B5">
            <w:pPr>
              <w:jc w:val="right"/>
              <w:rPr>
                <w:rFonts w:cs="Arial"/>
                <w:b/>
                <w:bCs/>
                <w:color w:val="000000"/>
              </w:rPr>
            </w:pPr>
            <w:r w:rsidRPr="001856B5">
              <w:rPr>
                <w:rFonts w:cs="Arial"/>
                <w:b/>
                <w:bCs/>
                <w:color w:val="000000"/>
              </w:rPr>
              <w:t>0.0%</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6B5" w:rsidRPr="001856B5" w:rsidRDefault="001856B5" w:rsidP="001856B5">
            <w:pPr>
              <w:jc w:val="right"/>
              <w:rPr>
                <w:rFonts w:cs="Arial"/>
                <w:b/>
                <w:bCs/>
                <w:color w:val="000000"/>
              </w:rPr>
            </w:pPr>
            <w:r w:rsidRPr="001856B5">
              <w:rPr>
                <w:rFonts w:cs="Arial"/>
                <w:b/>
                <w:bCs/>
                <w:color w:val="000000"/>
              </w:rPr>
              <w:t>-</w:t>
            </w:r>
          </w:p>
        </w:tc>
      </w:tr>
      <w:tr w:rsidR="001856B5" w:rsidRPr="001856B5" w:rsidTr="001856B5">
        <w:trPr>
          <w:trHeight w:val="255"/>
        </w:trPr>
        <w:tc>
          <w:tcPr>
            <w:tcW w:w="3827" w:type="dxa"/>
            <w:tcBorders>
              <w:top w:val="nil"/>
              <w:left w:val="single" w:sz="4" w:space="0" w:color="auto"/>
              <w:bottom w:val="single" w:sz="4" w:space="0" w:color="auto"/>
              <w:right w:val="nil"/>
            </w:tcBorders>
            <w:shd w:val="clear" w:color="auto" w:fill="auto"/>
            <w:vAlign w:val="bottom"/>
          </w:tcPr>
          <w:p w:rsidR="001856B5" w:rsidRPr="001856B5" w:rsidRDefault="001856B5" w:rsidP="001856B5">
            <w:pPr>
              <w:jc w:val="left"/>
              <w:rPr>
                <w:rFonts w:cs="Arial"/>
                <w:b/>
                <w:bCs/>
              </w:rPr>
            </w:pPr>
          </w:p>
        </w:tc>
        <w:tc>
          <w:tcPr>
            <w:tcW w:w="1211" w:type="dxa"/>
            <w:tcBorders>
              <w:top w:val="nil"/>
              <w:left w:val="nil"/>
              <w:bottom w:val="single" w:sz="4" w:space="0" w:color="auto"/>
              <w:right w:val="nil"/>
            </w:tcBorders>
            <w:shd w:val="clear" w:color="auto" w:fill="auto"/>
            <w:vAlign w:val="bottom"/>
          </w:tcPr>
          <w:p w:rsidR="001856B5" w:rsidRPr="001856B5" w:rsidRDefault="001856B5" w:rsidP="001856B5">
            <w:pPr>
              <w:jc w:val="left"/>
              <w:rPr>
                <w:rFonts w:cs="Arial"/>
                <w:b/>
                <w:bCs/>
                <w:color w:val="000000"/>
              </w:rPr>
            </w:pPr>
          </w:p>
        </w:tc>
        <w:tc>
          <w:tcPr>
            <w:tcW w:w="1231" w:type="dxa"/>
            <w:tcBorders>
              <w:top w:val="nil"/>
              <w:left w:val="nil"/>
              <w:bottom w:val="single" w:sz="4" w:space="0" w:color="auto"/>
              <w:right w:val="nil"/>
            </w:tcBorders>
            <w:shd w:val="clear" w:color="auto" w:fill="auto"/>
            <w:vAlign w:val="bottom"/>
          </w:tcPr>
          <w:p w:rsidR="001856B5" w:rsidRPr="001856B5" w:rsidRDefault="001856B5" w:rsidP="001856B5">
            <w:pPr>
              <w:jc w:val="left"/>
              <w:rPr>
                <w:rFonts w:cs="Arial"/>
                <w:b/>
                <w:bCs/>
                <w:color w:val="000000"/>
              </w:rPr>
            </w:pPr>
          </w:p>
        </w:tc>
        <w:tc>
          <w:tcPr>
            <w:tcW w:w="680" w:type="dxa"/>
            <w:tcBorders>
              <w:top w:val="nil"/>
              <w:left w:val="nil"/>
              <w:bottom w:val="single" w:sz="4" w:space="0" w:color="auto"/>
              <w:right w:val="nil"/>
            </w:tcBorders>
            <w:shd w:val="clear" w:color="auto" w:fill="auto"/>
            <w:vAlign w:val="bottom"/>
          </w:tcPr>
          <w:p w:rsidR="001856B5" w:rsidRPr="001856B5" w:rsidRDefault="001856B5" w:rsidP="001856B5">
            <w:pPr>
              <w:jc w:val="left"/>
              <w:rPr>
                <w:rFonts w:cs="Arial"/>
                <w:b/>
                <w:bCs/>
                <w:color w:val="000000"/>
              </w:rPr>
            </w:pPr>
          </w:p>
        </w:tc>
        <w:tc>
          <w:tcPr>
            <w:tcW w:w="960" w:type="dxa"/>
            <w:tcBorders>
              <w:top w:val="nil"/>
              <w:left w:val="nil"/>
              <w:bottom w:val="single" w:sz="4" w:space="0" w:color="auto"/>
              <w:right w:val="nil"/>
            </w:tcBorders>
            <w:shd w:val="clear" w:color="auto" w:fill="auto"/>
            <w:vAlign w:val="bottom"/>
          </w:tcPr>
          <w:p w:rsidR="001856B5" w:rsidRPr="001856B5" w:rsidRDefault="001856B5" w:rsidP="001856B5">
            <w:pPr>
              <w:jc w:val="left"/>
              <w:rPr>
                <w:rFonts w:cs="Arial"/>
                <w:b/>
                <w:bCs/>
                <w:color w:val="000000"/>
              </w:rPr>
            </w:pPr>
          </w:p>
        </w:tc>
        <w:tc>
          <w:tcPr>
            <w:tcW w:w="1447" w:type="dxa"/>
            <w:tcBorders>
              <w:top w:val="nil"/>
              <w:left w:val="single" w:sz="4" w:space="0" w:color="auto"/>
              <w:bottom w:val="single" w:sz="4" w:space="0" w:color="auto"/>
              <w:right w:val="single" w:sz="4" w:space="0" w:color="auto"/>
            </w:tcBorders>
            <w:shd w:val="clear" w:color="auto" w:fill="auto"/>
            <w:vAlign w:val="bottom"/>
          </w:tcPr>
          <w:p w:rsidR="001856B5" w:rsidRPr="001856B5" w:rsidRDefault="001856B5" w:rsidP="001856B5">
            <w:pPr>
              <w:jc w:val="left"/>
              <w:rPr>
                <w:rFonts w:cs="Arial"/>
                <w:b/>
                <w:bCs/>
                <w:color w:val="000000"/>
              </w:rPr>
            </w:pPr>
          </w:p>
        </w:tc>
      </w:tr>
      <w:tr w:rsidR="001856B5" w:rsidRPr="001856B5" w:rsidTr="001856B5">
        <w:trPr>
          <w:trHeight w:val="270"/>
        </w:trPr>
        <w:tc>
          <w:tcPr>
            <w:tcW w:w="3827" w:type="dxa"/>
            <w:tcBorders>
              <w:top w:val="nil"/>
              <w:left w:val="single" w:sz="4" w:space="0" w:color="auto"/>
              <w:bottom w:val="single" w:sz="4" w:space="0" w:color="auto"/>
              <w:right w:val="nil"/>
            </w:tcBorders>
            <w:shd w:val="clear" w:color="auto" w:fill="auto"/>
            <w:vAlign w:val="bottom"/>
            <w:hideMark/>
          </w:tcPr>
          <w:p w:rsidR="001856B5" w:rsidRPr="001856B5" w:rsidRDefault="001856B5" w:rsidP="001856B5">
            <w:pPr>
              <w:jc w:val="left"/>
              <w:rPr>
                <w:rFonts w:cs="Arial"/>
                <w:b/>
                <w:bCs/>
              </w:rPr>
            </w:pPr>
            <w:r w:rsidRPr="001856B5">
              <w:rPr>
                <w:rFonts w:cs="Arial"/>
                <w:b/>
                <w:bCs/>
              </w:rPr>
              <w:t>3. Working Capital Fund</w:t>
            </w:r>
          </w:p>
        </w:tc>
        <w:tc>
          <w:tcPr>
            <w:tcW w:w="1211" w:type="dxa"/>
            <w:tcBorders>
              <w:top w:val="nil"/>
              <w:left w:val="nil"/>
              <w:bottom w:val="single" w:sz="4" w:space="0" w:color="auto"/>
              <w:right w:val="nil"/>
            </w:tcBorders>
            <w:shd w:val="clear" w:color="auto" w:fill="auto"/>
            <w:vAlign w:val="bottom"/>
            <w:hideMark/>
          </w:tcPr>
          <w:p w:rsidR="001856B5" w:rsidRPr="001856B5" w:rsidRDefault="001856B5" w:rsidP="001856B5">
            <w:pPr>
              <w:jc w:val="right"/>
              <w:rPr>
                <w:rFonts w:cs="Arial"/>
                <w:b/>
                <w:bCs/>
                <w:color w:val="000000"/>
              </w:rPr>
            </w:pPr>
            <w:r w:rsidRPr="001856B5">
              <w:rPr>
                <w:rFonts w:cs="Arial"/>
                <w:b/>
                <w:bCs/>
                <w:color w:val="000000"/>
              </w:rPr>
              <w:t>537</w:t>
            </w:r>
          </w:p>
        </w:tc>
        <w:tc>
          <w:tcPr>
            <w:tcW w:w="1231" w:type="dxa"/>
            <w:tcBorders>
              <w:top w:val="nil"/>
              <w:left w:val="nil"/>
              <w:bottom w:val="single" w:sz="4" w:space="0" w:color="auto"/>
              <w:right w:val="nil"/>
            </w:tcBorders>
            <w:shd w:val="clear" w:color="auto" w:fill="auto"/>
            <w:vAlign w:val="bottom"/>
            <w:hideMark/>
          </w:tcPr>
          <w:p w:rsidR="001856B5" w:rsidRPr="001856B5" w:rsidRDefault="001856B5" w:rsidP="001856B5">
            <w:pPr>
              <w:jc w:val="right"/>
              <w:rPr>
                <w:rFonts w:cs="Arial"/>
                <w:b/>
                <w:bCs/>
                <w:color w:val="000000"/>
              </w:rPr>
            </w:pPr>
            <w:r w:rsidRPr="001856B5">
              <w:rPr>
                <w:rFonts w:cs="Arial"/>
                <w:b/>
                <w:bCs/>
                <w:color w:val="000000"/>
              </w:rPr>
              <w:t>540</w:t>
            </w:r>
          </w:p>
        </w:tc>
        <w:tc>
          <w:tcPr>
            <w:tcW w:w="680" w:type="dxa"/>
            <w:tcBorders>
              <w:top w:val="nil"/>
              <w:left w:val="nil"/>
              <w:bottom w:val="single" w:sz="4" w:space="0" w:color="auto"/>
              <w:right w:val="nil"/>
            </w:tcBorders>
            <w:shd w:val="clear" w:color="auto" w:fill="auto"/>
            <w:vAlign w:val="bottom"/>
            <w:hideMark/>
          </w:tcPr>
          <w:p w:rsidR="001856B5" w:rsidRPr="001856B5" w:rsidRDefault="001856B5" w:rsidP="001856B5">
            <w:pPr>
              <w:jc w:val="right"/>
              <w:rPr>
                <w:rFonts w:cs="Arial"/>
                <w:b/>
                <w:bCs/>
                <w:color w:val="000000"/>
              </w:rPr>
            </w:pPr>
            <w:r w:rsidRPr="001856B5">
              <w:rPr>
                <w:rFonts w:cs="Arial"/>
                <w:b/>
                <w:bCs/>
                <w:color w:val="000000"/>
              </w:rPr>
              <w:t>3</w:t>
            </w:r>
          </w:p>
        </w:tc>
        <w:tc>
          <w:tcPr>
            <w:tcW w:w="960" w:type="dxa"/>
            <w:tcBorders>
              <w:top w:val="nil"/>
              <w:left w:val="nil"/>
              <w:bottom w:val="single" w:sz="4" w:space="0" w:color="auto"/>
              <w:right w:val="nil"/>
            </w:tcBorders>
            <w:shd w:val="clear" w:color="auto" w:fill="auto"/>
            <w:vAlign w:val="bottom"/>
            <w:hideMark/>
          </w:tcPr>
          <w:p w:rsidR="001856B5" w:rsidRPr="001856B5" w:rsidRDefault="001856B5" w:rsidP="001856B5">
            <w:pPr>
              <w:jc w:val="right"/>
              <w:rPr>
                <w:rFonts w:cs="Arial"/>
                <w:b/>
                <w:bCs/>
                <w:color w:val="000000"/>
              </w:rPr>
            </w:pPr>
            <w:r w:rsidRPr="001856B5">
              <w:rPr>
                <w:rFonts w:cs="Arial"/>
                <w:b/>
                <w:bCs/>
                <w:color w:val="000000"/>
              </w:rPr>
              <w:t>0.6%</w:t>
            </w:r>
          </w:p>
        </w:tc>
        <w:tc>
          <w:tcPr>
            <w:tcW w:w="1447" w:type="dxa"/>
            <w:tcBorders>
              <w:top w:val="nil"/>
              <w:left w:val="single" w:sz="4" w:space="0" w:color="auto"/>
              <w:bottom w:val="single" w:sz="4" w:space="0" w:color="auto"/>
              <w:right w:val="single" w:sz="4" w:space="0" w:color="auto"/>
            </w:tcBorders>
            <w:shd w:val="clear" w:color="auto" w:fill="auto"/>
            <w:vAlign w:val="bottom"/>
            <w:hideMark/>
          </w:tcPr>
          <w:p w:rsidR="001856B5" w:rsidRPr="001856B5" w:rsidRDefault="001856B5" w:rsidP="001856B5">
            <w:pPr>
              <w:jc w:val="right"/>
              <w:rPr>
                <w:rFonts w:cs="Arial"/>
                <w:b/>
                <w:bCs/>
                <w:color w:val="000000"/>
              </w:rPr>
            </w:pPr>
            <w:r w:rsidRPr="001856B5">
              <w:rPr>
                <w:rFonts w:cs="Arial"/>
                <w:b/>
                <w:bCs/>
                <w:color w:val="000000"/>
              </w:rPr>
              <w:t>543</w:t>
            </w:r>
          </w:p>
        </w:tc>
      </w:tr>
    </w:tbl>
    <w:p w:rsidR="001856B5" w:rsidRDefault="001856B5" w:rsidP="00421639">
      <w:pPr>
        <w:rPr>
          <w:spacing w:val="-2"/>
          <w:szCs w:val="24"/>
        </w:rPr>
      </w:pPr>
    </w:p>
    <w:p w:rsidR="0035241B" w:rsidRDefault="0035241B" w:rsidP="00421639">
      <w:pPr>
        <w:rPr>
          <w:spacing w:val="-2"/>
          <w:szCs w:val="24"/>
        </w:rPr>
      </w:pPr>
    </w:p>
    <w:p w:rsidR="00421639" w:rsidRDefault="00421639" w:rsidP="00421639">
      <w:pPr>
        <w:rPr>
          <w:spacing w:val="-2"/>
          <w:szCs w:val="24"/>
        </w:rPr>
      </w:pPr>
      <w:r w:rsidRPr="00C3197F">
        <w:rPr>
          <w:spacing w:val="-2"/>
          <w:szCs w:val="24"/>
        </w:rPr>
        <w:t>3.2</w:t>
      </w:r>
      <w:r w:rsidRPr="00C3197F">
        <w:rPr>
          <w:spacing w:val="-2"/>
          <w:szCs w:val="24"/>
        </w:rPr>
        <w:tab/>
        <w:t>Expenditure is estimated at the same amount as the expected income.</w:t>
      </w:r>
    </w:p>
    <w:p w:rsidR="00421639" w:rsidRDefault="00421639" w:rsidP="00421639">
      <w:pPr>
        <w:rPr>
          <w:spacing w:val="-2"/>
          <w:szCs w:val="24"/>
        </w:rPr>
      </w:pPr>
    </w:p>
    <w:p w:rsidR="00421639" w:rsidRPr="00D32307" w:rsidRDefault="00421639" w:rsidP="00421639">
      <w:pPr>
        <w:rPr>
          <w:spacing w:val="-2"/>
          <w:szCs w:val="24"/>
        </w:rPr>
      </w:pPr>
      <w:r w:rsidRPr="00DD6106">
        <w:rPr>
          <w:spacing w:val="-2"/>
          <w:szCs w:val="24"/>
        </w:rPr>
        <w:t>3.3</w:t>
      </w:r>
      <w:r w:rsidRPr="00DD6106">
        <w:rPr>
          <w:spacing w:val="-2"/>
          <w:szCs w:val="24"/>
        </w:rPr>
        <w:tab/>
        <w:t>With regard to the reserve fun</w:t>
      </w:r>
      <w:r>
        <w:rPr>
          <w:spacing w:val="-2"/>
          <w:szCs w:val="24"/>
        </w:rPr>
        <w:t>d, it is recalled that document</w:t>
      </w:r>
      <w:r w:rsidRPr="00DD6106">
        <w:rPr>
          <w:spacing w:val="-2"/>
          <w:szCs w:val="24"/>
        </w:rPr>
        <w:t xml:space="preserve"> UPOV/INF/4/</w:t>
      </w:r>
      <w:r>
        <w:rPr>
          <w:spacing w:val="-2"/>
          <w:szCs w:val="24"/>
        </w:rPr>
        <w:t>2</w:t>
      </w:r>
      <w:r w:rsidRPr="00DD6106">
        <w:rPr>
          <w:spacing w:val="-2"/>
          <w:szCs w:val="24"/>
        </w:rPr>
        <w:t xml:space="preserve"> “Financial Regulations and Rules of </w:t>
      </w:r>
      <w:smartTag w:uri="urn:schemas-microsoft-com:office:smarttags" w:element="PersonName">
        <w:r w:rsidRPr="00DD6106">
          <w:rPr>
            <w:spacing w:val="-2"/>
            <w:szCs w:val="24"/>
          </w:rPr>
          <w:t>UPOV</w:t>
        </w:r>
      </w:smartTag>
      <w:r w:rsidRPr="00DD6106">
        <w:rPr>
          <w:spacing w:val="-2"/>
          <w:szCs w:val="24"/>
        </w:rPr>
        <w:t xml:space="preserve">”, Regulation 4.6, states that “[…] If after the closure of the financial period, the amount of the reserve fund exceeds 15 percent of the total income for the financial period, the amount in excess shall be reimbursed to the members of </w:t>
      </w:r>
      <w:smartTag w:uri="urn:schemas-microsoft-com:office:smarttags" w:element="PersonName">
        <w:r w:rsidRPr="00DD6106">
          <w:rPr>
            <w:spacing w:val="-2"/>
            <w:szCs w:val="24"/>
          </w:rPr>
          <w:t>UPOV</w:t>
        </w:r>
      </w:smartTag>
      <w:r w:rsidRPr="00DD6106">
        <w:rPr>
          <w:spacing w:val="-2"/>
          <w:szCs w:val="24"/>
        </w:rPr>
        <w:t xml:space="preserve">, unless otherwise decided by the Council.  Any member of </w:t>
      </w:r>
      <w:smartTag w:uri="urn:schemas-microsoft-com:office:smarttags" w:element="PersonName">
        <w:r w:rsidRPr="00DD6106">
          <w:rPr>
            <w:spacing w:val="-2"/>
            <w:szCs w:val="24"/>
          </w:rPr>
          <w:t>UPOV</w:t>
        </w:r>
      </w:smartTag>
      <w:r w:rsidRPr="00DD6106">
        <w:rPr>
          <w:spacing w:val="-2"/>
          <w:szCs w:val="24"/>
        </w:rPr>
        <w:t xml:space="preserve"> may request that the reimbursement attributed to it be deposited in a special account or trust fund specified by it.”.  The necessary arrangements would be made for consideration by the Consultative Committee and the Council </w:t>
      </w:r>
      <w:r w:rsidRPr="00D32307">
        <w:rPr>
          <w:spacing w:val="-2"/>
          <w:szCs w:val="24"/>
        </w:rPr>
        <w:t xml:space="preserve">if that situation is applicable at the closure of the </w:t>
      </w:r>
      <w:r w:rsidRPr="00D32307">
        <w:rPr>
          <w:snapToGrid w:val="0"/>
          <w:spacing w:val="-2"/>
          <w:szCs w:val="24"/>
        </w:rPr>
        <w:t>2014­2015</w:t>
      </w:r>
      <w:r w:rsidRPr="00D32307">
        <w:rPr>
          <w:spacing w:val="-2"/>
          <w:szCs w:val="24"/>
        </w:rPr>
        <w:t xml:space="preserve"> Biennium. </w:t>
      </w:r>
    </w:p>
    <w:p w:rsidR="00421639" w:rsidRPr="00D32307" w:rsidRDefault="00421639" w:rsidP="00421639">
      <w:pPr>
        <w:rPr>
          <w:spacing w:val="-2"/>
          <w:szCs w:val="24"/>
        </w:rPr>
      </w:pPr>
    </w:p>
    <w:p w:rsidR="00421639" w:rsidRPr="00D32307" w:rsidRDefault="00421639" w:rsidP="00421639">
      <w:r w:rsidRPr="00D32307">
        <w:rPr>
          <w:spacing w:val="-2"/>
          <w:szCs w:val="24"/>
        </w:rPr>
        <w:t>3.4</w:t>
      </w:r>
      <w:r w:rsidRPr="00D32307">
        <w:rPr>
          <w:spacing w:val="-2"/>
          <w:szCs w:val="24"/>
        </w:rPr>
        <w:tab/>
        <w:t xml:space="preserve">The estimates for Personnel Resources and Non-Personnel Resources reflect the </w:t>
      </w:r>
      <w:r w:rsidRPr="00D32307">
        <w:t>interim financial statement for 2012.</w:t>
      </w:r>
    </w:p>
    <w:p w:rsidR="001856B5" w:rsidRPr="00784DBB" w:rsidRDefault="001856B5" w:rsidP="00421639">
      <w:pPr>
        <w:rPr>
          <w:spacing w:val="-2"/>
          <w:szCs w:val="24"/>
        </w:rPr>
      </w:pPr>
    </w:p>
    <w:p w:rsidR="00421639" w:rsidRDefault="00421639" w:rsidP="00421639">
      <w:pPr>
        <w:jc w:val="center"/>
        <w:rPr>
          <w:b/>
        </w:rPr>
      </w:pPr>
      <w:r w:rsidRPr="00A94758">
        <w:rPr>
          <w:b/>
        </w:rPr>
        <w:t>Table 2:  Structure of proposed budget 2014-2015 as compared to 2010-2011 and 2012-2013</w:t>
      </w:r>
    </w:p>
    <w:p w:rsidR="00421639" w:rsidRDefault="00421639" w:rsidP="00421639">
      <w:pPr>
        <w:jc w:val="center"/>
      </w:pPr>
      <w:r w:rsidRPr="00D0256F">
        <w:t>(in thousands of Swiss francs)</w:t>
      </w:r>
    </w:p>
    <w:p w:rsidR="00792929" w:rsidRDefault="00792929" w:rsidP="00421639">
      <w:pPr>
        <w:jc w:val="center"/>
      </w:pPr>
    </w:p>
    <w:tbl>
      <w:tblPr>
        <w:tblW w:w="9228" w:type="dxa"/>
        <w:tblInd w:w="250" w:type="dxa"/>
        <w:tblLook w:val="04A0" w:firstRow="1" w:lastRow="0" w:firstColumn="1" w:lastColumn="0" w:noHBand="0" w:noVBand="1"/>
      </w:tblPr>
      <w:tblGrid>
        <w:gridCol w:w="3686"/>
        <w:gridCol w:w="1276"/>
        <w:gridCol w:w="1275"/>
        <w:gridCol w:w="851"/>
        <w:gridCol w:w="867"/>
        <w:gridCol w:w="1273"/>
      </w:tblGrid>
      <w:tr w:rsidR="001856B5" w:rsidRPr="001856B5" w:rsidTr="00C740F2">
        <w:trPr>
          <w:trHeight w:val="255"/>
        </w:trPr>
        <w:tc>
          <w:tcPr>
            <w:tcW w:w="3686" w:type="dxa"/>
            <w:tcBorders>
              <w:top w:val="single" w:sz="4" w:space="0" w:color="auto"/>
              <w:left w:val="single" w:sz="4" w:space="0" w:color="auto"/>
              <w:bottom w:val="nil"/>
              <w:right w:val="nil"/>
            </w:tcBorders>
            <w:shd w:val="clear" w:color="auto" w:fill="auto"/>
            <w:hideMark/>
          </w:tcPr>
          <w:p w:rsidR="001856B5" w:rsidRPr="001856B5" w:rsidRDefault="001856B5" w:rsidP="009A0B7E">
            <w:pPr>
              <w:ind w:firstLineChars="100" w:firstLine="200"/>
              <w:jc w:val="left"/>
              <w:rPr>
                <w:rFonts w:cs="Arial"/>
              </w:rPr>
            </w:pPr>
            <w:r w:rsidRPr="001856B5">
              <w:rPr>
                <w:rFonts w:cs="Arial"/>
              </w:rPr>
              <w:t> </w:t>
            </w:r>
          </w:p>
        </w:tc>
        <w:tc>
          <w:tcPr>
            <w:tcW w:w="1276" w:type="dxa"/>
            <w:tcBorders>
              <w:top w:val="single" w:sz="4" w:space="0" w:color="auto"/>
              <w:left w:val="single" w:sz="4" w:space="0" w:color="auto"/>
              <w:bottom w:val="nil"/>
              <w:right w:val="single" w:sz="4" w:space="0" w:color="auto"/>
            </w:tcBorders>
            <w:shd w:val="clear" w:color="auto" w:fill="auto"/>
            <w:hideMark/>
          </w:tcPr>
          <w:p w:rsidR="001856B5" w:rsidRPr="001856B5" w:rsidRDefault="001856B5" w:rsidP="009A0B7E">
            <w:pPr>
              <w:jc w:val="center"/>
              <w:rPr>
                <w:rFonts w:cs="Arial"/>
                <w:i/>
                <w:iCs/>
                <w:color w:val="000000"/>
              </w:rPr>
            </w:pPr>
            <w:r w:rsidRPr="001856B5">
              <w:rPr>
                <w:rFonts w:cs="Arial"/>
                <w:i/>
                <w:iCs/>
                <w:color w:val="000000"/>
              </w:rPr>
              <w:t>2010-2011</w:t>
            </w:r>
          </w:p>
        </w:tc>
        <w:tc>
          <w:tcPr>
            <w:tcW w:w="1275" w:type="dxa"/>
            <w:tcBorders>
              <w:top w:val="single" w:sz="4" w:space="0" w:color="auto"/>
              <w:left w:val="nil"/>
              <w:bottom w:val="nil"/>
              <w:right w:val="single" w:sz="4" w:space="0" w:color="auto"/>
            </w:tcBorders>
            <w:shd w:val="clear" w:color="auto" w:fill="auto"/>
            <w:hideMark/>
          </w:tcPr>
          <w:p w:rsidR="001856B5" w:rsidRPr="001856B5" w:rsidRDefault="001856B5" w:rsidP="009A0B7E">
            <w:pPr>
              <w:jc w:val="center"/>
              <w:rPr>
                <w:rFonts w:cs="Arial"/>
                <w:i/>
                <w:iCs/>
                <w:color w:val="000000"/>
              </w:rPr>
            </w:pPr>
            <w:r w:rsidRPr="001856B5">
              <w:rPr>
                <w:rFonts w:cs="Arial"/>
                <w:i/>
                <w:iCs/>
                <w:color w:val="000000"/>
              </w:rPr>
              <w:t>2012-</w:t>
            </w:r>
            <w:r>
              <w:rPr>
                <w:rFonts w:cs="Arial"/>
                <w:i/>
                <w:iCs/>
                <w:color w:val="000000"/>
              </w:rPr>
              <w:t>20</w:t>
            </w:r>
            <w:r w:rsidRPr="001856B5">
              <w:rPr>
                <w:rFonts w:cs="Arial"/>
                <w:i/>
                <w:iCs/>
                <w:color w:val="000000"/>
              </w:rPr>
              <w:t>13</w:t>
            </w:r>
          </w:p>
        </w:tc>
        <w:tc>
          <w:tcPr>
            <w:tcW w:w="1718" w:type="dxa"/>
            <w:gridSpan w:val="2"/>
            <w:tcBorders>
              <w:top w:val="single" w:sz="4" w:space="0" w:color="auto"/>
              <w:left w:val="nil"/>
              <w:bottom w:val="nil"/>
              <w:right w:val="single" w:sz="4" w:space="0" w:color="000000"/>
            </w:tcBorders>
            <w:shd w:val="clear" w:color="auto" w:fill="auto"/>
            <w:hideMark/>
          </w:tcPr>
          <w:p w:rsidR="001856B5" w:rsidRPr="001856B5" w:rsidRDefault="001856B5" w:rsidP="009A0B7E">
            <w:pPr>
              <w:jc w:val="center"/>
              <w:rPr>
                <w:rFonts w:cs="Arial"/>
                <w:i/>
                <w:iCs/>
                <w:color w:val="000000"/>
              </w:rPr>
            </w:pPr>
            <w:r w:rsidRPr="001856B5">
              <w:rPr>
                <w:rFonts w:cs="Arial"/>
                <w:i/>
                <w:iCs/>
                <w:color w:val="000000"/>
              </w:rPr>
              <w:t>Variation</w:t>
            </w:r>
          </w:p>
        </w:tc>
        <w:tc>
          <w:tcPr>
            <w:tcW w:w="1273" w:type="dxa"/>
            <w:tcBorders>
              <w:top w:val="single" w:sz="4" w:space="0" w:color="auto"/>
              <w:left w:val="nil"/>
              <w:bottom w:val="nil"/>
              <w:right w:val="single" w:sz="4" w:space="0" w:color="auto"/>
            </w:tcBorders>
            <w:shd w:val="clear" w:color="auto" w:fill="auto"/>
            <w:hideMark/>
          </w:tcPr>
          <w:p w:rsidR="001856B5" w:rsidRPr="001856B5" w:rsidRDefault="001856B5" w:rsidP="009A0B7E">
            <w:pPr>
              <w:jc w:val="center"/>
              <w:rPr>
                <w:rFonts w:cs="Arial"/>
                <w:i/>
                <w:iCs/>
                <w:color w:val="000000"/>
              </w:rPr>
            </w:pPr>
            <w:r w:rsidRPr="001856B5">
              <w:rPr>
                <w:rFonts w:cs="Arial"/>
                <w:i/>
                <w:iCs/>
                <w:color w:val="000000"/>
              </w:rPr>
              <w:t>2014-2015</w:t>
            </w:r>
          </w:p>
        </w:tc>
      </w:tr>
      <w:tr w:rsidR="001856B5" w:rsidRPr="001856B5" w:rsidTr="00C740F2">
        <w:trPr>
          <w:trHeight w:val="255"/>
        </w:trPr>
        <w:tc>
          <w:tcPr>
            <w:tcW w:w="3686" w:type="dxa"/>
            <w:tcBorders>
              <w:top w:val="nil"/>
              <w:left w:val="single" w:sz="4" w:space="0" w:color="auto"/>
              <w:bottom w:val="nil"/>
              <w:right w:val="nil"/>
            </w:tcBorders>
            <w:shd w:val="clear" w:color="auto" w:fill="auto"/>
            <w:hideMark/>
          </w:tcPr>
          <w:p w:rsidR="001856B5" w:rsidRPr="001856B5" w:rsidRDefault="001856B5" w:rsidP="009A0B7E">
            <w:pPr>
              <w:ind w:firstLineChars="100" w:firstLine="200"/>
              <w:jc w:val="left"/>
              <w:rPr>
                <w:rFonts w:cs="Arial"/>
              </w:rPr>
            </w:pPr>
            <w:r w:rsidRPr="001856B5">
              <w:rPr>
                <w:rFonts w:cs="Arial"/>
              </w:rPr>
              <w:t> </w:t>
            </w:r>
          </w:p>
        </w:tc>
        <w:tc>
          <w:tcPr>
            <w:tcW w:w="1276" w:type="dxa"/>
            <w:tcBorders>
              <w:top w:val="nil"/>
              <w:left w:val="single" w:sz="4" w:space="0" w:color="auto"/>
              <w:bottom w:val="nil"/>
              <w:right w:val="single" w:sz="4" w:space="0" w:color="auto"/>
            </w:tcBorders>
            <w:shd w:val="clear" w:color="auto" w:fill="auto"/>
            <w:hideMark/>
          </w:tcPr>
          <w:p w:rsidR="001856B5" w:rsidRPr="001856B5" w:rsidRDefault="001856B5" w:rsidP="009A0B7E">
            <w:pPr>
              <w:jc w:val="center"/>
              <w:rPr>
                <w:rFonts w:cs="Arial"/>
                <w:i/>
                <w:iCs/>
                <w:color w:val="000000"/>
              </w:rPr>
            </w:pPr>
            <w:r w:rsidRPr="001856B5">
              <w:rPr>
                <w:rFonts w:cs="Arial"/>
                <w:i/>
                <w:iCs/>
                <w:color w:val="000000"/>
              </w:rPr>
              <w:t>Actual</w:t>
            </w:r>
          </w:p>
        </w:tc>
        <w:tc>
          <w:tcPr>
            <w:tcW w:w="1275" w:type="dxa"/>
            <w:tcBorders>
              <w:top w:val="nil"/>
              <w:left w:val="nil"/>
              <w:bottom w:val="nil"/>
              <w:right w:val="single" w:sz="4" w:space="0" w:color="auto"/>
            </w:tcBorders>
            <w:shd w:val="clear" w:color="auto" w:fill="auto"/>
            <w:hideMark/>
          </w:tcPr>
          <w:p w:rsidR="001856B5" w:rsidRPr="001856B5" w:rsidRDefault="001856B5" w:rsidP="009A0B7E">
            <w:pPr>
              <w:jc w:val="center"/>
              <w:rPr>
                <w:rFonts w:cs="Arial"/>
                <w:i/>
                <w:iCs/>
                <w:color w:val="000000"/>
              </w:rPr>
            </w:pPr>
            <w:r w:rsidRPr="001856B5">
              <w:rPr>
                <w:rFonts w:cs="Arial"/>
                <w:i/>
                <w:iCs/>
                <w:color w:val="000000"/>
              </w:rPr>
              <w:t>Budget</w:t>
            </w:r>
          </w:p>
        </w:tc>
        <w:tc>
          <w:tcPr>
            <w:tcW w:w="851" w:type="dxa"/>
            <w:tcBorders>
              <w:top w:val="nil"/>
              <w:left w:val="nil"/>
              <w:bottom w:val="single" w:sz="4" w:space="0" w:color="auto"/>
              <w:right w:val="nil"/>
            </w:tcBorders>
            <w:shd w:val="clear" w:color="auto" w:fill="auto"/>
            <w:hideMark/>
          </w:tcPr>
          <w:p w:rsidR="001856B5" w:rsidRPr="001856B5" w:rsidRDefault="001856B5" w:rsidP="009A0B7E">
            <w:pPr>
              <w:jc w:val="right"/>
              <w:rPr>
                <w:rFonts w:cs="Arial"/>
                <w:i/>
                <w:iCs/>
              </w:rPr>
            </w:pPr>
            <w:r w:rsidRPr="001856B5">
              <w:rPr>
                <w:rFonts w:cs="Arial"/>
                <w:i/>
                <w:iCs/>
              </w:rPr>
              <w:t> </w:t>
            </w:r>
          </w:p>
        </w:tc>
        <w:tc>
          <w:tcPr>
            <w:tcW w:w="867" w:type="dxa"/>
            <w:tcBorders>
              <w:top w:val="nil"/>
              <w:left w:val="nil"/>
              <w:bottom w:val="single" w:sz="4" w:space="0" w:color="auto"/>
              <w:right w:val="single" w:sz="4" w:space="0" w:color="auto"/>
            </w:tcBorders>
            <w:shd w:val="clear" w:color="auto" w:fill="auto"/>
            <w:hideMark/>
          </w:tcPr>
          <w:p w:rsidR="001856B5" w:rsidRPr="001856B5" w:rsidRDefault="001856B5" w:rsidP="009A0B7E">
            <w:pPr>
              <w:rPr>
                <w:rFonts w:cs="Arial"/>
                <w:i/>
                <w:iCs/>
              </w:rPr>
            </w:pPr>
            <w:r w:rsidRPr="001856B5">
              <w:rPr>
                <w:rFonts w:cs="Arial"/>
                <w:i/>
                <w:iCs/>
              </w:rPr>
              <w:t> </w:t>
            </w:r>
          </w:p>
        </w:tc>
        <w:tc>
          <w:tcPr>
            <w:tcW w:w="1273" w:type="dxa"/>
            <w:tcBorders>
              <w:top w:val="nil"/>
              <w:left w:val="nil"/>
              <w:bottom w:val="nil"/>
              <w:right w:val="single" w:sz="4" w:space="0" w:color="auto"/>
            </w:tcBorders>
            <w:shd w:val="clear" w:color="auto" w:fill="auto"/>
            <w:hideMark/>
          </w:tcPr>
          <w:p w:rsidR="001856B5" w:rsidRPr="001856B5" w:rsidRDefault="001856B5" w:rsidP="009A0B7E">
            <w:pPr>
              <w:jc w:val="center"/>
              <w:rPr>
                <w:rFonts w:cs="Arial"/>
                <w:i/>
                <w:iCs/>
                <w:color w:val="000000"/>
              </w:rPr>
            </w:pPr>
            <w:r w:rsidRPr="001856B5">
              <w:rPr>
                <w:rFonts w:cs="Arial"/>
                <w:i/>
                <w:iCs/>
                <w:color w:val="000000"/>
              </w:rPr>
              <w:t>Proposed</w:t>
            </w:r>
          </w:p>
        </w:tc>
      </w:tr>
      <w:tr w:rsidR="001856B5" w:rsidRPr="001856B5" w:rsidTr="00C740F2">
        <w:trPr>
          <w:trHeight w:val="255"/>
        </w:trPr>
        <w:tc>
          <w:tcPr>
            <w:tcW w:w="3686" w:type="dxa"/>
            <w:tcBorders>
              <w:top w:val="nil"/>
              <w:left w:val="single" w:sz="4" w:space="0" w:color="auto"/>
              <w:bottom w:val="single" w:sz="4" w:space="0" w:color="auto"/>
              <w:right w:val="nil"/>
            </w:tcBorders>
            <w:shd w:val="clear" w:color="auto" w:fill="auto"/>
            <w:hideMark/>
          </w:tcPr>
          <w:p w:rsidR="001856B5" w:rsidRPr="001856B5" w:rsidRDefault="001856B5" w:rsidP="009A0B7E">
            <w:pPr>
              <w:ind w:firstLineChars="100" w:firstLine="200"/>
              <w:jc w:val="left"/>
              <w:rPr>
                <w:rFonts w:cs="Arial"/>
              </w:rPr>
            </w:pPr>
            <w:r w:rsidRPr="001856B5">
              <w:rPr>
                <w:rFonts w:cs="Arial"/>
              </w:rPr>
              <w:t> </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1856B5" w:rsidRPr="001856B5" w:rsidRDefault="001856B5" w:rsidP="009A0B7E">
            <w:pPr>
              <w:jc w:val="center"/>
              <w:rPr>
                <w:rFonts w:cs="Arial"/>
                <w:i/>
                <w:iCs/>
                <w:color w:val="000000"/>
              </w:rPr>
            </w:pPr>
            <w:r w:rsidRPr="001856B5">
              <w:rPr>
                <w:rFonts w:cs="Arial"/>
                <w:i/>
                <w:iCs/>
                <w:color w:val="000000"/>
              </w:rPr>
              <w:t>A</w:t>
            </w:r>
          </w:p>
        </w:tc>
        <w:tc>
          <w:tcPr>
            <w:tcW w:w="1275" w:type="dxa"/>
            <w:tcBorders>
              <w:top w:val="nil"/>
              <w:left w:val="nil"/>
              <w:bottom w:val="single" w:sz="4" w:space="0" w:color="auto"/>
              <w:right w:val="single" w:sz="4" w:space="0" w:color="auto"/>
            </w:tcBorders>
            <w:shd w:val="clear" w:color="auto" w:fill="auto"/>
            <w:vAlign w:val="bottom"/>
            <w:hideMark/>
          </w:tcPr>
          <w:p w:rsidR="001856B5" w:rsidRPr="001856B5" w:rsidRDefault="001856B5" w:rsidP="009A0B7E">
            <w:pPr>
              <w:jc w:val="center"/>
              <w:rPr>
                <w:rFonts w:cs="Arial"/>
                <w:i/>
                <w:iCs/>
                <w:color w:val="000000"/>
              </w:rPr>
            </w:pPr>
            <w:r w:rsidRPr="001856B5">
              <w:rPr>
                <w:rFonts w:cs="Arial"/>
                <w:i/>
                <w:iCs/>
                <w:color w:val="000000"/>
              </w:rPr>
              <w:t>B</w:t>
            </w:r>
          </w:p>
        </w:tc>
        <w:tc>
          <w:tcPr>
            <w:tcW w:w="851" w:type="dxa"/>
            <w:tcBorders>
              <w:top w:val="nil"/>
              <w:left w:val="nil"/>
              <w:bottom w:val="single" w:sz="4" w:space="0" w:color="auto"/>
              <w:right w:val="nil"/>
            </w:tcBorders>
            <w:shd w:val="clear" w:color="auto" w:fill="auto"/>
            <w:vAlign w:val="bottom"/>
            <w:hideMark/>
          </w:tcPr>
          <w:p w:rsidR="001856B5" w:rsidRPr="001856B5" w:rsidRDefault="001856B5" w:rsidP="001856B5">
            <w:pPr>
              <w:jc w:val="center"/>
              <w:rPr>
                <w:rFonts w:cs="Arial"/>
                <w:i/>
                <w:iCs/>
                <w:color w:val="000000"/>
              </w:rPr>
            </w:pPr>
            <w:r w:rsidRPr="001856B5">
              <w:rPr>
                <w:rFonts w:cs="Arial"/>
                <w:i/>
                <w:iCs/>
                <w:color w:val="000000"/>
              </w:rPr>
              <w:t>C</w:t>
            </w:r>
          </w:p>
        </w:tc>
        <w:tc>
          <w:tcPr>
            <w:tcW w:w="867" w:type="dxa"/>
            <w:tcBorders>
              <w:top w:val="nil"/>
              <w:left w:val="nil"/>
              <w:bottom w:val="single" w:sz="4" w:space="0" w:color="auto"/>
              <w:right w:val="nil"/>
            </w:tcBorders>
            <w:shd w:val="clear" w:color="auto" w:fill="auto"/>
            <w:vAlign w:val="bottom"/>
            <w:hideMark/>
          </w:tcPr>
          <w:p w:rsidR="001856B5" w:rsidRPr="001856B5" w:rsidRDefault="001856B5" w:rsidP="009A0B7E">
            <w:pPr>
              <w:jc w:val="center"/>
              <w:rPr>
                <w:rFonts w:cs="Arial"/>
                <w:i/>
                <w:iCs/>
                <w:color w:val="000000"/>
              </w:rPr>
            </w:pPr>
            <w:r w:rsidRPr="001856B5">
              <w:rPr>
                <w:rFonts w:cs="Arial"/>
                <w:i/>
                <w:iCs/>
                <w:color w:val="000000"/>
              </w:rPr>
              <w:t>C/B</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6B5" w:rsidRPr="001856B5" w:rsidRDefault="000D7C2D" w:rsidP="009A0B7E">
            <w:pPr>
              <w:jc w:val="center"/>
              <w:rPr>
                <w:rFonts w:cs="Arial"/>
                <w:i/>
                <w:iCs/>
                <w:color w:val="000000"/>
              </w:rPr>
            </w:pPr>
            <w:r>
              <w:rPr>
                <w:rFonts w:cs="Arial"/>
                <w:i/>
                <w:iCs/>
                <w:color w:val="000000"/>
              </w:rPr>
              <w:t>D=B+C</w:t>
            </w:r>
          </w:p>
        </w:tc>
      </w:tr>
      <w:tr w:rsidR="001856B5" w:rsidRPr="001856B5" w:rsidTr="00C740F2">
        <w:trPr>
          <w:trHeight w:val="255"/>
        </w:trPr>
        <w:tc>
          <w:tcPr>
            <w:tcW w:w="3686" w:type="dxa"/>
            <w:tcBorders>
              <w:top w:val="nil"/>
              <w:left w:val="single" w:sz="4" w:space="0" w:color="auto"/>
              <w:bottom w:val="nil"/>
              <w:right w:val="nil"/>
            </w:tcBorders>
            <w:shd w:val="clear" w:color="auto" w:fill="auto"/>
            <w:hideMark/>
          </w:tcPr>
          <w:p w:rsidR="001856B5" w:rsidRPr="001856B5" w:rsidRDefault="001856B5" w:rsidP="009A0B7E">
            <w:pPr>
              <w:ind w:firstLineChars="100" w:firstLine="200"/>
              <w:jc w:val="left"/>
              <w:rPr>
                <w:rFonts w:cs="Arial"/>
              </w:rPr>
            </w:pPr>
            <w:r w:rsidRPr="001856B5">
              <w:rPr>
                <w:rFonts w:cs="Arial"/>
              </w:rPr>
              <w:t> </w:t>
            </w:r>
          </w:p>
        </w:tc>
        <w:tc>
          <w:tcPr>
            <w:tcW w:w="1276" w:type="dxa"/>
            <w:tcBorders>
              <w:top w:val="nil"/>
              <w:left w:val="nil"/>
              <w:bottom w:val="nil"/>
              <w:right w:val="nil"/>
            </w:tcBorders>
            <w:shd w:val="clear" w:color="auto" w:fill="auto"/>
            <w:hideMark/>
          </w:tcPr>
          <w:p w:rsidR="001856B5" w:rsidRPr="001856B5" w:rsidRDefault="001856B5" w:rsidP="009A0B7E">
            <w:pPr>
              <w:rPr>
                <w:rFonts w:cs="Arial"/>
              </w:rPr>
            </w:pPr>
          </w:p>
        </w:tc>
        <w:tc>
          <w:tcPr>
            <w:tcW w:w="1275" w:type="dxa"/>
            <w:tcBorders>
              <w:top w:val="nil"/>
              <w:left w:val="nil"/>
              <w:bottom w:val="nil"/>
              <w:right w:val="nil"/>
            </w:tcBorders>
            <w:shd w:val="clear" w:color="auto" w:fill="auto"/>
            <w:hideMark/>
          </w:tcPr>
          <w:p w:rsidR="001856B5" w:rsidRPr="001856B5" w:rsidRDefault="001856B5" w:rsidP="009A0B7E">
            <w:pPr>
              <w:rPr>
                <w:rFonts w:cs="Arial"/>
              </w:rPr>
            </w:pPr>
          </w:p>
        </w:tc>
        <w:tc>
          <w:tcPr>
            <w:tcW w:w="851" w:type="dxa"/>
            <w:tcBorders>
              <w:top w:val="nil"/>
              <w:left w:val="single" w:sz="4" w:space="0" w:color="auto"/>
              <w:bottom w:val="nil"/>
              <w:right w:val="nil"/>
            </w:tcBorders>
            <w:shd w:val="clear" w:color="auto" w:fill="auto"/>
            <w:hideMark/>
          </w:tcPr>
          <w:p w:rsidR="001856B5" w:rsidRPr="001856B5" w:rsidRDefault="001856B5" w:rsidP="009A0B7E">
            <w:pPr>
              <w:jc w:val="right"/>
              <w:rPr>
                <w:rFonts w:cs="Arial"/>
              </w:rPr>
            </w:pPr>
            <w:r w:rsidRPr="001856B5">
              <w:rPr>
                <w:rFonts w:cs="Arial"/>
              </w:rPr>
              <w:t> </w:t>
            </w:r>
          </w:p>
        </w:tc>
        <w:tc>
          <w:tcPr>
            <w:tcW w:w="867" w:type="dxa"/>
            <w:tcBorders>
              <w:top w:val="nil"/>
              <w:left w:val="nil"/>
              <w:bottom w:val="nil"/>
              <w:right w:val="nil"/>
            </w:tcBorders>
            <w:shd w:val="clear" w:color="auto" w:fill="auto"/>
            <w:hideMark/>
          </w:tcPr>
          <w:p w:rsidR="001856B5" w:rsidRPr="001856B5" w:rsidRDefault="001856B5" w:rsidP="009A0B7E">
            <w:pPr>
              <w:rPr>
                <w:rFonts w:cs="Arial"/>
              </w:rPr>
            </w:pPr>
          </w:p>
        </w:tc>
        <w:tc>
          <w:tcPr>
            <w:tcW w:w="1273" w:type="dxa"/>
            <w:tcBorders>
              <w:top w:val="nil"/>
              <w:left w:val="nil"/>
              <w:bottom w:val="nil"/>
              <w:right w:val="single" w:sz="4" w:space="0" w:color="auto"/>
            </w:tcBorders>
            <w:shd w:val="clear" w:color="auto" w:fill="auto"/>
            <w:hideMark/>
          </w:tcPr>
          <w:p w:rsidR="001856B5" w:rsidRPr="001856B5" w:rsidRDefault="001856B5" w:rsidP="009A0B7E">
            <w:pPr>
              <w:rPr>
                <w:rFonts w:cs="Arial"/>
              </w:rPr>
            </w:pPr>
            <w:r w:rsidRPr="001856B5">
              <w:rPr>
                <w:rFonts w:cs="Arial"/>
              </w:rPr>
              <w:t> </w:t>
            </w:r>
          </w:p>
        </w:tc>
      </w:tr>
      <w:tr w:rsidR="001856B5" w:rsidRPr="001856B5" w:rsidTr="00C740F2">
        <w:trPr>
          <w:trHeight w:val="369"/>
        </w:trPr>
        <w:tc>
          <w:tcPr>
            <w:tcW w:w="3686" w:type="dxa"/>
            <w:tcBorders>
              <w:top w:val="nil"/>
              <w:left w:val="single" w:sz="4" w:space="0" w:color="auto"/>
              <w:bottom w:val="nil"/>
              <w:right w:val="nil"/>
            </w:tcBorders>
            <w:shd w:val="clear" w:color="auto" w:fill="auto"/>
            <w:vAlign w:val="bottom"/>
            <w:hideMark/>
          </w:tcPr>
          <w:p w:rsidR="001856B5" w:rsidRPr="00C740F2" w:rsidRDefault="001856B5" w:rsidP="009A0B7E">
            <w:pPr>
              <w:jc w:val="left"/>
              <w:rPr>
                <w:rFonts w:cs="Arial"/>
                <w:b/>
              </w:rPr>
            </w:pPr>
            <w:r w:rsidRPr="00C740F2">
              <w:rPr>
                <w:rFonts w:cs="Arial"/>
                <w:b/>
              </w:rPr>
              <w:t>1. Personnel Resources</w:t>
            </w:r>
          </w:p>
        </w:tc>
        <w:tc>
          <w:tcPr>
            <w:tcW w:w="1276" w:type="dxa"/>
            <w:tcBorders>
              <w:top w:val="nil"/>
              <w:left w:val="nil"/>
              <w:bottom w:val="nil"/>
              <w:right w:val="nil"/>
            </w:tcBorders>
            <w:shd w:val="clear" w:color="auto" w:fill="auto"/>
            <w:vAlign w:val="bottom"/>
            <w:hideMark/>
          </w:tcPr>
          <w:p w:rsidR="001856B5" w:rsidRPr="00C740F2" w:rsidRDefault="001856B5" w:rsidP="009A0B7E">
            <w:pPr>
              <w:jc w:val="right"/>
              <w:rPr>
                <w:rFonts w:cs="Arial"/>
                <w:b/>
                <w:color w:val="000000"/>
              </w:rPr>
            </w:pPr>
            <w:r w:rsidRPr="00C740F2">
              <w:rPr>
                <w:rFonts w:cs="Arial"/>
                <w:b/>
                <w:color w:val="000000"/>
              </w:rPr>
              <w:t>4,271</w:t>
            </w:r>
          </w:p>
        </w:tc>
        <w:tc>
          <w:tcPr>
            <w:tcW w:w="1275" w:type="dxa"/>
            <w:tcBorders>
              <w:top w:val="nil"/>
              <w:left w:val="nil"/>
              <w:bottom w:val="nil"/>
              <w:right w:val="single" w:sz="4" w:space="0" w:color="auto"/>
            </w:tcBorders>
            <w:shd w:val="clear" w:color="auto" w:fill="auto"/>
            <w:vAlign w:val="bottom"/>
            <w:hideMark/>
          </w:tcPr>
          <w:p w:rsidR="001856B5" w:rsidRPr="00C740F2" w:rsidRDefault="001856B5" w:rsidP="009A0B7E">
            <w:pPr>
              <w:jc w:val="right"/>
              <w:rPr>
                <w:rFonts w:cs="Arial"/>
                <w:b/>
                <w:color w:val="000000"/>
              </w:rPr>
            </w:pPr>
            <w:r w:rsidRPr="00C740F2">
              <w:rPr>
                <w:rFonts w:cs="Arial"/>
                <w:b/>
                <w:color w:val="000000"/>
              </w:rPr>
              <w:t>4,542</w:t>
            </w:r>
          </w:p>
        </w:tc>
        <w:tc>
          <w:tcPr>
            <w:tcW w:w="851" w:type="dxa"/>
            <w:tcBorders>
              <w:top w:val="nil"/>
              <w:left w:val="nil"/>
              <w:bottom w:val="nil"/>
              <w:right w:val="nil"/>
            </w:tcBorders>
            <w:shd w:val="clear" w:color="auto" w:fill="auto"/>
            <w:vAlign w:val="bottom"/>
            <w:hideMark/>
          </w:tcPr>
          <w:p w:rsidR="001856B5" w:rsidRPr="00C740F2" w:rsidRDefault="001856B5" w:rsidP="009A0B7E">
            <w:pPr>
              <w:jc w:val="right"/>
              <w:rPr>
                <w:rFonts w:cs="Arial"/>
                <w:b/>
                <w:color w:val="000000"/>
              </w:rPr>
            </w:pPr>
            <w:r w:rsidRPr="00C740F2">
              <w:rPr>
                <w:rFonts w:cs="Arial"/>
                <w:b/>
                <w:color w:val="000000"/>
              </w:rPr>
              <w:t>-117</w:t>
            </w:r>
          </w:p>
        </w:tc>
        <w:tc>
          <w:tcPr>
            <w:tcW w:w="867" w:type="dxa"/>
            <w:tcBorders>
              <w:top w:val="nil"/>
              <w:left w:val="nil"/>
              <w:bottom w:val="nil"/>
              <w:right w:val="nil"/>
            </w:tcBorders>
            <w:shd w:val="clear" w:color="auto" w:fill="auto"/>
            <w:vAlign w:val="bottom"/>
            <w:hideMark/>
          </w:tcPr>
          <w:p w:rsidR="001856B5" w:rsidRPr="00C740F2" w:rsidRDefault="001856B5" w:rsidP="009A0B7E">
            <w:pPr>
              <w:jc w:val="right"/>
              <w:rPr>
                <w:rFonts w:cs="Arial"/>
                <w:b/>
                <w:color w:val="000000"/>
              </w:rPr>
            </w:pPr>
            <w:r w:rsidRPr="00C740F2">
              <w:rPr>
                <w:rFonts w:cs="Arial"/>
                <w:b/>
                <w:color w:val="000000"/>
              </w:rPr>
              <w:t>-2.6%</w:t>
            </w:r>
          </w:p>
        </w:tc>
        <w:tc>
          <w:tcPr>
            <w:tcW w:w="1273" w:type="dxa"/>
            <w:tcBorders>
              <w:top w:val="nil"/>
              <w:left w:val="nil"/>
              <w:bottom w:val="nil"/>
              <w:right w:val="single" w:sz="4" w:space="0" w:color="auto"/>
            </w:tcBorders>
            <w:shd w:val="clear" w:color="auto" w:fill="auto"/>
            <w:vAlign w:val="bottom"/>
            <w:hideMark/>
          </w:tcPr>
          <w:p w:rsidR="001856B5" w:rsidRPr="00C740F2" w:rsidRDefault="001856B5" w:rsidP="009A0B7E">
            <w:pPr>
              <w:jc w:val="right"/>
              <w:rPr>
                <w:rFonts w:cs="Arial"/>
                <w:b/>
                <w:color w:val="000000"/>
              </w:rPr>
            </w:pPr>
            <w:r w:rsidRPr="00C740F2">
              <w:rPr>
                <w:rFonts w:cs="Arial"/>
                <w:b/>
                <w:color w:val="000000"/>
              </w:rPr>
              <w:t>4,425</w:t>
            </w:r>
          </w:p>
        </w:tc>
      </w:tr>
      <w:tr w:rsidR="001856B5" w:rsidRPr="001856B5" w:rsidTr="00C740F2">
        <w:trPr>
          <w:trHeight w:val="369"/>
        </w:trPr>
        <w:tc>
          <w:tcPr>
            <w:tcW w:w="3686" w:type="dxa"/>
            <w:tcBorders>
              <w:top w:val="nil"/>
              <w:left w:val="single" w:sz="4" w:space="0" w:color="auto"/>
              <w:bottom w:val="nil"/>
              <w:right w:val="nil"/>
            </w:tcBorders>
            <w:shd w:val="clear" w:color="auto" w:fill="auto"/>
            <w:vAlign w:val="bottom"/>
            <w:hideMark/>
          </w:tcPr>
          <w:p w:rsidR="001856B5" w:rsidRPr="00C740F2" w:rsidRDefault="001856B5" w:rsidP="009A0B7E">
            <w:pPr>
              <w:jc w:val="left"/>
              <w:rPr>
                <w:rFonts w:cs="Arial"/>
                <w:b/>
              </w:rPr>
            </w:pPr>
            <w:r w:rsidRPr="00C740F2">
              <w:rPr>
                <w:rFonts w:cs="Arial"/>
                <w:b/>
              </w:rPr>
              <w:t>2. Non-Personnel Resources</w:t>
            </w:r>
          </w:p>
        </w:tc>
        <w:tc>
          <w:tcPr>
            <w:tcW w:w="1276" w:type="dxa"/>
            <w:tcBorders>
              <w:top w:val="nil"/>
              <w:left w:val="nil"/>
              <w:bottom w:val="nil"/>
              <w:right w:val="nil"/>
            </w:tcBorders>
            <w:shd w:val="clear" w:color="auto" w:fill="auto"/>
            <w:vAlign w:val="bottom"/>
            <w:hideMark/>
          </w:tcPr>
          <w:p w:rsidR="001856B5" w:rsidRPr="00C740F2" w:rsidRDefault="001856B5" w:rsidP="009A0B7E">
            <w:pPr>
              <w:jc w:val="right"/>
              <w:rPr>
                <w:rFonts w:cs="Arial"/>
                <w:b/>
                <w:color w:val="000000"/>
              </w:rPr>
            </w:pPr>
            <w:r w:rsidRPr="00C740F2">
              <w:rPr>
                <w:rFonts w:cs="Arial"/>
                <w:b/>
                <w:color w:val="000000"/>
              </w:rPr>
              <w:t>2,208</w:t>
            </w:r>
          </w:p>
        </w:tc>
        <w:tc>
          <w:tcPr>
            <w:tcW w:w="1275" w:type="dxa"/>
            <w:tcBorders>
              <w:top w:val="nil"/>
              <w:left w:val="nil"/>
              <w:bottom w:val="nil"/>
              <w:right w:val="single" w:sz="4" w:space="0" w:color="auto"/>
            </w:tcBorders>
            <w:shd w:val="clear" w:color="auto" w:fill="auto"/>
            <w:vAlign w:val="bottom"/>
            <w:hideMark/>
          </w:tcPr>
          <w:p w:rsidR="001856B5" w:rsidRPr="00C740F2" w:rsidRDefault="001856B5" w:rsidP="009A0B7E">
            <w:pPr>
              <w:jc w:val="right"/>
              <w:rPr>
                <w:rFonts w:cs="Arial"/>
                <w:b/>
                <w:color w:val="000000"/>
              </w:rPr>
            </w:pPr>
            <w:r w:rsidRPr="00C740F2">
              <w:rPr>
                <w:rFonts w:cs="Arial"/>
                <w:b/>
                <w:color w:val="000000"/>
              </w:rPr>
              <w:t>2,256</w:t>
            </w:r>
          </w:p>
        </w:tc>
        <w:tc>
          <w:tcPr>
            <w:tcW w:w="851" w:type="dxa"/>
            <w:tcBorders>
              <w:top w:val="nil"/>
              <w:left w:val="nil"/>
              <w:bottom w:val="nil"/>
              <w:right w:val="nil"/>
            </w:tcBorders>
            <w:shd w:val="clear" w:color="auto" w:fill="auto"/>
            <w:vAlign w:val="bottom"/>
            <w:hideMark/>
          </w:tcPr>
          <w:p w:rsidR="001856B5" w:rsidRPr="00C740F2" w:rsidRDefault="001856B5" w:rsidP="009A0B7E">
            <w:pPr>
              <w:jc w:val="right"/>
              <w:rPr>
                <w:rFonts w:cs="Arial"/>
                <w:b/>
                <w:color w:val="000000"/>
              </w:rPr>
            </w:pPr>
            <w:r w:rsidRPr="00C740F2">
              <w:rPr>
                <w:rFonts w:cs="Arial"/>
                <w:b/>
                <w:color w:val="000000"/>
              </w:rPr>
              <w:t>113</w:t>
            </w:r>
          </w:p>
        </w:tc>
        <w:tc>
          <w:tcPr>
            <w:tcW w:w="867" w:type="dxa"/>
            <w:tcBorders>
              <w:top w:val="nil"/>
              <w:left w:val="nil"/>
              <w:bottom w:val="nil"/>
              <w:right w:val="nil"/>
            </w:tcBorders>
            <w:shd w:val="clear" w:color="auto" w:fill="auto"/>
            <w:vAlign w:val="bottom"/>
            <w:hideMark/>
          </w:tcPr>
          <w:p w:rsidR="001856B5" w:rsidRPr="00C740F2" w:rsidRDefault="001856B5" w:rsidP="009A0B7E">
            <w:pPr>
              <w:jc w:val="right"/>
              <w:rPr>
                <w:rFonts w:cs="Arial"/>
                <w:b/>
                <w:color w:val="000000"/>
              </w:rPr>
            </w:pPr>
            <w:r w:rsidRPr="00C740F2">
              <w:rPr>
                <w:rFonts w:cs="Arial"/>
                <w:b/>
                <w:color w:val="000000"/>
              </w:rPr>
              <w:t>5.0%</w:t>
            </w:r>
          </w:p>
        </w:tc>
        <w:tc>
          <w:tcPr>
            <w:tcW w:w="1273" w:type="dxa"/>
            <w:tcBorders>
              <w:top w:val="nil"/>
              <w:left w:val="nil"/>
              <w:bottom w:val="nil"/>
              <w:right w:val="single" w:sz="4" w:space="0" w:color="auto"/>
            </w:tcBorders>
            <w:shd w:val="clear" w:color="auto" w:fill="auto"/>
            <w:vAlign w:val="bottom"/>
            <w:hideMark/>
          </w:tcPr>
          <w:p w:rsidR="001856B5" w:rsidRPr="00C740F2" w:rsidRDefault="001856B5" w:rsidP="009A0B7E">
            <w:pPr>
              <w:jc w:val="right"/>
              <w:rPr>
                <w:rFonts w:cs="Arial"/>
                <w:b/>
                <w:color w:val="000000"/>
              </w:rPr>
            </w:pPr>
            <w:r w:rsidRPr="00C740F2">
              <w:rPr>
                <w:rFonts w:cs="Arial"/>
                <w:b/>
                <w:color w:val="000000"/>
              </w:rPr>
              <w:t>2,369</w:t>
            </w:r>
          </w:p>
        </w:tc>
      </w:tr>
      <w:tr w:rsidR="001856B5" w:rsidRPr="001856B5" w:rsidTr="00C740F2">
        <w:trPr>
          <w:trHeight w:val="369"/>
        </w:trPr>
        <w:tc>
          <w:tcPr>
            <w:tcW w:w="3686" w:type="dxa"/>
            <w:tcBorders>
              <w:top w:val="nil"/>
              <w:left w:val="single" w:sz="4" w:space="0" w:color="auto"/>
              <w:bottom w:val="nil"/>
              <w:right w:val="nil"/>
            </w:tcBorders>
            <w:shd w:val="clear" w:color="auto" w:fill="auto"/>
            <w:vAlign w:val="bottom"/>
            <w:hideMark/>
          </w:tcPr>
          <w:p w:rsidR="001856B5" w:rsidRPr="00C740F2" w:rsidRDefault="001856B5" w:rsidP="00C740F2">
            <w:pPr>
              <w:ind w:left="317"/>
              <w:jc w:val="left"/>
              <w:rPr>
                <w:rFonts w:cs="Arial"/>
                <w:iCs/>
              </w:rPr>
            </w:pPr>
            <w:r w:rsidRPr="00C740F2">
              <w:rPr>
                <w:rFonts w:cs="Arial"/>
                <w:iCs/>
              </w:rPr>
              <w:t>Travel and contractual services</w:t>
            </w:r>
          </w:p>
        </w:tc>
        <w:tc>
          <w:tcPr>
            <w:tcW w:w="1276" w:type="dxa"/>
            <w:tcBorders>
              <w:top w:val="nil"/>
              <w:left w:val="nil"/>
              <w:bottom w:val="nil"/>
              <w:right w:val="nil"/>
            </w:tcBorders>
            <w:shd w:val="clear" w:color="auto" w:fill="auto"/>
            <w:vAlign w:val="bottom"/>
            <w:hideMark/>
          </w:tcPr>
          <w:p w:rsidR="001856B5" w:rsidRPr="001856B5" w:rsidRDefault="001856B5" w:rsidP="009A0B7E">
            <w:pPr>
              <w:jc w:val="right"/>
              <w:rPr>
                <w:rFonts w:cs="Arial"/>
                <w:color w:val="000000"/>
              </w:rPr>
            </w:pPr>
            <w:r w:rsidRPr="001856B5">
              <w:rPr>
                <w:rFonts w:cs="Arial"/>
                <w:color w:val="000000"/>
              </w:rPr>
              <w:t>908</w:t>
            </w:r>
          </w:p>
        </w:tc>
        <w:tc>
          <w:tcPr>
            <w:tcW w:w="1275" w:type="dxa"/>
            <w:tcBorders>
              <w:top w:val="nil"/>
              <w:left w:val="nil"/>
              <w:bottom w:val="nil"/>
              <w:right w:val="single" w:sz="4" w:space="0" w:color="auto"/>
            </w:tcBorders>
            <w:shd w:val="clear" w:color="auto" w:fill="auto"/>
            <w:vAlign w:val="bottom"/>
            <w:hideMark/>
          </w:tcPr>
          <w:p w:rsidR="001856B5" w:rsidRPr="001856B5" w:rsidRDefault="001856B5" w:rsidP="009A0B7E">
            <w:pPr>
              <w:jc w:val="right"/>
              <w:rPr>
                <w:rFonts w:cs="Arial"/>
                <w:color w:val="000000"/>
              </w:rPr>
            </w:pPr>
            <w:r w:rsidRPr="001856B5">
              <w:rPr>
                <w:rFonts w:cs="Arial"/>
                <w:color w:val="000000"/>
              </w:rPr>
              <w:t>990</w:t>
            </w:r>
          </w:p>
        </w:tc>
        <w:tc>
          <w:tcPr>
            <w:tcW w:w="851" w:type="dxa"/>
            <w:tcBorders>
              <w:top w:val="nil"/>
              <w:left w:val="nil"/>
              <w:bottom w:val="nil"/>
              <w:right w:val="nil"/>
            </w:tcBorders>
            <w:shd w:val="clear" w:color="auto" w:fill="auto"/>
            <w:vAlign w:val="bottom"/>
            <w:hideMark/>
          </w:tcPr>
          <w:p w:rsidR="001856B5" w:rsidRPr="001856B5" w:rsidRDefault="001856B5" w:rsidP="009A0B7E">
            <w:pPr>
              <w:jc w:val="right"/>
              <w:rPr>
                <w:rFonts w:cs="Arial"/>
                <w:color w:val="000000"/>
              </w:rPr>
            </w:pPr>
            <w:r w:rsidRPr="001856B5">
              <w:rPr>
                <w:rFonts w:cs="Arial"/>
                <w:color w:val="000000"/>
              </w:rPr>
              <w:t>75</w:t>
            </w:r>
          </w:p>
        </w:tc>
        <w:tc>
          <w:tcPr>
            <w:tcW w:w="867" w:type="dxa"/>
            <w:tcBorders>
              <w:top w:val="nil"/>
              <w:left w:val="nil"/>
              <w:bottom w:val="nil"/>
              <w:right w:val="nil"/>
            </w:tcBorders>
            <w:shd w:val="clear" w:color="auto" w:fill="auto"/>
            <w:vAlign w:val="bottom"/>
            <w:hideMark/>
          </w:tcPr>
          <w:p w:rsidR="001856B5" w:rsidRPr="001856B5" w:rsidRDefault="001856B5" w:rsidP="009A0B7E">
            <w:pPr>
              <w:jc w:val="right"/>
              <w:rPr>
                <w:rFonts w:cs="Arial"/>
                <w:color w:val="000000"/>
              </w:rPr>
            </w:pPr>
            <w:r w:rsidRPr="001856B5">
              <w:rPr>
                <w:rFonts w:cs="Arial"/>
                <w:color w:val="000000"/>
              </w:rPr>
              <w:t>7.6%</w:t>
            </w:r>
          </w:p>
        </w:tc>
        <w:tc>
          <w:tcPr>
            <w:tcW w:w="1273" w:type="dxa"/>
            <w:tcBorders>
              <w:top w:val="nil"/>
              <w:left w:val="nil"/>
              <w:bottom w:val="nil"/>
              <w:right w:val="single" w:sz="4" w:space="0" w:color="auto"/>
            </w:tcBorders>
            <w:shd w:val="clear" w:color="auto" w:fill="auto"/>
            <w:vAlign w:val="bottom"/>
            <w:hideMark/>
          </w:tcPr>
          <w:p w:rsidR="001856B5" w:rsidRPr="001856B5" w:rsidRDefault="001856B5" w:rsidP="009A0B7E">
            <w:pPr>
              <w:jc w:val="right"/>
              <w:rPr>
                <w:rFonts w:cs="Arial"/>
                <w:color w:val="000000"/>
              </w:rPr>
            </w:pPr>
            <w:r w:rsidRPr="001856B5">
              <w:rPr>
                <w:rFonts w:cs="Arial"/>
                <w:color w:val="000000"/>
              </w:rPr>
              <w:t>1,065</w:t>
            </w:r>
          </w:p>
        </w:tc>
      </w:tr>
      <w:tr w:rsidR="001856B5" w:rsidRPr="001856B5" w:rsidTr="00C740F2">
        <w:trPr>
          <w:trHeight w:val="567"/>
        </w:trPr>
        <w:tc>
          <w:tcPr>
            <w:tcW w:w="3686" w:type="dxa"/>
            <w:tcBorders>
              <w:top w:val="nil"/>
              <w:left w:val="single" w:sz="4" w:space="0" w:color="auto"/>
              <w:bottom w:val="nil"/>
              <w:right w:val="nil"/>
            </w:tcBorders>
            <w:shd w:val="clear" w:color="auto" w:fill="auto"/>
            <w:vAlign w:val="bottom"/>
            <w:hideMark/>
          </w:tcPr>
          <w:p w:rsidR="001856B5" w:rsidRPr="00C740F2" w:rsidRDefault="001856B5" w:rsidP="00C740F2">
            <w:pPr>
              <w:ind w:left="317"/>
              <w:jc w:val="left"/>
              <w:rPr>
                <w:rFonts w:cs="Arial"/>
                <w:iCs/>
              </w:rPr>
            </w:pPr>
            <w:r w:rsidRPr="00C740F2">
              <w:rPr>
                <w:rFonts w:cs="Arial"/>
                <w:iCs/>
              </w:rPr>
              <w:t>Operating expenses, equipment and supplies</w:t>
            </w:r>
          </w:p>
        </w:tc>
        <w:tc>
          <w:tcPr>
            <w:tcW w:w="1276" w:type="dxa"/>
            <w:tcBorders>
              <w:top w:val="nil"/>
              <w:left w:val="nil"/>
              <w:bottom w:val="nil"/>
              <w:right w:val="nil"/>
            </w:tcBorders>
            <w:shd w:val="clear" w:color="auto" w:fill="auto"/>
            <w:vAlign w:val="bottom"/>
            <w:hideMark/>
          </w:tcPr>
          <w:p w:rsidR="001856B5" w:rsidRPr="001856B5" w:rsidRDefault="001856B5" w:rsidP="009A0B7E">
            <w:pPr>
              <w:jc w:val="right"/>
              <w:rPr>
                <w:rFonts w:cs="Arial"/>
                <w:color w:val="000000"/>
              </w:rPr>
            </w:pPr>
            <w:r w:rsidRPr="001856B5">
              <w:rPr>
                <w:rFonts w:cs="Arial"/>
                <w:color w:val="000000"/>
              </w:rPr>
              <w:t>1,301</w:t>
            </w:r>
          </w:p>
        </w:tc>
        <w:tc>
          <w:tcPr>
            <w:tcW w:w="1275" w:type="dxa"/>
            <w:tcBorders>
              <w:top w:val="nil"/>
              <w:left w:val="nil"/>
              <w:bottom w:val="nil"/>
              <w:right w:val="single" w:sz="4" w:space="0" w:color="auto"/>
            </w:tcBorders>
            <w:shd w:val="clear" w:color="auto" w:fill="auto"/>
            <w:vAlign w:val="bottom"/>
            <w:hideMark/>
          </w:tcPr>
          <w:p w:rsidR="001856B5" w:rsidRPr="001856B5" w:rsidRDefault="001856B5" w:rsidP="009A0B7E">
            <w:pPr>
              <w:jc w:val="right"/>
              <w:rPr>
                <w:rFonts w:cs="Arial"/>
                <w:color w:val="000000"/>
              </w:rPr>
            </w:pPr>
            <w:r w:rsidRPr="001856B5">
              <w:rPr>
                <w:rFonts w:cs="Arial"/>
                <w:color w:val="000000"/>
              </w:rPr>
              <w:t>1,266</w:t>
            </w:r>
          </w:p>
        </w:tc>
        <w:tc>
          <w:tcPr>
            <w:tcW w:w="851" w:type="dxa"/>
            <w:tcBorders>
              <w:top w:val="nil"/>
              <w:left w:val="nil"/>
              <w:bottom w:val="nil"/>
              <w:right w:val="nil"/>
            </w:tcBorders>
            <w:shd w:val="clear" w:color="auto" w:fill="auto"/>
            <w:vAlign w:val="bottom"/>
            <w:hideMark/>
          </w:tcPr>
          <w:p w:rsidR="001856B5" w:rsidRPr="001856B5" w:rsidRDefault="001856B5" w:rsidP="009A0B7E">
            <w:pPr>
              <w:jc w:val="right"/>
              <w:rPr>
                <w:rFonts w:cs="Arial"/>
                <w:color w:val="000000"/>
              </w:rPr>
            </w:pPr>
            <w:r w:rsidRPr="001856B5">
              <w:rPr>
                <w:rFonts w:cs="Arial"/>
                <w:color w:val="000000"/>
              </w:rPr>
              <w:t>38</w:t>
            </w:r>
          </w:p>
        </w:tc>
        <w:tc>
          <w:tcPr>
            <w:tcW w:w="867" w:type="dxa"/>
            <w:tcBorders>
              <w:top w:val="nil"/>
              <w:left w:val="nil"/>
              <w:bottom w:val="nil"/>
              <w:right w:val="nil"/>
            </w:tcBorders>
            <w:shd w:val="clear" w:color="auto" w:fill="auto"/>
            <w:vAlign w:val="bottom"/>
            <w:hideMark/>
          </w:tcPr>
          <w:p w:rsidR="001856B5" w:rsidRPr="001856B5" w:rsidRDefault="001856B5" w:rsidP="009A0B7E">
            <w:pPr>
              <w:jc w:val="right"/>
              <w:rPr>
                <w:rFonts w:cs="Arial"/>
                <w:color w:val="000000"/>
              </w:rPr>
            </w:pPr>
            <w:r w:rsidRPr="001856B5">
              <w:rPr>
                <w:rFonts w:cs="Arial"/>
                <w:color w:val="000000"/>
              </w:rPr>
              <w:t>3.0%</w:t>
            </w:r>
          </w:p>
        </w:tc>
        <w:tc>
          <w:tcPr>
            <w:tcW w:w="1273" w:type="dxa"/>
            <w:tcBorders>
              <w:top w:val="nil"/>
              <w:left w:val="nil"/>
              <w:bottom w:val="nil"/>
              <w:right w:val="single" w:sz="4" w:space="0" w:color="auto"/>
            </w:tcBorders>
            <w:shd w:val="clear" w:color="auto" w:fill="auto"/>
            <w:vAlign w:val="bottom"/>
            <w:hideMark/>
          </w:tcPr>
          <w:p w:rsidR="001856B5" w:rsidRPr="001856B5" w:rsidRDefault="001856B5" w:rsidP="009A0B7E">
            <w:pPr>
              <w:jc w:val="right"/>
              <w:rPr>
                <w:rFonts w:cs="Arial"/>
                <w:color w:val="000000"/>
              </w:rPr>
            </w:pPr>
            <w:r w:rsidRPr="001856B5">
              <w:rPr>
                <w:rFonts w:cs="Arial"/>
                <w:color w:val="000000"/>
              </w:rPr>
              <w:t>1,304</w:t>
            </w:r>
          </w:p>
        </w:tc>
      </w:tr>
      <w:tr w:rsidR="001856B5" w:rsidRPr="001856B5" w:rsidTr="00C740F2">
        <w:trPr>
          <w:trHeight w:val="369"/>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6B5" w:rsidRPr="001856B5" w:rsidRDefault="001856B5" w:rsidP="009A0B7E">
            <w:pPr>
              <w:jc w:val="left"/>
              <w:rPr>
                <w:rFonts w:cs="Arial"/>
                <w:b/>
                <w:bCs/>
              </w:rPr>
            </w:pPr>
            <w:r w:rsidRPr="001856B5">
              <w:rPr>
                <w:rFonts w:cs="Arial"/>
                <w:b/>
                <w:bCs/>
              </w:rPr>
              <w:t>3. Grand Total</w:t>
            </w:r>
          </w:p>
        </w:tc>
        <w:tc>
          <w:tcPr>
            <w:tcW w:w="1276" w:type="dxa"/>
            <w:tcBorders>
              <w:top w:val="single" w:sz="4" w:space="0" w:color="auto"/>
              <w:left w:val="nil"/>
              <w:bottom w:val="single" w:sz="4" w:space="0" w:color="auto"/>
              <w:right w:val="nil"/>
            </w:tcBorders>
            <w:shd w:val="clear" w:color="auto" w:fill="auto"/>
            <w:vAlign w:val="bottom"/>
            <w:hideMark/>
          </w:tcPr>
          <w:p w:rsidR="001856B5" w:rsidRPr="001856B5" w:rsidRDefault="001856B5" w:rsidP="009A0B7E">
            <w:pPr>
              <w:jc w:val="right"/>
              <w:rPr>
                <w:rFonts w:cs="Arial"/>
                <w:b/>
                <w:bCs/>
                <w:color w:val="000000"/>
              </w:rPr>
            </w:pPr>
            <w:r w:rsidRPr="001856B5">
              <w:rPr>
                <w:rFonts w:cs="Arial"/>
                <w:b/>
                <w:bCs/>
                <w:color w:val="000000"/>
              </w:rPr>
              <w:t>6,479</w:t>
            </w:r>
          </w:p>
        </w:tc>
        <w:tc>
          <w:tcPr>
            <w:tcW w:w="1275" w:type="dxa"/>
            <w:tcBorders>
              <w:top w:val="single" w:sz="4" w:space="0" w:color="auto"/>
              <w:left w:val="nil"/>
              <w:bottom w:val="single" w:sz="4" w:space="0" w:color="auto"/>
              <w:right w:val="nil"/>
            </w:tcBorders>
            <w:shd w:val="clear" w:color="auto" w:fill="auto"/>
            <w:vAlign w:val="bottom"/>
            <w:hideMark/>
          </w:tcPr>
          <w:p w:rsidR="001856B5" w:rsidRPr="001856B5" w:rsidRDefault="001856B5" w:rsidP="009A0B7E">
            <w:pPr>
              <w:jc w:val="right"/>
              <w:rPr>
                <w:rFonts w:cs="Arial"/>
                <w:b/>
                <w:bCs/>
                <w:color w:val="000000"/>
              </w:rPr>
            </w:pPr>
            <w:r w:rsidRPr="001856B5">
              <w:rPr>
                <w:rFonts w:cs="Arial"/>
                <w:b/>
                <w:bCs/>
                <w:color w:val="000000"/>
              </w:rPr>
              <w:t>6,798</w:t>
            </w:r>
          </w:p>
        </w:tc>
        <w:tc>
          <w:tcPr>
            <w:tcW w:w="851" w:type="dxa"/>
            <w:tcBorders>
              <w:top w:val="single" w:sz="4" w:space="0" w:color="auto"/>
              <w:left w:val="nil"/>
              <w:bottom w:val="single" w:sz="4" w:space="0" w:color="auto"/>
              <w:right w:val="nil"/>
            </w:tcBorders>
            <w:shd w:val="clear" w:color="auto" w:fill="auto"/>
            <w:vAlign w:val="bottom"/>
            <w:hideMark/>
          </w:tcPr>
          <w:p w:rsidR="001856B5" w:rsidRPr="001856B5" w:rsidRDefault="001856B5" w:rsidP="009A0B7E">
            <w:pPr>
              <w:jc w:val="right"/>
              <w:rPr>
                <w:rFonts w:cs="Arial"/>
                <w:b/>
                <w:bCs/>
                <w:color w:val="000000"/>
              </w:rPr>
            </w:pPr>
            <w:r w:rsidRPr="001856B5">
              <w:rPr>
                <w:rFonts w:cs="Arial"/>
                <w:b/>
                <w:bCs/>
                <w:color w:val="000000"/>
              </w:rPr>
              <w:t>-4</w:t>
            </w:r>
          </w:p>
        </w:tc>
        <w:tc>
          <w:tcPr>
            <w:tcW w:w="867" w:type="dxa"/>
            <w:tcBorders>
              <w:top w:val="single" w:sz="4" w:space="0" w:color="auto"/>
              <w:left w:val="nil"/>
              <w:bottom w:val="single" w:sz="4" w:space="0" w:color="auto"/>
              <w:right w:val="nil"/>
            </w:tcBorders>
            <w:shd w:val="clear" w:color="auto" w:fill="auto"/>
            <w:vAlign w:val="bottom"/>
            <w:hideMark/>
          </w:tcPr>
          <w:p w:rsidR="001856B5" w:rsidRPr="001856B5" w:rsidRDefault="001856B5" w:rsidP="009A0B7E">
            <w:pPr>
              <w:jc w:val="right"/>
              <w:rPr>
                <w:rFonts w:cs="Arial"/>
                <w:b/>
                <w:bCs/>
              </w:rPr>
            </w:pPr>
            <w:r w:rsidRPr="001856B5">
              <w:rPr>
                <w:rFonts w:cs="Arial"/>
                <w:b/>
                <w:bCs/>
              </w:rPr>
              <w:t>-0.1%</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rsidR="001856B5" w:rsidRPr="001856B5" w:rsidRDefault="001856B5" w:rsidP="009A0B7E">
            <w:pPr>
              <w:jc w:val="right"/>
              <w:rPr>
                <w:rFonts w:cs="Arial"/>
                <w:b/>
                <w:bCs/>
                <w:color w:val="000000"/>
              </w:rPr>
            </w:pPr>
            <w:r w:rsidRPr="001856B5">
              <w:rPr>
                <w:rFonts w:cs="Arial"/>
                <w:b/>
                <w:bCs/>
                <w:color w:val="000000"/>
              </w:rPr>
              <w:t>6,794</w:t>
            </w:r>
          </w:p>
        </w:tc>
      </w:tr>
    </w:tbl>
    <w:p w:rsidR="001856B5" w:rsidRPr="00784DBB" w:rsidRDefault="001856B5" w:rsidP="001856B5">
      <w:pPr>
        <w:rPr>
          <w:spacing w:val="-2"/>
          <w:szCs w:val="24"/>
        </w:rPr>
      </w:pPr>
    </w:p>
    <w:p w:rsidR="0035241B" w:rsidRPr="00784DBB" w:rsidRDefault="0035241B" w:rsidP="001856B5">
      <w:pPr>
        <w:rPr>
          <w:spacing w:val="-2"/>
          <w:szCs w:val="24"/>
        </w:rPr>
      </w:pPr>
    </w:p>
    <w:p w:rsidR="00421639" w:rsidRPr="00DE02E8" w:rsidRDefault="00421639" w:rsidP="00421639">
      <w:pPr>
        <w:tabs>
          <w:tab w:val="left" w:pos="567"/>
        </w:tabs>
      </w:pPr>
      <w:r w:rsidRPr="00DE02E8">
        <w:t>3.5</w:t>
      </w:r>
      <w:r w:rsidRPr="00DE02E8">
        <w:tab/>
      </w:r>
      <w:r w:rsidRPr="00DE02E8">
        <w:rPr>
          <w:b/>
        </w:rPr>
        <w:t>Table 3</w:t>
      </w:r>
      <w:r w:rsidRPr="00DE02E8">
        <w:t xml:space="preserve"> provides a resource plan for the 2012</w:t>
      </w:r>
      <w:r w:rsidRPr="00DE02E8">
        <w:noBreakHyphen/>
        <w:t xml:space="preserve">2013 and the </w:t>
      </w:r>
      <w:r w:rsidRPr="00DE02E8">
        <w:rPr>
          <w:snapToGrid w:val="0"/>
          <w:spacing w:val="-2"/>
          <w:szCs w:val="24"/>
        </w:rPr>
        <w:t>2014­2015</w:t>
      </w:r>
      <w:r w:rsidRPr="00DE02E8">
        <w:t xml:space="preserve"> biennia.  The total program of activities to be conducted by </w:t>
      </w:r>
      <w:smartTag w:uri="urn:schemas-microsoft-com:office:smarttags" w:element="PersonName">
        <w:r w:rsidRPr="00DE02E8">
          <w:t>UPOV</w:t>
        </w:r>
      </w:smartTag>
      <w:r w:rsidRPr="00DE02E8">
        <w:t xml:space="preserve"> in the </w:t>
      </w:r>
      <w:r w:rsidRPr="00DE02E8">
        <w:rPr>
          <w:snapToGrid w:val="0"/>
          <w:spacing w:val="-2"/>
          <w:szCs w:val="24"/>
        </w:rPr>
        <w:t>2014­2015</w:t>
      </w:r>
      <w:r w:rsidRPr="00DE02E8">
        <w:t xml:space="preserve"> Biennium amounts to </w:t>
      </w:r>
      <w:r w:rsidRPr="00DE02E8">
        <w:rPr>
          <w:spacing w:val="-2"/>
          <w:szCs w:val="24"/>
        </w:rPr>
        <w:t>7,134,000 Swiss francs</w:t>
      </w:r>
      <w:r w:rsidRPr="00DE02E8">
        <w:t xml:space="preserve">.  </w:t>
      </w:r>
      <w:r w:rsidRPr="00DE02E8">
        <w:br/>
        <w:t xml:space="preserve">This amount includes </w:t>
      </w:r>
      <w:r w:rsidRPr="00DE02E8">
        <w:rPr>
          <w:spacing w:val="-2"/>
          <w:szCs w:val="24"/>
        </w:rPr>
        <w:t>6,794,000 Swiss francs</w:t>
      </w:r>
      <w:r w:rsidRPr="00DE02E8">
        <w:t xml:space="preserve"> within the regular budget (see Table 1), and an estimated </w:t>
      </w:r>
      <w:r w:rsidRPr="00DE02E8">
        <w:rPr>
          <w:spacing w:val="-2"/>
          <w:szCs w:val="24"/>
        </w:rPr>
        <w:t>340,000 Swiss francs</w:t>
      </w:r>
      <w:r w:rsidRPr="00DE02E8">
        <w:t xml:space="preserve">, financed under trust fund arrangements.  </w:t>
      </w:r>
    </w:p>
    <w:p w:rsidR="00421639" w:rsidRPr="00DE02E8" w:rsidRDefault="00421639" w:rsidP="00421639">
      <w:pPr>
        <w:tabs>
          <w:tab w:val="left" w:pos="567"/>
        </w:tabs>
      </w:pPr>
    </w:p>
    <w:p w:rsidR="00421639" w:rsidRPr="00DE02E8" w:rsidRDefault="00421639" w:rsidP="00DB593C">
      <w:pPr>
        <w:tabs>
          <w:tab w:val="left" w:pos="567"/>
        </w:tabs>
      </w:pPr>
      <w:r w:rsidRPr="00DE02E8">
        <w:t>3.6</w:t>
      </w:r>
      <w:r w:rsidRPr="00DE02E8">
        <w:tab/>
        <w:t xml:space="preserve">For the </w:t>
      </w:r>
      <w:r w:rsidRPr="00DE02E8">
        <w:rPr>
          <w:snapToGrid w:val="0"/>
          <w:spacing w:val="-2"/>
          <w:szCs w:val="24"/>
        </w:rPr>
        <w:t>2014­2015</w:t>
      </w:r>
      <w:r w:rsidRPr="00DE02E8">
        <w:t xml:space="preserve"> Biennium, income and expenditure are expected to be balanced.</w:t>
      </w:r>
    </w:p>
    <w:p w:rsidR="00421639" w:rsidRPr="00DE02E8" w:rsidRDefault="00421639" w:rsidP="00421639">
      <w:pPr>
        <w:tabs>
          <w:tab w:val="left" w:pos="567"/>
        </w:tabs>
      </w:pPr>
    </w:p>
    <w:p w:rsidR="00421639" w:rsidRPr="00DD6106" w:rsidRDefault="00421639" w:rsidP="00421639">
      <w:pPr>
        <w:tabs>
          <w:tab w:val="left" w:pos="567"/>
        </w:tabs>
        <w:rPr>
          <w:spacing w:val="-2"/>
          <w:szCs w:val="24"/>
        </w:rPr>
      </w:pPr>
      <w:r w:rsidRPr="00DE02E8">
        <w:t>3.7</w:t>
      </w:r>
      <w:r w:rsidRPr="00DE02E8">
        <w:tab/>
        <w:t xml:space="preserve">Funds-in-Trust are voluntary financial donations provided to </w:t>
      </w:r>
      <w:smartTag w:uri="urn:schemas-microsoft-com:office:smarttags" w:element="PersonName">
        <w:r w:rsidRPr="00DE02E8">
          <w:t>UPOV</w:t>
        </w:r>
      </w:smartTag>
      <w:r w:rsidRPr="00DE02E8">
        <w:t xml:space="preserve"> by a member of the Union, usually provided to finance a specific program of activities mutually agreed between the Office of the </w:t>
      </w:r>
      <w:smartTag w:uri="urn:schemas-microsoft-com:office:smarttags" w:element="place">
        <w:r w:rsidRPr="00DE02E8">
          <w:t>Union</w:t>
        </w:r>
      </w:smartTag>
      <w:r w:rsidRPr="00DE02E8">
        <w:t xml:space="preserve"> and the donor member.  Without prejudging sovereign decisions from donor members, it is expected that the </w:t>
      </w:r>
      <w:r w:rsidRPr="00DE02E8">
        <w:rPr>
          <w:spacing w:val="-2"/>
          <w:szCs w:val="24"/>
        </w:rPr>
        <w:t>overall amounts of Funds</w:t>
      </w:r>
      <w:r w:rsidRPr="00DE02E8">
        <w:rPr>
          <w:spacing w:val="-2"/>
          <w:szCs w:val="24"/>
        </w:rPr>
        <w:noBreakHyphen/>
        <w:t xml:space="preserve">in-Trust for the </w:t>
      </w:r>
      <w:r w:rsidRPr="00DE02E8">
        <w:rPr>
          <w:snapToGrid w:val="0"/>
          <w:spacing w:val="-2"/>
          <w:szCs w:val="24"/>
        </w:rPr>
        <w:t>2014­2015</w:t>
      </w:r>
      <w:r w:rsidRPr="00DE02E8">
        <w:rPr>
          <w:spacing w:val="-2"/>
          <w:szCs w:val="24"/>
        </w:rPr>
        <w:t xml:space="preserve"> Biennium will be at a level of 340,000 Swiss francs. </w:t>
      </w:r>
      <w:r w:rsidRPr="00DE02E8">
        <w:t xml:space="preserve"> It should be noted that non</w:t>
      </w:r>
      <w:r w:rsidRPr="00DE02E8">
        <w:noBreakHyphen/>
        <w:t xml:space="preserve">monetary support (support in kind), particularly of technical assistance and training activities by members of the Union, are not recorded in </w:t>
      </w:r>
      <w:smartTag w:uri="urn:schemas-microsoft-com:office:smarttags" w:element="PersonName">
        <w:r w:rsidRPr="00DE02E8">
          <w:t>UPOV</w:t>
        </w:r>
      </w:smartTag>
      <w:r w:rsidRPr="00DE02E8">
        <w:t>’s budget.</w:t>
      </w:r>
    </w:p>
    <w:p w:rsidR="00421639" w:rsidRDefault="00421639" w:rsidP="00421639"/>
    <w:p w:rsidR="00421639" w:rsidRPr="00ED49E5" w:rsidRDefault="00421639" w:rsidP="00421639">
      <w:pPr>
        <w:jc w:val="center"/>
        <w:rPr>
          <w:b/>
        </w:rPr>
      </w:pPr>
      <w:r w:rsidRPr="00A94758">
        <w:rPr>
          <w:b/>
        </w:rPr>
        <w:t xml:space="preserve">Table </w:t>
      </w:r>
      <w:r>
        <w:rPr>
          <w:b/>
        </w:rPr>
        <w:t>3</w:t>
      </w:r>
      <w:r w:rsidRPr="00A94758">
        <w:rPr>
          <w:b/>
        </w:rPr>
        <w:t xml:space="preserve">:  </w:t>
      </w:r>
      <w:r w:rsidRPr="00ED49E5">
        <w:rPr>
          <w:b/>
        </w:rPr>
        <w:t>Resource Plan 2012-13 and 2014-2015</w:t>
      </w:r>
    </w:p>
    <w:p w:rsidR="00421639" w:rsidRPr="00D0256F" w:rsidRDefault="00421639" w:rsidP="00421639">
      <w:pPr>
        <w:jc w:val="center"/>
      </w:pPr>
      <w:r w:rsidRPr="00D0256F">
        <w:t>(in thousands of Swiss francs)</w:t>
      </w:r>
    </w:p>
    <w:p w:rsidR="00421639" w:rsidRDefault="00421639" w:rsidP="00421639">
      <w:pPr>
        <w:jc w:val="center"/>
      </w:pPr>
    </w:p>
    <w:tbl>
      <w:tblPr>
        <w:tblW w:w="7325" w:type="dxa"/>
        <w:tblInd w:w="1384" w:type="dxa"/>
        <w:tblLook w:val="04A0" w:firstRow="1" w:lastRow="0" w:firstColumn="1" w:lastColumn="0" w:noHBand="0" w:noVBand="1"/>
      </w:tblPr>
      <w:tblGrid>
        <w:gridCol w:w="360"/>
        <w:gridCol w:w="3184"/>
        <w:gridCol w:w="1134"/>
        <w:gridCol w:w="1134"/>
        <w:gridCol w:w="1513"/>
      </w:tblGrid>
      <w:tr w:rsidR="00D26E03" w:rsidRPr="00D26E03" w:rsidTr="00D26E03">
        <w:trPr>
          <w:trHeight w:val="750"/>
        </w:trPr>
        <w:tc>
          <w:tcPr>
            <w:tcW w:w="3544" w:type="dxa"/>
            <w:gridSpan w:val="2"/>
            <w:tcBorders>
              <w:top w:val="single" w:sz="4" w:space="0" w:color="auto"/>
              <w:left w:val="single" w:sz="4" w:space="0" w:color="auto"/>
              <w:bottom w:val="nil"/>
              <w:right w:val="nil"/>
            </w:tcBorders>
            <w:shd w:val="clear" w:color="auto" w:fill="auto"/>
            <w:vAlign w:val="bottom"/>
            <w:hideMark/>
          </w:tcPr>
          <w:p w:rsidR="00D26E03" w:rsidRPr="00D26E03" w:rsidRDefault="00D26E03" w:rsidP="00D26E03">
            <w:pPr>
              <w:jc w:val="left"/>
              <w:rPr>
                <w:rFonts w:cs="Arial"/>
                <w:b/>
                <w:bCs/>
                <w:color w:val="000000"/>
              </w:rPr>
            </w:pPr>
            <w:r w:rsidRPr="00D26E03">
              <w:rPr>
                <w:rFonts w:cs="Arial"/>
                <w:b/>
                <w:bCs/>
                <w:color w:val="000000"/>
              </w:rPr>
              <w:t> </w:t>
            </w:r>
          </w:p>
        </w:tc>
        <w:tc>
          <w:tcPr>
            <w:tcW w:w="1134" w:type="dxa"/>
            <w:tcBorders>
              <w:top w:val="single" w:sz="4" w:space="0" w:color="auto"/>
              <w:left w:val="nil"/>
              <w:bottom w:val="nil"/>
              <w:right w:val="nil"/>
            </w:tcBorders>
            <w:shd w:val="clear" w:color="auto" w:fill="auto"/>
            <w:hideMark/>
          </w:tcPr>
          <w:p w:rsidR="00D26E03" w:rsidRPr="00D26E03" w:rsidRDefault="00D26E03" w:rsidP="00D26E03">
            <w:pPr>
              <w:jc w:val="center"/>
              <w:rPr>
                <w:rFonts w:cs="Arial"/>
                <w:b/>
                <w:bCs/>
                <w:color w:val="000000"/>
              </w:rPr>
            </w:pPr>
            <w:r w:rsidRPr="00D26E03">
              <w:rPr>
                <w:rFonts w:cs="Arial"/>
                <w:b/>
                <w:bCs/>
                <w:color w:val="000000"/>
              </w:rPr>
              <w:t>Regular Budget</w:t>
            </w:r>
          </w:p>
        </w:tc>
        <w:tc>
          <w:tcPr>
            <w:tcW w:w="1134" w:type="dxa"/>
            <w:tcBorders>
              <w:top w:val="single" w:sz="4" w:space="0" w:color="auto"/>
              <w:left w:val="single" w:sz="4" w:space="0" w:color="auto"/>
              <w:bottom w:val="nil"/>
              <w:right w:val="single" w:sz="4" w:space="0" w:color="auto"/>
            </w:tcBorders>
            <w:shd w:val="clear" w:color="auto" w:fill="auto"/>
            <w:hideMark/>
          </w:tcPr>
          <w:p w:rsidR="00D26E03" w:rsidRPr="00D26E03" w:rsidRDefault="00D26E03" w:rsidP="00D26E03">
            <w:pPr>
              <w:jc w:val="center"/>
              <w:rPr>
                <w:rFonts w:cs="Arial"/>
                <w:b/>
                <w:bCs/>
                <w:color w:val="000000"/>
              </w:rPr>
            </w:pPr>
            <w:r w:rsidRPr="00D26E03">
              <w:rPr>
                <w:rFonts w:cs="Arial"/>
                <w:b/>
                <w:bCs/>
                <w:color w:val="000000"/>
              </w:rPr>
              <w:t>Funds in Trust</w:t>
            </w:r>
          </w:p>
        </w:tc>
        <w:tc>
          <w:tcPr>
            <w:tcW w:w="1513" w:type="dxa"/>
            <w:tcBorders>
              <w:top w:val="single" w:sz="4" w:space="0" w:color="auto"/>
              <w:left w:val="nil"/>
              <w:bottom w:val="nil"/>
              <w:right w:val="single" w:sz="4" w:space="0" w:color="auto"/>
            </w:tcBorders>
            <w:shd w:val="clear" w:color="auto" w:fill="auto"/>
            <w:hideMark/>
          </w:tcPr>
          <w:p w:rsidR="00D26E03" w:rsidRPr="00D26E03" w:rsidRDefault="00D26E03" w:rsidP="00D26E03">
            <w:pPr>
              <w:jc w:val="center"/>
              <w:rPr>
                <w:rFonts w:cs="Arial"/>
                <w:b/>
                <w:bCs/>
                <w:color w:val="000000"/>
              </w:rPr>
            </w:pPr>
            <w:r w:rsidRPr="00D26E03">
              <w:rPr>
                <w:rFonts w:cs="Arial"/>
                <w:b/>
                <w:bCs/>
                <w:color w:val="000000"/>
              </w:rPr>
              <w:t>Total resources</w:t>
            </w:r>
          </w:p>
        </w:tc>
      </w:tr>
      <w:tr w:rsidR="00D26E03" w:rsidRPr="00D26E03" w:rsidTr="00D26E03">
        <w:trPr>
          <w:trHeight w:val="300"/>
        </w:trPr>
        <w:tc>
          <w:tcPr>
            <w:tcW w:w="3544" w:type="dxa"/>
            <w:gridSpan w:val="2"/>
            <w:tcBorders>
              <w:top w:val="nil"/>
              <w:left w:val="single" w:sz="4" w:space="0" w:color="auto"/>
              <w:bottom w:val="nil"/>
              <w:right w:val="nil"/>
            </w:tcBorders>
            <w:shd w:val="clear" w:color="auto" w:fill="auto"/>
            <w:vAlign w:val="bottom"/>
            <w:hideMark/>
          </w:tcPr>
          <w:p w:rsidR="00D26E03" w:rsidRPr="00D26E03" w:rsidRDefault="00D26E03" w:rsidP="00D26E03">
            <w:pPr>
              <w:jc w:val="left"/>
              <w:rPr>
                <w:rFonts w:cs="Arial"/>
                <w:b/>
                <w:bCs/>
                <w:color w:val="000000"/>
              </w:rPr>
            </w:pPr>
            <w:r w:rsidRPr="00D26E03">
              <w:rPr>
                <w:rFonts w:cs="Arial"/>
                <w:b/>
                <w:bCs/>
                <w:color w:val="000000"/>
              </w:rPr>
              <w:t>Budget and resource availability</w:t>
            </w:r>
          </w:p>
        </w:tc>
        <w:tc>
          <w:tcPr>
            <w:tcW w:w="1134" w:type="dxa"/>
            <w:tcBorders>
              <w:top w:val="nil"/>
              <w:left w:val="nil"/>
              <w:bottom w:val="nil"/>
              <w:right w:val="nil"/>
            </w:tcBorders>
            <w:shd w:val="clear" w:color="auto" w:fill="auto"/>
            <w:hideMark/>
          </w:tcPr>
          <w:p w:rsidR="00D26E03" w:rsidRPr="00D26E03" w:rsidRDefault="00D26E03" w:rsidP="00D26E03">
            <w:pPr>
              <w:jc w:val="left"/>
              <w:rPr>
                <w:rFonts w:cs="Arial"/>
                <w:b/>
                <w:bCs/>
                <w:color w:val="000000"/>
              </w:rPr>
            </w:pPr>
          </w:p>
        </w:tc>
        <w:tc>
          <w:tcPr>
            <w:tcW w:w="1134" w:type="dxa"/>
            <w:tcBorders>
              <w:top w:val="nil"/>
              <w:left w:val="single" w:sz="4" w:space="0" w:color="auto"/>
              <w:bottom w:val="nil"/>
              <w:right w:val="single" w:sz="4" w:space="0" w:color="auto"/>
            </w:tcBorders>
            <w:shd w:val="clear" w:color="auto" w:fill="auto"/>
            <w:noWrap/>
            <w:vAlign w:val="bottom"/>
            <w:hideMark/>
          </w:tcPr>
          <w:p w:rsidR="00D26E03" w:rsidRPr="00D26E03" w:rsidRDefault="00D26E03" w:rsidP="00D26E03">
            <w:pPr>
              <w:jc w:val="left"/>
              <w:rPr>
                <w:rFonts w:cs="Arial"/>
                <w:b/>
                <w:bCs/>
              </w:rPr>
            </w:pPr>
            <w:r w:rsidRPr="00D26E03">
              <w:rPr>
                <w:rFonts w:cs="Arial"/>
                <w:b/>
                <w:bCs/>
              </w:rPr>
              <w:t> </w:t>
            </w:r>
          </w:p>
        </w:tc>
        <w:tc>
          <w:tcPr>
            <w:tcW w:w="1513" w:type="dxa"/>
            <w:tcBorders>
              <w:top w:val="nil"/>
              <w:left w:val="nil"/>
              <w:bottom w:val="single" w:sz="4" w:space="0" w:color="auto"/>
              <w:right w:val="single" w:sz="4" w:space="0" w:color="auto"/>
            </w:tcBorders>
            <w:shd w:val="clear" w:color="auto" w:fill="auto"/>
            <w:hideMark/>
          </w:tcPr>
          <w:p w:rsidR="00D26E03" w:rsidRPr="00D26E03" w:rsidRDefault="00D26E03" w:rsidP="00D26E03">
            <w:pPr>
              <w:jc w:val="left"/>
              <w:rPr>
                <w:rFonts w:cs="Arial"/>
                <w:b/>
                <w:bCs/>
                <w:color w:val="000000"/>
              </w:rPr>
            </w:pPr>
            <w:r w:rsidRPr="00D26E03">
              <w:rPr>
                <w:rFonts w:cs="Arial"/>
                <w:b/>
                <w:bCs/>
                <w:color w:val="000000"/>
              </w:rPr>
              <w:t> </w:t>
            </w:r>
          </w:p>
        </w:tc>
      </w:tr>
      <w:tr w:rsidR="00D26E03" w:rsidRPr="00D26E03" w:rsidTr="00D26E03">
        <w:trPr>
          <w:trHeight w:val="255"/>
        </w:trPr>
        <w:tc>
          <w:tcPr>
            <w:tcW w:w="3544" w:type="dxa"/>
            <w:gridSpan w:val="2"/>
            <w:tcBorders>
              <w:top w:val="single" w:sz="4" w:space="0" w:color="auto"/>
              <w:left w:val="single" w:sz="4" w:space="0" w:color="auto"/>
              <w:bottom w:val="single" w:sz="4" w:space="0" w:color="auto"/>
              <w:right w:val="nil"/>
            </w:tcBorders>
            <w:shd w:val="clear" w:color="auto" w:fill="auto"/>
            <w:vAlign w:val="bottom"/>
            <w:hideMark/>
          </w:tcPr>
          <w:p w:rsidR="00D26E03" w:rsidRPr="00D26E03" w:rsidRDefault="00D26E03" w:rsidP="00D26E03">
            <w:pPr>
              <w:jc w:val="left"/>
              <w:rPr>
                <w:rFonts w:cs="Arial"/>
              </w:rPr>
            </w:pPr>
            <w:r w:rsidRPr="00D26E03">
              <w:rPr>
                <w:rFonts w:cs="Arial"/>
              </w:rPr>
              <w:t> </w:t>
            </w:r>
          </w:p>
        </w:tc>
        <w:tc>
          <w:tcPr>
            <w:tcW w:w="1134" w:type="dxa"/>
            <w:tcBorders>
              <w:top w:val="single" w:sz="4" w:space="0" w:color="auto"/>
              <w:left w:val="nil"/>
              <w:bottom w:val="single" w:sz="4" w:space="0" w:color="auto"/>
              <w:right w:val="nil"/>
            </w:tcBorders>
            <w:shd w:val="clear" w:color="auto" w:fill="auto"/>
            <w:hideMark/>
          </w:tcPr>
          <w:p w:rsidR="00D26E03" w:rsidRPr="00D26E03" w:rsidRDefault="00D26E03" w:rsidP="00D26E03">
            <w:pPr>
              <w:jc w:val="center"/>
              <w:rPr>
                <w:rFonts w:cs="Arial"/>
                <w:b/>
                <w:bCs/>
                <w:i/>
              </w:rPr>
            </w:pPr>
            <w:r w:rsidRPr="00D26E03">
              <w:rPr>
                <w:rFonts w:cs="Arial"/>
                <w:b/>
                <w:bCs/>
                <w:i/>
              </w:rPr>
              <w:t>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26E03" w:rsidRPr="00D26E03" w:rsidRDefault="00D26E03" w:rsidP="00D26E03">
            <w:pPr>
              <w:jc w:val="center"/>
              <w:rPr>
                <w:rFonts w:cs="Arial"/>
                <w:b/>
                <w:bCs/>
                <w:i/>
                <w:iCs/>
                <w:color w:val="000000"/>
              </w:rPr>
            </w:pPr>
            <w:r w:rsidRPr="00D26E03">
              <w:rPr>
                <w:rFonts w:cs="Arial"/>
                <w:b/>
                <w:bCs/>
                <w:i/>
                <w:iCs/>
                <w:color w:val="000000"/>
              </w:rPr>
              <w:t>B</w:t>
            </w:r>
          </w:p>
        </w:tc>
        <w:tc>
          <w:tcPr>
            <w:tcW w:w="1513" w:type="dxa"/>
            <w:tcBorders>
              <w:top w:val="nil"/>
              <w:left w:val="nil"/>
              <w:bottom w:val="single" w:sz="4" w:space="0" w:color="auto"/>
              <w:right w:val="single" w:sz="4" w:space="0" w:color="auto"/>
            </w:tcBorders>
            <w:shd w:val="clear" w:color="auto" w:fill="auto"/>
            <w:hideMark/>
          </w:tcPr>
          <w:p w:rsidR="00D26E03" w:rsidRPr="00D26E03" w:rsidRDefault="00D26E03" w:rsidP="00D26E03">
            <w:pPr>
              <w:jc w:val="center"/>
              <w:rPr>
                <w:rFonts w:cs="Arial"/>
                <w:b/>
                <w:bCs/>
                <w:i/>
                <w:iCs/>
                <w:color w:val="000000"/>
              </w:rPr>
            </w:pPr>
            <w:r w:rsidRPr="00D26E03">
              <w:rPr>
                <w:rFonts w:cs="Arial"/>
                <w:b/>
                <w:bCs/>
                <w:i/>
                <w:iCs/>
                <w:color w:val="000000"/>
              </w:rPr>
              <w:t>C = A+B</w:t>
            </w:r>
          </w:p>
        </w:tc>
      </w:tr>
      <w:tr w:rsidR="00D26E03" w:rsidRPr="00D26E03" w:rsidTr="00D26E03">
        <w:trPr>
          <w:trHeight w:val="255"/>
        </w:trPr>
        <w:tc>
          <w:tcPr>
            <w:tcW w:w="3544" w:type="dxa"/>
            <w:gridSpan w:val="2"/>
            <w:tcBorders>
              <w:top w:val="nil"/>
              <w:left w:val="single" w:sz="4" w:space="0" w:color="auto"/>
              <w:bottom w:val="nil"/>
              <w:right w:val="nil"/>
            </w:tcBorders>
            <w:shd w:val="clear" w:color="auto" w:fill="auto"/>
            <w:vAlign w:val="bottom"/>
            <w:hideMark/>
          </w:tcPr>
          <w:p w:rsidR="00D26E03" w:rsidRPr="00D26E03" w:rsidRDefault="00D26E03" w:rsidP="00D26E03">
            <w:pPr>
              <w:jc w:val="left"/>
              <w:rPr>
                <w:rFonts w:cs="Arial"/>
                <w:b/>
                <w:bCs/>
                <w:color w:val="000000"/>
              </w:rPr>
            </w:pPr>
            <w:r w:rsidRPr="00D26E03">
              <w:rPr>
                <w:rFonts w:cs="Arial"/>
                <w:b/>
                <w:bCs/>
                <w:color w:val="000000"/>
              </w:rPr>
              <w:t> </w:t>
            </w:r>
          </w:p>
        </w:tc>
        <w:tc>
          <w:tcPr>
            <w:tcW w:w="1134" w:type="dxa"/>
            <w:tcBorders>
              <w:top w:val="nil"/>
              <w:left w:val="nil"/>
              <w:bottom w:val="nil"/>
              <w:right w:val="nil"/>
            </w:tcBorders>
            <w:shd w:val="clear" w:color="auto" w:fill="auto"/>
            <w:vAlign w:val="bottom"/>
            <w:hideMark/>
          </w:tcPr>
          <w:p w:rsidR="00D26E03" w:rsidRPr="00D26E03" w:rsidRDefault="00D26E03" w:rsidP="00D26E03">
            <w:pPr>
              <w:jc w:val="right"/>
              <w:rPr>
                <w:rFonts w:cs="Arial"/>
                <w:b/>
                <w:bCs/>
                <w:color w:val="000000"/>
              </w:rPr>
            </w:pPr>
          </w:p>
        </w:tc>
        <w:tc>
          <w:tcPr>
            <w:tcW w:w="1134" w:type="dxa"/>
            <w:tcBorders>
              <w:top w:val="nil"/>
              <w:left w:val="single" w:sz="4" w:space="0" w:color="auto"/>
              <w:bottom w:val="nil"/>
              <w:right w:val="nil"/>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 </w:t>
            </w:r>
          </w:p>
        </w:tc>
        <w:tc>
          <w:tcPr>
            <w:tcW w:w="1513" w:type="dxa"/>
            <w:tcBorders>
              <w:top w:val="nil"/>
              <w:left w:val="single" w:sz="4" w:space="0" w:color="auto"/>
              <w:bottom w:val="nil"/>
              <w:right w:val="single" w:sz="4" w:space="0" w:color="auto"/>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 </w:t>
            </w:r>
          </w:p>
        </w:tc>
      </w:tr>
      <w:tr w:rsidR="00D26E03" w:rsidRPr="00D26E03" w:rsidTr="00D26E03">
        <w:trPr>
          <w:trHeight w:val="315"/>
        </w:trPr>
        <w:tc>
          <w:tcPr>
            <w:tcW w:w="3544" w:type="dxa"/>
            <w:gridSpan w:val="2"/>
            <w:tcBorders>
              <w:top w:val="nil"/>
              <w:left w:val="single" w:sz="4" w:space="0" w:color="auto"/>
              <w:bottom w:val="nil"/>
              <w:right w:val="nil"/>
            </w:tcBorders>
            <w:shd w:val="clear" w:color="auto" w:fill="auto"/>
            <w:vAlign w:val="bottom"/>
            <w:hideMark/>
          </w:tcPr>
          <w:p w:rsidR="00D26E03" w:rsidRPr="00D26E03" w:rsidRDefault="00D26E03" w:rsidP="00D26E03">
            <w:pPr>
              <w:jc w:val="left"/>
              <w:rPr>
                <w:rFonts w:cs="Arial"/>
                <w:b/>
                <w:bCs/>
                <w:color w:val="000000"/>
              </w:rPr>
            </w:pPr>
            <w:r w:rsidRPr="00D26E03">
              <w:rPr>
                <w:rFonts w:cs="Arial"/>
                <w:b/>
                <w:bCs/>
                <w:color w:val="000000"/>
              </w:rPr>
              <w:t>Resource availability 2012-2013</w:t>
            </w:r>
          </w:p>
        </w:tc>
        <w:tc>
          <w:tcPr>
            <w:tcW w:w="1134" w:type="dxa"/>
            <w:tcBorders>
              <w:top w:val="nil"/>
              <w:left w:val="nil"/>
              <w:bottom w:val="nil"/>
              <w:right w:val="nil"/>
            </w:tcBorders>
            <w:shd w:val="clear" w:color="auto" w:fill="auto"/>
            <w:noWrap/>
            <w:vAlign w:val="bottom"/>
            <w:hideMark/>
          </w:tcPr>
          <w:p w:rsidR="00D26E03" w:rsidRPr="00D26E03" w:rsidRDefault="00D26E03" w:rsidP="00D26E03">
            <w:pPr>
              <w:jc w:val="right"/>
              <w:rPr>
                <w:rFonts w:cs="Arial"/>
              </w:rPr>
            </w:pPr>
          </w:p>
        </w:tc>
        <w:tc>
          <w:tcPr>
            <w:tcW w:w="1134" w:type="dxa"/>
            <w:tcBorders>
              <w:top w:val="nil"/>
              <w:left w:val="single" w:sz="4" w:space="0" w:color="auto"/>
              <w:bottom w:val="nil"/>
              <w:right w:val="nil"/>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 </w:t>
            </w:r>
          </w:p>
        </w:tc>
        <w:tc>
          <w:tcPr>
            <w:tcW w:w="1513" w:type="dxa"/>
            <w:tcBorders>
              <w:top w:val="nil"/>
              <w:left w:val="single" w:sz="4" w:space="0" w:color="auto"/>
              <w:bottom w:val="nil"/>
              <w:right w:val="single" w:sz="4" w:space="0" w:color="auto"/>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 </w:t>
            </w:r>
          </w:p>
        </w:tc>
      </w:tr>
      <w:tr w:rsidR="00D26E03" w:rsidRPr="00D26E03" w:rsidTr="00D26E03">
        <w:trPr>
          <w:trHeight w:val="300"/>
        </w:trPr>
        <w:tc>
          <w:tcPr>
            <w:tcW w:w="360" w:type="dxa"/>
            <w:tcBorders>
              <w:top w:val="nil"/>
              <w:left w:val="single" w:sz="4" w:space="0" w:color="auto"/>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1</w:t>
            </w:r>
          </w:p>
        </w:tc>
        <w:tc>
          <w:tcPr>
            <w:tcW w:w="3184" w:type="dxa"/>
            <w:tcBorders>
              <w:top w:val="nil"/>
              <w:left w:val="nil"/>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Income ( Budget)</w:t>
            </w:r>
          </w:p>
        </w:tc>
        <w:tc>
          <w:tcPr>
            <w:tcW w:w="1134" w:type="dxa"/>
            <w:tcBorders>
              <w:top w:val="nil"/>
              <w:left w:val="nil"/>
              <w:bottom w:val="nil"/>
              <w:right w:val="nil"/>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6,798</w:t>
            </w:r>
          </w:p>
        </w:tc>
        <w:tc>
          <w:tcPr>
            <w:tcW w:w="1134" w:type="dxa"/>
            <w:tcBorders>
              <w:top w:val="nil"/>
              <w:left w:val="single" w:sz="4" w:space="0" w:color="auto"/>
              <w:bottom w:val="nil"/>
              <w:right w:val="single" w:sz="4" w:space="0" w:color="auto"/>
            </w:tcBorders>
            <w:shd w:val="clear" w:color="auto" w:fill="auto"/>
            <w:vAlign w:val="bottom"/>
            <w:hideMark/>
          </w:tcPr>
          <w:p w:rsidR="00D26E03" w:rsidRPr="00D26E03" w:rsidRDefault="009A0B7E" w:rsidP="009A0B7E">
            <w:pPr>
              <w:jc w:val="right"/>
              <w:rPr>
                <w:rFonts w:cs="Arial"/>
                <w:color w:val="000000"/>
              </w:rPr>
            </w:pPr>
            <w:r>
              <w:rPr>
                <w:rFonts w:cs="Arial"/>
                <w:color w:val="000000"/>
              </w:rPr>
              <w:t>684</w:t>
            </w:r>
          </w:p>
        </w:tc>
        <w:tc>
          <w:tcPr>
            <w:tcW w:w="1513" w:type="dxa"/>
            <w:tcBorders>
              <w:top w:val="nil"/>
              <w:left w:val="nil"/>
              <w:bottom w:val="nil"/>
              <w:right w:val="single" w:sz="4" w:space="0" w:color="auto"/>
            </w:tcBorders>
            <w:shd w:val="clear" w:color="auto" w:fill="auto"/>
            <w:vAlign w:val="bottom"/>
            <w:hideMark/>
          </w:tcPr>
          <w:p w:rsidR="00D26E03" w:rsidRPr="00D26E03" w:rsidRDefault="00D26E03" w:rsidP="009A0B7E">
            <w:pPr>
              <w:jc w:val="right"/>
              <w:rPr>
                <w:rFonts w:cs="Arial"/>
                <w:color w:val="000000"/>
              </w:rPr>
            </w:pPr>
            <w:r w:rsidRPr="00D26E03">
              <w:rPr>
                <w:rFonts w:cs="Arial"/>
                <w:color w:val="000000"/>
              </w:rPr>
              <w:t>7,</w:t>
            </w:r>
            <w:r w:rsidR="009A0B7E">
              <w:rPr>
                <w:rFonts w:cs="Arial"/>
                <w:color w:val="000000"/>
              </w:rPr>
              <w:t>482</w:t>
            </w:r>
          </w:p>
        </w:tc>
      </w:tr>
      <w:tr w:rsidR="00D26E03" w:rsidRPr="00D26E03" w:rsidTr="00D26E03">
        <w:trPr>
          <w:trHeight w:val="300"/>
        </w:trPr>
        <w:tc>
          <w:tcPr>
            <w:tcW w:w="360" w:type="dxa"/>
            <w:tcBorders>
              <w:top w:val="nil"/>
              <w:left w:val="single" w:sz="4" w:space="0" w:color="auto"/>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2</w:t>
            </w:r>
          </w:p>
        </w:tc>
        <w:tc>
          <w:tcPr>
            <w:tcW w:w="3184" w:type="dxa"/>
            <w:tcBorders>
              <w:top w:val="nil"/>
              <w:left w:val="nil"/>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 Transfer from/ to reserves</w:t>
            </w:r>
          </w:p>
        </w:tc>
        <w:tc>
          <w:tcPr>
            <w:tcW w:w="1134" w:type="dxa"/>
            <w:tcBorders>
              <w:top w:val="nil"/>
              <w:left w:val="nil"/>
              <w:bottom w:val="nil"/>
              <w:right w:val="nil"/>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w:t>
            </w:r>
          </w:p>
        </w:tc>
        <w:tc>
          <w:tcPr>
            <w:tcW w:w="1134" w:type="dxa"/>
            <w:tcBorders>
              <w:top w:val="nil"/>
              <w:left w:val="single" w:sz="4" w:space="0" w:color="auto"/>
              <w:bottom w:val="nil"/>
              <w:right w:val="single" w:sz="4" w:space="0" w:color="auto"/>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w:t>
            </w:r>
          </w:p>
        </w:tc>
        <w:tc>
          <w:tcPr>
            <w:tcW w:w="1513" w:type="dxa"/>
            <w:tcBorders>
              <w:top w:val="nil"/>
              <w:left w:val="nil"/>
              <w:bottom w:val="nil"/>
              <w:right w:val="single" w:sz="4" w:space="0" w:color="auto"/>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w:t>
            </w:r>
          </w:p>
        </w:tc>
      </w:tr>
      <w:tr w:rsidR="00D26E03" w:rsidRPr="00D26E03" w:rsidTr="00D26E03">
        <w:trPr>
          <w:trHeight w:val="255"/>
        </w:trPr>
        <w:tc>
          <w:tcPr>
            <w:tcW w:w="360" w:type="dxa"/>
            <w:tcBorders>
              <w:top w:val="nil"/>
              <w:left w:val="single" w:sz="4" w:space="0" w:color="auto"/>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3</w:t>
            </w:r>
          </w:p>
        </w:tc>
        <w:tc>
          <w:tcPr>
            <w:tcW w:w="3184" w:type="dxa"/>
            <w:tcBorders>
              <w:top w:val="nil"/>
              <w:left w:val="nil"/>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Total, resources</w:t>
            </w:r>
          </w:p>
        </w:tc>
        <w:tc>
          <w:tcPr>
            <w:tcW w:w="1134" w:type="dxa"/>
            <w:tcBorders>
              <w:top w:val="nil"/>
              <w:left w:val="nil"/>
              <w:bottom w:val="nil"/>
              <w:right w:val="nil"/>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6,798</w:t>
            </w:r>
          </w:p>
        </w:tc>
        <w:tc>
          <w:tcPr>
            <w:tcW w:w="1134" w:type="dxa"/>
            <w:tcBorders>
              <w:top w:val="nil"/>
              <w:left w:val="single" w:sz="4" w:space="0" w:color="auto"/>
              <w:bottom w:val="nil"/>
              <w:right w:val="single" w:sz="4" w:space="0" w:color="auto"/>
            </w:tcBorders>
            <w:shd w:val="clear" w:color="auto" w:fill="auto"/>
            <w:vAlign w:val="bottom"/>
            <w:hideMark/>
          </w:tcPr>
          <w:p w:rsidR="00D26E03" w:rsidRPr="00D26E03" w:rsidRDefault="009A0B7E" w:rsidP="00D26E03">
            <w:pPr>
              <w:jc w:val="right"/>
              <w:rPr>
                <w:rFonts w:cs="Arial"/>
                <w:color w:val="000000"/>
              </w:rPr>
            </w:pPr>
            <w:r>
              <w:rPr>
                <w:rFonts w:cs="Arial"/>
                <w:color w:val="000000"/>
              </w:rPr>
              <w:t>684</w:t>
            </w:r>
          </w:p>
        </w:tc>
        <w:tc>
          <w:tcPr>
            <w:tcW w:w="1513" w:type="dxa"/>
            <w:tcBorders>
              <w:top w:val="nil"/>
              <w:left w:val="nil"/>
              <w:bottom w:val="nil"/>
              <w:right w:val="single" w:sz="4" w:space="0" w:color="auto"/>
            </w:tcBorders>
            <w:shd w:val="clear" w:color="auto" w:fill="auto"/>
            <w:vAlign w:val="bottom"/>
            <w:hideMark/>
          </w:tcPr>
          <w:p w:rsidR="00D26E03" w:rsidRPr="00D26E03" w:rsidRDefault="00D26E03" w:rsidP="009A0B7E">
            <w:pPr>
              <w:jc w:val="right"/>
              <w:rPr>
                <w:rFonts w:cs="Arial"/>
                <w:color w:val="000000"/>
              </w:rPr>
            </w:pPr>
            <w:r w:rsidRPr="00D26E03">
              <w:rPr>
                <w:rFonts w:cs="Arial"/>
                <w:color w:val="000000"/>
              </w:rPr>
              <w:t>7,</w:t>
            </w:r>
            <w:r w:rsidR="009A0B7E">
              <w:rPr>
                <w:rFonts w:cs="Arial"/>
                <w:color w:val="000000"/>
              </w:rPr>
              <w:t>482</w:t>
            </w:r>
          </w:p>
        </w:tc>
      </w:tr>
      <w:tr w:rsidR="00D26E03" w:rsidRPr="00D26E03" w:rsidTr="00D26E03">
        <w:trPr>
          <w:trHeight w:val="255"/>
        </w:trPr>
        <w:tc>
          <w:tcPr>
            <w:tcW w:w="360" w:type="dxa"/>
            <w:tcBorders>
              <w:top w:val="nil"/>
              <w:left w:val="single" w:sz="4" w:space="0" w:color="auto"/>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 </w:t>
            </w:r>
          </w:p>
        </w:tc>
        <w:tc>
          <w:tcPr>
            <w:tcW w:w="3184" w:type="dxa"/>
            <w:tcBorders>
              <w:top w:val="nil"/>
              <w:left w:val="nil"/>
              <w:bottom w:val="nil"/>
              <w:right w:val="nil"/>
            </w:tcBorders>
            <w:shd w:val="clear" w:color="auto" w:fill="auto"/>
            <w:vAlign w:val="bottom"/>
            <w:hideMark/>
          </w:tcPr>
          <w:p w:rsidR="00D26E03" w:rsidRPr="00D26E03" w:rsidRDefault="00D26E03" w:rsidP="00D26E03">
            <w:pPr>
              <w:jc w:val="left"/>
              <w:rPr>
                <w:rFonts w:cs="Arial"/>
                <w:color w:val="000000"/>
              </w:rPr>
            </w:pPr>
          </w:p>
        </w:tc>
        <w:tc>
          <w:tcPr>
            <w:tcW w:w="1134" w:type="dxa"/>
            <w:tcBorders>
              <w:top w:val="nil"/>
              <w:left w:val="nil"/>
              <w:bottom w:val="nil"/>
              <w:right w:val="nil"/>
            </w:tcBorders>
            <w:shd w:val="clear" w:color="auto" w:fill="auto"/>
            <w:vAlign w:val="bottom"/>
            <w:hideMark/>
          </w:tcPr>
          <w:p w:rsidR="00D26E03" w:rsidRPr="00D26E03" w:rsidRDefault="00D26E03" w:rsidP="00D26E03">
            <w:pPr>
              <w:jc w:val="right"/>
              <w:rPr>
                <w:rFonts w:cs="Arial"/>
                <w:color w:val="000000"/>
              </w:rPr>
            </w:pPr>
          </w:p>
        </w:tc>
        <w:tc>
          <w:tcPr>
            <w:tcW w:w="1134" w:type="dxa"/>
            <w:tcBorders>
              <w:top w:val="nil"/>
              <w:left w:val="single" w:sz="4" w:space="0" w:color="auto"/>
              <w:bottom w:val="nil"/>
              <w:right w:val="single" w:sz="4" w:space="0" w:color="auto"/>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 </w:t>
            </w:r>
          </w:p>
        </w:tc>
        <w:tc>
          <w:tcPr>
            <w:tcW w:w="1513" w:type="dxa"/>
            <w:tcBorders>
              <w:top w:val="nil"/>
              <w:left w:val="nil"/>
              <w:bottom w:val="nil"/>
              <w:right w:val="single" w:sz="4" w:space="0" w:color="auto"/>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 </w:t>
            </w:r>
          </w:p>
        </w:tc>
      </w:tr>
      <w:tr w:rsidR="00D26E03" w:rsidRPr="00D26E03" w:rsidTr="00D26E03">
        <w:trPr>
          <w:trHeight w:val="345"/>
        </w:trPr>
        <w:tc>
          <w:tcPr>
            <w:tcW w:w="3544" w:type="dxa"/>
            <w:gridSpan w:val="2"/>
            <w:tcBorders>
              <w:top w:val="nil"/>
              <w:left w:val="single" w:sz="4" w:space="0" w:color="auto"/>
              <w:bottom w:val="nil"/>
              <w:right w:val="nil"/>
            </w:tcBorders>
            <w:shd w:val="clear" w:color="auto" w:fill="auto"/>
            <w:vAlign w:val="bottom"/>
            <w:hideMark/>
          </w:tcPr>
          <w:p w:rsidR="00D26E03" w:rsidRPr="00D26E03" w:rsidRDefault="00D26E03" w:rsidP="00D26E03">
            <w:pPr>
              <w:jc w:val="left"/>
              <w:rPr>
                <w:rFonts w:cs="Arial"/>
                <w:b/>
                <w:bCs/>
                <w:color w:val="000000"/>
              </w:rPr>
            </w:pPr>
            <w:r w:rsidRPr="00D26E03">
              <w:rPr>
                <w:rFonts w:cs="Arial"/>
                <w:b/>
                <w:bCs/>
                <w:color w:val="000000"/>
              </w:rPr>
              <w:t>Resource availability 2014-2015</w:t>
            </w:r>
          </w:p>
        </w:tc>
        <w:tc>
          <w:tcPr>
            <w:tcW w:w="1134" w:type="dxa"/>
            <w:tcBorders>
              <w:top w:val="nil"/>
              <w:left w:val="nil"/>
              <w:bottom w:val="nil"/>
              <w:right w:val="nil"/>
            </w:tcBorders>
            <w:shd w:val="clear" w:color="auto" w:fill="auto"/>
            <w:vAlign w:val="bottom"/>
            <w:hideMark/>
          </w:tcPr>
          <w:p w:rsidR="00D26E03" w:rsidRPr="00D26E03" w:rsidRDefault="00D26E03" w:rsidP="00D26E03">
            <w:pPr>
              <w:jc w:val="right"/>
              <w:rPr>
                <w:rFonts w:cs="Arial"/>
                <w:b/>
                <w:bCs/>
                <w:color w:val="000000"/>
              </w:rPr>
            </w:pPr>
          </w:p>
        </w:tc>
        <w:tc>
          <w:tcPr>
            <w:tcW w:w="1134" w:type="dxa"/>
            <w:tcBorders>
              <w:top w:val="nil"/>
              <w:left w:val="single" w:sz="4" w:space="0" w:color="auto"/>
              <w:bottom w:val="nil"/>
              <w:right w:val="single" w:sz="4" w:space="0" w:color="auto"/>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 </w:t>
            </w:r>
          </w:p>
        </w:tc>
        <w:tc>
          <w:tcPr>
            <w:tcW w:w="1513" w:type="dxa"/>
            <w:tcBorders>
              <w:top w:val="nil"/>
              <w:left w:val="nil"/>
              <w:bottom w:val="nil"/>
              <w:right w:val="single" w:sz="4" w:space="0" w:color="auto"/>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 </w:t>
            </w:r>
          </w:p>
        </w:tc>
      </w:tr>
      <w:tr w:rsidR="00D26E03" w:rsidRPr="00D26E03" w:rsidTr="00D26E03">
        <w:trPr>
          <w:trHeight w:val="300"/>
        </w:trPr>
        <w:tc>
          <w:tcPr>
            <w:tcW w:w="360" w:type="dxa"/>
            <w:tcBorders>
              <w:top w:val="nil"/>
              <w:left w:val="single" w:sz="4" w:space="0" w:color="auto"/>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4</w:t>
            </w:r>
          </w:p>
        </w:tc>
        <w:tc>
          <w:tcPr>
            <w:tcW w:w="3184" w:type="dxa"/>
            <w:tcBorders>
              <w:top w:val="nil"/>
              <w:left w:val="nil"/>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Income</w:t>
            </w:r>
          </w:p>
        </w:tc>
        <w:tc>
          <w:tcPr>
            <w:tcW w:w="1134" w:type="dxa"/>
            <w:tcBorders>
              <w:top w:val="nil"/>
              <w:left w:val="nil"/>
              <w:bottom w:val="nil"/>
              <w:right w:val="nil"/>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6,794</w:t>
            </w:r>
          </w:p>
        </w:tc>
        <w:tc>
          <w:tcPr>
            <w:tcW w:w="1134" w:type="dxa"/>
            <w:tcBorders>
              <w:top w:val="nil"/>
              <w:left w:val="single" w:sz="4" w:space="0" w:color="auto"/>
              <w:bottom w:val="nil"/>
              <w:right w:val="single" w:sz="4" w:space="0" w:color="auto"/>
            </w:tcBorders>
            <w:shd w:val="clear" w:color="auto" w:fill="auto"/>
            <w:vAlign w:val="bottom"/>
            <w:hideMark/>
          </w:tcPr>
          <w:p w:rsidR="00D26E03" w:rsidRPr="00D26E03" w:rsidRDefault="009A0B7E" w:rsidP="00D26E03">
            <w:pPr>
              <w:jc w:val="right"/>
              <w:rPr>
                <w:rFonts w:cs="Arial"/>
                <w:color w:val="000000"/>
              </w:rPr>
            </w:pPr>
            <w:r>
              <w:rPr>
                <w:rFonts w:cs="Arial"/>
                <w:color w:val="000000"/>
              </w:rPr>
              <w:t>340</w:t>
            </w:r>
          </w:p>
        </w:tc>
        <w:tc>
          <w:tcPr>
            <w:tcW w:w="1513" w:type="dxa"/>
            <w:tcBorders>
              <w:top w:val="nil"/>
              <w:left w:val="nil"/>
              <w:bottom w:val="nil"/>
              <w:right w:val="single" w:sz="4" w:space="0" w:color="auto"/>
            </w:tcBorders>
            <w:shd w:val="clear" w:color="auto" w:fill="auto"/>
            <w:vAlign w:val="bottom"/>
            <w:hideMark/>
          </w:tcPr>
          <w:p w:rsidR="00D26E03" w:rsidRPr="00D26E03" w:rsidRDefault="00D26E03" w:rsidP="009A0B7E">
            <w:pPr>
              <w:jc w:val="right"/>
              <w:rPr>
                <w:rFonts w:cs="Arial"/>
                <w:color w:val="000000"/>
              </w:rPr>
            </w:pPr>
            <w:r w:rsidRPr="00D26E03">
              <w:rPr>
                <w:rFonts w:cs="Arial"/>
                <w:color w:val="000000"/>
              </w:rPr>
              <w:t>7,</w:t>
            </w:r>
            <w:r w:rsidR="009A0B7E">
              <w:rPr>
                <w:rFonts w:cs="Arial"/>
                <w:color w:val="000000"/>
              </w:rPr>
              <w:t>134</w:t>
            </w:r>
          </w:p>
        </w:tc>
      </w:tr>
      <w:tr w:rsidR="00D26E03" w:rsidRPr="00D26E03" w:rsidTr="00D26E03">
        <w:trPr>
          <w:trHeight w:val="255"/>
        </w:trPr>
        <w:tc>
          <w:tcPr>
            <w:tcW w:w="360" w:type="dxa"/>
            <w:tcBorders>
              <w:top w:val="nil"/>
              <w:left w:val="single" w:sz="4" w:space="0" w:color="auto"/>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5</w:t>
            </w:r>
          </w:p>
        </w:tc>
        <w:tc>
          <w:tcPr>
            <w:tcW w:w="3184" w:type="dxa"/>
            <w:tcBorders>
              <w:top w:val="nil"/>
              <w:left w:val="nil"/>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 Transfer from/ to reserves</w:t>
            </w:r>
          </w:p>
        </w:tc>
        <w:tc>
          <w:tcPr>
            <w:tcW w:w="1134" w:type="dxa"/>
            <w:tcBorders>
              <w:top w:val="nil"/>
              <w:left w:val="nil"/>
              <w:bottom w:val="nil"/>
              <w:right w:val="nil"/>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w:t>
            </w:r>
          </w:p>
        </w:tc>
        <w:tc>
          <w:tcPr>
            <w:tcW w:w="1134" w:type="dxa"/>
            <w:tcBorders>
              <w:top w:val="nil"/>
              <w:left w:val="single" w:sz="4" w:space="0" w:color="auto"/>
              <w:bottom w:val="nil"/>
              <w:right w:val="single" w:sz="4" w:space="0" w:color="auto"/>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w:t>
            </w:r>
          </w:p>
        </w:tc>
        <w:tc>
          <w:tcPr>
            <w:tcW w:w="1513" w:type="dxa"/>
            <w:tcBorders>
              <w:top w:val="nil"/>
              <w:left w:val="nil"/>
              <w:bottom w:val="nil"/>
              <w:right w:val="single" w:sz="4" w:space="0" w:color="auto"/>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w:t>
            </w:r>
          </w:p>
        </w:tc>
      </w:tr>
      <w:tr w:rsidR="00D26E03" w:rsidRPr="00D26E03" w:rsidTr="00D26E03">
        <w:trPr>
          <w:trHeight w:val="255"/>
        </w:trPr>
        <w:tc>
          <w:tcPr>
            <w:tcW w:w="360" w:type="dxa"/>
            <w:tcBorders>
              <w:top w:val="nil"/>
              <w:left w:val="single" w:sz="4" w:space="0" w:color="auto"/>
              <w:bottom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6</w:t>
            </w:r>
          </w:p>
        </w:tc>
        <w:tc>
          <w:tcPr>
            <w:tcW w:w="3184" w:type="dxa"/>
            <w:tcBorders>
              <w:top w:val="nil"/>
              <w:left w:val="nil"/>
              <w:bottom w:val="nil"/>
              <w:right w:val="nil"/>
            </w:tcBorders>
            <w:shd w:val="clear" w:color="auto" w:fill="auto"/>
            <w:vAlign w:val="bottom"/>
            <w:hideMark/>
          </w:tcPr>
          <w:p w:rsidR="00D26E03" w:rsidRPr="00D26E03" w:rsidRDefault="00D26E03" w:rsidP="00D26E03">
            <w:pPr>
              <w:jc w:val="left"/>
              <w:rPr>
                <w:rFonts w:cs="Arial"/>
                <w:b/>
                <w:bCs/>
                <w:color w:val="000000"/>
              </w:rPr>
            </w:pPr>
            <w:r w:rsidRPr="00D26E03">
              <w:rPr>
                <w:rFonts w:cs="Arial"/>
                <w:b/>
                <w:bCs/>
                <w:color w:val="000000"/>
              </w:rPr>
              <w:t>Total, resources</w:t>
            </w:r>
          </w:p>
        </w:tc>
        <w:tc>
          <w:tcPr>
            <w:tcW w:w="1134" w:type="dxa"/>
            <w:tcBorders>
              <w:top w:val="nil"/>
              <w:left w:val="nil"/>
              <w:bottom w:val="nil"/>
              <w:right w:val="nil"/>
            </w:tcBorders>
            <w:shd w:val="clear" w:color="auto" w:fill="auto"/>
            <w:vAlign w:val="bottom"/>
            <w:hideMark/>
          </w:tcPr>
          <w:p w:rsidR="00D26E03" w:rsidRPr="00D26E03" w:rsidRDefault="00D26E03" w:rsidP="00D26E03">
            <w:pPr>
              <w:jc w:val="right"/>
              <w:rPr>
                <w:rFonts w:cs="Arial"/>
                <w:b/>
                <w:bCs/>
                <w:color w:val="000000"/>
              </w:rPr>
            </w:pPr>
            <w:r w:rsidRPr="00D26E03">
              <w:rPr>
                <w:rFonts w:cs="Arial"/>
                <w:b/>
                <w:bCs/>
                <w:color w:val="000000"/>
              </w:rPr>
              <w:t>6,794</w:t>
            </w:r>
          </w:p>
        </w:tc>
        <w:tc>
          <w:tcPr>
            <w:tcW w:w="1134" w:type="dxa"/>
            <w:tcBorders>
              <w:top w:val="nil"/>
              <w:left w:val="single" w:sz="4" w:space="0" w:color="auto"/>
              <w:bottom w:val="nil"/>
              <w:right w:val="single" w:sz="4" w:space="0" w:color="auto"/>
            </w:tcBorders>
            <w:shd w:val="clear" w:color="auto" w:fill="auto"/>
            <w:vAlign w:val="bottom"/>
            <w:hideMark/>
          </w:tcPr>
          <w:p w:rsidR="00D26E03" w:rsidRPr="00D26E03" w:rsidRDefault="009A0B7E" w:rsidP="00D26E03">
            <w:pPr>
              <w:jc w:val="right"/>
              <w:rPr>
                <w:rFonts w:cs="Arial"/>
                <w:b/>
                <w:bCs/>
                <w:color w:val="000000"/>
              </w:rPr>
            </w:pPr>
            <w:r>
              <w:rPr>
                <w:rFonts w:cs="Arial"/>
                <w:b/>
                <w:bCs/>
                <w:color w:val="000000"/>
              </w:rPr>
              <w:t>340</w:t>
            </w:r>
          </w:p>
        </w:tc>
        <w:tc>
          <w:tcPr>
            <w:tcW w:w="1513" w:type="dxa"/>
            <w:tcBorders>
              <w:top w:val="nil"/>
              <w:left w:val="nil"/>
              <w:right w:val="single" w:sz="4" w:space="0" w:color="auto"/>
            </w:tcBorders>
            <w:shd w:val="clear" w:color="auto" w:fill="auto"/>
            <w:vAlign w:val="bottom"/>
            <w:hideMark/>
          </w:tcPr>
          <w:p w:rsidR="00D26E03" w:rsidRPr="00D26E03" w:rsidRDefault="00D26E03" w:rsidP="009A0B7E">
            <w:pPr>
              <w:jc w:val="right"/>
              <w:rPr>
                <w:rFonts w:cs="Arial"/>
                <w:b/>
                <w:bCs/>
                <w:color w:val="000000"/>
              </w:rPr>
            </w:pPr>
            <w:r w:rsidRPr="00D26E03">
              <w:rPr>
                <w:rFonts w:cs="Arial"/>
                <w:b/>
                <w:bCs/>
                <w:color w:val="000000"/>
              </w:rPr>
              <w:t>7,</w:t>
            </w:r>
            <w:r w:rsidR="009A0B7E">
              <w:rPr>
                <w:rFonts w:cs="Arial"/>
                <w:b/>
                <w:bCs/>
                <w:color w:val="000000"/>
              </w:rPr>
              <w:t>134</w:t>
            </w:r>
          </w:p>
        </w:tc>
      </w:tr>
      <w:tr w:rsidR="00D26E03" w:rsidRPr="00D26E03" w:rsidTr="00D26E03">
        <w:trPr>
          <w:trHeight w:val="255"/>
        </w:trPr>
        <w:tc>
          <w:tcPr>
            <w:tcW w:w="360" w:type="dxa"/>
            <w:tcBorders>
              <w:top w:val="nil"/>
              <w:left w:val="single" w:sz="4" w:space="0" w:color="auto"/>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7</w:t>
            </w:r>
          </w:p>
        </w:tc>
        <w:tc>
          <w:tcPr>
            <w:tcW w:w="3184" w:type="dxa"/>
            <w:tcBorders>
              <w:top w:val="nil"/>
              <w:left w:val="nil"/>
              <w:right w:val="nil"/>
            </w:tcBorders>
            <w:shd w:val="clear" w:color="auto" w:fill="auto"/>
            <w:vAlign w:val="bottom"/>
            <w:hideMark/>
          </w:tcPr>
          <w:p w:rsidR="00D26E03" w:rsidRPr="00D26E03" w:rsidRDefault="00D26E03" w:rsidP="00D26E03">
            <w:pPr>
              <w:jc w:val="left"/>
              <w:rPr>
                <w:rFonts w:cs="Arial"/>
                <w:color w:val="000000"/>
              </w:rPr>
            </w:pPr>
            <w:r w:rsidRPr="00D26E03">
              <w:rPr>
                <w:rFonts w:cs="Arial"/>
                <w:color w:val="000000"/>
              </w:rPr>
              <w:t>Variation 6/3(%)</w:t>
            </w:r>
          </w:p>
        </w:tc>
        <w:tc>
          <w:tcPr>
            <w:tcW w:w="1134" w:type="dxa"/>
            <w:tcBorders>
              <w:top w:val="nil"/>
              <w:left w:val="nil"/>
              <w:right w:val="nil"/>
            </w:tcBorders>
            <w:shd w:val="clear" w:color="auto" w:fill="auto"/>
            <w:vAlign w:val="bottom"/>
            <w:hideMark/>
          </w:tcPr>
          <w:p w:rsidR="00D26E03" w:rsidRPr="00D26E03" w:rsidRDefault="00D26E03" w:rsidP="00D26E03">
            <w:pPr>
              <w:jc w:val="right"/>
              <w:rPr>
                <w:rFonts w:cs="Arial"/>
                <w:color w:val="000000"/>
              </w:rPr>
            </w:pPr>
            <w:r w:rsidRPr="00D26E03">
              <w:rPr>
                <w:rFonts w:cs="Arial"/>
                <w:color w:val="000000"/>
              </w:rPr>
              <w:t>-0.1%</w:t>
            </w:r>
          </w:p>
        </w:tc>
        <w:tc>
          <w:tcPr>
            <w:tcW w:w="1134" w:type="dxa"/>
            <w:tcBorders>
              <w:top w:val="nil"/>
              <w:left w:val="single" w:sz="4" w:space="0" w:color="auto"/>
              <w:right w:val="single" w:sz="4" w:space="0" w:color="auto"/>
            </w:tcBorders>
            <w:shd w:val="clear" w:color="auto" w:fill="auto"/>
            <w:vAlign w:val="bottom"/>
            <w:hideMark/>
          </w:tcPr>
          <w:p w:rsidR="00D26E03" w:rsidRPr="00D26E03" w:rsidRDefault="009A0B7E" w:rsidP="00D26E03">
            <w:pPr>
              <w:jc w:val="right"/>
              <w:rPr>
                <w:rFonts w:cs="Arial"/>
                <w:b/>
                <w:bCs/>
                <w:color w:val="000000"/>
              </w:rPr>
            </w:pPr>
            <w:r>
              <w:rPr>
                <w:rFonts w:cs="Arial"/>
                <w:b/>
                <w:bCs/>
                <w:color w:val="000000"/>
              </w:rPr>
              <w:t>-</w:t>
            </w:r>
          </w:p>
        </w:tc>
        <w:tc>
          <w:tcPr>
            <w:tcW w:w="1513" w:type="dxa"/>
            <w:tcBorders>
              <w:top w:val="nil"/>
              <w:left w:val="nil"/>
              <w:right w:val="single" w:sz="4" w:space="0" w:color="auto"/>
            </w:tcBorders>
            <w:shd w:val="clear" w:color="auto" w:fill="auto"/>
            <w:vAlign w:val="bottom"/>
            <w:hideMark/>
          </w:tcPr>
          <w:p w:rsidR="00D26E03" w:rsidRPr="00D26E03" w:rsidRDefault="009A0B7E" w:rsidP="009A0B7E">
            <w:pPr>
              <w:jc w:val="right"/>
              <w:rPr>
                <w:rFonts w:cs="Arial"/>
                <w:color w:val="000000"/>
              </w:rPr>
            </w:pPr>
            <w:r>
              <w:rPr>
                <w:rFonts w:cs="Arial"/>
                <w:color w:val="000000"/>
              </w:rPr>
              <w:t>-4</w:t>
            </w:r>
            <w:r w:rsidR="00D26E03" w:rsidRPr="00D26E03">
              <w:rPr>
                <w:rFonts w:cs="Arial"/>
                <w:color w:val="000000"/>
              </w:rPr>
              <w:t>.</w:t>
            </w:r>
            <w:r>
              <w:rPr>
                <w:rFonts w:cs="Arial"/>
                <w:color w:val="000000"/>
              </w:rPr>
              <w:t>7</w:t>
            </w:r>
            <w:r w:rsidR="00D26E03" w:rsidRPr="00D26E03">
              <w:rPr>
                <w:rFonts w:cs="Arial"/>
                <w:color w:val="000000"/>
              </w:rPr>
              <w:t>%</w:t>
            </w:r>
          </w:p>
        </w:tc>
      </w:tr>
      <w:tr w:rsidR="00D26E03" w:rsidRPr="00D26E03" w:rsidTr="00D26E03">
        <w:trPr>
          <w:trHeight w:val="255"/>
        </w:trPr>
        <w:tc>
          <w:tcPr>
            <w:tcW w:w="3544" w:type="dxa"/>
            <w:gridSpan w:val="2"/>
            <w:tcBorders>
              <w:top w:val="nil"/>
              <w:left w:val="single" w:sz="4" w:space="0" w:color="auto"/>
              <w:bottom w:val="single" w:sz="4" w:space="0" w:color="auto"/>
              <w:right w:val="nil"/>
            </w:tcBorders>
            <w:shd w:val="clear" w:color="auto" w:fill="auto"/>
            <w:vAlign w:val="bottom"/>
            <w:hideMark/>
          </w:tcPr>
          <w:p w:rsidR="00D26E03" w:rsidRPr="00D26E03" w:rsidRDefault="00D26E03" w:rsidP="00D26E03">
            <w:pPr>
              <w:jc w:val="left"/>
              <w:rPr>
                <w:rFonts w:cs="Arial"/>
                <w:color w:val="000000"/>
              </w:rPr>
            </w:pPr>
          </w:p>
        </w:tc>
        <w:tc>
          <w:tcPr>
            <w:tcW w:w="1134" w:type="dxa"/>
            <w:tcBorders>
              <w:top w:val="nil"/>
              <w:left w:val="nil"/>
              <w:bottom w:val="single" w:sz="4" w:space="0" w:color="auto"/>
              <w:right w:val="nil"/>
            </w:tcBorders>
            <w:shd w:val="clear" w:color="auto" w:fill="auto"/>
            <w:vAlign w:val="bottom"/>
            <w:hideMark/>
          </w:tcPr>
          <w:p w:rsidR="00D26E03" w:rsidRPr="00D26E03" w:rsidRDefault="00D26E03" w:rsidP="00D26E03">
            <w:pPr>
              <w:jc w:val="right"/>
              <w:rPr>
                <w:rFonts w:cs="Arial"/>
                <w:color w:val="000000"/>
              </w:rPr>
            </w:pP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D26E03" w:rsidRPr="00D26E03" w:rsidRDefault="00D26E03" w:rsidP="00D26E03">
            <w:pPr>
              <w:jc w:val="right"/>
              <w:rPr>
                <w:rFonts w:cs="Arial"/>
                <w:b/>
                <w:bCs/>
                <w:color w:val="000000"/>
              </w:rPr>
            </w:pPr>
            <w:r w:rsidRPr="00D26E03">
              <w:rPr>
                <w:rFonts w:cs="Arial"/>
                <w:b/>
                <w:bCs/>
                <w:color w:val="000000"/>
              </w:rPr>
              <w:t> </w:t>
            </w:r>
          </w:p>
        </w:tc>
        <w:tc>
          <w:tcPr>
            <w:tcW w:w="1513" w:type="dxa"/>
            <w:tcBorders>
              <w:top w:val="nil"/>
              <w:left w:val="nil"/>
              <w:bottom w:val="single" w:sz="4" w:space="0" w:color="auto"/>
              <w:right w:val="single" w:sz="4" w:space="0" w:color="auto"/>
            </w:tcBorders>
            <w:shd w:val="clear" w:color="auto" w:fill="auto"/>
            <w:vAlign w:val="bottom"/>
            <w:hideMark/>
          </w:tcPr>
          <w:p w:rsidR="00D26E03" w:rsidRPr="00D26E03" w:rsidRDefault="00D26E03" w:rsidP="00D26E03">
            <w:pPr>
              <w:jc w:val="right"/>
              <w:rPr>
                <w:rFonts w:cs="Arial"/>
                <w:b/>
                <w:bCs/>
                <w:color w:val="000000"/>
              </w:rPr>
            </w:pPr>
            <w:r w:rsidRPr="00D26E03">
              <w:rPr>
                <w:rFonts w:cs="Arial"/>
                <w:b/>
                <w:bCs/>
                <w:color w:val="000000"/>
              </w:rPr>
              <w:t> </w:t>
            </w:r>
          </w:p>
        </w:tc>
      </w:tr>
    </w:tbl>
    <w:p w:rsidR="00D26E03" w:rsidRDefault="00D26E03" w:rsidP="00421639">
      <w:pPr>
        <w:jc w:val="center"/>
      </w:pPr>
    </w:p>
    <w:p w:rsidR="00966021" w:rsidRDefault="00966021" w:rsidP="00421639">
      <w:pPr>
        <w:jc w:val="center"/>
      </w:pPr>
    </w:p>
    <w:p w:rsidR="00421639" w:rsidRDefault="00421639" w:rsidP="00421639">
      <w:pPr>
        <w:tabs>
          <w:tab w:val="left" w:pos="567"/>
        </w:tabs>
      </w:pPr>
      <w:bookmarkStart w:id="9" w:name="RANGE!A1:F18"/>
      <w:bookmarkEnd w:id="9"/>
      <w:r w:rsidRPr="00DE02E8">
        <w:t>3.8</w:t>
      </w:r>
      <w:r w:rsidRPr="00DE02E8">
        <w:tab/>
      </w:r>
      <w:r w:rsidRPr="00DE02E8">
        <w:rPr>
          <w:b/>
        </w:rPr>
        <w:t>Table 4</w:t>
      </w:r>
      <w:r w:rsidRPr="00DE02E8">
        <w:t xml:space="preserve"> shows the budget variations by object of expenditure between the 2010-2011 and the </w:t>
      </w:r>
      <w:r w:rsidRPr="00DE02E8">
        <w:rPr>
          <w:snapToGrid w:val="0"/>
          <w:spacing w:val="-2"/>
          <w:szCs w:val="24"/>
        </w:rPr>
        <w:t>2014­2015</w:t>
      </w:r>
      <w:r w:rsidRPr="00DE02E8">
        <w:t xml:space="preserve"> biennia.  Actual expenditures in 2010-2011 amounted to </w:t>
      </w:r>
      <w:r w:rsidRPr="00DE02E8">
        <w:rPr>
          <w:spacing w:val="-2"/>
          <w:szCs w:val="24"/>
        </w:rPr>
        <w:t>6,479,000 Swiss francs</w:t>
      </w:r>
      <w:r w:rsidRPr="00DE02E8">
        <w:t xml:space="preserve">.  The budget for 2012­2013 amounts to </w:t>
      </w:r>
      <w:r w:rsidRPr="00DE02E8">
        <w:rPr>
          <w:spacing w:val="-2"/>
          <w:szCs w:val="24"/>
        </w:rPr>
        <w:t>6,798,000 Swiss francs</w:t>
      </w:r>
      <w:r w:rsidRPr="00DE02E8">
        <w:t xml:space="preserve">, which represents an increase of 4.9%.  The proposed budget for </w:t>
      </w:r>
      <w:r w:rsidRPr="00DE02E8">
        <w:rPr>
          <w:snapToGrid w:val="0"/>
          <w:spacing w:val="-2"/>
          <w:szCs w:val="24"/>
        </w:rPr>
        <w:t>2014­2015</w:t>
      </w:r>
      <w:r w:rsidRPr="00DE02E8">
        <w:t xml:space="preserve"> is </w:t>
      </w:r>
      <w:r w:rsidRPr="00DE02E8">
        <w:rPr>
          <w:spacing w:val="-2"/>
          <w:szCs w:val="24"/>
        </w:rPr>
        <w:t>6,794,000 Swiss francs</w:t>
      </w:r>
      <w:r w:rsidRPr="00DE02E8">
        <w:t xml:space="preserve">, a decrease of </w:t>
      </w:r>
      <w:r w:rsidRPr="00DE02E8">
        <w:rPr>
          <w:spacing w:val="-2"/>
          <w:szCs w:val="24"/>
        </w:rPr>
        <w:t>4,000 Swiss francs</w:t>
      </w:r>
      <w:r w:rsidRPr="00DE02E8">
        <w:t>, or 0.1% compared to the 2012­2013 budget.</w:t>
      </w:r>
    </w:p>
    <w:p w:rsidR="009C0336" w:rsidRDefault="009C0336" w:rsidP="00421639">
      <w:pPr>
        <w:tabs>
          <w:tab w:val="left" w:pos="567"/>
        </w:tabs>
      </w:pPr>
    </w:p>
    <w:p w:rsidR="009C0336" w:rsidRPr="00064D20" w:rsidRDefault="00830231" w:rsidP="00830231">
      <w:pPr>
        <w:keepNext/>
        <w:keepLines/>
        <w:tabs>
          <w:tab w:val="num" w:pos="690"/>
        </w:tabs>
        <w:rPr>
          <w:rFonts w:cs="Arial"/>
          <w:bCs/>
        </w:rPr>
      </w:pPr>
      <w:r>
        <w:rPr>
          <w:rFonts w:eastAsia="SimSun" w:cs="Arial"/>
          <w:color w:val="000000"/>
          <w:lang w:eastAsia="zh-CN"/>
        </w:rPr>
        <w:t>3.9</w:t>
      </w:r>
      <w:r>
        <w:rPr>
          <w:rFonts w:eastAsia="SimSun" w:cs="Arial"/>
          <w:color w:val="000000"/>
          <w:lang w:eastAsia="zh-CN"/>
        </w:rPr>
        <w:tab/>
      </w:r>
      <w:r w:rsidR="009C0336" w:rsidRPr="00DE79FF">
        <w:rPr>
          <w:rFonts w:eastAsia="SimSun" w:cs="Arial"/>
          <w:color w:val="000000"/>
          <w:lang w:eastAsia="zh-CN"/>
        </w:rPr>
        <w:t>The naming and groupings of objects of expenditure have been refined and revised in order to (</w:t>
      </w:r>
      <w:proofErr w:type="spellStart"/>
      <w:r w:rsidR="009C0336" w:rsidRPr="00DE79FF">
        <w:rPr>
          <w:rFonts w:eastAsia="SimSun" w:cs="Arial"/>
          <w:color w:val="000000"/>
          <w:lang w:eastAsia="zh-CN"/>
        </w:rPr>
        <w:t>i</w:t>
      </w:r>
      <w:proofErr w:type="spellEnd"/>
      <w:r w:rsidR="009C0336" w:rsidRPr="00DE79FF">
        <w:rPr>
          <w:rFonts w:eastAsia="SimSun" w:cs="Arial"/>
          <w:color w:val="000000"/>
          <w:lang w:eastAsia="zh-CN"/>
        </w:rPr>
        <w:t>)</w:t>
      </w:r>
      <w:r w:rsidR="009C0336">
        <w:rPr>
          <w:rFonts w:eastAsia="SimSun" w:cs="Arial"/>
          <w:color w:val="000000"/>
          <w:lang w:eastAsia="zh-CN"/>
        </w:rPr>
        <w:t> </w:t>
      </w:r>
      <w:r w:rsidR="009C0336" w:rsidRPr="00DE79FF">
        <w:rPr>
          <w:rFonts w:eastAsia="SimSun" w:cs="Arial"/>
          <w:color w:val="000000"/>
          <w:lang w:eastAsia="zh-CN"/>
        </w:rPr>
        <w:t xml:space="preserve">align </w:t>
      </w:r>
      <w:r w:rsidR="009C0336">
        <w:rPr>
          <w:rFonts w:eastAsia="SimSun" w:cs="Arial"/>
          <w:color w:val="000000"/>
          <w:lang w:eastAsia="zh-CN"/>
        </w:rPr>
        <w:t xml:space="preserve">the </w:t>
      </w:r>
      <w:r w:rsidR="009C0336" w:rsidRPr="00DE79FF">
        <w:rPr>
          <w:rFonts w:eastAsia="SimSun" w:cs="Arial"/>
          <w:color w:val="000000"/>
          <w:lang w:eastAsia="zh-CN"/>
        </w:rPr>
        <w:t xml:space="preserve">reporting of staff costs with the </w:t>
      </w:r>
      <w:r w:rsidR="009C0336">
        <w:rPr>
          <w:rFonts w:eastAsia="SimSun" w:cs="Arial"/>
          <w:color w:val="000000"/>
          <w:lang w:eastAsia="zh-CN"/>
        </w:rPr>
        <w:t xml:space="preserve">recently implemented </w:t>
      </w:r>
      <w:r w:rsidR="009C0336" w:rsidRPr="00DE79FF">
        <w:rPr>
          <w:rFonts w:eastAsia="SimSun" w:cs="Arial"/>
          <w:color w:val="000000"/>
          <w:lang w:eastAsia="zh-CN"/>
        </w:rPr>
        <w:t>contract reform</w:t>
      </w:r>
      <w:r w:rsidR="009C0336">
        <w:rPr>
          <w:rFonts w:eastAsia="SimSun" w:cs="Arial"/>
          <w:color w:val="000000"/>
          <w:lang w:eastAsia="zh-CN"/>
        </w:rPr>
        <w:t>,</w:t>
      </w:r>
      <w:r w:rsidR="009C0336" w:rsidRPr="00DE79FF">
        <w:rPr>
          <w:rFonts w:eastAsia="SimSun" w:cs="Arial"/>
          <w:color w:val="000000"/>
          <w:lang w:eastAsia="zh-CN"/>
        </w:rPr>
        <w:t xml:space="preserve"> and (ii) further enhance efficiency and transparency in overall reporting on resource utilization. </w:t>
      </w:r>
      <w:r w:rsidR="009C0336">
        <w:rPr>
          <w:rFonts w:eastAsia="SimSun" w:cs="Arial"/>
          <w:color w:val="000000"/>
          <w:lang w:eastAsia="zh-CN"/>
        </w:rPr>
        <w:t xml:space="preserve"> In order to facilitate the comparison of resources across bienn</w:t>
      </w:r>
      <w:r w:rsidR="00471088">
        <w:rPr>
          <w:rFonts w:eastAsia="SimSun" w:cs="Arial"/>
          <w:color w:val="000000"/>
          <w:lang w:eastAsia="zh-CN"/>
        </w:rPr>
        <w:t>ia, the 2012-20</w:t>
      </w:r>
      <w:r w:rsidR="00B417A5">
        <w:rPr>
          <w:rFonts w:eastAsia="SimSun" w:cs="Arial"/>
          <w:color w:val="000000"/>
          <w:lang w:eastAsia="zh-CN"/>
        </w:rPr>
        <w:t>13 Approved Budget has</w:t>
      </w:r>
      <w:r w:rsidR="009C0336">
        <w:rPr>
          <w:rFonts w:eastAsia="SimSun" w:cs="Arial"/>
          <w:color w:val="000000"/>
          <w:lang w:eastAsia="zh-CN"/>
        </w:rPr>
        <w:t xml:space="preserve"> been restated in line with the </w:t>
      </w:r>
      <w:r w:rsidR="00471088">
        <w:rPr>
          <w:rFonts w:eastAsia="SimSun" w:cs="Arial"/>
          <w:color w:val="000000"/>
          <w:lang w:eastAsia="zh-CN"/>
        </w:rPr>
        <w:t>2014-2015</w:t>
      </w:r>
      <w:r w:rsidR="009C0336">
        <w:rPr>
          <w:rFonts w:eastAsia="SimSun" w:cs="Arial"/>
          <w:color w:val="000000"/>
          <w:lang w:eastAsia="zh-CN"/>
        </w:rPr>
        <w:t xml:space="preserve"> proposed objects of expenditure.  Appendix III</w:t>
      </w:r>
      <w:r w:rsidR="009C0336" w:rsidRPr="00DE79FF">
        <w:rPr>
          <w:rFonts w:eastAsia="SimSun" w:cs="Arial"/>
          <w:color w:val="000000"/>
          <w:lang w:eastAsia="zh-CN"/>
        </w:rPr>
        <w:t xml:space="preserve"> provides an overview of the Definition of Budget Headings. </w:t>
      </w:r>
    </w:p>
    <w:p w:rsidR="009C0336" w:rsidRPr="00DE02E8" w:rsidRDefault="009C0336" w:rsidP="00421639">
      <w:pPr>
        <w:tabs>
          <w:tab w:val="left" w:pos="567"/>
        </w:tabs>
      </w:pPr>
    </w:p>
    <w:p w:rsidR="00D541D0" w:rsidRPr="00DE79FF" w:rsidRDefault="00830231" w:rsidP="00830231">
      <w:pPr>
        <w:widowControl w:val="0"/>
        <w:tabs>
          <w:tab w:val="num" w:pos="690"/>
        </w:tabs>
        <w:rPr>
          <w:rFonts w:cs="Arial"/>
          <w:bCs/>
        </w:rPr>
      </w:pPr>
      <w:r>
        <w:rPr>
          <w:rFonts w:eastAsia="SimSun" w:cs="Arial"/>
          <w:color w:val="000000"/>
          <w:lang w:eastAsia="zh-CN"/>
        </w:rPr>
        <w:t>3.10</w:t>
      </w:r>
      <w:r>
        <w:rPr>
          <w:rFonts w:eastAsia="SimSun" w:cs="Arial"/>
          <w:color w:val="000000"/>
          <w:lang w:eastAsia="zh-CN"/>
        </w:rPr>
        <w:tab/>
      </w:r>
      <w:r w:rsidR="00D541D0" w:rsidRPr="00DE79FF">
        <w:rPr>
          <w:rFonts w:eastAsia="SimSun" w:cs="Arial"/>
          <w:color w:val="000000"/>
          <w:lang w:eastAsia="zh-CN"/>
        </w:rPr>
        <w:t xml:space="preserve">The changes introduced in the </w:t>
      </w:r>
      <w:r w:rsidR="00D541D0">
        <w:rPr>
          <w:rFonts w:eastAsia="SimSun" w:cs="Arial"/>
          <w:color w:val="000000"/>
          <w:lang w:eastAsia="zh-CN"/>
        </w:rPr>
        <w:t>cost categ</w:t>
      </w:r>
      <w:r w:rsidR="00B417A5">
        <w:rPr>
          <w:rFonts w:eastAsia="SimSun" w:cs="Arial"/>
          <w:color w:val="000000"/>
          <w:lang w:eastAsia="zh-CN"/>
        </w:rPr>
        <w:t>ories</w:t>
      </w:r>
      <w:r w:rsidR="00D541D0">
        <w:rPr>
          <w:rFonts w:eastAsia="SimSun" w:cs="Arial"/>
          <w:color w:val="000000"/>
          <w:lang w:eastAsia="zh-CN"/>
        </w:rPr>
        <w:t xml:space="preserve"> for </w:t>
      </w:r>
      <w:r w:rsidR="00B417A5">
        <w:rPr>
          <w:rFonts w:eastAsia="SimSun" w:cs="Arial"/>
          <w:color w:val="000000"/>
          <w:lang w:eastAsia="zh-CN"/>
        </w:rPr>
        <w:t xml:space="preserve">the </w:t>
      </w:r>
      <w:r w:rsidR="00D541D0" w:rsidRPr="00DE79FF">
        <w:rPr>
          <w:rFonts w:eastAsia="SimSun" w:cs="Arial"/>
          <w:color w:val="000000"/>
          <w:lang w:eastAsia="zh-CN"/>
        </w:rPr>
        <w:t xml:space="preserve">biennium </w:t>
      </w:r>
      <w:r w:rsidR="00B417A5">
        <w:rPr>
          <w:rFonts w:eastAsia="SimSun" w:cs="Arial"/>
          <w:color w:val="000000"/>
          <w:lang w:eastAsia="zh-CN"/>
        </w:rPr>
        <w:t xml:space="preserve">2014-2015 </w:t>
      </w:r>
      <w:r w:rsidR="00D541D0" w:rsidRPr="00DE79FF">
        <w:rPr>
          <w:rFonts w:eastAsia="SimSun" w:cs="Arial"/>
          <w:color w:val="000000"/>
          <w:lang w:eastAsia="zh-CN"/>
        </w:rPr>
        <w:t xml:space="preserve">are summarized below: </w:t>
      </w:r>
    </w:p>
    <w:p w:rsidR="00D541D0" w:rsidRPr="00DE79FF" w:rsidRDefault="00D541D0" w:rsidP="00D541D0">
      <w:pPr>
        <w:widowControl w:val="0"/>
        <w:rPr>
          <w:rFonts w:cs="Arial"/>
          <w:bCs/>
        </w:rPr>
      </w:pPr>
    </w:p>
    <w:p w:rsidR="00D541D0" w:rsidRDefault="00D541D0" w:rsidP="00D541D0">
      <w:pPr>
        <w:numPr>
          <w:ilvl w:val="1"/>
          <w:numId w:val="16"/>
        </w:numPr>
        <w:spacing w:after="200"/>
        <w:ind w:hanging="513"/>
        <w:rPr>
          <w:rFonts w:eastAsia="SimSun" w:cs="Arial"/>
          <w:color w:val="000000"/>
          <w:lang w:eastAsia="zh-CN"/>
        </w:rPr>
      </w:pPr>
      <w:r w:rsidRPr="008B3EC2">
        <w:rPr>
          <w:rFonts w:eastAsia="SimSun" w:cs="Arial"/>
          <w:color w:val="000000"/>
          <w:lang w:eastAsia="zh-CN"/>
        </w:rPr>
        <w:t>Following the implementation of the contract reform, the objects of expenditure under staff resources have been revised to include Posts and Temporary Positions</w:t>
      </w:r>
      <w:r>
        <w:rPr>
          <w:rFonts w:eastAsia="SimSun" w:cs="Arial"/>
          <w:color w:val="000000"/>
          <w:lang w:eastAsia="zh-CN"/>
        </w:rPr>
        <w:t>, while non-staff resources have been moved out of this category.  The relevant new categories of expenditures are the following:</w:t>
      </w:r>
      <w:r w:rsidRPr="008B3EC2">
        <w:rPr>
          <w:rFonts w:eastAsia="SimSun" w:cs="Arial"/>
          <w:color w:val="000000"/>
          <w:lang w:eastAsia="zh-CN"/>
        </w:rPr>
        <w:t xml:space="preserve"> </w:t>
      </w:r>
    </w:p>
    <w:p w:rsidR="00D541D0" w:rsidRPr="008B3EC2" w:rsidRDefault="00D541D0" w:rsidP="00D541D0">
      <w:pPr>
        <w:numPr>
          <w:ilvl w:val="2"/>
          <w:numId w:val="16"/>
        </w:numPr>
        <w:tabs>
          <w:tab w:val="clear" w:pos="1790"/>
        </w:tabs>
        <w:spacing w:after="200"/>
        <w:ind w:left="1701" w:hanging="567"/>
        <w:rPr>
          <w:rFonts w:eastAsia="SimSun" w:cs="Arial"/>
          <w:color w:val="000000"/>
          <w:lang w:eastAsia="zh-CN"/>
        </w:rPr>
      </w:pPr>
      <w:r w:rsidRPr="0099452B">
        <w:rPr>
          <w:rFonts w:eastAsia="SimSun" w:cs="Arial"/>
          <w:b/>
          <w:bCs/>
          <w:color w:val="000000"/>
          <w:lang w:eastAsia="zh-CN"/>
        </w:rPr>
        <w:t>Posts</w:t>
      </w:r>
      <w:r>
        <w:rPr>
          <w:rFonts w:eastAsia="SimSun" w:cs="Arial"/>
          <w:color w:val="000000"/>
          <w:lang w:eastAsia="zh-CN"/>
        </w:rPr>
        <w:t xml:space="preserve"> – this category covers the resources foreseen for staff who hold fixed term, continuing or permanent contracts against regular budget approved posts in the Professional and General Services categories.</w:t>
      </w:r>
    </w:p>
    <w:p w:rsidR="00D541D0" w:rsidRPr="008B3EC2" w:rsidRDefault="00D541D0" w:rsidP="00D541D0">
      <w:pPr>
        <w:numPr>
          <w:ilvl w:val="2"/>
          <w:numId w:val="16"/>
        </w:numPr>
        <w:tabs>
          <w:tab w:val="clear" w:pos="1790"/>
          <w:tab w:val="num" w:pos="1701"/>
        </w:tabs>
        <w:spacing w:after="200"/>
        <w:ind w:left="1701" w:hanging="567"/>
        <w:rPr>
          <w:rFonts w:eastAsia="SimSun" w:cs="Arial"/>
          <w:color w:val="000000"/>
          <w:lang w:eastAsia="zh-CN"/>
        </w:rPr>
      </w:pPr>
      <w:r w:rsidRPr="0099452B">
        <w:rPr>
          <w:rFonts w:eastAsia="SimSun" w:cs="Arial"/>
          <w:b/>
          <w:bCs/>
          <w:color w:val="000000"/>
          <w:lang w:eastAsia="zh-CN"/>
        </w:rPr>
        <w:t>Temporary positions</w:t>
      </w:r>
      <w:r>
        <w:rPr>
          <w:rFonts w:eastAsia="SimSun" w:cs="Arial"/>
          <w:color w:val="000000"/>
          <w:lang w:eastAsia="zh-CN"/>
        </w:rPr>
        <w:t xml:space="preserve"> – this category covers the resources foreseen for staff whose previously held short term contracts were converted to temporary staff contracts, as well as newly issued temporary staff contracts under the new Staff Regulations and Rules.  </w:t>
      </w:r>
    </w:p>
    <w:p w:rsidR="00D541D0" w:rsidRPr="00534EFE" w:rsidRDefault="00D541D0" w:rsidP="00D541D0">
      <w:pPr>
        <w:numPr>
          <w:ilvl w:val="2"/>
          <w:numId w:val="16"/>
        </w:numPr>
        <w:tabs>
          <w:tab w:val="clear" w:pos="1790"/>
        </w:tabs>
        <w:spacing w:after="200"/>
        <w:ind w:left="1701" w:hanging="567"/>
        <w:rPr>
          <w:rFonts w:eastAsia="SimSun" w:cs="Arial"/>
          <w:color w:val="000000"/>
          <w:lang w:eastAsia="zh-CN"/>
        </w:rPr>
      </w:pPr>
      <w:r w:rsidRPr="00534EFE">
        <w:rPr>
          <w:rFonts w:eastAsia="SimSun" w:cs="Arial"/>
          <w:b/>
          <w:bCs/>
          <w:color w:val="000000"/>
          <w:lang w:eastAsia="zh-CN"/>
        </w:rPr>
        <w:t>Internship</w:t>
      </w:r>
      <w:r>
        <w:rPr>
          <w:rFonts w:eastAsia="SimSun" w:cs="Arial"/>
          <w:b/>
          <w:bCs/>
          <w:color w:val="000000"/>
          <w:lang w:eastAsia="zh-CN"/>
        </w:rPr>
        <w:t xml:space="preserve"> </w:t>
      </w:r>
      <w:r w:rsidRPr="00534EFE">
        <w:rPr>
          <w:rFonts w:eastAsia="SimSun" w:cs="Arial"/>
          <w:color w:val="000000"/>
          <w:lang w:eastAsia="zh-CN"/>
        </w:rPr>
        <w:t xml:space="preserve">– this </w:t>
      </w:r>
      <w:r>
        <w:rPr>
          <w:rFonts w:eastAsia="SimSun" w:cs="Arial"/>
          <w:color w:val="000000"/>
          <w:lang w:eastAsia="zh-CN"/>
        </w:rPr>
        <w:t>category continues to cover the same types of contract holders, i.e., interns, but has been moved from personnel to non-personnel resources, to appropriately reflect the nature of the relationship of these individuals with the Organization.  Since they are not covered by the Staff Regulations and Rules, they are shown as non-staff resources and therefore appear under non-personnel costs.</w:t>
      </w:r>
    </w:p>
    <w:p w:rsidR="00D541D0" w:rsidRDefault="00D541D0" w:rsidP="00D541D0">
      <w:pPr>
        <w:numPr>
          <w:ilvl w:val="1"/>
          <w:numId w:val="16"/>
        </w:numPr>
        <w:spacing w:after="200"/>
        <w:ind w:hanging="513"/>
        <w:rPr>
          <w:rFonts w:eastAsia="SimSun" w:cs="Arial"/>
          <w:color w:val="000000"/>
          <w:lang w:eastAsia="zh-CN"/>
        </w:rPr>
      </w:pPr>
      <w:r w:rsidRPr="0099452B">
        <w:rPr>
          <w:rFonts w:eastAsia="SimSun" w:cs="Arial"/>
          <w:color w:val="000000"/>
          <w:lang w:eastAsia="zh-CN"/>
        </w:rPr>
        <w:t xml:space="preserve">The category of Other Staff Costs has been introduced to illustrate </w:t>
      </w:r>
      <w:r>
        <w:rPr>
          <w:rFonts w:eastAsia="SimSun" w:cs="Arial"/>
          <w:color w:val="000000"/>
          <w:lang w:eastAsia="zh-CN"/>
        </w:rPr>
        <w:t>the different</w:t>
      </w:r>
      <w:r w:rsidRPr="0099452B">
        <w:rPr>
          <w:rFonts w:eastAsia="SimSun" w:cs="Arial"/>
          <w:color w:val="000000"/>
          <w:lang w:eastAsia="zh-CN"/>
        </w:rPr>
        <w:t xml:space="preserve"> types of costs common to both Posts and Temporary Positions</w:t>
      </w:r>
      <w:r>
        <w:rPr>
          <w:rFonts w:eastAsia="SimSun" w:cs="Arial"/>
          <w:color w:val="000000"/>
          <w:lang w:eastAsia="zh-CN"/>
        </w:rPr>
        <w:t xml:space="preserve"> under this heading</w:t>
      </w:r>
      <w:r w:rsidRPr="0099452B">
        <w:rPr>
          <w:rFonts w:eastAsia="SimSun" w:cs="Arial"/>
          <w:color w:val="000000"/>
          <w:lang w:eastAsia="zh-CN"/>
        </w:rPr>
        <w:t xml:space="preserve">. </w:t>
      </w:r>
      <w:r>
        <w:rPr>
          <w:rFonts w:eastAsia="SimSun" w:cs="Arial"/>
          <w:color w:val="000000"/>
          <w:lang w:eastAsia="zh-CN"/>
        </w:rPr>
        <w:t xml:space="preserve"> </w:t>
      </w:r>
      <w:r w:rsidRPr="0099452B">
        <w:rPr>
          <w:rFonts w:eastAsia="SimSun" w:cs="Arial"/>
          <w:color w:val="000000"/>
          <w:lang w:eastAsia="zh-CN"/>
        </w:rPr>
        <w:t xml:space="preserve">Other Staff Costs include </w:t>
      </w:r>
      <w:r>
        <w:rPr>
          <w:rFonts w:eastAsia="SimSun" w:cs="Arial"/>
          <w:color w:val="000000"/>
          <w:lang w:eastAsia="zh-CN"/>
        </w:rPr>
        <w:t xml:space="preserve">the budgeted </w:t>
      </w:r>
      <w:r w:rsidRPr="0099452B">
        <w:rPr>
          <w:rFonts w:eastAsia="SimSun" w:cs="Arial"/>
          <w:color w:val="000000"/>
          <w:lang w:eastAsia="zh-CN"/>
        </w:rPr>
        <w:t>provision</w:t>
      </w:r>
      <w:r>
        <w:rPr>
          <w:rFonts w:eastAsia="SimSun" w:cs="Arial"/>
          <w:color w:val="000000"/>
          <w:lang w:eastAsia="zh-CN"/>
        </w:rPr>
        <w:t>s</w:t>
      </w:r>
      <w:r w:rsidRPr="0099452B">
        <w:rPr>
          <w:rFonts w:eastAsia="SimSun" w:cs="Arial"/>
          <w:color w:val="000000"/>
          <w:lang w:eastAsia="zh-CN"/>
        </w:rPr>
        <w:t xml:space="preserve"> for professional accident insurance, </w:t>
      </w:r>
      <w:r>
        <w:rPr>
          <w:rFonts w:eastAsia="SimSun" w:cs="Arial"/>
          <w:color w:val="000000"/>
          <w:lang w:eastAsia="zh-CN"/>
        </w:rPr>
        <w:t>the C</w:t>
      </w:r>
      <w:r w:rsidRPr="0099452B">
        <w:rPr>
          <w:rFonts w:eastAsia="SimSun" w:cs="Arial"/>
          <w:color w:val="000000"/>
          <w:lang w:eastAsia="zh-CN"/>
        </w:rPr>
        <w:t xml:space="preserve">losed </w:t>
      </w:r>
      <w:r>
        <w:rPr>
          <w:rFonts w:eastAsia="SimSun" w:cs="Arial"/>
          <w:color w:val="000000"/>
          <w:lang w:eastAsia="zh-CN"/>
        </w:rPr>
        <w:t>Pension F</w:t>
      </w:r>
      <w:r w:rsidRPr="0099452B">
        <w:rPr>
          <w:rFonts w:eastAsia="SimSun" w:cs="Arial"/>
          <w:color w:val="000000"/>
          <w:lang w:eastAsia="zh-CN"/>
        </w:rPr>
        <w:t>und and litigation costs.</w:t>
      </w:r>
    </w:p>
    <w:p w:rsidR="00D541D0" w:rsidRDefault="00D541D0" w:rsidP="00D541D0">
      <w:pPr>
        <w:widowControl w:val="0"/>
        <w:numPr>
          <w:ilvl w:val="1"/>
          <w:numId w:val="16"/>
        </w:numPr>
        <w:spacing w:after="120"/>
        <w:ind w:left="1077" w:hanging="510"/>
        <w:rPr>
          <w:rFonts w:eastAsia="SimSun" w:cs="Arial"/>
          <w:color w:val="000000"/>
          <w:lang w:eastAsia="zh-CN"/>
        </w:rPr>
      </w:pPr>
      <w:r w:rsidRPr="00DE79FF">
        <w:rPr>
          <w:rFonts w:eastAsia="SimSun" w:cs="Arial"/>
          <w:color w:val="000000"/>
          <w:lang w:eastAsia="zh-CN"/>
        </w:rPr>
        <w:t>The existing categories under Contractual Services have been re</w:t>
      </w:r>
      <w:r>
        <w:rPr>
          <w:rFonts w:eastAsia="SimSun" w:cs="Arial"/>
          <w:color w:val="000000"/>
          <w:lang w:eastAsia="zh-CN"/>
        </w:rPr>
        <w:t>-</w:t>
      </w:r>
      <w:r w:rsidRPr="00DE79FF">
        <w:rPr>
          <w:rFonts w:eastAsia="SimSun" w:cs="Arial"/>
          <w:color w:val="000000"/>
          <w:lang w:eastAsia="zh-CN"/>
        </w:rPr>
        <w:t>grouped into</w:t>
      </w:r>
      <w:r>
        <w:rPr>
          <w:rFonts w:eastAsia="SimSun" w:cs="Arial"/>
          <w:color w:val="000000"/>
          <w:lang w:eastAsia="zh-CN"/>
        </w:rPr>
        <w:t>:</w:t>
      </w:r>
      <w:r w:rsidRPr="00DE79FF">
        <w:rPr>
          <w:rFonts w:eastAsia="SimSun" w:cs="Arial"/>
          <w:color w:val="000000"/>
          <w:lang w:eastAsia="zh-CN"/>
        </w:rPr>
        <w:t xml:space="preserve"> </w:t>
      </w:r>
    </w:p>
    <w:p w:rsidR="00D541D0" w:rsidRDefault="00D541D0" w:rsidP="00D541D0">
      <w:pPr>
        <w:widowControl w:val="0"/>
        <w:numPr>
          <w:ilvl w:val="3"/>
          <w:numId w:val="16"/>
        </w:numPr>
        <w:tabs>
          <w:tab w:val="clear" w:pos="2520"/>
          <w:tab w:val="num" w:pos="2127"/>
        </w:tabs>
        <w:spacing w:after="120"/>
        <w:ind w:left="2126" w:hanging="425"/>
        <w:rPr>
          <w:rFonts w:eastAsia="SimSun" w:cs="Arial"/>
          <w:color w:val="000000"/>
          <w:lang w:eastAsia="zh-CN"/>
        </w:rPr>
      </w:pPr>
      <w:r w:rsidRPr="00DE79FF">
        <w:rPr>
          <w:rFonts w:eastAsia="SimSun" w:cs="Arial"/>
          <w:color w:val="000000"/>
          <w:lang w:eastAsia="zh-CN"/>
        </w:rPr>
        <w:t>Individual Contractual Services</w:t>
      </w:r>
      <w:r>
        <w:rPr>
          <w:rFonts w:eastAsia="SimSun" w:cs="Arial"/>
          <w:color w:val="000000"/>
          <w:lang w:eastAsia="zh-CN"/>
        </w:rPr>
        <w:t xml:space="preserve">, which includes costs budgeted for all such contracts (previously shown as </w:t>
      </w:r>
      <w:r w:rsidRPr="00DE79FF">
        <w:rPr>
          <w:rFonts w:eastAsia="SimSun" w:cs="Arial"/>
          <w:color w:val="000000"/>
          <w:lang w:eastAsia="zh-CN"/>
        </w:rPr>
        <w:t>S</w:t>
      </w:r>
      <w:r>
        <w:rPr>
          <w:rFonts w:eastAsia="SimSun" w:cs="Arial"/>
          <w:color w:val="000000"/>
          <w:lang w:eastAsia="zh-CN"/>
        </w:rPr>
        <w:t>pecial Service Agreements (S</w:t>
      </w:r>
      <w:r w:rsidRPr="00DE79FF">
        <w:rPr>
          <w:rFonts w:eastAsia="SimSun" w:cs="Arial"/>
          <w:color w:val="000000"/>
          <w:lang w:eastAsia="zh-CN"/>
        </w:rPr>
        <w:t>SAs</w:t>
      </w:r>
      <w:r>
        <w:rPr>
          <w:rFonts w:eastAsia="SimSun" w:cs="Arial"/>
          <w:color w:val="000000"/>
          <w:lang w:eastAsia="zh-CN"/>
        </w:rPr>
        <w:t>)</w:t>
      </w:r>
      <w:r w:rsidRPr="00DE79FF">
        <w:rPr>
          <w:rFonts w:eastAsia="SimSun" w:cs="Arial"/>
          <w:color w:val="000000"/>
          <w:lang w:eastAsia="zh-CN"/>
        </w:rPr>
        <w:t xml:space="preserve"> and</w:t>
      </w:r>
      <w:r w:rsidR="00B417A5">
        <w:rPr>
          <w:rFonts w:eastAsia="SimSun" w:cs="Arial"/>
          <w:color w:val="000000"/>
          <w:lang w:eastAsia="zh-CN"/>
        </w:rPr>
        <w:t xml:space="preserve"> Expert</w:t>
      </w:r>
      <w:r w:rsidRPr="00DE79FF">
        <w:rPr>
          <w:rFonts w:eastAsia="SimSun" w:cs="Arial"/>
          <w:color w:val="000000"/>
          <w:lang w:eastAsia="zh-CN"/>
        </w:rPr>
        <w:t>s</w:t>
      </w:r>
      <w:r w:rsidR="002E51D8">
        <w:rPr>
          <w:rFonts w:eastAsia="SimSun" w:cs="Arial"/>
          <w:color w:val="000000"/>
          <w:lang w:eastAsia="zh-CN"/>
        </w:rPr>
        <w:t>)</w:t>
      </w:r>
      <w:r>
        <w:rPr>
          <w:rFonts w:eastAsia="SimSun" w:cs="Arial"/>
          <w:color w:val="000000"/>
          <w:lang w:eastAsia="zh-CN"/>
        </w:rPr>
        <w:t>;</w:t>
      </w:r>
      <w:r w:rsidRPr="00DE79FF">
        <w:rPr>
          <w:rFonts w:eastAsia="SimSun" w:cs="Arial"/>
          <w:color w:val="000000"/>
          <w:lang w:eastAsia="zh-CN"/>
        </w:rPr>
        <w:t xml:space="preserve"> </w:t>
      </w:r>
      <w:r>
        <w:rPr>
          <w:rFonts w:eastAsia="SimSun" w:cs="Arial"/>
          <w:color w:val="000000"/>
          <w:lang w:eastAsia="zh-CN"/>
        </w:rPr>
        <w:t xml:space="preserve"> </w:t>
      </w:r>
      <w:r w:rsidRPr="00DE79FF">
        <w:rPr>
          <w:rFonts w:eastAsia="SimSun" w:cs="Arial"/>
          <w:color w:val="000000"/>
          <w:lang w:eastAsia="zh-CN"/>
        </w:rPr>
        <w:t xml:space="preserve">and </w:t>
      </w:r>
    </w:p>
    <w:p w:rsidR="00D541D0" w:rsidRPr="00DE79FF" w:rsidRDefault="00D541D0" w:rsidP="00D541D0">
      <w:pPr>
        <w:widowControl w:val="0"/>
        <w:numPr>
          <w:ilvl w:val="3"/>
          <w:numId w:val="16"/>
        </w:numPr>
        <w:tabs>
          <w:tab w:val="clear" w:pos="2520"/>
          <w:tab w:val="num" w:pos="2127"/>
        </w:tabs>
        <w:ind w:left="2127" w:hanging="426"/>
        <w:rPr>
          <w:rFonts w:eastAsia="SimSun" w:cs="Arial"/>
          <w:color w:val="000000"/>
          <w:lang w:eastAsia="zh-CN"/>
        </w:rPr>
      </w:pPr>
      <w:r w:rsidRPr="00DE79FF">
        <w:rPr>
          <w:rFonts w:eastAsia="SimSun" w:cs="Arial"/>
          <w:color w:val="000000"/>
          <w:lang w:eastAsia="zh-CN"/>
        </w:rPr>
        <w:t>Other Contractual Services</w:t>
      </w:r>
      <w:r>
        <w:rPr>
          <w:rFonts w:eastAsia="SimSun" w:cs="Arial"/>
          <w:color w:val="000000"/>
          <w:lang w:eastAsia="zh-CN"/>
        </w:rPr>
        <w:t xml:space="preserve">, which </w:t>
      </w:r>
      <w:r w:rsidRPr="00DE79FF">
        <w:rPr>
          <w:rFonts w:eastAsia="SimSun" w:cs="Arial"/>
          <w:color w:val="000000"/>
          <w:lang w:eastAsia="zh-CN"/>
        </w:rPr>
        <w:t>include</w:t>
      </w:r>
      <w:r>
        <w:rPr>
          <w:rFonts w:eastAsia="SimSun" w:cs="Arial"/>
          <w:color w:val="000000"/>
          <w:lang w:eastAsia="zh-CN"/>
        </w:rPr>
        <w:t>s</w:t>
      </w:r>
      <w:r w:rsidRPr="00DE79FF">
        <w:rPr>
          <w:rFonts w:eastAsia="SimSun" w:cs="Arial"/>
          <w:color w:val="000000"/>
          <w:lang w:eastAsia="zh-CN"/>
        </w:rPr>
        <w:t xml:space="preserve"> all contractual services with both commercial and non-commercial service providers.</w:t>
      </w:r>
    </w:p>
    <w:p w:rsidR="00D541D0" w:rsidRPr="00784DBB" w:rsidRDefault="00D541D0" w:rsidP="00D541D0">
      <w:pPr>
        <w:widowControl w:val="0"/>
        <w:rPr>
          <w:rFonts w:eastAsia="SimSun" w:cs="Arial"/>
          <w:color w:val="000000"/>
          <w:lang w:eastAsia="zh-CN"/>
        </w:rPr>
      </w:pPr>
    </w:p>
    <w:p w:rsidR="00D541D0" w:rsidRPr="00DE02E8" w:rsidRDefault="00D541D0" w:rsidP="00421639">
      <w:pPr>
        <w:rPr>
          <w:b/>
          <w:spacing w:val="-2"/>
          <w:szCs w:val="24"/>
        </w:rPr>
      </w:pPr>
    </w:p>
    <w:p w:rsidR="00421639" w:rsidRPr="0072367F" w:rsidRDefault="00421639" w:rsidP="00421639">
      <w:pPr>
        <w:keepNext/>
        <w:jc w:val="center"/>
        <w:rPr>
          <w:b/>
        </w:rPr>
      </w:pPr>
      <w:r w:rsidRPr="0072367F">
        <w:rPr>
          <w:b/>
        </w:rPr>
        <w:t>Table 4:  Proposed Budget 2014-2015:  Budget Variation by Object of Expenditure</w:t>
      </w:r>
    </w:p>
    <w:p w:rsidR="00421639" w:rsidRDefault="00421639" w:rsidP="00421639">
      <w:pPr>
        <w:keepNext/>
        <w:jc w:val="center"/>
      </w:pPr>
      <w:r w:rsidRPr="0072367F">
        <w:t>(in thousands of Swiss francs)</w:t>
      </w:r>
    </w:p>
    <w:p w:rsidR="00830231" w:rsidRDefault="00830231" w:rsidP="00421639">
      <w:pPr>
        <w:keepNext/>
        <w:jc w:val="center"/>
      </w:pPr>
    </w:p>
    <w:tbl>
      <w:tblPr>
        <w:tblW w:w="9371" w:type="dxa"/>
        <w:tblInd w:w="250" w:type="dxa"/>
        <w:tblLook w:val="04A0" w:firstRow="1" w:lastRow="0" w:firstColumn="1" w:lastColumn="0" w:noHBand="0" w:noVBand="1"/>
      </w:tblPr>
      <w:tblGrid>
        <w:gridCol w:w="3276"/>
        <w:gridCol w:w="1275"/>
        <w:gridCol w:w="1418"/>
        <w:gridCol w:w="1134"/>
        <w:gridCol w:w="992"/>
        <w:gridCol w:w="1276"/>
      </w:tblGrid>
      <w:tr w:rsidR="00830231" w:rsidRPr="00830231" w:rsidTr="00830231">
        <w:trPr>
          <w:trHeight w:val="25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Object of Expenditure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2010-2011 Actual</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2012-2013 Budget</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Resource Variation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2014-2015 Proposed</w:t>
            </w:r>
          </w:p>
        </w:tc>
      </w:tr>
      <w:tr w:rsidR="00830231" w:rsidRPr="00830231" w:rsidTr="00830231">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830231" w:rsidRPr="00830231" w:rsidRDefault="00830231" w:rsidP="00830231">
            <w:pPr>
              <w:jc w:val="left"/>
              <w:rPr>
                <w:rFonts w:cs="Arial"/>
                <w:b/>
                <w:bC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30231" w:rsidRPr="00830231" w:rsidRDefault="00830231" w:rsidP="00830231">
            <w:pPr>
              <w:jc w:val="left"/>
              <w:rPr>
                <w:rFonts w:cs="Arial"/>
                <w:b/>
                <w:bC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30231" w:rsidRPr="00830231" w:rsidRDefault="00830231" w:rsidP="00830231">
            <w:pPr>
              <w:jc w:val="left"/>
              <w:rPr>
                <w:rFonts w:cs="Arial"/>
                <w:b/>
                <w:bCs/>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830231" w:rsidRPr="00830231" w:rsidRDefault="00830231" w:rsidP="00830231">
            <w:pPr>
              <w:jc w:val="left"/>
              <w:rPr>
                <w:rFonts w:cs="Arial"/>
                <w:b/>
                <w:bC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30231" w:rsidRPr="00830231" w:rsidRDefault="00830231" w:rsidP="00830231">
            <w:pPr>
              <w:jc w:val="left"/>
              <w:rPr>
                <w:rFonts w:cs="Arial"/>
                <w:b/>
                <w:bCs/>
              </w:rPr>
            </w:pPr>
          </w:p>
        </w:tc>
      </w:tr>
      <w:tr w:rsidR="00830231" w:rsidRPr="00830231" w:rsidTr="00830231">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830231" w:rsidRPr="00830231" w:rsidRDefault="00830231" w:rsidP="00830231">
            <w:pPr>
              <w:jc w:val="left"/>
              <w:rPr>
                <w:rFonts w:cs="Arial"/>
                <w:b/>
                <w:bC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830231" w:rsidRPr="00830231" w:rsidRDefault="00830231" w:rsidP="00830231">
            <w:pPr>
              <w:jc w:val="left"/>
              <w:rPr>
                <w:rFonts w:cs="Arial"/>
                <w:b/>
                <w:bC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30231" w:rsidRPr="00830231" w:rsidRDefault="00830231" w:rsidP="00830231">
            <w:pPr>
              <w:jc w:val="left"/>
              <w:rPr>
                <w:rFonts w:cs="Arial"/>
                <w:b/>
                <w:bCs/>
              </w:rPr>
            </w:pP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Amount</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30231" w:rsidRPr="00830231" w:rsidRDefault="00830231" w:rsidP="00830231">
            <w:pPr>
              <w:jc w:val="left"/>
              <w:rPr>
                <w:rFonts w:cs="Arial"/>
                <w:b/>
                <w:bCs/>
              </w:rPr>
            </w:pPr>
          </w:p>
        </w:tc>
      </w:tr>
      <w:tr w:rsidR="00830231" w:rsidRPr="00830231" w:rsidTr="00830231">
        <w:trPr>
          <w:trHeight w:val="255"/>
        </w:trPr>
        <w:tc>
          <w:tcPr>
            <w:tcW w:w="3276" w:type="dxa"/>
            <w:vMerge/>
            <w:tcBorders>
              <w:top w:val="single" w:sz="4" w:space="0" w:color="auto"/>
              <w:left w:val="single" w:sz="4" w:space="0" w:color="auto"/>
              <w:bottom w:val="single" w:sz="4" w:space="0" w:color="000000"/>
              <w:right w:val="single" w:sz="4" w:space="0" w:color="auto"/>
            </w:tcBorders>
            <w:vAlign w:val="center"/>
            <w:hideMark/>
          </w:tcPr>
          <w:p w:rsidR="00830231" w:rsidRPr="00830231" w:rsidRDefault="00830231" w:rsidP="00830231">
            <w:pPr>
              <w:jc w:val="left"/>
              <w:rPr>
                <w:rFonts w:cs="Arial"/>
                <w:b/>
                <w:bCs/>
              </w:rPr>
            </w:pPr>
          </w:p>
        </w:tc>
        <w:tc>
          <w:tcPr>
            <w:tcW w:w="1275" w:type="dxa"/>
            <w:tcBorders>
              <w:top w:val="nil"/>
              <w:left w:val="nil"/>
              <w:bottom w:val="single" w:sz="4" w:space="0" w:color="auto"/>
              <w:right w:val="nil"/>
            </w:tcBorders>
            <w:shd w:val="clear" w:color="auto" w:fill="auto"/>
            <w:vAlign w:val="bottom"/>
            <w:hideMark/>
          </w:tcPr>
          <w:p w:rsidR="00830231" w:rsidRPr="00830231" w:rsidRDefault="00830231" w:rsidP="00830231">
            <w:pPr>
              <w:jc w:val="center"/>
              <w:rPr>
                <w:rFonts w:cs="Arial"/>
                <w:b/>
                <w:bCs/>
              </w:rPr>
            </w:pPr>
            <w:r w:rsidRPr="00830231">
              <w:rPr>
                <w:rFonts w:cs="Arial"/>
                <w:b/>
                <w:bCs/>
              </w:rPr>
              <w:t>A</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B</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C</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C/B</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D=B+C</w:t>
            </w:r>
          </w:p>
        </w:tc>
      </w:tr>
      <w:tr w:rsidR="00830231" w:rsidRPr="00830231" w:rsidTr="00830231">
        <w:trPr>
          <w:trHeight w:val="255"/>
        </w:trPr>
        <w:tc>
          <w:tcPr>
            <w:tcW w:w="9371" w:type="dxa"/>
            <w:gridSpan w:val="6"/>
            <w:tcBorders>
              <w:top w:val="nil"/>
              <w:left w:val="single" w:sz="4" w:space="0" w:color="auto"/>
              <w:bottom w:val="nil"/>
              <w:right w:val="single" w:sz="4" w:space="0" w:color="000000"/>
            </w:tcBorders>
            <w:shd w:val="clear" w:color="auto" w:fill="auto"/>
            <w:vAlign w:val="bottom"/>
            <w:hideMark/>
          </w:tcPr>
          <w:p w:rsidR="00830231" w:rsidRPr="00830231" w:rsidRDefault="00830231" w:rsidP="00830231">
            <w:pPr>
              <w:jc w:val="left"/>
              <w:rPr>
                <w:rFonts w:cs="Arial"/>
                <w:b/>
                <w:bCs/>
              </w:rPr>
            </w:pPr>
            <w:r w:rsidRPr="00830231">
              <w:rPr>
                <w:rFonts w:cs="Arial"/>
                <w:b/>
                <w:bCs/>
              </w:rPr>
              <w:t>A.  Personnel Resources</w:t>
            </w:r>
          </w:p>
        </w:tc>
      </w:tr>
      <w:tr w:rsidR="00830231" w:rsidRPr="00830231" w:rsidTr="00830231">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left"/>
              <w:rPr>
                <w:rFonts w:cs="Arial"/>
                <w:color w:val="000000"/>
              </w:rPr>
            </w:pPr>
            <w:r w:rsidRPr="00830231">
              <w:rPr>
                <w:rFonts w:cs="Arial"/>
                <w:color w:val="000000"/>
              </w:rPr>
              <w:t>Posts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4,055</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4,382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-157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-3.6%</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4,225</w:t>
            </w:r>
          </w:p>
        </w:tc>
      </w:tr>
      <w:tr w:rsidR="00830231" w:rsidRPr="00830231" w:rsidTr="00830231">
        <w:trPr>
          <w:trHeight w:val="31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left"/>
              <w:rPr>
                <w:rFonts w:cs="Arial"/>
                <w:color w:val="000000"/>
              </w:rPr>
            </w:pPr>
            <w:r w:rsidRPr="00830231">
              <w:rPr>
                <w:rFonts w:cs="Arial"/>
                <w:color w:val="000000"/>
              </w:rPr>
              <w:t>Temporary Staff</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204</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160</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40</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25.0%</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200</w:t>
            </w:r>
          </w:p>
        </w:tc>
      </w:tr>
      <w:tr w:rsidR="00830231" w:rsidRPr="00830231"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color w:val="000000"/>
              </w:rPr>
            </w:pPr>
            <w:r w:rsidRPr="00830231">
              <w:rPr>
                <w:rFonts w:cs="Arial"/>
                <w:b/>
                <w:bCs/>
                <w:color w:val="000000"/>
              </w:rPr>
              <w:t>Total, A</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4,259</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4,542</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-117</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-2.6%</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4,425</w:t>
            </w:r>
          </w:p>
        </w:tc>
      </w:tr>
      <w:tr w:rsidR="00830231" w:rsidRPr="00830231" w:rsidTr="00830231">
        <w:trPr>
          <w:trHeight w:val="360"/>
        </w:trPr>
        <w:tc>
          <w:tcPr>
            <w:tcW w:w="937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30231" w:rsidRPr="00830231" w:rsidRDefault="00830231" w:rsidP="00830231">
            <w:pPr>
              <w:jc w:val="left"/>
              <w:rPr>
                <w:rFonts w:cs="Arial"/>
                <w:b/>
                <w:bCs/>
              </w:rPr>
            </w:pPr>
            <w:r w:rsidRPr="00830231">
              <w:rPr>
                <w:rFonts w:cs="Arial"/>
                <w:b/>
                <w:bCs/>
              </w:rPr>
              <w:t>B.  Non-Personnel Resources</w:t>
            </w:r>
          </w:p>
        </w:tc>
      </w:tr>
      <w:tr w:rsidR="00830231" w:rsidRPr="00830231"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left"/>
              <w:rPr>
                <w:rFonts w:cs="Arial"/>
                <w:b/>
                <w:bCs/>
                <w:i/>
                <w:iCs/>
              </w:rPr>
            </w:pPr>
            <w:r w:rsidRPr="00830231">
              <w:rPr>
                <w:rFonts w:cs="Arial"/>
                <w:b/>
                <w:bCs/>
                <w:i/>
                <w:iCs/>
              </w:rPr>
              <w:t>Interns</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 </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 </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 </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 </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 </w:t>
            </w:r>
          </w:p>
        </w:tc>
      </w:tr>
      <w:tr w:rsidR="00830231" w:rsidRPr="00830231"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Sub-total</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12</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0.0%</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w:t>
            </w:r>
          </w:p>
        </w:tc>
      </w:tr>
      <w:tr w:rsidR="00830231" w:rsidRPr="00830231" w:rsidTr="00830231">
        <w:trPr>
          <w:trHeight w:val="360"/>
        </w:trPr>
        <w:tc>
          <w:tcPr>
            <w:tcW w:w="9371" w:type="dxa"/>
            <w:gridSpan w:val="6"/>
            <w:tcBorders>
              <w:top w:val="nil"/>
              <w:left w:val="single" w:sz="4" w:space="0" w:color="auto"/>
              <w:bottom w:val="nil"/>
              <w:right w:val="single" w:sz="4" w:space="0" w:color="000000"/>
            </w:tcBorders>
            <w:shd w:val="clear" w:color="auto" w:fill="auto"/>
            <w:vAlign w:val="bottom"/>
            <w:hideMark/>
          </w:tcPr>
          <w:p w:rsidR="00830231" w:rsidRPr="00830231" w:rsidRDefault="00830231" w:rsidP="00830231">
            <w:pPr>
              <w:jc w:val="left"/>
              <w:rPr>
                <w:rFonts w:cs="Arial"/>
                <w:b/>
                <w:bCs/>
                <w:i/>
                <w:iCs/>
              </w:rPr>
            </w:pPr>
            <w:r w:rsidRPr="00830231">
              <w:rPr>
                <w:rFonts w:cs="Arial"/>
                <w:b/>
                <w:bCs/>
                <w:i/>
                <w:iCs/>
              </w:rPr>
              <w:t>Travel</w:t>
            </w:r>
          </w:p>
        </w:tc>
      </w:tr>
      <w:tr w:rsidR="00830231" w:rsidRPr="00830231" w:rsidTr="00830231">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left"/>
              <w:rPr>
                <w:rFonts w:cs="Arial"/>
                <w:color w:val="000000"/>
              </w:rPr>
            </w:pPr>
            <w:r w:rsidRPr="00830231">
              <w:rPr>
                <w:rFonts w:cs="Arial"/>
                <w:color w:val="000000"/>
              </w:rPr>
              <w:t>Staff missions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437</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470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Pr>
                <w:rFonts w:cs="Aria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470</w:t>
            </w:r>
          </w:p>
        </w:tc>
      </w:tr>
      <w:tr w:rsidR="00830231" w:rsidRPr="00830231" w:rsidTr="00830231">
        <w:trPr>
          <w:trHeight w:val="2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left"/>
              <w:rPr>
                <w:rFonts w:cs="Arial"/>
                <w:color w:val="000000"/>
              </w:rPr>
            </w:pPr>
            <w:r w:rsidRPr="00830231">
              <w:rPr>
                <w:rFonts w:cs="Arial"/>
                <w:color w:val="000000"/>
              </w:rPr>
              <w:t>Third Party Travel</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184</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90</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30</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33.3%</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120</w:t>
            </w:r>
          </w:p>
        </w:tc>
      </w:tr>
      <w:tr w:rsidR="00830231" w:rsidRPr="00830231"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Sub-total</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Pr>
                <w:rFonts w:cs="Arial"/>
                <w:b/>
                <w:bCs/>
              </w:rPr>
              <w:t>621</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Pr>
                <w:rFonts w:cs="Arial"/>
                <w:b/>
                <w:bCs/>
              </w:rPr>
              <w:t>560</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Pr>
                <w:rFonts w:cs="Arial"/>
                <w:b/>
                <w:bCs/>
              </w:rPr>
              <w:t>30</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5.4%</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590</w:t>
            </w:r>
          </w:p>
        </w:tc>
      </w:tr>
      <w:tr w:rsidR="00830231" w:rsidRPr="00830231" w:rsidTr="00830231">
        <w:trPr>
          <w:trHeight w:val="360"/>
        </w:trPr>
        <w:tc>
          <w:tcPr>
            <w:tcW w:w="9371" w:type="dxa"/>
            <w:gridSpan w:val="6"/>
            <w:tcBorders>
              <w:top w:val="nil"/>
              <w:left w:val="single" w:sz="4" w:space="0" w:color="auto"/>
              <w:bottom w:val="nil"/>
              <w:right w:val="single" w:sz="4" w:space="0" w:color="000000"/>
            </w:tcBorders>
            <w:shd w:val="clear" w:color="auto" w:fill="auto"/>
            <w:vAlign w:val="bottom"/>
            <w:hideMark/>
          </w:tcPr>
          <w:p w:rsidR="00830231" w:rsidRPr="00830231" w:rsidRDefault="00830231" w:rsidP="00830231">
            <w:pPr>
              <w:jc w:val="left"/>
              <w:rPr>
                <w:rFonts w:cs="Arial"/>
                <w:b/>
                <w:bCs/>
                <w:i/>
                <w:iCs/>
              </w:rPr>
            </w:pPr>
            <w:r w:rsidRPr="00830231">
              <w:rPr>
                <w:rFonts w:cs="Arial"/>
                <w:b/>
                <w:bCs/>
                <w:i/>
                <w:iCs/>
              </w:rPr>
              <w:t>Contractual Services</w:t>
            </w:r>
          </w:p>
        </w:tc>
      </w:tr>
      <w:tr w:rsidR="00830231" w:rsidRPr="00830231" w:rsidTr="00830231">
        <w:trPr>
          <w:trHeight w:val="36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left"/>
              <w:rPr>
                <w:rFonts w:cs="Arial"/>
                <w:color w:val="000000"/>
              </w:rPr>
            </w:pPr>
            <w:r w:rsidRPr="00830231">
              <w:rPr>
                <w:rFonts w:cs="Arial"/>
                <w:color w:val="000000"/>
              </w:rPr>
              <w:t>Conferences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224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250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250</w:t>
            </w:r>
          </w:p>
        </w:tc>
      </w:tr>
      <w:tr w:rsidR="00830231" w:rsidRPr="00830231"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left"/>
              <w:rPr>
                <w:rFonts w:cs="Arial"/>
                <w:color w:val="000000"/>
              </w:rPr>
            </w:pPr>
            <w:r w:rsidRPr="00830231">
              <w:rPr>
                <w:rFonts w:cs="Arial"/>
                <w:color w:val="000000"/>
              </w:rPr>
              <w:t>Publishing</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48</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70</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-35</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-50%</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35</w:t>
            </w:r>
          </w:p>
        </w:tc>
      </w:tr>
      <w:tr w:rsidR="00830231" w:rsidRPr="00830231"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left"/>
              <w:rPr>
                <w:rFonts w:cs="Arial"/>
                <w:color w:val="000000"/>
              </w:rPr>
            </w:pPr>
            <w:r w:rsidRPr="00830231">
              <w:rPr>
                <w:rFonts w:cs="Arial"/>
                <w:color w:val="000000"/>
              </w:rPr>
              <w:t>Individual Contractual Services</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8</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20</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20</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100.0%</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40</w:t>
            </w:r>
          </w:p>
        </w:tc>
      </w:tr>
      <w:tr w:rsidR="00830231" w:rsidRPr="00830231"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left"/>
              <w:rPr>
                <w:rFonts w:cs="Arial"/>
                <w:color w:val="000000"/>
              </w:rPr>
            </w:pPr>
            <w:r w:rsidRPr="00830231">
              <w:rPr>
                <w:rFonts w:cs="Arial"/>
                <w:color w:val="000000"/>
              </w:rPr>
              <w:t>Other Contractual Services</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6</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90</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60</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67%</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150</w:t>
            </w:r>
          </w:p>
        </w:tc>
      </w:tr>
      <w:tr w:rsidR="00830231" w:rsidRPr="00830231"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Sub-total</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286</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430</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45</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10.5%</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475</w:t>
            </w:r>
          </w:p>
        </w:tc>
      </w:tr>
      <w:tr w:rsidR="00830231" w:rsidRPr="00830231" w:rsidTr="00830231">
        <w:trPr>
          <w:trHeight w:val="360"/>
        </w:trPr>
        <w:tc>
          <w:tcPr>
            <w:tcW w:w="9371" w:type="dxa"/>
            <w:gridSpan w:val="6"/>
            <w:tcBorders>
              <w:top w:val="nil"/>
              <w:left w:val="single" w:sz="4" w:space="0" w:color="auto"/>
              <w:bottom w:val="nil"/>
              <w:right w:val="single" w:sz="4" w:space="0" w:color="000000"/>
            </w:tcBorders>
            <w:shd w:val="clear" w:color="auto" w:fill="auto"/>
            <w:vAlign w:val="bottom"/>
            <w:hideMark/>
          </w:tcPr>
          <w:p w:rsidR="00830231" w:rsidRPr="00830231" w:rsidRDefault="00830231" w:rsidP="00830231">
            <w:pPr>
              <w:jc w:val="left"/>
              <w:rPr>
                <w:rFonts w:cs="Arial"/>
                <w:b/>
                <w:bCs/>
                <w:i/>
                <w:iCs/>
              </w:rPr>
            </w:pPr>
            <w:r w:rsidRPr="00830231">
              <w:rPr>
                <w:rFonts w:cs="Arial"/>
                <w:b/>
                <w:bCs/>
                <w:i/>
                <w:iCs/>
              </w:rPr>
              <w:t>Operating Expenses</w:t>
            </w:r>
          </w:p>
        </w:tc>
      </w:tr>
      <w:tr w:rsidR="00830231" w:rsidRPr="00830231" w:rsidTr="00830231">
        <w:trPr>
          <w:trHeight w:val="360"/>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color w:val="000000"/>
              </w:rPr>
            </w:pPr>
            <w:r w:rsidRPr="00830231">
              <w:rPr>
                <w:rFonts w:cs="Arial"/>
                <w:b/>
                <w:bCs/>
                <w:color w:val="000000"/>
              </w:rPr>
              <w:t>Sub-total</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1,274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1,236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30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2.4%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1,266</w:t>
            </w:r>
          </w:p>
        </w:tc>
      </w:tr>
      <w:tr w:rsidR="00830231" w:rsidRPr="00830231" w:rsidTr="00830231">
        <w:trPr>
          <w:trHeight w:val="360"/>
        </w:trPr>
        <w:tc>
          <w:tcPr>
            <w:tcW w:w="9371" w:type="dxa"/>
            <w:gridSpan w:val="6"/>
            <w:tcBorders>
              <w:top w:val="nil"/>
              <w:left w:val="single" w:sz="4" w:space="0" w:color="auto"/>
              <w:bottom w:val="nil"/>
              <w:right w:val="single" w:sz="4" w:space="0" w:color="000000"/>
            </w:tcBorders>
            <w:shd w:val="clear" w:color="auto" w:fill="auto"/>
            <w:vAlign w:val="bottom"/>
            <w:hideMark/>
          </w:tcPr>
          <w:p w:rsidR="00830231" w:rsidRPr="00830231" w:rsidRDefault="00830231" w:rsidP="00830231">
            <w:pPr>
              <w:jc w:val="left"/>
              <w:rPr>
                <w:rFonts w:cs="Arial"/>
                <w:b/>
                <w:bCs/>
                <w:i/>
                <w:iCs/>
              </w:rPr>
            </w:pPr>
            <w:r w:rsidRPr="00830231">
              <w:rPr>
                <w:rFonts w:cs="Arial"/>
                <w:b/>
                <w:bCs/>
                <w:i/>
                <w:iCs/>
              </w:rPr>
              <w:t>Equipment and Supplies</w:t>
            </w:r>
          </w:p>
        </w:tc>
      </w:tr>
      <w:tr w:rsidR="00830231" w:rsidRPr="00830231" w:rsidTr="00830231">
        <w:trPr>
          <w:trHeight w:val="285"/>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left"/>
              <w:rPr>
                <w:rFonts w:cs="Arial"/>
                <w:color w:val="000000"/>
              </w:rPr>
            </w:pPr>
            <w:r w:rsidRPr="00830231">
              <w:rPr>
                <w:rFonts w:cs="Arial"/>
                <w:color w:val="000000"/>
              </w:rPr>
              <w:t>Furniture and Equipment</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80%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18</w:t>
            </w:r>
          </w:p>
        </w:tc>
      </w:tr>
      <w:tr w:rsidR="00830231" w:rsidRPr="00830231" w:rsidTr="00830231">
        <w:trPr>
          <w:trHeight w:val="285"/>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left"/>
              <w:rPr>
                <w:rFonts w:cs="Arial"/>
                <w:color w:val="000000"/>
              </w:rPr>
            </w:pPr>
            <w:r w:rsidRPr="00830231">
              <w:rPr>
                <w:rFonts w:cs="Arial"/>
                <w:color w:val="000000"/>
              </w:rPr>
              <w:t>Supplies and Materials</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21</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20</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0%</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rPr>
            </w:pPr>
            <w:r w:rsidRPr="00830231">
              <w:rPr>
                <w:rFonts w:cs="Arial"/>
              </w:rPr>
              <w:t>20</w:t>
            </w:r>
          </w:p>
        </w:tc>
      </w:tr>
      <w:tr w:rsidR="00830231" w:rsidRPr="00830231" w:rsidTr="00830231">
        <w:trPr>
          <w:trHeight w:val="360"/>
        </w:trPr>
        <w:tc>
          <w:tcPr>
            <w:tcW w:w="3276"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Sub-total</w:t>
            </w:r>
          </w:p>
        </w:tc>
        <w:tc>
          <w:tcPr>
            <w:tcW w:w="1275"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27</w:t>
            </w:r>
          </w:p>
        </w:tc>
        <w:tc>
          <w:tcPr>
            <w:tcW w:w="1418"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30</w:t>
            </w:r>
          </w:p>
        </w:tc>
        <w:tc>
          <w:tcPr>
            <w:tcW w:w="1134"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8</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26.7%</w:t>
            </w:r>
          </w:p>
        </w:tc>
        <w:tc>
          <w:tcPr>
            <w:tcW w:w="1276"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38</w:t>
            </w:r>
          </w:p>
        </w:tc>
      </w:tr>
      <w:tr w:rsidR="00830231" w:rsidRPr="00830231" w:rsidTr="00830231">
        <w:trPr>
          <w:trHeight w:val="360"/>
        </w:trPr>
        <w:tc>
          <w:tcPr>
            <w:tcW w:w="3276" w:type="dxa"/>
            <w:tcBorders>
              <w:top w:val="nil"/>
              <w:left w:val="single" w:sz="4" w:space="0" w:color="auto"/>
              <w:bottom w:val="nil"/>
              <w:right w:val="nil"/>
            </w:tcBorders>
            <w:shd w:val="clear" w:color="auto" w:fill="auto"/>
            <w:vAlign w:val="bottom"/>
            <w:hideMark/>
          </w:tcPr>
          <w:p w:rsidR="00830231" w:rsidRPr="00830231" w:rsidRDefault="00830231" w:rsidP="00830231">
            <w:pPr>
              <w:jc w:val="right"/>
              <w:rPr>
                <w:rFonts w:cs="Arial"/>
                <w:b/>
                <w:bCs/>
              </w:rPr>
            </w:pPr>
            <w:r w:rsidRPr="00830231">
              <w:rPr>
                <w:rFonts w:cs="Arial"/>
                <w:b/>
                <w:bCs/>
              </w:rPr>
              <w:t>Total,</w:t>
            </w:r>
            <w:r w:rsidR="008066A6">
              <w:rPr>
                <w:rFonts w:cs="Arial"/>
                <w:b/>
                <w:bCs/>
              </w:rPr>
              <w:t xml:space="preserve"> </w:t>
            </w:r>
            <w:r w:rsidRPr="00830231">
              <w:rPr>
                <w:rFonts w:cs="Arial"/>
                <w:b/>
                <w:bCs/>
              </w:rPr>
              <w:t>B</w:t>
            </w:r>
          </w:p>
        </w:tc>
        <w:tc>
          <w:tcPr>
            <w:tcW w:w="1275" w:type="dxa"/>
            <w:tcBorders>
              <w:top w:val="nil"/>
              <w:left w:val="nil"/>
              <w:bottom w:val="nil"/>
              <w:right w:val="nil"/>
            </w:tcBorders>
            <w:shd w:val="clear" w:color="auto" w:fill="auto"/>
            <w:vAlign w:val="bottom"/>
            <w:hideMark/>
          </w:tcPr>
          <w:p w:rsidR="00830231" w:rsidRPr="00830231" w:rsidRDefault="00830231" w:rsidP="00830231">
            <w:pPr>
              <w:jc w:val="right"/>
              <w:rPr>
                <w:rFonts w:cs="Arial"/>
                <w:b/>
                <w:bCs/>
              </w:rPr>
            </w:pPr>
            <w:r w:rsidRPr="00830231">
              <w:rPr>
                <w:rFonts w:cs="Arial"/>
                <w:b/>
                <w:bCs/>
              </w:rPr>
              <w:t>2,220</w:t>
            </w:r>
          </w:p>
        </w:tc>
        <w:tc>
          <w:tcPr>
            <w:tcW w:w="1418" w:type="dxa"/>
            <w:tcBorders>
              <w:top w:val="nil"/>
              <w:left w:val="nil"/>
              <w:bottom w:val="nil"/>
              <w:right w:val="nil"/>
            </w:tcBorders>
            <w:shd w:val="clear" w:color="auto" w:fill="auto"/>
            <w:vAlign w:val="bottom"/>
            <w:hideMark/>
          </w:tcPr>
          <w:p w:rsidR="00830231" w:rsidRPr="00830231" w:rsidRDefault="00830231" w:rsidP="00830231">
            <w:pPr>
              <w:jc w:val="right"/>
              <w:rPr>
                <w:rFonts w:cs="Arial"/>
                <w:b/>
                <w:bCs/>
              </w:rPr>
            </w:pPr>
            <w:r w:rsidRPr="00830231">
              <w:rPr>
                <w:rFonts w:cs="Arial"/>
                <w:b/>
                <w:bCs/>
              </w:rPr>
              <w:t>2,256</w:t>
            </w:r>
          </w:p>
        </w:tc>
        <w:tc>
          <w:tcPr>
            <w:tcW w:w="1134" w:type="dxa"/>
            <w:tcBorders>
              <w:top w:val="nil"/>
              <w:left w:val="nil"/>
              <w:bottom w:val="nil"/>
              <w:right w:val="nil"/>
            </w:tcBorders>
            <w:shd w:val="clear" w:color="auto" w:fill="auto"/>
            <w:vAlign w:val="bottom"/>
            <w:hideMark/>
          </w:tcPr>
          <w:p w:rsidR="00830231" w:rsidRPr="00830231" w:rsidRDefault="00830231" w:rsidP="00830231">
            <w:pPr>
              <w:jc w:val="right"/>
              <w:rPr>
                <w:rFonts w:cs="Arial"/>
                <w:b/>
                <w:bCs/>
              </w:rPr>
            </w:pPr>
            <w:r w:rsidRPr="00830231">
              <w:rPr>
                <w:rFonts w:cs="Arial"/>
                <w:b/>
                <w:bCs/>
              </w:rPr>
              <w:t>113</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5.0%</w:t>
            </w:r>
          </w:p>
        </w:tc>
        <w:tc>
          <w:tcPr>
            <w:tcW w:w="1276" w:type="dxa"/>
            <w:tcBorders>
              <w:top w:val="nil"/>
              <w:left w:val="nil"/>
              <w:bottom w:val="nil"/>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2,369</w:t>
            </w:r>
          </w:p>
        </w:tc>
      </w:tr>
      <w:tr w:rsidR="00830231" w:rsidRPr="00830231" w:rsidTr="00C740F2">
        <w:trPr>
          <w:trHeight w:val="369"/>
        </w:trPr>
        <w:tc>
          <w:tcPr>
            <w:tcW w:w="3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0231" w:rsidRPr="00830231" w:rsidRDefault="00830231" w:rsidP="00830231">
            <w:pPr>
              <w:jc w:val="center"/>
              <w:rPr>
                <w:rFonts w:cs="Arial"/>
                <w:b/>
                <w:bCs/>
              </w:rPr>
            </w:pPr>
            <w:r w:rsidRPr="00830231">
              <w:rPr>
                <w:rFonts w:cs="Arial"/>
                <w:b/>
                <w:bCs/>
              </w:rPr>
              <w:t>GRAND TOTAL</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6,479</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6,798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-4</w:t>
            </w:r>
          </w:p>
        </w:tc>
        <w:tc>
          <w:tcPr>
            <w:tcW w:w="992" w:type="dxa"/>
            <w:tcBorders>
              <w:top w:val="nil"/>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-0.1%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30231" w:rsidRPr="00830231" w:rsidRDefault="00830231" w:rsidP="00830231">
            <w:pPr>
              <w:jc w:val="right"/>
              <w:rPr>
                <w:rFonts w:cs="Arial"/>
                <w:b/>
                <w:bCs/>
              </w:rPr>
            </w:pPr>
            <w:r w:rsidRPr="00830231">
              <w:rPr>
                <w:rFonts w:cs="Arial"/>
                <w:b/>
                <w:bCs/>
              </w:rPr>
              <w:t>6,794</w:t>
            </w:r>
          </w:p>
        </w:tc>
      </w:tr>
    </w:tbl>
    <w:p w:rsidR="00830231" w:rsidRDefault="00830231" w:rsidP="00966021">
      <w:pPr>
        <w:jc w:val="center"/>
      </w:pPr>
    </w:p>
    <w:p w:rsidR="00421639" w:rsidRDefault="00421639" w:rsidP="00966021">
      <w:pPr>
        <w:keepNext/>
        <w:tabs>
          <w:tab w:val="left" w:pos="567"/>
        </w:tabs>
      </w:pPr>
      <w:r w:rsidRPr="00DD6106">
        <w:t>3.9</w:t>
      </w:r>
      <w:r w:rsidRPr="00DD6106">
        <w:tab/>
      </w:r>
      <w:r w:rsidRPr="00DD6106">
        <w:rPr>
          <w:b/>
        </w:rPr>
        <w:t>Table 5</w:t>
      </w:r>
      <w:r w:rsidRPr="00DD6106">
        <w:t xml:space="preserve"> reflects the number of posts by grade clusters.  The post of the Secretary</w:t>
      </w:r>
      <w:r w:rsidRPr="00DD6106">
        <w:noBreakHyphen/>
        <w:t xml:space="preserve">General is included within this count, but at no cost, because the current Director General of WIPO has declined any salary or allowance from his functions as Secretary-General of </w:t>
      </w:r>
      <w:smartTag w:uri="urn:schemas-microsoft-com:office:smarttags" w:element="PersonName">
        <w:r w:rsidRPr="00DD6106">
          <w:t>UPOV</w:t>
        </w:r>
      </w:smartTag>
      <w:r>
        <w:t xml:space="preserve">. </w:t>
      </w:r>
    </w:p>
    <w:p w:rsidR="00421639" w:rsidRDefault="00421639" w:rsidP="00966021">
      <w:pPr>
        <w:keepNext/>
        <w:tabs>
          <w:tab w:val="left" w:pos="567"/>
        </w:tabs>
      </w:pPr>
    </w:p>
    <w:p w:rsidR="00421639" w:rsidRDefault="00421639" w:rsidP="00421639">
      <w:pPr>
        <w:tabs>
          <w:tab w:val="left" w:pos="567"/>
        </w:tabs>
      </w:pPr>
      <w:r w:rsidRPr="00135F2E">
        <w:t>3.10</w:t>
      </w:r>
      <w:r w:rsidRPr="00135F2E">
        <w:tab/>
        <w:t xml:space="preserve">The Program and Budget for the </w:t>
      </w:r>
      <w:r w:rsidRPr="00135F2E">
        <w:rPr>
          <w:snapToGrid w:val="0"/>
          <w:spacing w:val="-2"/>
          <w:szCs w:val="24"/>
        </w:rPr>
        <w:t>2014­2015</w:t>
      </w:r>
      <w:r w:rsidRPr="00135F2E">
        <w:t xml:space="preserve"> Biennium anticipates no increase in the number of posts.  The approach for providing improved services for an increasing membership and for satisfying requests for assistance by potential future members of the Union is to focus resources on the development of guidance and information materials, databases and electronic forms (see Sub­program UV.2.2.2.1 “Narrative”) and the use of external resources for training and assistance according to available finances (see Sub­program UV.2.3.2.1 “Narrative”).  That approach is reflected in the posts by category for the Program and Budget for the </w:t>
      </w:r>
      <w:r w:rsidRPr="00135F2E">
        <w:rPr>
          <w:snapToGrid w:val="0"/>
          <w:spacing w:val="-2"/>
          <w:szCs w:val="24"/>
        </w:rPr>
        <w:t>2014­2015</w:t>
      </w:r>
      <w:r w:rsidRPr="00135F2E">
        <w:t xml:space="preserve"> Biennium.  The Program and Budget for the 2012-2013 Biennium anticipated three posts in the director category.  However, due to unforeseen personnel changes, only two posts were filled in the director category.  In due course, and according to increased responsibilities, an upgrading of one of the posts currently classified in the professional category to the director category is anticipated for the </w:t>
      </w:r>
      <w:r>
        <w:rPr>
          <w:snapToGrid w:val="0"/>
          <w:spacing w:val="-2"/>
          <w:szCs w:val="24"/>
        </w:rPr>
        <w:t>future</w:t>
      </w:r>
      <w:r w:rsidRPr="00135F2E">
        <w:t>.  In addition, to cover the responsibilities for supervising external resources (e.g. admi</w:t>
      </w:r>
      <w:r>
        <w:t xml:space="preserve">nistrative support for distance </w:t>
      </w:r>
      <w:r w:rsidRPr="00135F2E">
        <w:t>learning courses, administration of trainers, editing of publications), it is proposed to upgrade a post in the General Service category to the Professional category.  In accordance with the approach in 2012-2013 Biennium, short-term support in the general service category will be used as necessary and within the budget.</w:t>
      </w:r>
    </w:p>
    <w:p w:rsidR="00421639" w:rsidRDefault="00421639" w:rsidP="00421639">
      <w:pPr>
        <w:tabs>
          <w:tab w:val="left" w:pos="567"/>
        </w:tabs>
      </w:pPr>
    </w:p>
    <w:p w:rsidR="00421639" w:rsidRPr="0072367F" w:rsidRDefault="00421639" w:rsidP="00421639">
      <w:pPr>
        <w:keepNext/>
        <w:jc w:val="center"/>
        <w:rPr>
          <w:b/>
        </w:rPr>
      </w:pPr>
      <w:r w:rsidRPr="0072367F">
        <w:rPr>
          <w:b/>
        </w:rPr>
        <w:t>Table 5: Budget 2014-2015:  Posts by Category</w:t>
      </w:r>
    </w:p>
    <w:p w:rsidR="00421639" w:rsidRDefault="00421639" w:rsidP="00421639">
      <w:pPr>
        <w:keepNext/>
      </w:pPr>
    </w:p>
    <w:tbl>
      <w:tblPr>
        <w:tblW w:w="7513" w:type="dxa"/>
        <w:tblInd w:w="1242" w:type="dxa"/>
        <w:tblLook w:val="04A0" w:firstRow="1" w:lastRow="0" w:firstColumn="1" w:lastColumn="0" w:noHBand="0" w:noVBand="1"/>
      </w:tblPr>
      <w:tblGrid>
        <w:gridCol w:w="2268"/>
        <w:gridCol w:w="1284"/>
        <w:gridCol w:w="1284"/>
        <w:gridCol w:w="1260"/>
        <w:gridCol w:w="1417"/>
      </w:tblGrid>
      <w:tr w:rsidR="007313F2" w:rsidRPr="007313F2" w:rsidTr="007313F2">
        <w:trPr>
          <w:trHeight w:val="510"/>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313F2" w:rsidRPr="007313F2" w:rsidRDefault="007313F2" w:rsidP="007313F2">
            <w:pPr>
              <w:jc w:val="left"/>
              <w:rPr>
                <w:rFonts w:cs="Arial"/>
                <w:i/>
                <w:iCs/>
              </w:rPr>
            </w:pPr>
            <w:r w:rsidRPr="007313F2">
              <w:rPr>
                <w:rFonts w:cs="Arial"/>
                <w:i/>
                <w:iCs/>
              </w:rPr>
              <w:t>Post Category</w:t>
            </w:r>
          </w:p>
        </w:tc>
        <w:tc>
          <w:tcPr>
            <w:tcW w:w="1284" w:type="dxa"/>
            <w:tcBorders>
              <w:top w:val="single" w:sz="4" w:space="0" w:color="auto"/>
              <w:left w:val="nil"/>
              <w:bottom w:val="nil"/>
              <w:right w:val="single" w:sz="4" w:space="0" w:color="auto"/>
            </w:tcBorders>
            <w:shd w:val="clear" w:color="auto" w:fill="auto"/>
            <w:hideMark/>
          </w:tcPr>
          <w:p w:rsidR="007313F2" w:rsidRPr="007313F2" w:rsidRDefault="007313F2" w:rsidP="007313F2">
            <w:pPr>
              <w:jc w:val="center"/>
              <w:rPr>
                <w:rFonts w:cs="Arial"/>
                <w:i/>
                <w:iCs/>
              </w:rPr>
            </w:pPr>
            <w:r w:rsidRPr="007313F2">
              <w:rPr>
                <w:rFonts w:cs="Arial"/>
                <w:i/>
                <w:iCs/>
              </w:rPr>
              <w:t>2010-</w:t>
            </w:r>
            <w:r>
              <w:rPr>
                <w:rFonts w:cs="Arial"/>
                <w:i/>
                <w:iCs/>
              </w:rPr>
              <w:t>20</w:t>
            </w:r>
            <w:r w:rsidRPr="007313F2">
              <w:rPr>
                <w:rFonts w:cs="Arial"/>
                <w:i/>
                <w:iCs/>
              </w:rPr>
              <w:t>11</w:t>
            </w:r>
          </w:p>
        </w:tc>
        <w:tc>
          <w:tcPr>
            <w:tcW w:w="1284" w:type="dxa"/>
            <w:tcBorders>
              <w:top w:val="single" w:sz="4" w:space="0" w:color="auto"/>
              <w:left w:val="nil"/>
              <w:bottom w:val="nil"/>
              <w:right w:val="single" w:sz="4" w:space="0" w:color="auto"/>
            </w:tcBorders>
            <w:shd w:val="clear" w:color="auto" w:fill="auto"/>
            <w:hideMark/>
          </w:tcPr>
          <w:p w:rsidR="007313F2" w:rsidRPr="007313F2" w:rsidRDefault="007313F2" w:rsidP="007313F2">
            <w:pPr>
              <w:jc w:val="center"/>
              <w:rPr>
                <w:rFonts w:cs="Arial"/>
                <w:i/>
                <w:iCs/>
              </w:rPr>
            </w:pPr>
            <w:r w:rsidRPr="007313F2">
              <w:rPr>
                <w:rFonts w:cs="Arial"/>
                <w:i/>
                <w:iCs/>
              </w:rPr>
              <w:t>2012-</w:t>
            </w:r>
            <w:r>
              <w:rPr>
                <w:rFonts w:cs="Arial"/>
                <w:i/>
                <w:iCs/>
              </w:rPr>
              <w:t>20</w:t>
            </w:r>
            <w:r w:rsidRPr="007313F2">
              <w:rPr>
                <w:rFonts w:cs="Arial"/>
                <w:i/>
                <w:iCs/>
              </w:rPr>
              <w:t>13</w:t>
            </w:r>
          </w:p>
        </w:tc>
        <w:tc>
          <w:tcPr>
            <w:tcW w:w="1260" w:type="dxa"/>
            <w:tcBorders>
              <w:top w:val="single" w:sz="4" w:space="0" w:color="auto"/>
              <w:left w:val="nil"/>
              <w:bottom w:val="nil"/>
              <w:right w:val="single" w:sz="4" w:space="0" w:color="auto"/>
            </w:tcBorders>
            <w:shd w:val="clear" w:color="auto" w:fill="auto"/>
            <w:hideMark/>
          </w:tcPr>
          <w:p w:rsidR="007313F2" w:rsidRPr="007313F2" w:rsidRDefault="007313F2" w:rsidP="007313F2">
            <w:pPr>
              <w:jc w:val="center"/>
              <w:rPr>
                <w:rFonts w:cs="Arial"/>
                <w:i/>
                <w:iCs/>
              </w:rPr>
            </w:pPr>
            <w:r w:rsidRPr="007313F2">
              <w:rPr>
                <w:rFonts w:cs="Arial"/>
                <w:i/>
                <w:iCs/>
              </w:rPr>
              <w:t>Variation</w:t>
            </w:r>
          </w:p>
        </w:tc>
        <w:tc>
          <w:tcPr>
            <w:tcW w:w="1417" w:type="dxa"/>
            <w:tcBorders>
              <w:top w:val="single" w:sz="4" w:space="0" w:color="auto"/>
              <w:left w:val="nil"/>
              <w:bottom w:val="nil"/>
              <w:right w:val="single" w:sz="4" w:space="0" w:color="auto"/>
            </w:tcBorders>
            <w:shd w:val="clear" w:color="auto" w:fill="auto"/>
            <w:hideMark/>
          </w:tcPr>
          <w:p w:rsidR="007313F2" w:rsidRPr="007313F2" w:rsidRDefault="007313F2" w:rsidP="007313F2">
            <w:pPr>
              <w:jc w:val="center"/>
              <w:rPr>
                <w:rFonts w:cs="Arial"/>
                <w:i/>
                <w:iCs/>
              </w:rPr>
            </w:pPr>
            <w:r w:rsidRPr="007313F2">
              <w:rPr>
                <w:rFonts w:cs="Arial"/>
                <w:i/>
                <w:iCs/>
              </w:rPr>
              <w:t>201</w:t>
            </w:r>
            <w:r>
              <w:rPr>
                <w:rFonts w:cs="Arial"/>
                <w:i/>
                <w:iCs/>
              </w:rPr>
              <w:t>4</w:t>
            </w:r>
            <w:r w:rsidRPr="007313F2">
              <w:rPr>
                <w:rFonts w:cs="Arial"/>
                <w:i/>
                <w:iCs/>
              </w:rPr>
              <w:t>-201</w:t>
            </w:r>
            <w:r>
              <w:rPr>
                <w:rFonts w:cs="Arial"/>
                <w:i/>
                <w:iCs/>
              </w:rPr>
              <w:t>5</w:t>
            </w:r>
            <w:r w:rsidRPr="007313F2">
              <w:rPr>
                <w:rFonts w:cs="Arial"/>
                <w:i/>
                <w:iCs/>
              </w:rPr>
              <w:t xml:space="preserve"> Proposed</w:t>
            </w:r>
          </w:p>
        </w:tc>
      </w:tr>
      <w:tr w:rsidR="007313F2" w:rsidRPr="007313F2" w:rsidTr="007313F2">
        <w:trPr>
          <w:trHeight w:val="255"/>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7313F2" w:rsidRPr="007313F2" w:rsidRDefault="007313F2" w:rsidP="007313F2">
            <w:pPr>
              <w:jc w:val="left"/>
              <w:rPr>
                <w:rFonts w:cs="Arial"/>
                <w:i/>
                <w:iCs/>
              </w:rPr>
            </w:pPr>
          </w:p>
        </w:tc>
        <w:tc>
          <w:tcPr>
            <w:tcW w:w="1284" w:type="dxa"/>
            <w:tcBorders>
              <w:top w:val="nil"/>
              <w:left w:val="nil"/>
              <w:bottom w:val="single" w:sz="4" w:space="0" w:color="auto"/>
              <w:right w:val="single" w:sz="4" w:space="0" w:color="auto"/>
            </w:tcBorders>
            <w:shd w:val="clear" w:color="auto" w:fill="auto"/>
            <w:hideMark/>
          </w:tcPr>
          <w:p w:rsidR="007313F2" w:rsidRPr="007313F2" w:rsidRDefault="007313F2" w:rsidP="007313F2">
            <w:pPr>
              <w:jc w:val="center"/>
              <w:rPr>
                <w:rFonts w:cs="Arial"/>
                <w:i/>
                <w:iCs/>
              </w:rPr>
            </w:pPr>
            <w:r w:rsidRPr="007313F2">
              <w:rPr>
                <w:rFonts w:cs="Arial"/>
                <w:i/>
                <w:iCs/>
              </w:rPr>
              <w:t>A</w:t>
            </w:r>
          </w:p>
        </w:tc>
        <w:tc>
          <w:tcPr>
            <w:tcW w:w="1284" w:type="dxa"/>
            <w:tcBorders>
              <w:top w:val="nil"/>
              <w:left w:val="nil"/>
              <w:bottom w:val="single" w:sz="4" w:space="0" w:color="auto"/>
              <w:right w:val="single" w:sz="4" w:space="0" w:color="auto"/>
            </w:tcBorders>
            <w:shd w:val="clear" w:color="auto" w:fill="auto"/>
            <w:hideMark/>
          </w:tcPr>
          <w:p w:rsidR="007313F2" w:rsidRPr="007313F2" w:rsidRDefault="007313F2" w:rsidP="007313F2">
            <w:pPr>
              <w:jc w:val="center"/>
              <w:rPr>
                <w:rFonts w:cs="Arial"/>
                <w:i/>
                <w:iCs/>
              </w:rPr>
            </w:pPr>
            <w:r w:rsidRPr="007313F2">
              <w:rPr>
                <w:rFonts w:cs="Arial"/>
                <w:i/>
                <w:iCs/>
              </w:rPr>
              <w:t>B</w:t>
            </w:r>
          </w:p>
        </w:tc>
        <w:tc>
          <w:tcPr>
            <w:tcW w:w="1260" w:type="dxa"/>
            <w:tcBorders>
              <w:top w:val="nil"/>
              <w:left w:val="nil"/>
              <w:bottom w:val="single" w:sz="4" w:space="0" w:color="auto"/>
              <w:right w:val="single" w:sz="4" w:space="0" w:color="auto"/>
            </w:tcBorders>
            <w:shd w:val="clear" w:color="auto" w:fill="auto"/>
            <w:hideMark/>
          </w:tcPr>
          <w:p w:rsidR="007313F2" w:rsidRPr="007313F2" w:rsidRDefault="007313F2" w:rsidP="007313F2">
            <w:pPr>
              <w:jc w:val="center"/>
              <w:rPr>
                <w:rFonts w:cs="Arial"/>
                <w:i/>
                <w:iCs/>
              </w:rPr>
            </w:pPr>
            <w:r w:rsidRPr="007313F2">
              <w:rPr>
                <w:rFonts w:cs="Arial"/>
                <w:i/>
                <w:iCs/>
              </w:rPr>
              <w:t>C-B</w:t>
            </w:r>
          </w:p>
        </w:tc>
        <w:tc>
          <w:tcPr>
            <w:tcW w:w="1417" w:type="dxa"/>
            <w:tcBorders>
              <w:top w:val="nil"/>
              <w:left w:val="nil"/>
              <w:bottom w:val="single" w:sz="4" w:space="0" w:color="auto"/>
              <w:right w:val="single" w:sz="4" w:space="0" w:color="auto"/>
            </w:tcBorders>
            <w:shd w:val="clear" w:color="auto" w:fill="auto"/>
            <w:hideMark/>
          </w:tcPr>
          <w:p w:rsidR="007313F2" w:rsidRPr="007313F2" w:rsidRDefault="007313F2" w:rsidP="007313F2">
            <w:pPr>
              <w:jc w:val="center"/>
              <w:rPr>
                <w:rFonts w:cs="Arial"/>
                <w:i/>
                <w:iCs/>
              </w:rPr>
            </w:pPr>
            <w:r w:rsidRPr="007313F2">
              <w:rPr>
                <w:rFonts w:cs="Arial"/>
                <w:i/>
                <w:iCs/>
              </w:rPr>
              <w:t>C</w:t>
            </w:r>
          </w:p>
        </w:tc>
      </w:tr>
      <w:tr w:rsidR="007313F2" w:rsidRPr="007313F2" w:rsidTr="007313F2">
        <w:trPr>
          <w:trHeight w:val="255"/>
        </w:trPr>
        <w:tc>
          <w:tcPr>
            <w:tcW w:w="2268" w:type="dxa"/>
            <w:tcBorders>
              <w:top w:val="nil"/>
              <w:left w:val="single" w:sz="4" w:space="0" w:color="auto"/>
              <w:right w:val="single" w:sz="4" w:space="0" w:color="auto"/>
            </w:tcBorders>
            <w:shd w:val="clear" w:color="auto" w:fill="auto"/>
            <w:hideMark/>
          </w:tcPr>
          <w:p w:rsidR="007313F2" w:rsidRPr="007313F2" w:rsidRDefault="007313F2" w:rsidP="007313F2">
            <w:pPr>
              <w:rPr>
                <w:rFonts w:cs="Arial"/>
              </w:rPr>
            </w:pPr>
            <w:r w:rsidRPr="007313F2">
              <w:rPr>
                <w:rFonts w:cs="Arial"/>
              </w:rPr>
              <w:t> </w:t>
            </w:r>
          </w:p>
        </w:tc>
        <w:tc>
          <w:tcPr>
            <w:tcW w:w="1284"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p>
        </w:tc>
        <w:tc>
          <w:tcPr>
            <w:tcW w:w="1284"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p>
        </w:tc>
        <w:tc>
          <w:tcPr>
            <w:tcW w:w="1260"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p>
        </w:tc>
        <w:tc>
          <w:tcPr>
            <w:tcW w:w="1417"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p>
        </w:tc>
      </w:tr>
      <w:tr w:rsidR="007313F2" w:rsidRPr="007313F2" w:rsidTr="007313F2">
        <w:trPr>
          <w:trHeight w:val="340"/>
        </w:trPr>
        <w:tc>
          <w:tcPr>
            <w:tcW w:w="2268" w:type="dxa"/>
            <w:tcBorders>
              <w:top w:val="nil"/>
              <w:left w:val="single" w:sz="4" w:space="0" w:color="auto"/>
              <w:right w:val="single" w:sz="4" w:space="0" w:color="auto"/>
            </w:tcBorders>
            <w:shd w:val="clear" w:color="auto" w:fill="auto"/>
            <w:vAlign w:val="center"/>
            <w:hideMark/>
          </w:tcPr>
          <w:p w:rsidR="007313F2" w:rsidRPr="007313F2" w:rsidRDefault="007313F2" w:rsidP="007313F2">
            <w:pPr>
              <w:jc w:val="left"/>
              <w:rPr>
                <w:rFonts w:cs="Arial"/>
              </w:rPr>
            </w:pPr>
            <w:r w:rsidRPr="007313F2">
              <w:rPr>
                <w:rFonts w:cs="Arial"/>
              </w:rPr>
              <w:t>Directors</w:t>
            </w:r>
          </w:p>
        </w:tc>
        <w:tc>
          <w:tcPr>
            <w:tcW w:w="1284"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3</w:t>
            </w:r>
          </w:p>
        </w:tc>
        <w:tc>
          <w:tcPr>
            <w:tcW w:w="1284"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3</w:t>
            </w:r>
          </w:p>
        </w:tc>
        <w:tc>
          <w:tcPr>
            <w:tcW w:w="1260"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w:t>
            </w:r>
          </w:p>
        </w:tc>
        <w:tc>
          <w:tcPr>
            <w:tcW w:w="1417"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3</w:t>
            </w:r>
          </w:p>
        </w:tc>
      </w:tr>
      <w:tr w:rsidR="007313F2" w:rsidRPr="007313F2" w:rsidTr="007313F2">
        <w:trPr>
          <w:trHeight w:val="340"/>
        </w:trPr>
        <w:tc>
          <w:tcPr>
            <w:tcW w:w="2268" w:type="dxa"/>
            <w:tcBorders>
              <w:top w:val="nil"/>
              <w:left w:val="single" w:sz="4" w:space="0" w:color="auto"/>
              <w:right w:val="single" w:sz="4" w:space="0" w:color="auto"/>
            </w:tcBorders>
            <w:shd w:val="clear" w:color="auto" w:fill="auto"/>
            <w:vAlign w:val="center"/>
            <w:hideMark/>
          </w:tcPr>
          <w:p w:rsidR="007313F2" w:rsidRPr="007313F2" w:rsidRDefault="007313F2" w:rsidP="007313F2">
            <w:pPr>
              <w:jc w:val="left"/>
              <w:rPr>
                <w:rFonts w:cs="Arial"/>
              </w:rPr>
            </w:pPr>
            <w:r w:rsidRPr="007313F2">
              <w:rPr>
                <w:rFonts w:cs="Arial"/>
              </w:rPr>
              <w:t>Professionals</w:t>
            </w:r>
          </w:p>
        </w:tc>
        <w:tc>
          <w:tcPr>
            <w:tcW w:w="1284"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3</w:t>
            </w:r>
          </w:p>
        </w:tc>
        <w:tc>
          <w:tcPr>
            <w:tcW w:w="1284"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3</w:t>
            </w:r>
          </w:p>
        </w:tc>
        <w:tc>
          <w:tcPr>
            <w:tcW w:w="1260"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1</w:t>
            </w:r>
          </w:p>
        </w:tc>
        <w:tc>
          <w:tcPr>
            <w:tcW w:w="1417" w:type="dxa"/>
            <w:tcBorders>
              <w:top w:val="nil"/>
              <w:left w:val="nil"/>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4</w:t>
            </w:r>
          </w:p>
        </w:tc>
      </w:tr>
      <w:tr w:rsidR="007313F2" w:rsidRPr="007313F2" w:rsidTr="007313F2">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313F2" w:rsidRPr="007313F2" w:rsidRDefault="007313F2" w:rsidP="007313F2">
            <w:pPr>
              <w:jc w:val="left"/>
              <w:rPr>
                <w:rFonts w:cs="Arial"/>
              </w:rPr>
            </w:pPr>
            <w:r w:rsidRPr="007313F2">
              <w:rPr>
                <w:rFonts w:cs="Arial"/>
              </w:rPr>
              <w:t>General Service</w:t>
            </w:r>
          </w:p>
        </w:tc>
        <w:tc>
          <w:tcPr>
            <w:tcW w:w="1284" w:type="dxa"/>
            <w:tcBorders>
              <w:top w:val="nil"/>
              <w:left w:val="nil"/>
              <w:bottom w:val="single" w:sz="4" w:space="0" w:color="auto"/>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5</w:t>
            </w:r>
          </w:p>
        </w:tc>
        <w:tc>
          <w:tcPr>
            <w:tcW w:w="1284" w:type="dxa"/>
            <w:tcBorders>
              <w:top w:val="nil"/>
              <w:left w:val="nil"/>
              <w:bottom w:val="single" w:sz="4" w:space="0" w:color="auto"/>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5</w:t>
            </w:r>
          </w:p>
        </w:tc>
        <w:tc>
          <w:tcPr>
            <w:tcW w:w="1260" w:type="dxa"/>
            <w:tcBorders>
              <w:top w:val="nil"/>
              <w:left w:val="nil"/>
              <w:bottom w:val="single" w:sz="4" w:space="0" w:color="auto"/>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-1</w:t>
            </w:r>
          </w:p>
        </w:tc>
        <w:tc>
          <w:tcPr>
            <w:tcW w:w="1417" w:type="dxa"/>
            <w:tcBorders>
              <w:top w:val="nil"/>
              <w:left w:val="nil"/>
              <w:bottom w:val="single" w:sz="4" w:space="0" w:color="auto"/>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4</w:t>
            </w:r>
          </w:p>
        </w:tc>
      </w:tr>
      <w:tr w:rsidR="007313F2" w:rsidRPr="007313F2" w:rsidTr="007313F2">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7313F2" w:rsidRPr="007313F2" w:rsidRDefault="007313F2" w:rsidP="007313F2">
            <w:pPr>
              <w:jc w:val="left"/>
              <w:rPr>
                <w:rFonts w:cs="Arial"/>
                <w:b/>
                <w:bCs/>
              </w:rPr>
            </w:pPr>
            <w:r w:rsidRPr="007313F2">
              <w:rPr>
                <w:rFonts w:cs="Arial"/>
                <w:b/>
                <w:bCs/>
              </w:rPr>
              <w:t>Total</w:t>
            </w:r>
          </w:p>
        </w:tc>
        <w:tc>
          <w:tcPr>
            <w:tcW w:w="1284" w:type="dxa"/>
            <w:tcBorders>
              <w:top w:val="nil"/>
              <w:left w:val="nil"/>
              <w:bottom w:val="single" w:sz="4" w:space="0" w:color="auto"/>
              <w:right w:val="single" w:sz="4" w:space="0" w:color="auto"/>
            </w:tcBorders>
            <w:shd w:val="clear" w:color="auto" w:fill="auto"/>
            <w:vAlign w:val="center"/>
            <w:hideMark/>
          </w:tcPr>
          <w:p w:rsidR="007313F2" w:rsidRPr="007313F2" w:rsidRDefault="007313F2" w:rsidP="007313F2">
            <w:pPr>
              <w:jc w:val="center"/>
              <w:rPr>
                <w:rFonts w:cs="Arial"/>
                <w:b/>
                <w:bCs/>
              </w:rPr>
            </w:pPr>
            <w:r w:rsidRPr="007313F2">
              <w:rPr>
                <w:rFonts w:cs="Arial"/>
                <w:b/>
                <w:bCs/>
              </w:rPr>
              <w:t>11</w:t>
            </w:r>
          </w:p>
        </w:tc>
        <w:tc>
          <w:tcPr>
            <w:tcW w:w="1284" w:type="dxa"/>
            <w:tcBorders>
              <w:top w:val="nil"/>
              <w:left w:val="nil"/>
              <w:bottom w:val="single" w:sz="4" w:space="0" w:color="auto"/>
              <w:right w:val="single" w:sz="4" w:space="0" w:color="auto"/>
            </w:tcBorders>
            <w:shd w:val="clear" w:color="auto" w:fill="auto"/>
            <w:vAlign w:val="center"/>
            <w:hideMark/>
          </w:tcPr>
          <w:p w:rsidR="007313F2" w:rsidRPr="007313F2" w:rsidRDefault="007313F2" w:rsidP="007313F2">
            <w:pPr>
              <w:jc w:val="center"/>
              <w:rPr>
                <w:rFonts w:cs="Arial"/>
                <w:b/>
                <w:bCs/>
              </w:rPr>
            </w:pPr>
            <w:r w:rsidRPr="007313F2">
              <w:rPr>
                <w:rFonts w:cs="Arial"/>
                <w:b/>
                <w:bCs/>
              </w:rPr>
              <w:t>11</w:t>
            </w:r>
          </w:p>
        </w:tc>
        <w:tc>
          <w:tcPr>
            <w:tcW w:w="1260" w:type="dxa"/>
            <w:tcBorders>
              <w:top w:val="nil"/>
              <w:left w:val="nil"/>
              <w:bottom w:val="single" w:sz="4" w:space="0" w:color="auto"/>
              <w:right w:val="single" w:sz="4" w:space="0" w:color="auto"/>
            </w:tcBorders>
            <w:shd w:val="clear" w:color="auto" w:fill="auto"/>
            <w:vAlign w:val="center"/>
            <w:hideMark/>
          </w:tcPr>
          <w:p w:rsidR="007313F2" w:rsidRPr="007313F2" w:rsidRDefault="007313F2" w:rsidP="007313F2">
            <w:pPr>
              <w:jc w:val="center"/>
              <w:rPr>
                <w:rFonts w:cs="Arial"/>
              </w:rPr>
            </w:pPr>
            <w:r w:rsidRPr="007313F2">
              <w:rPr>
                <w:rFonts w:cs="Arial"/>
              </w:rPr>
              <w:t>-</w:t>
            </w:r>
          </w:p>
        </w:tc>
        <w:tc>
          <w:tcPr>
            <w:tcW w:w="1417" w:type="dxa"/>
            <w:tcBorders>
              <w:top w:val="nil"/>
              <w:left w:val="nil"/>
              <w:bottom w:val="single" w:sz="4" w:space="0" w:color="auto"/>
              <w:right w:val="single" w:sz="4" w:space="0" w:color="auto"/>
            </w:tcBorders>
            <w:shd w:val="clear" w:color="auto" w:fill="auto"/>
            <w:vAlign w:val="center"/>
            <w:hideMark/>
          </w:tcPr>
          <w:p w:rsidR="007313F2" w:rsidRPr="007313F2" w:rsidRDefault="007313F2" w:rsidP="007313F2">
            <w:pPr>
              <w:jc w:val="center"/>
              <w:rPr>
                <w:rFonts w:cs="Arial"/>
                <w:b/>
                <w:bCs/>
              </w:rPr>
            </w:pPr>
            <w:r w:rsidRPr="007313F2">
              <w:rPr>
                <w:rFonts w:cs="Arial"/>
                <w:b/>
                <w:bCs/>
              </w:rPr>
              <w:t>11</w:t>
            </w:r>
          </w:p>
        </w:tc>
      </w:tr>
    </w:tbl>
    <w:p w:rsidR="00421639" w:rsidRDefault="00421639" w:rsidP="00421639">
      <w:pPr>
        <w:tabs>
          <w:tab w:val="left" w:pos="567"/>
        </w:tabs>
        <w:rPr>
          <w:color w:val="000000"/>
        </w:rPr>
      </w:pPr>
      <w:bookmarkStart w:id="10" w:name="OLE_LINK9"/>
      <w:bookmarkStart w:id="11" w:name="OLE_LINK10"/>
    </w:p>
    <w:p w:rsidR="0035241B" w:rsidRDefault="0035241B" w:rsidP="00421639">
      <w:pPr>
        <w:tabs>
          <w:tab w:val="left" w:pos="567"/>
        </w:tabs>
        <w:rPr>
          <w:color w:val="000000"/>
        </w:rPr>
      </w:pPr>
    </w:p>
    <w:p w:rsidR="00421639" w:rsidRPr="00DD6106" w:rsidRDefault="00421639" w:rsidP="00421639">
      <w:pPr>
        <w:tabs>
          <w:tab w:val="left" w:pos="567"/>
        </w:tabs>
      </w:pPr>
      <w:r w:rsidRPr="00FC2170">
        <w:rPr>
          <w:color w:val="000000"/>
        </w:rPr>
        <w:t>3.11</w:t>
      </w:r>
      <w:bookmarkEnd w:id="10"/>
      <w:bookmarkEnd w:id="11"/>
      <w:r w:rsidRPr="00DD6106">
        <w:tab/>
      </w:r>
      <w:r w:rsidRPr="00DD6106">
        <w:rPr>
          <w:b/>
        </w:rPr>
        <w:t>Table 6</w:t>
      </w:r>
      <w:r w:rsidRPr="00DD6106">
        <w:t xml:space="preserve"> provides the proposed budget allocation by sub-program.</w:t>
      </w:r>
    </w:p>
    <w:p w:rsidR="00421639" w:rsidRPr="00DD6106" w:rsidRDefault="00421639" w:rsidP="00421639">
      <w:pPr>
        <w:tabs>
          <w:tab w:val="left" w:pos="567"/>
        </w:tabs>
      </w:pPr>
    </w:p>
    <w:p w:rsidR="00421639" w:rsidRPr="00DD6106" w:rsidRDefault="00421639" w:rsidP="00421639">
      <w:pPr>
        <w:tabs>
          <w:tab w:val="left" w:pos="567"/>
        </w:tabs>
      </w:pPr>
      <w:r w:rsidRPr="00FC2170">
        <w:rPr>
          <w:color w:val="000000"/>
        </w:rPr>
        <w:t>3.1</w:t>
      </w:r>
      <w:r>
        <w:rPr>
          <w:color w:val="000000"/>
        </w:rPr>
        <w:t>2</w:t>
      </w:r>
      <w:r w:rsidRPr="00DD6106">
        <w:tab/>
        <w:t xml:space="preserve">The proposed Program and Budget for the </w:t>
      </w:r>
      <w:r w:rsidRPr="0044380F">
        <w:rPr>
          <w:snapToGrid w:val="0"/>
          <w:spacing w:val="-2"/>
          <w:szCs w:val="24"/>
        </w:rPr>
        <w:t>2014</w:t>
      </w:r>
      <w:r>
        <w:rPr>
          <w:snapToGrid w:val="0"/>
          <w:spacing w:val="-2"/>
          <w:szCs w:val="24"/>
        </w:rPr>
        <w:t>­</w:t>
      </w:r>
      <w:r w:rsidRPr="0044380F">
        <w:rPr>
          <w:snapToGrid w:val="0"/>
          <w:spacing w:val="-2"/>
          <w:szCs w:val="24"/>
        </w:rPr>
        <w:t>2015</w:t>
      </w:r>
      <w:r w:rsidRPr="00DD6106">
        <w:t xml:space="preserve"> Biennium is split into four sub­programs:  </w:t>
      </w:r>
    </w:p>
    <w:p w:rsidR="00421639" w:rsidRPr="00DD6106" w:rsidRDefault="00421639" w:rsidP="00421639">
      <w:pPr>
        <w:tabs>
          <w:tab w:val="left" w:pos="567"/>
        </w:tabs>
      </w:pPr>
    </w:p>
    <w:p w:rsidR="00421639" w:rsidRPr="00DD6106" w:rsidRDefault="00421639" w:rsidP="00421639">
      <w:pPr>
        <w:keepNext/>
        <w:autoSpaceDE w:val="0"/>
        <w:autoSpaceDN w:val="0"/>
        <w:adjustRightInd w:val="0"/>
        <w:ind w:left="1417" w:hanging="850"/>
        <w:jc w:val="left"/>
        <w:rPr>
          <w:bCs/>
          <w:szCs w:val="24"/>
        </w:rPr>
      </w:pPr>
      <w:r w:rsidRPr="00DD6106">
        <w:rPr>
          <w:bCs/>
          <w:szCs w:val="24"/>
        </w:rPr>
        <w:t>UV.1:</w:t>
      </w:r>
      <w:r w:rsidRPr="00DD6106">
        <w:rPr>
          <w:bCs/>
          <w:szCs w:val="24"/>
        </w:rPr>
        <w:tab/>
        <w:t>Overall Policy on Plant Variety Protection</w:t>
      </w:r>
    </w:p>
    <w:p w:rsidR="00421639" w:rsidRPr="00DD6106" w:rsidRDefault="00421639" w:rsidP="00421639">
      <w:pPr>
        <w:ind w:left="1417" w:hanging="850"/>
      </w:pPr>
      <w:r w:rsidRPr="00DD6106">
        <w:t>UV.2:</w:t>
      </w:r>
      <w:r w:rsidRPr="00DD6106">
        <w:tab/>
        <w:t xml:space="preserve">Services to the </w:t>
      </w:r>
      <w:smartTag w:uri="urn:schemas-microsoft-com:office:smarttags" w:element="place">
        <w:r w:rsidRPr="00DD6106">
          <w:t>Union</w:t>
        </w:r>
      </w:smartTag>
      <w:r w:rsidRPr="00DD6106">
        <w:t xml:space="preserve"> for Enhancing the Effectiveness of the UPOV System</w:t>
      </w:r>
    </w:p>
    <w:p w:rsidR="00421639" w:rsidRPr="00DD6106" w:rsidRDefault="00421639" w:rsidP="00421639">
      <w:pPr>
        <w:ind w:left="1417" w:hanging="850"/>
      </w:pPr>
      <w:r w:rsidRPr="00DD6106">
        <w:t>UV.3:</w:t>
      </w:r>
      <w:r w:rsidRPr="00DD6106">
        <w:tab/>
        <w:t xml:space="preserve">Assistance </w:t>
      </w:r>
      <w:r>
        <w:t>in</w:t>
      </w:r>
      <w:r w:rsidRPr="00DD6106">
        <w:t xml:space="preserve"> the Introduction and Implementation of the UPOV System</w:t>
      </w:r>
    </w:p>
    <w:p w:rsidR="00421639" w:rsidRPr="00DD6106" w:rsidRDefault="00421639" w:rsidP="00421639">
      <w:pPr>
        <w:ind w:left="1417" w:hanging="850"/>
      </w:pPr>
      <w:r w:rsidRPr="00DD6106">
        <w:rPr>
          <w:bCs/>
          <w:szCs w:val="24"/>
        </w:rPr>
        <w:t>UV.4:</w:t>
      </w:r>
      <w:r w:rsidRPr="00DD6106">
        <w:rPr>
          <w:bCs/>
          <w:szCs w:val="24"/>
        </w:rPr>
        <w:tab/>
        <w:t>External Relations</w:t>
      </w:r>
    </w:p>
    <w:p w:rsidR="00421639" w:rsidRPr="00DD6106" w:rsidRDefault="00421639" w:rsidP="00421639">
      <w:pPr>
        <w:tabs>
          <w:tab w:val="left" w:pos="567"/>
        </w:tabs>
      </w:pPr>
    </w:p>
    <w:p w:rsidR="00421639" w:rsidRDefault="00421639" w:rsidP="0035241B">
      <w:pPr>
        <w:tabs>
          <w:tab w:val="left" w:pos="567"/>
        </w:tabs>
      </w:pPr>
      <w:r w:rsidRPr="00FC2170">
        <w:rPr>
          <w:color w:val="000000"/>
        </w:rPr>
        <w:t>3.1</w:t>
      </w:r>
      <w:r>
        <w:rPr>
          <w:color w:val="000000"/>
        </w:rPr>
        <w:t>3</w:t>
      </w:r>
      <w:r w:rsidRPr="00DD6106">
        <w:tab/>
        <w:t xml:space="preserve">Personnel resources have been allocated by sub-program as a proportion of the staff time that is anticipated to be spent on each sub-program.  Non-personnel expenditures have been </w:t>
      </w:r>
      <w:r>
        <w:t>distributed by sub</w:t>
      </w:r>
      <w:r>
        <w:noBreakHyphen/>
      </w:r>
      <w:r w:rsidRPr="00DD6106">
        <w:t>program in anticipation of their respective activities.  It should be noted that common expenditures with WIPO for administrative services rendered to UPOV appear under sub-program UV.2.</w:t>
      </w:r>
    </w:p>
    <w:p w:rsidR="006F35E5" w:rsidRPr="003B13DD" w:rsidRDefault="006F35E5" w:rsidP="0035241B">
      <w:pPr>
        <w:tabs>
          <w:tab w:val="left" w:pos="567"/>
        </w:tabs>
      </w:pPr>
    </w:p>
    <w:p w:rsidR="006F35E5" w:rsidRDefault="006F35E5">
      <w:pPr>
        <w:jc w:val="left"/>
        <w:rPr>
          <w:b/>
        </w:rPr>
      </w:pPr>
      <w:r>
        <w:rPr>
          <w:b/>
        </w:rPr>
        <w:br w:type="page"/>
      </w:r>
    </w:p>
    <w:p w:rsidR="00421639" w:rsidRPr="003B13DD" w:rsidRDefault="00421639" w:rsidP="00421639">
      <w:pPr>
        <w:keepNext/>
        <w:jc w:val="center"/>
        <w:rPr>
          <w:b/>
        </w:rPr>
      </w:pPr>
      <w:r w:rsidRPr="003B13DD">
        <w:rPr>
          <w:b/>
        </w:rPr>
        <w:t>Table 6:  Proposed Budget 2014-15:  Allocation by Object of Expenditure</w:t>
      </w:r>
    </w:p>
    <w:p w:rsidR="00421639" w:rsidRDefault="00421639" w:rsidP="00421639">
      <w:pPr>
        <w:keepNext/>
        <w:jc w:val="center"/>
      </w:pPr>
      <w:r w:rsidRPr="0072367F">
        <w:t>(in thousands of Swiss francs)</w:t>
      </w:r>
    </w:p>
    <w:p w:rsidR="00946029" w:rsidRDefault="00946029" w:rsidP="009A0B7E">
      <w:pPr>
        <w:keepNext/>
      </w:pPr>
    </w:p>
    <w:tbl>
      <w:tblPr>
        <w:tblW w:w="9000" w:type="dxa"/>
        <w:tblInd w:w="392" w:type="dxa"/>
        <w:tblLook w:val="04A0" w:firstRow="1" w:lastRow="0" w:firstColumn="1" w:lastColumn="0" w:noHBand="0" w:noVBand="1"/>
      </w:tblPr>
      <w:tblGrid>
        <w:gridCol w:w="958"/>
        <w:gridCol w:w="3011"/>
        <w:gridCol w:w="994"/>
        <w:gridCol w:w="1034"/>
        <w:gridCol w:w="995"/>
        <w:gridCol w:w="994"/>
        <w:gridCol w:w="1014"/>
      </w:tblGrid>
      <w:tr w:rsidR="006F35E5" w:rsidRPr="006F35E5" w:rsidTr="006F35E5">
        <w:trPr>
          <w:trHeight w:val="270"/>
        </w:trPr>
        <w:tc>
          <w:tcPr>
            <w:tcW w:w="958" w:type="dxa"/>
            <w:tcBorders>
              <w:top w:val="single" w:sz="4" w:space="0" w:color="auto"/>
              <w:left w:val="single" w:sz="4" w:space="0" w:color="auto"/>
              <w:bottom w:val="nil"/>
              <w:right w:val="nil"/>
            </w:tcBorders>
            <w:shd w:val="clear" w:color="auto" w:fill="auto"/>
            <w:vAlign w:val="bottom"/>
            <w:hideMark/>
          </w:tcPr>
          <w:p w:rsidR="006F35E5" w:rsidRPr="006F35E5" w:rsidRDefault="006F35E5" w:rsidP="006F35E5">
            <w:pPr>
              <w:jc w:val="left"/>
              <w:rPr>
                <w:rFonts w:cs="Arial"/>
                <w:b/>
                <w:bCs/>
              </w:rPr>
            </w:pPr>
          </w:p>
        </w:tc>
        <w:tc>
          <w:tcPr>
            <w:tcW w:w="3011" w:type="dxa"/>
            <w:tcBorders>
              <w:top w:val="single" w:sz="4" w:space="0" w:color="auto"/>
              <w:left w:val="nil"/>
              <w:bottom w:val="nil"/>
              <w:right w:val="nil"/>
            </w:tcBorders>
            <w:shd w:val="clear" w:color="auto" w:fill="auto"/>
            <w:vAlign w:val="bottom"/>
            <w:hideMark/>
          </w:tcPr>
          <w:p w:rsidR="006F35E5" w:rsidRPr="006F35E5" w:rsidRDefault="006F35E5" w:rsidP="006F35E5">
            <w:pPr>
              <w:jc w:val="left"/>
              <w:rPr>
                <w:rFonts w:cs="Arial"/>
                <w:b/>
                <w:bCs/>
              </w:rPr>
            </w:pPr>
          </w:p>
        </w:tc>
        <w:tc>
          <w:tcPr>
            <w:tcW w:w="4017" w:type="dxa"/>
            <w:gridSpan w:val="4"/>
            <w:tcBorders>
              <w:top w:val="single" w:sz="4" w:space="0" w:color="auto"/>
              <w:left w:val="single" w:sz="4" w:space="0" w:color="auto"/>
              <w:bottom w:val="nil"/>
              <w:right w:val="single" w:sz="4" w:space="0" w:color="auto"/>
            </w:tcBorders>
            <w:shd w:val="clear" w:color="auto" w:fill="auto"/>
            <w:vAlign w:val="bottom"/>
            <w:hideMark/>
          </w:tcPr>
          <w:p w:rsidR="006F35E5" w:rsidRPr="006F35E5" w:rsidRDefault="006F35E5" w:rsidP="006F35E5">
            <w:pPr>
              <w:jc w:val="center"/>
              <w:rPr>
                <w:rFonts w:cs="Arial"/>
                <w:b/>
                <w:bCs/>
                <w:i/>
                <w:iCs/>
              </w:rPr>
            </w:pPr>
            <w:r w:rsidRPr="006F35E5">
              <w:rPr>
                <w:rFonts w:cs="Arial"/>
                <w:b/>
                <w:bCs/>
                <w:i/>
                <w:iCs/>
              </w:rPr>
              <w:t>Sub-program</w:t>
            </w:r>
          </w:p>
        </w:tc>
        <w:tc>
          <w:tcPr>
            <w:tcW w:w="1014" w:type="dxa"/>
            <w:tcBorders>
              <w:top w:val="single" w:sz="4" w:space="0" w:color="auto"/>
              <w:left w:val="nil"/>
              <w:bottom w:val="nil"/>
              <w:right w:val="single" w:sz="4" w:space="0" w:color="auto"/>
            </w:tcBorders>
            <w:shd w:val="clear" w:color="auto" w:fill="auto"/>
            <w:vAlign w:val="bottom"/>
            <w:hideMark/>
          </w:tcPr>
          <w:p w:rsidR="006F35E5" w:rsidRPr="006F35E5" w:rsidRDefault="006F35E5" w:rsidP="006F35E5">
            <w:pPr>
              <w:jc w:val="center"/>
              <w:rPr>
                <w:rFonts w:cs="Arial"/>
                <w:b/>
                <w:bCs/>
                <w:i/>
                <w:iCs/>
              </w:rPr>
            </w:pPr>
            <w:r w:rsidRPr="006F35E5">
              <w:rPr>
                <w:rFonts w:cs="Arial"/>
                <w:b/>
                <w:bCs/>
                <w:i/>
                <w:iCs/>
              </w:rPr>
              <w:t> </w:t>
            </w:r>
          </w:p>
        </w:tc>
      </w:tr>
      <w:tr w:rsidR="006F35E5" w:rsidRPr="006F35E5" w:rsidTr="006F35E5">
        <w:trPr>
          <w:trHeight w:val="255"/>
        </w:trPr>
        <w:tc>
          <w:tcPr>
            <w:tcW w:w="958" w:type="dxa"/>
            <w:tcBorders>
              <w:top w:val="nil"/>
              <w:left w:val="single" w:sz="4" w:space="0" w:color="auto"/>
              <w:bottom w:val="single" w:sz="4" w:space="0" w:color="auto"/>
              <w:right w:val="nil"/>
            </w:tcBorders>
            <w:shd w:val="clear" w:color="auto" w:fill="auto"/>
            <w:vAlign w:val="bottom"/>
            <w:hideMark/>
          </w:tcPr>
          <w:p w:rsidR="006F35E5" w:rsidRPr="006F35E5" w:rsidRDefault="006F35E5" w:rsidP="006F35E5">
            <w:pPr>
              <w:jc w:val="left"/>
              <w:rPr>
                <w:rFonts w:cs="Arial"/>
                <w:b/>
                <w:bCs/>
              </w:rPr>
            </w:pPr>
          </w:p>
        </w:tc>
        <w:tc>
          <w:tcPr>
            <w:tcW w:w="3011" w:type="dxa"/>
            <w:tcBorders>
              <w:top w:val="nil"/>
              <w:left w:val="nil"/>
              <w:bottom w:val="single" w:sz="4" w:space="0" w:color="auto"/>
              <w:right w:val="nil"/>
            </w:tcBorders>
            <w:shd w:val="clear" w:color="auto" w:fill="auto"/>
            <w:vAlign w:val="bottom"/>
            <w:hideMark/>
          </w:tcPr>
          <w:p w:rsidR="006F35E5" w:rsidRPr="006F35E5" w:rsidRDefault="006F35E5" w:rsidP="006F35E5">
            <w:pPr>
              <w:jc w:val="left"/>
              <w:rPr>
                <w:rFonts w:cs="Arial"/>
                <w:b/>
                <w:bCs/>
                <w:i/>
                <w:iCs/>
              </w:rPr>
            </w:pPr>
            <w:r w:rsidRPr="006F35E5">
              <w:rPr>
                <w:rFonts w:cs="Arial"/>
                <w:b/>
                <w:bCs/>
                <w:i/>
                <w:iCs/>
              </w:rPr>
              <w:t>Object of Expenditure</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35E5" w:rsidRPr="006F35E5" w:rsidRDefault="006F35E5" w:rsidP="006F35E5">
            <w:pPr>
              <w:jc w:val="center"/>
              <w:rPr>
                <w:rFonts w:cs="Arial"/>
                <w:b/>
                <w:bCs/>
                <w:i/>
                <w:iCs/>
              </w:rPr>
            </w:pPr>
            <w:r w:rsidRPr="006F35E5">
              <w:rPr>
                <w:rFonts w:cs="Arial"/>
                <w:b/>
                <w:bCs/>
                <w:i/>
                <w:iCs/>
              </w:rPr>
              <w:t>UV.1</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6F35E5" w:rsidRPr="006F35E5" w:rsidRDefault="006F35E5" w:rsidP="006F35E5">
            <w:pPr>
              <w:jc w:val="center"/>
              <w:rPr>
                <w:rFonts w:cs="Arial"/>
                <w:b/>
                <w:bCs/>
                <w:i/>
                <w:iCs/>
              </w:rPr>
            </w:pPr>
            <w:r w:rsidRPr="006F35E5">
              <w:rPr>
                <w:rFonts w:cs="Arial"/>
                <w:b/>
                <w:bCs/>
                <w:i/>
                <w:iCs/>
              </w:rPr>
              <w:t>UV.2</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6F35E5" w:rsidRPr="006F35E5" w:rsidRDefault="006F35E5" w:rsidP="006F35E5">
            <w:pPr>
              <w:jc w:val="center"/>
              <w:rPr>
                <w:rFonts w:cs="Arial"/>
                <w:b/>
                <w:bCs/>
                <w:i/>
                <w:iCs/>
              </w:rPr>
            </w:pPr>
            <w:r w:rsidRPr="006F35E5">
              <w:rPr>
                <w:rFonts w:cs="Arial"/>
                <w:b/>
                <w:bCs/>
                <w:i/>
                <w:iCs/>
              </w:rPr>
              <w:t>UV.3</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6F35E5" w:rsidRPr="006F35E5" w:rsidRDefault="006F35E5" w:rsidP="006F35E5">
            <w:pPr>
              <w:jc w:val="center"/>
              <w:rPr>
                <w:rFonts w:cs="Arial"/>
                <w:b/>
                <w:bCs/>
                <w:i/>
                <w:iCs/>
              </w:rPr>
            </w:pPr>
            <w:r w:rsidRPr="006F35E5">
              <w:rPr>
                <w:rFonts w:cs="Arial"/>
                <w:b/>
                <w:bCs/>
                <w:i/>
                <w:iCs/>
              </w:rPr>
              <w:t>UV.4</w:t>
            </w:r>
          </w:p>
        </w:tc>
        <w:tc>
          <w:tcPr>
            <w:tcW w:w="1014" w:type="dxa"/>
            <w:tcBorders>
              <w:top w:val="nil"/>
              <w:left w:val="nil"/>
              <w:bottom w:val="single" w:sz="4" w:space="0" w:color="auto"/>
              <w:right w:val="single" w:sz="4" w:space="0" w:color="auto"/>
            </w:tcBorders>
            <w:shd w:val="clear" w:color="auto" w:fill="auto"/>
            <w:vAlign w:val="bottom"/>
            <w:hideMark/>
          </w:tcPr>
          <w:p w:rsidR="006F35E5" w:rsidRPr="006F35E5" w:rsidRDefault="006F35E5" w:rsidP="006F35E5">
            <w:pPr>
              <w:jc w:val="center"/>
              <w:rPr>
                <w:rFonts w:cs="Arial"/>
                <w:b/>
                <w:bCs/>
                <w:i/>
                <w:iCs/>
              </w:rPr>
            </w:pPr>
            <w:r w:rsidRPr="006F35E5">
              <w:rPr>
                <w:rFonts w:cs="Arial"/>
                <w:b/>
                <w:bCs/>
                <w:i/>
                <w:iCs/>
              </w:rPr>
              <w:t>Total</w:t>
            </w:r>
          </w:p>
        </w:tc>
      </w:tr>
      <w:tr w:rsidR="006F35E5" w:rsidRPr="006F35E5" w:rsidTr="006F35E5">
        <w:trPr>
          <w:trHeight w:val="255"/>
        </w:trPr>
        <w:tc>
          <w:tcPr>
            <w:tcW w:w="3969" w:type="dxa"/>
            <w:gridSpan w:val="2"/>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b/>
                <w:bCs/>
              </w:rPr>
            </w:pP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 </w:t>
            </w:r>
          </w:p>
        </w:tc>
      </w:tr>
      <w:tr w:rsidR="006F35E5" w:rsidRPr="006F35E5" w:rsidTr="006F35E5">
        <w:trPr>
          <w:trHeight w:val="510"/>
        </w:trPr>
        <w:tc>
          <w:tcPr>
            <w:tcW w:w="3969" w:type="dxa"/>
            <w:gridSpan w:val="2"/>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b/>
                <w:bCs/>
              </w:rPr>
            </w:pPr>
            <w:r w:rsidRPr="006F35E5">
              <w:rPr>
                <w:rFonts w:cs="Arial"/>
                <w:b/>
                <w:bCs/>
              </w:rPr>
              <w:t>A.  Personnel Resources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592</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2,213</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1,198</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422</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4,425</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rPr>
            </w:pPr>
            <w:r w:rsidRPr="006F35E5">
              <w:rPr>
                <w:rFonts w:cs="Arial"/>
              </w:rPr>
              <w:t>Posts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592</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2,113</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1,098</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422</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r w:rsidRPr="006F35E5">
              <w:rPr>
                <w:rFonts w:cs="Arial"/>
              </w:rPr>
              <w:t>4,225</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color w:val="000000"/>
              </w:rPr>
            </w:pPr>
            <w:r w:rsidRPr="006F35E5">
              <w:rPr>
                <w:rFonts w:cs="Arial"/>
                <w:color w:val="000000"/>
              </w:rPr>
              <w:t>Temporary Staff</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100</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100</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r w:rsidRPr="006F35E5">
              <w:rPr>
                <w:rFonts w:cs="Arial"/>
              </w:rPr>
              <w:t>200</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color w:val="000000"/>
              </w:rPr>
            </w:pP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r w:rsidRPr="006F35E5">
              <w:rPr>
                <w:rFonts w:cs="Arial"/>
              </w:rPr>
              <w:t> </w:t>
            </w:r>
          </w:p>
        </w:tc>
      </w:tr>
      <w:tr w:rsidR="006F35E5" w:rsidRPr="006F35E5" w:rsidTr="006F35E5">
        <w:trPr>
          <w:trHeight w:val="255"/>
        </w:trPr>
        <w:tc>
          <w:tcPr>
            <w:tcW w:w="3969" w:type="dxa"/>
            <w:gridSpan w:val="2"/>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b/>
                <w:bCs/>
              </w:rPr>
            </w:pPr>
            <w:r w:rsidRPr="006F35E5">
              <w:rPr>
                <w:rFonts w:cs="Arial"/>
                <w:b/>
                <w:bCs/>
              </w:rPr>
              <w:t>B.  Non-Personnel Resources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128</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1,721</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380</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140</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2,369</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b/>
                <w:bCs/>
                <w:i/>
                <w:iCs/>
              </w:rPr>
            </w:pPr>
            <w:r w:rsidRPr="006F35E5">
              <w:rPr>
                <w:rFonts w:cs="Arial"/>
                <w:b/>
                <w:bCs/>
                <w:i/>
                <w:iCs/>
              </w:rPr>
              <w:t>Interns</w:t>
            </w: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b/>
                <w:bCs/>
              </w:rPr>
            </w:pP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b/>
                <w:bCs/>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rPr>
            </w:pPr>
            <w:r w:rsidRPr="006F35E5">
              <w:rPr>
                <w:rFonts w:cs="Arial"/>
              </w:rPr>
              <w:t>Interns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r>
      <w:tr w:rsidR="006F35E5" w:rsidRPr="006F35E5" w:rsidTr="006F35E5">
        <w:trPr>
          <w:trHeight w:val="255"/>
        </w:trPr>
        <w:tc>
          <w:tcPr>
            <w:tcW w:w="3969" w:type="dxa"/>
            <w:gridSpan w:val="2"/>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b/>
                <w:bCs/>
                <w:i/>
                <w:iCs/>
              </w:rPr>
            </w:pPr>
            <w:r w:rsidRPr="006F35E5">
              <w:rPr>
                <w:rFonts w:cs="Arial"/>
                <w:b/>
                <w:bCs/>
                <w:i/>
                <w:iCs/>
              </w:rPr>
              <w:t>Travel</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180</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300</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110</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590</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rPr>
            </w:pPr>
            <w:r w:rsidRPr="006F35E5">
              <w:rPr>
                <w:rFonts w:cs="Arial"/>
              </w:rPr>
              <w:t>Staff</w:t>
            </w:r>
            <w:r>
              <w:rPr>
                <w:rFonts w:cs="Arial"/>
              </w:rPr>
              <w:t xml:space="preserve"> </w:t>
            </w:r>
            <w:r w:rsidRPr="006F35E5">
              <w:rPr>
                <w:rFonts w:cs="Arial"/>
              </w:rPr>
              <w:t>Missions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180</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180</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110</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r w:rsidRPr="006F35E5">
              <w:rPr>
                <w:rFonts w:cs="Arial"/>
              </w:rPr>
              <w:t>470</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rPr>
            </w:pPr>
            <w:r w:rsidRPr="006F35E5">
              <w:rPr>
                <w:rFonts w:cs="Arial"/>
              </w:rPr>
              <w:t>Third</w:t>
            </w:r>
            <w:r>
              <w:rPr>
                <w:rFonts w:cs="Arial"/>
              </w:rPr>
              <w:t xml:space="preserve"> </w:t>
            </w:r>
            <w:r w:rsidRPr="006F35E5">
              <w:rPr>
                <w:rFonts w:cs="Arial"/>
              </w:rPr>
              <w:t>Party</w:t>
            </w:r>
            <w:r>
              <w:rPr>
                <w:rFonts w:cs="Arial"/>
              </w:rPr>
              <w:t xml:space="preserve"> </w:t>
            </w:r>
            <w:r w:rsidRPr="006F35E5">
              <w:rPr>
                <w:rFonts w:cs="Arial"/>
              </w:rPr>
              <w:t>Travel</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120</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r w:rsidRPr="006F35E5">
              <w:rPr>
                <w:rFonts w:cs="Arial"/>
              </w:rPr>
              <w:t>120</w:t>
            </w:r>
          </w:p>
        </w:tc>
      </w:tr>
      <w:tr w:rsidR="006F35E5" w:rsidRPr="006F35E5" w:rsidTr="006F35E5">
        <w:trPr>
          <w:trHeight w:val="270"/>
        </w:trPr>
        <w:tc>
          <w:tcPr>
            <w:tcW w:w="3969" w:type="dxa"/>
            <w:gridSpan w:val="2"/>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b/>
                <w:bCs/>
                <w:i/>
                <w:iCs/>
              </w:rPr>
            </w:pPr>
            <w:r w:rsidRPr="006F35E5">
              <w:rPr>
                <w:rFonts w:cs="Arial"/>
                <w:b/>
                <w:bCs/>
                <w:i/>
                <w:iCs/>
              </w:rPr>
              <w:t>Contractual Services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80</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305</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70</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20</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475</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rPr>
            </w:pPr>
            <w:r w:rsidRPr="006F35E5">
              <w:rPr>
                <w:rFonts w:cs="Arial"/>
              </w:rPr>
              <w:t>Conferences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80</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120</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40</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10</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r w:rsidRPr="006F35E5">
              <w:rPr>
                <w:rFonts w:cs="Arial"/>
              </w:rPr>
              <w:t>250</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rPr>
            </w:pPr>
            <w:r w:rsidRPr="006F35E5">
              <w:rPr>
                <w:rFonts w:cs="Arial"/>
              </w:rPr>
              <w:t>Publishing</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35</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r w:rsidRPr="006F35E5">
              <w:rPr>
                <w:rFonts w:cs="Arial"/>
              </w:rPr>
              <w:t>35</w:t>
            </w:r>
          </w:p>
        </w:tc>
      </w:tr>
      <w:tr w:rsidR="006F35E5" w:rsidRPr="006F35E5" w:rsidTr="00CD42CD">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rPr>
            </w:pPr>
            <w:r w:rsidRPr="006F35E5">
              <w:rPr>
                <w:rFonts w:cs="Arial"/>
              </w:rPr>
              <w:t>Individual</w:t>
            </w:r>
            <w:r>
              <w:rPr>
                <w:rFonts w:cs="Arial"/>
              </w:rPr>
              <w:t xml:space="preserve"> </w:t>
            </w:r>
            <w:r w:rsidRPr="006F35E5">
              <w:rPr>
                <w:rFonts w:cs="Arial"/>
              </w:rPr>
              <w:t>Contractual</w:t>
            </w:r>
            <w:r>
              <w:rPr>
                <w:rFonts w:cs="Arial"/>
              </w:rPr>
              <w:t xml:space="preserve"> </w:t>
            </w:r>
            <w:r w:rsidRPr="006F35E5">
              <w:rPr>
                <w:rFonts w:cs="Arial"/>
              </w:rPr>
              <w:t>Services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30</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10</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r w:rsidRPr="006F35E5">
              <w:rPr>
                <w:rFonts w:cs="Arial"/>
              </w:rPr>
              <w:t>40</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rPr>
            </w:pPr>
            <w:r w:rsidRPr="006F35E5">
              <w:rPr>
                <w:rFonts w:cs="Arial"/>
              </w:rPr>
              <w:t>Other</w:t>
            </w:r>
            <w:r>
              <w:rPr>
                <w:rFonts w:cs="Arial"/>
              </w:rPr>
              <w:t xml:space="preserve"> </w:t>
            </w:r>
            <w:r w:rsidRPr="006F35E5">
              <w:rPr>
                <w:rFonts w:cs="Arial"/>
              </w:rPr>
              <w:t>Contractual</w:t>
            </w:r>
            <w:r>
              <w:rPr>
                <w:rFonts w:cs="Arial"/>
              </w:rPr>
              <w:t xml:space="preserve"> </w:t>
            </w:r>
            <w:r w:rsidRPr="006F35E5">
              <w:rPr>
                <w:rFonts w:cs="Arial"/>
              </w:rPr>
              <w:t>Services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150</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r w:rsidRPr="006F35E5">
              <w:rPr>
                <w:rFonts w:cs="Arial"/>
              </w:rPr>
              <w:t>150</w:t>
            </w:r>
          </w:p>
        </w:tc>
      </w:tr>
      <w:tr w:rsidR="006F35E5" w:rsidRPr="006F35E5" w:rsidTr="006F35E5">
        <w:trPr>
          <w:trHeight w:val="300"/>
        </w:trPr>
        <w:tc>
          <w:tcPr>
            <w:tcW w:w="3969" w:type="dxa"/>
            <w:gridSpan w:val="2"/>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b/>
                <w:bCs/>
                <w:i/>
                <w:iCs/>
              </w:rPr>
            </w:pPr>
            <w:r w:rsidRPr="006F35E5">
              <w:rPr>
                <w:rFonts w:cs="Arial"/>
                <w:b/>
                <w:bCs/>
                <w:i/>
                <w:iCs/>
              </w:rPr>
              <w:t>Operating Expenses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10</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1,236</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10</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10</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1,266</w:t>
            </w:r>
          </w:p>
        </w:tc>
      </w:tr>
      <w:tr w:rsidR="006F35E5" w:rsidRPr="006F35E5" w:rsidTr="006F35E5">
        <w:trPr>
          <w:trHeight w:val="315"/>
        </w:trPr>
        <w:tc>
          <w:tcPr>
            <w:tcW w:w="3969" w:type="dxa"/>
            <w:gridSpan w:val="2"/>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b/>
                <w:bCs/>
                <w:i/>
                <w:iCs/>
              </w:rPr>
            </w:pPr>
            <w:r w:rsidRPr="006F35E5">
              <w:rPr>
                <w:rFonts w:cs="Arial"/>
                <w:b/>
                <w:bCs/>
                <w:i/>
                <w:iCs/>
              </w:rPr>
              <w:t>Equipment and Supplies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38</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b/>
                <w:bCs/>
              </w:rPr>
            </w:pPr>
            <w:r w:rsidRPr="006F35E5">
              <w:rPr>
                <w:rFonts w:cs="Arial"/>
                <w:b/>
                <w:bCs/>
              </w:rPr>
              <w:t>-</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38</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rPr>
            </w:pPr>
            <w:r w:rsidRPr="006F35E5">
              <w:rPr>
                <w:rFonts w:cs="Arial"/>
              </w:rPr>
              <w:t>Furniture</w:t>
            </w:r>
            <w:r>
              <w:rPr>
                <w:rFonts w:cs="Arial"/>
              </w:rPr>
              <w:t xml:space="preserve"> </w:t>
            </w:r>
            <w:r w:rsidRPr="006F35E5">
              <w:rPr>
                <w:rFonts w:cs="Arial"/>
              </w:rPr>
              <w:t>and</w:t>
            </w:r>
            <w:r>
              <w:rPr>
                <w:rFonts w:cs="Arial"/>
              </w:rPr>
              <w:t xml:space="preserve"> </w:t>
            </w:r>
            <w:r w:rsidRPr="006F35E5">
              <w:rPr>
                <w:rFonts w:cs="Arial"/>
              </w:rPr>
              <w:t>Equipment</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18</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r w:rsidRPr="006F35E5">
              <w:rPr>
                <w:rFonts w:cs="Arial"/>
              </w:rPr>
              <w:t>18</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rPr>
            </w:pPr>
            <w:r w:rsidRPr="006F35E5">
              <w:rPr>
                <w:rFonts w:cs="Arial"/>
              </w:rPr>
              <w:t>Supplies</w:t>
            </w:r>
            <w:r>
              <w:rPr>
                <w:rFonts w:cs="Arial"/>
              </w:rPr>
              <w:t xml:space="preserve"> </w:t>
            </w:r>
            <w:r w:rsidRPr="006F35E5">
              <w:rPr>
                <w:rFonts w:cs="Arial"/>
              </w:rPr>
              <w:t>and</w:t>
            </w:r>
            <w:r>
              <w:rPr>
                <w:rFonts w:cs="Arial"/>
              </w:rPr>
              <w:t xml:space="preserve"> </w:t>
            </w:r>
            <w:r w:rsidRPr="006F35E5">
              <w:rPr>
                <w:rFonts w:cs="Arial"/>
              </w:rPr>
              <w:t>Materials</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20</w:t>
            </w: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r w:rsidRPr="006F35E5">
              <w:rPr>
                <w:rFonts w:cs="Arial"/>
              </w:rPr>
              <w:t>-</w:t>
            </w: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r w:rsidRPr="006F35E5">
              <w:rPr>
                <w:rFonts w:cs="Arial"/>
              </w:rPr>
              <w:t>20</w:t>
            </w:r>
          </w:p>
        </w:tc>
      </w:tr>
      <w:tr w:rsidR="006F35E5" w:rsidRPr="006F35E5" w:rsidTr="006F35E5">
        <w:trPr>
          <w:trHeight w:val="255"/>
        </w:trPr>
        <w:tc>
          <w:tcPr>
            <w:tcW w:w="958" w:type="dxa"/>
            <w:tcBorders>
              <w:top w:val="nil"/>
              <w:left w:val="single" w:sz="4" w:space="0" w:color="auto"/>
              <w:bottom w:val="nil"/>
              <w:right w:val="nil"/>
            </w:tcBorders>
            <w:shd w:val="clear" w:color="auto" w:fill="auto"/>
            <w:vAlign w:val="bottom"/>
            <w:hideMark/>
          </w:tcPr>
          <w:p w:rsidR="006F35E5" w:rsidRPr="006F35E5" w:rsidRDefault="006F35E5" w:rsidP="006F35E5">
            <w:pPr>
              <w:jc w:val="left"/>
              <w:rPr>
                <w:rFonts w:cs="Arial"/>
              </w:rPr>
            </w:pPr>
          </w:p>
        </w:tc>
        <w:tc>
          <w:tcPr>
            <w:tcW w:w="3011" w:type="dxa"/>
            <w:tcBorders>
              <w:top w:val="nil"/>
              <w:left w:val="nil"/>
              <w:bottom w:val="nil"/>
              <w:right w:val="nil"/>
            </w:tcBorders>
            <w:shd w:val="clear" w:color="auto" w:fill="auto"/>
            <w:vAlign w:val="bottom"/>
            <w:hideMark/>
          </w:tcPr>
          <w:p w:rsidR="006F35E5" w:rsidRPr="006F35E5" w:rsidRDefault="006F35E5" w:rsidP="006F35E5">
            <w:pPr>
              <w:jc w:val="left"/>
              <w:rPr>
                <w:rFonts w:cs="Arial"/>
              </w:rPr>
            </w:pP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p>
        </w:tc>
        <w:tc>
          <w:tcPr>
            <w:tcW w:w="103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p>
        </w:tc>
        <w:tc>
          <w:tcPr>
            <w:tcW w:w="995"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p>
        </w:tc>
        <w:tc>
          <w:tcPr>
            <w:tcW w:w="994" w:type="dxa"/>
            <w:tcBorders>
              <w:top w:val="nil"/>
              <w:left w:val="nil"/>
              <w:bottom w:val="nil"/>
              <w:right w:val="nil"/>
            </w:tcBorders>
            <w:shd w:val="clear" w:color="auto" w:fill="auto"/>
            <w:vAlign w:val="bottom"/>
            <w:hideMark/>
          </w:tcPr>
          <w:p w:rsidR="006F35E5" w:rsidRPr="006F35E5" w:rsidRDefault="006F35E5" w:rsidP="006F35E5">
            <w:pPr>
              <w:jc w:val="right"/>
              <w:rPr>
                <w:rFonts w:cs="Arial"/>
              </w:rPr>
            </w:pPr>
          </w:p>
        </w:tc>
        <w:tc>
          <w:tcPr>
            <w:tcW w:w="1014" w:type="dxa"/>
            <w:tcBorders>
              <w:top w:val="nil"/>
              <w:left w:val="nil"/>
              <w:bottom w:val="nil"/>
              <w:right w:val="single" w:sz="4" w:space="0" w:color="auto"/>
            </w:tcBorders>
            <w:shd w:val="clear" w:color="auto" w:fill="auto"/>
            <w:vAlign w:val="bottom"/>
            <w:hideMark/>
          </w:tcPr>
          <w:p w:rsidR="006F35E5" w:rsidRPr="006F35E5" w:rsidRDefault="006F35E5" w:rsidP="006F35E5">
            <w:pPr>
              <w:jc w:val="right"/>
              <w:rPr>
                <w:rFonts w:cs="Arial"/>
              </w:rPr>
            </w:pPr>
          </w:p>
        </w:tc>
      </w:tr>
      <w:tr w:rsidR="006F35E5" w:rsidRPr="006F35E5" w:rsidTr="006F35E5">
        <w:trPr>
          <w:trHeight w:val="255"/>
        </w:trPr>
        <w:tc>
          <w:tcPr>
            <w:tcW w:w="958" w:type="dxa"/>
            <w:tcBorders>
              <w:top w:val="single" w:sz="4" w:space="0" w:color="auto"/>
              <w:left w:val="single" w:sz="4" w:space="0" w:color="auto"/>
              <w:bottom w:val="single" w:sz="4" w:space="0" w:color="auto"/>
              <w:right w:val="nil"/>
            </w:tcBorders>
            <w:shd w:val="clear" w:color="auto" w:fill="auto"/>
            <w:vAlign w:val="bottom"/>
            <w:hideMark/>
          </w:tcPr>
          <w:p w:rsidR="006F35E5" w:rsidRPr="006F35E5" w:rsidRDefault="006F35E5" w:rsidP="006F35E5">
            <w:pPr>
              <w:jc w:val="left"/>
              <w:rPr>
                <w:rFonts w:cs="Arial"/>
                <w:b/>
                <w:bCs/>
              </w:rPr>
            </w:pPr>
          </w:p>
        </w:tc>
        <w:tc>
          <w:tcPr>
            <w:tcW w:w="3011" w:type="dxa"/>
            <w:tcBorders>
              <w:top w:val="single" w:sz="4" w:space="0" w:color="auto"/>
              <w:left w:val="nil"/>
              <w:bottom w:val="single" w:sz="4" w:space="0" w:color="auto"/>
              <w:right w:val="nil"/>
            </w:tcBorders>
            <w:shd w:val="clear" w:color="auto" w:fill="auto"/>
            <w:vAlign w:val="bottom"/>
            <w:hideMark/>
          </w:tcPr>
          <w:p w:rsidR="006F35E5" w:rsidRPr="006F35E5" w:rsidRDefault="006F35E5" w:rsidP="006F35E5">
            <w:pPr>
              <w:jc w:val="left"/>
              <w:rPr>
                <w:rFonts w:cs="Arial"/>
                <w:b/>
                <w:bCs/>
              </w:rPr>
            </w:pPr>
            <w:r w:rsidRPr="006F35E5">
              <w:rPr>
                <w:rFonts w:cs="Arial"/>
                <w:b/>
                <w:bCs/>
              </w:rPr>
              <w:t>GRAND</w:t>
            </w:r>
            <w:r>
              <w:rPr>
                <w:rFonts w:cs="Arial"/>
                <w:b/>
                <w:bCs/>
              </w:rPr>
              <w:t xml:space="preserve"> </w:t>
            </w:r>
            <w:r w:rsidRPr="006F35E5">
              <w:rPr>
                <w:rFonts w:cs="Arial"/>
                <w:b/>
                <w:bCs/>
              </w:rPr>
              <w:t>TOTAL</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720</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3,934</w:t>
            </w:r>
          </w:p>
        </w:tc>
        <w:tc>
          <w:tcPr>
            <w:tcW w:w="995" w:type="dxa"/>
            <w:tcBorders>
              <w:top w:val="single" w:sz="4" w:space="0" w:color="auto"/>
              <w:left w:val="nil"/>
              <w:bottom w:val="single" w:sz="4" w:space="0" w:color="auto"/>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1,578</w:t>
            </w:r>
          </w:p>
        </w:tc>
        <w:tc>
          <w:tcPr>
            <w:tcW w:w="994" w:type="dxa"/>
            <w:tcBorders>
              <w:top w:val="single" w:sz="4" w:space="0" w:color="auto"/>
              <w:left w:val="nil"/>
              <w:bottom w:val="single" w:sz="4" w:space="0" w:color="auto"/>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562</w:t>
            </w:r>
          </w:p>
        </w:tc>
        <w:tc>
          <w:tcPr>
            <w:tcW w:w="1014" w:type="dxa"/>
            <w:tcBorders>
              <w:top w:val="single" w:sz="4" w:space="0" w:color="auto"/>
              <w:left w:val="nil"/>
              <w:bottom w:val="single" w:sz="4" w:space="0" w:color="auto"/>
              <w:right w:val="single" w:sz="4" w:space="0" w:color="auto"/>
            </w:tcBorders>
            <w:shd w:val="clear" w:color="auto" w:fill="auto"/>
            <w:vAlign w:val="bottom"/>
            <w:hideMark/>
          </w:tcPr>
          <w:p w:rsidR="006F35E5" w:rsidRPr="006F35E5" w:rsidRDefault="006F35E5" w:rsidP="006F35E5">
            <w:pPr>
              <w:jc w:val="right"/>
              <w:rPr>
                <w:rFonts w:cs="Arial"/>
                <w:b/>
                <w:bCs/>
              </w:rPr>
            </w:pPr>
            <w:r w:rsidRPr="006F35E5">
              <w:rPr>
                <w:rFonts w:cs="Arial"/>
                <w:b/>
                <w:bCs/>
              </w:rPr>
              <w:t>6,794</w:t>
            </w:r>
          </w:p>
        </w:tc>
      </w:tr>
    </w:tbl>
    <w:p w:rsidR="009A0B7E" w:rsidRDefault="009A0B7E" w:rsidP="006F35E5"/>
    <w:p w:rsidR="00421639" w:rsidRPr="003B13DD" w:rsidRDefault="00421639" w:rsidP="00421639"/>
    <w:p w:rsidR="00421639" w:rsidRPr="00DD6106" w:rsidRDefault="00421639" w:rsidP="00421639">
      <w:pPr>
        <w:keepNext/>
        <w:tabs>
          <w:tab w:val="left" w:pos="567"/>
        </w:tabs>
      </w:pPr>
      <w:r w:rsidRPr="00FC2170">
        <w:rPr>
          <w:color w:val="000000"/>
        </w:rPr>
        <w:t>3.14</w:t>
      </w:r>
      <w:r w:rsidRPr="00DD6106">
        <w:tab/>
      </w:r>
      <w:r w:rsidRPr="00DD6106">
        <w:rPr>
          <w:b/>
        </w:rPr>
        <w:t>Table 7</w:t>
      </w:r>
      <w:r w:rsidRPr="00DD6106">
        <w:t xml:space="preserve"> provides budget variation by sub-program between the budget</w:t>
      </w:r>
      <w:r>
        <w:t xml:space="preserve"> </w:t>
      </w:r>
      <w:r w:rsidRPr="00DD6106">
        <w:t xml:space="preserve">2012-2013 and the proposed budget </w:t>
      </w:r>
      <w:r w:rsidRPr="0044380F">
        <w:rPr>
          <w:snapToGrid w:val="0"/>
          <w:spacing w:val="-2"/>
          <w:szCs w:val="24"/>
        </w:rPr>
        <w:t>2014</w:t>
      </w:r>
      <w:r>
        <w:rPr>
          <w:snapToGrid w:val="0"/>
          <w:spacing w:val="-2"/>
          <w:szCs w:val="24"/>
        </w:rPr>
        <w:t>­</w:t>
      </w:r>
      <w:r w:rsidRPr="0044380F">
        <w:rPr>
          <w:snapToGrid w:val="0"/>
          <w:spacing w:val="-2"/>
          <w:szCs w:val="24"/>
        </w:rPr>
        <w:t>2015</w:t>
      </w:r>
      <w:r w:rsidRPr="00DD6106">
        <w:t>.</w:t>
      </w:r>
    </w:p>
    <w:p w:rsidR="00421639" w:rsidRPr="003B13DD" w:rsidRDefault="00421639" w:rsidP="00421639">
      <w:pPr>
        <w:keepNext/>
      </w:pPr>
    </w:p>
    <w:p w:rsidR="00421639" w:rsidRPr="003B13DD" w:rsidRDefault="00421639" w:rsidP="00421639">
      <w:pPr>
        <w:keepNext/>
        <w:jc w:val="center"/>
        <w:rPr>
          <w:b/>
        </w:rPr>
      </w:pPr>
      <w:r w:rsidRPr="003B13DD">
        <w:rPr>
          <w:b/>
        </w:rPr>
        <w:t xml:space="preserve">Table 7: </w:t>
      </w:r>
      <w:r>
        <w:rPr>
          <w:b/>
        </w:rPr>
        <w:t xml:space="preserve"> </w:t>
      </w:r>
      <w:r w:rsidRPr="003B13DD">
        <w:rPr>
          <w:b/>
        </w:rPr>
        <w:t>Budget Variation by Sub-program</w:t>
      </w:r>
    </w:p>
    <w:p w:rsidR="00421639" w:rsidRPr="0072367F" w:rsidRDefault="00421639" w:rsidP="00421639">
      <w:pPr>
        <w:keepNext/>
        <w:jc w:val="center"/>
      </w:pPr>
      <w:r w:rsidRPr="0072367F">
        <w:t>(in thousands of Swiss francs)</w:t>
      </w:r>
    </w:p>
    <w:p w:rsidR="00421639" w:rsidRDefault="00421639" w:rsidP="00421639">
      <w:pPr>
        <w:keepNext/>
      </w:pPr>
    </w:p>
    <w:tbl>
      <w:tblPr>
        <w:tblW w:w="5623" w:type="dxa"/>
        <w:tblInd w:w="2093" w:type="dxa"/>
        <w:tblLook w:val="04A0" w:firstRow="1" w:lastRow="0" w:firstColumn="1" w:lastColumn="0" w:noHBand="0" w:noVBand="1"/>
      </w:tblPr>
      <w:tblGrid>
        <w:gridCol w:w="1080"/>
        <w:gridCol w:w="1203"/>
        <w:gridCol w:w="980"/>
        <w:gridCol w:w="940"/>
        <w:gridCol w:w="1420"/>
      </w:tblGrid>
      <w:tr w:rsidR="004B6286" w:rsidRPr="004B6286" w:rsidTr="004B6286">
        <w:trPr>
          <w:trHeight w:val="270"/>
        </w:trPr>
        <w:tc>
          <w:tcPr>
            <w:tcW w:w="1080" w:type="dxa"/>
            <w:vMerge w:val="restart"/>
            <w:tcBorders>
              <w:top w:val="single" w:sz="4" w:space="0" w:color="auto"/>
              <w:left w:val="single" w:sz="4" w:space="0" w:color="auto"/>
              <w:bottom w:val="single" w:sz="4" w:space="0" w:color="000000"/>
              <w:right w:val="nil"/>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Sub-program</w:t>
            </w:r>
          </w:p>
        </w:tc>
        <w:tc>
          <w:tcPr>
            <w:tcW w:w="1203" w:type="dxa"/>
            <w:tcBorders>
              <w:top w:val="single" w:sz="4" w:space="0" w:color="auto"/>
              <w:left w:val="single" w:sz="4" w:space="0" w:color="auto"/>
              <w:bottom w:val="nil"/>
              <w:right w:val="nil"/>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2012-2013</w:t>
            </w:r>
          </w:p>
        </w:tc>
        <w:tc>
          <w:tcPr>
            <w:tcW w:w="1920" w:type="dxa"/>
            <w:gridSpan w:val="2"/>
            <w:tcBorders>
              <w:top w:val="single" w:sz="4" w:space="0" w:color="auto"/>
              <w:left w:val="single" w:sz="4" w:space="0" w:color="auto"/>
              <w:bottom w:val="nil"/>
              <w:right w:val="single" w:sz="4" w:space="0" w:color="000000"/>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Variation</w:t>
            </w:r>
          </w:p>
        </w:tc>
        <w:tc>
          <w:tcPr>
            <w:tcW w:w="1420" w:type="dxa"/>
            <w:tcBorders>
              <w:top w:val="single" w:sz="4" w:space="0" w:color="auto"/>
              <w:left w:val="nil"/>
              <w:bottom w:val="nil"/>
              <w:right w:val="single" w:sz="4" w:space="0" w:color="auto"/>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2014-2015</w:t>
            </w:r>
          </w:p>
        </w:tc>
      </w:tr>
      <w:tr w:rsidR="004B6286" w:rsidRPr="004B6286" w:rsidTr="004B6286">
        <w:trPr>
          <w:trHeight w:val="240"/>
        </w:trPr>
        <w:tc>
          <w:tcPr>
            <w:tcW w:w="1080" w:type="dxa"/>
            <w:vMerge/>
            <w:tcBorders>
              <w:top w:val="single" w:sz="4" w:space="0" w:color="auto"/>
              <w:left w:val="single" w:sz="4" w:space="0" w:color="auto"/>
              <w:bottom w:val="single" w:sz="4" w:space="0" w:color="000000"/>
              <w:right w:val="nil"/>
            </w:tcBorders>
            <w:vAlign w:val="center"/>
            <w:hideMark/>
          </w:tcPr>
          <w:p w:rsidR="004B6286" w:rsidRPr="004B6286" w:rsidRDefault="004B6286" w:rsidP="004B6286">
            <w:pPr>
              <w:jc w:val="left"/>
              <w:rPr>
                <w:rFonts w:cs="Arial"/>
                <w:b/>
                <w:bCs/>
                <w:color w:val="000000"/>
              </w:rPr>
            </w:pPr>
          </w:p>
        </w:tc>
        <w:tc>
          <w:tcPr>
            <w:tcW w:w="1203" w:type="dxa"/>
            <w:tcBorders>
              <w:top w:val="nil"/>
              <w:left w:val="single" w:sz="4" w:space="0" w:color="auto"/>
              <w:bottom w:val="nil"/>
              <w:right w:val="nil"/>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Budget</w:t>
            </w:r>
          </w:p>
        </w:tc>
        <w:tc>
          <w:tcPr>
            <w:tcW w:w="980" w:type="dxa"/>
            <w:tcBorders>
              <w:top w:val="single" w:sz="4" w:space="0" w:color="auto"/>
              <w:left w:val="single" w:sz="4" w:space="0" w:color="auto"/>
              <w:bottom w:val="nil"/>
              <w:right w:val="single" w:sz="4" w:space="0" w:color="auto"/>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Amount</w:t>
            </w:r>
          </w:p>
        </w:tc>
        <w:tc>
          <w:tcPr>
            <w:tcW w:w="940" w:type="dxa"/>
            <w:tcBorders>
              <w:top w:val="single" w:sz="4" w:space="0" w:color="auto"/>
              <w:left w:val="nil"/>
              <w:bottom w:val="nil"/>
              <w:right w:val="single" w:sz="4" w:space="0" w:color="auto"/>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w:t>
            </w:r>
          </w:p>
        </w:tc>
        <w:tc>
          <w:tcPr>
            <w:tcW w:w="1420" w:type="dxa"/>
            <w:tcBorders>
              <w:top w:val="nil"/>
              <w:left w:val="nil"/>
              <w:bottom w:val="nil"/>
              <w:right w:val="single" w:sz="4" w:space="0" w:color="auto"/>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Proposed</w:t>
            </w:r>
          </w:p>
        </w:tc>
      </w:tr>
      <w:tr w:rsidR="004B6286" w:rsidRPr="004B6286" w:rsidTr="004B6286">
        <w:trPr>
          <w:trHeight w:val="255"/>
        </w:trPr>
        <w:tc>
          <w:tcPr>
            <w:tcW w:w="1080" w:type="dxa"/>
            <w:vMerge/>
            <w:tcBorders>
              <w:top w:val="single" w:sz="4" w:space="0" w:color="auto"/>
              <w:left w:val="single" w:sz="4" w:space="0" w:color="auto"/>
              <w:bottom w:val="single" w:sz="4" w:space="0" w:color="000000"/>
              <w:right w:val="nil"/>
            </w:tcBorders>
            <w:vAlign w:val="center"/>
            <w:hideMark/>
          </w:tcPr>
          <w:p w:rsidR="004B6286" w:rsidRPr="004B6286" w:rsidRDefault="004B6286" w:rsidP="004B6286">
            <w:pPr>
              <w:jc w:val="left"/>
              <w:rPr>
                <w:rFonts w:cs="Arial"/>
                <w:b/>
                <w:bCs/>
                <w:color w:val="000000"/>
              </w:rPr>
            </w:pPr>
          </w:p>
        </w:tc>
        <w:tc>
          <w:tcPr>
            <w:tcW w:w="1203" w:type="dxa"/>
            <w:tcBorders>
              <w:top w:val="nil"/>
              <w:left w:val="single" w:sz="4" w:space="0" w:color="auto"/>
              <w:bottom w:val="single" w:sz="4" w:space="0" w:color="auto"/>
              <w:right w:val="nil"/>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A</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B</w:t>
            </w:r>
          </w:p>
        </w:tc>
        <w:tc>
          <w:tcPr>
            <w:tcW w:w="940" w:type="dxa"/>
            <w:tcBorders>
              <w:top w:val="nil"/>
              <w:left w:val="nil"/>
              <w:bottom w:val="single" w:sz="4" w:space="0" w:color="auto"/>
              <w:right w:val="single" w:sz="4" w:space="0" w:color="auto"/>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B/A</w:t>
            </w:r>
          </w:p>
        </w:tc>
        <w:tc>
          <w:tcPr>
            <w:tcW w:w="1420" w:type="dxa"/>
            <w:tcBorders>
              <w:top w:val="nil"/>
              <w:left w:val="nil"/>
              <w:bottom w:val="single" w:sz="4" w:space="0" w:color="auto"/>
              <w:right w:val="single" w:sz="4" w:space="0" w:color="auto"/>
            </w:tcBorders>
            <w:shd w:val="clear" w:color="auto" w:fill="auto"/>
            <w:vAlign w:val="bottom"/>
            <w:hideMark/>
          </w:tcPr>
          <w:p w:rsidR="004B6286" w:rsidRPr="004B6286" w:rsidRDefault="004B6286" w:rsidP="004B6286">
            <w:pPr>
              <w:jc w:val="center"/>
              <w:rPr>
                <w:rFonts w:cs="Arial"/>
                <w:b/>
                <w:bCs/>
                <w:color w:val="000000"/>
              </w:rPr>
            </w:pPr>
            <w:r w:rsidRPr="004B6286">
              <w:rPr>
                <w:rFonts w:cs="Arial"/>
                <w:b/>
                <w:bCs/>
                <w:color w:val="000000"/>
              </w:rPr>
              <w:t>C=A+B</w:t>
            </w:r>
          </w:p>
        </w:tc>
      </w:tr>
      <w:tr w:rsidR="004B6286" w:rsidRPr="004B6286" w:rsidTr="004B6286">
        <w:trPr>
          <w:trHeight w:val="255"/>
        </w:trPr>
        <w:tc>
          <w:tcPr>
            <w:tcW w:w="1080" w:type="dxa"/>
            <w:tcBorders>
              <w:top w:val="nil"/>
              <w:left w:val="single" w:sz="4" w:space="0" w:color="auto"/>
              <w:bottom w:val="nil"/>
              <w:right w:val="nil"/>
            </w:tcBorders>
            <w:shd w:val="clear" w:color="auto" w:fill="auto"/>
            <w:hideMark/>
          </w:tcPr>
          <w:p w:rsidR="004B6286" w:rsidRPr="004B6286" w:rsidRDefault="004B6286" w:rsidP="004B6286">
            <w:pPr>
              <w:jc w:val="center"/>
              <w:rPr>
                <w:rFonts w:cs="Arial"/>
                <w:color w:val="000000"/>
              </w:rPr>
            </w:pPr>
          </w:p>
        </w:tc>
        <w:tc>
          <w:tcPr>
            <w:tcW w:w="1203" w:type="dxa"/>
            <w:tcBorders>
              <w:top w:val="nil"/>
              <w:left w:val="single" w:sz="4" w:space="0" w:color="auto"/>
              <w:bottom w:val="nil"/>
              <w:right w:val="single" w:sz="4" w:space="0" w:color="auto"/>
            </w:tcBorders>
            <w:shd w:val="clear" w:color="auto" w:fill="auto"/>
            <w:hideMark/>
          </w:tcPr>
          <w:p w:rsidR="004B6286" w:rsidRPr="004B6286" w:rsidRDefault="004B6286" w:rsidP="004B6286">
            <w:pPr>
              <w:jc w:val="right"/>
              <w:rPr>
                <w:rFonts w:cs="Arial"/>
                <w:color w:val="000000"/>
              </w:rPr>
            </w:pPr>
          </w:p>
        </w:tc>
        <w:tc>
          <w:tcPr>
            <w:tcW w:w="980" w:type="dxa"/>
            <w:tcBorders>
              <w:top w:val="nil"/>
              <w:left w:val="nil"/>
              <w:bottom w:val="nil"/>
              <w:right w:val="single" w:sz="4" w:space="0" w:color="auto"/>
            </w:tcBorders>
            <w:shd w:val="clear" w:color="auto" w:fill="auto"/>
            <w:hideMark/>
          </w:tcPr>
          <w:p w:rsidR="004B6286" w:rsidRPr="004B6286" w:rsidRDefault="004B6286" w:rsidP="004B6286">
            <w:pPr>
              <w:jc w:val="right"/>
              <w:rPr>
                <w:rFonts w:cs="Arial"/>
                <w:color w:val="000000"/>
              </w:rPr>
            </w:pPr>
          </w:p>
        </w:tc>
        <w:tc>
          <w:tcPr>
            <w:tcW w:w="940" w:type="dxa"/>
            <w:tcBorders>
              <w:top w:val="nil"/>
              <w:left w:val="nil"/>
              <w:bottom w:val="nil"/>
              <w:right w:val="single" w:sz="4" w:space="0" w:color="auto"/>
            </w:tcBorders>
            <w:shd w:val="clear" w:color="auto" w:fill="auto"/>
            <w:hideMark/>
          </w:tcPr>
          <w:p w:rsidR="004B6286" w:rsidRPr="004B6286" w:rsidRDefault="004B6286" w:rsidP="004B6286">
            <w:pPr>
              <w:jc w:val="right"/>
              <w:rPr>
                <w:rFonts w:cs="Arial"/>
                <w:color w:val="000000"/>
              </w:rPr>
            </w:pPr>
          </w:p>
        </w:tc>
        <w:tc>
          <w:tcPr>
            <w:tcW w:w="1420" w:type="dxa"/>
            <w:tcBorders>
              <w:top w:val="nil"/>
              <w:left w:val="nil"/>
              <w:bottom w:val="nil"/>
              <w:right w:val="single" w:sz="4" w:space="0" w:color="auto"/>
            </w:tcBorders>
            <w:shd w:val="clear" w:color="auto" w:fill="auto"/>
            <w:hideMark/>
          </w:tcPr>
          <w:p w:rsidR="004B6286" w:rsidRPr="004B6286" w:rsidRDefault="004B6286" w:rsidP="004B6286">
            <w:pPr>
              <w:jc w:val="right"/>
              <w:rPr>
                <w:rFonts w:cs="Arial"/>
                <w:color w:val="000000"/>
              </w:rPr>
            </w:pPr>
          </w:p>
        </w:tc>
      </w:tr>
      <w:tr w:rsidR="004B6286" w:rsidRPr="004B6286" w:rsidTr="004B6286">
        <w:trPr>
          <w:trHeight w:val="315"/>
        </w:trPr>
        <w:tc>
          <w:tcPr>
            <w:tcW w:w="1080" w:type="dxa"/>
            <w:tcBorders>
              <w:top w:val="nil"/>
              <w:left w:val="single" w:sz="4" w:space="0" w:color="auto"/>
              <w:bottom w:val="nil"/>
              <w:right w:val="nil"/>
            </w:tcBorders>
            <w:shd w:val="clear" w:color="auto" w:fill="auto"/>
            <w:hideMark/>
          </w:tcPr>
          <w:p w:rsidR="004B6286" w:rsidRPr="004B6286" w:rsidRDefault="004B6286" w:rsidP="004B6286">
            <w:pPr>
              <w:jc w:val="center"/>
              <w:rPr>
                <w:rFonts w:cs="Arial"/>
                <w:color w:val="000000"/>
              </w:rPr>
            </w:pPr>
            <w:r w:rsidRPr="004B6286">
              <w:rPr>
                <w:rFonts w:cs="Arial"/>
                <w:color w:val="000000"/>
              </w:rPr>
              <w:t>UV.1</w:t>
            </w:r>
          </w:p>
        </w:tc>
        <w:tc>
          <w:tcPr>
            <w:tcW w:w="1203" w:type="dxa"/>
            <w:tcBorders>
              <w:top w:val="nil"/>
              <w:left w:val="single" w:sz="4" w:space="0" w:color="auto"/>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729</w:t>
            </w:r>
          </w:p>
        </w:tc>
        <w:tc>
          <w:tcPr>
            <w:tcW w:w="980" w:type="dxa"/>
            <w:tcBorders>
              <w:top w:val="nil"/>
              <w:left w:val="nil"/>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-9</w:t>
            </w:r>
          </w:p>
        </w:tc>
        <w:tc>
          <w:tcPr>
            <w:tcW w:w="940" w:type="dxa"/>
            <w:tcBorders>
              <w:top w:val="nil"/>
              <w:left w:val="nil"/>
              <w:bottom w:val="nil"/>
              <w:right w:val="nil"/>
            </w:tcBorders>
            <w:shd w:val="clear" w:color="auto" w:fill="auto"/>
            <w:hideMark/>
          </w:tcPr>
          <w:p w:rsidR="004B6286" w:rsidRPr="004B6286" w:rsidRDefault="004B6286" w:rsidP="004B6286">
            <w:pPr>
              <w:jc w:val="right"/>
              <w:rPr>
                <w:rFonts w:cs="Arial"/>
                <w:color w:val="000000"/>
              </w:rPr>
            </w:pPr>
            <w:r w:rsidRPr="004B6286">
              <w:rPr>
                <w:rFonts w:cs="Arial"/>
                <w:color w:val="000000"/>
              </w:rPr>
              <w:t>-1.2%</w:t>
            </w:r>
          </w:p>
        </w:tc>
        <w:tc>
          <w:tcPr>
            <w:tcW w:w="1420" w:type="dxa"/>
            <w:tcBorders>
              <w:top w:val="nil"/>
              <w:left w:val="single" w:sz="4" w:space="0" w:color="auto"/>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720</w:t>
            </w:r>
          </w:p>
        </w:tc>
      </w:tr>
      <w:tr w:rsidR="004B6286" w:rsidRPr="004B6286" w:rsidTr="004B6286">
        <w:trPr>
          <w:trHeight w:val="315"/>
        </w:trPr>
        <w:tc>
          <w:tcPr>
            <w:tcW w:w="1080" w:type="dxa"/>
            <w:tcBorders>
              <w:top w:val="nil"/>
              <w:left w:val="single" w:sz="4" w:space="0" w:color="auto"/>
              <w:bottom w:val="nil"/>
              <w:right w:val="nil"/>
            </w:tcBorders>
            <w:shd w:val="clear" w:color="auto" w:fill="auto"/>
            <w:hideMark/>
          </w:tcPr>
          <w:p w:rsidR="004B6286" w:rsidRPr="004B6286" w:rsidRDefault="004B6286" w:rsidP="004B6286">
            <w:pPr>
              <w:jc w:val="center"/>
              <w:rPr>
                <w:rFonts w:cs="Arial"/>
                <w:color w:val="000000"/>
              </w:rPr>
            </w:pPr>
            <w:r w:rsidRPr="004B6286">
              <w:rPr>
                <w:rFonts w:cs="Arial"/>
                <w:color w:val="000000"/>
              </w:rPr>
              <w:t>UV.2</w:t>
            </w:r>
          </w:p>
        </w:tc>
        <w:tc>
          <w:tcPr>
            <w:tcW w:w="1203" w:type="dxa"/>
            <w:tcBorders>
              <w:top w:val="nil"/>
              <w:left w:val="single" w:sz="4" w:space="0" w:color="auto"/>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3,801</w:t>
            </w:r>
          </w:p>
        </w:tc>
        <w:tc>
          <w:tcPr>
            <w:tcW w:w="980" w:type="dxa"/>
            <w:tcBorders>
              <w:top w:val="nil"/>
              <w:left w:val="nil"/>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133</w:t>
            </w:r>
          </w:p>
        </w:tc>
        <w:tc>
          <w:tcPr>
            <w:tcW w:w="940" w:type="dxa"/>
            <w:tcBorders>
              <w:top w:val="nil"/>
              <w:left w:val="nil"/>
              <w:bottom w:val="nil"/>
              <w:right w:val="nil"/>
            </w:tcBorders>
            <w:shd w:val="clear" w:color="auto" w:fill="auto"/>
            <w:hideMark/>
          </w:tcPr>
          <w:p w:rsidR="004B6286" w:rsidRPr="004B6286" w:rsidRDefault="004B6286" w:rsidP="004B6286">
            <w:pPr>
              <w:jc w:val="right"/>
              <w:rPr>
                <w:rFonts w:cs="Arial"/>
                <w:color w:val="000000"/>
              </w:rPr>
            </w:pPr>
            <w:r w:rsidRPr="004B6286">
              <w:rPr>
                <w:rFonts w:cs="Arial"/>
                <w:color w:val="000000"/>
              </w:rPr>
              <w:t>3.5%</w:t>
            </w:r>
          </w:p>
        </w:tc>
        <w:tc>
          <w:tcPr>
            <w:tcW w:w="1420" w:type="dxa"/>
            <w:tcBorders>
              <w:top w:val="nil"/>
              <w:left w:val="single" w:sz="4" w:space="0" w:color="auto"/>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3,934</w:t>
            </w:r>
          </w:p>
        </w:tc>
      </w:tr>
      <w:tr w:rsidR="004B6286" w:rsidRPr="004B6286" w:rsidTr="004B6286">
        <w:trPr>
          <w:trHeight w:val="330"/>
        </w:trPr>
        <w:tc>
          <w:tcPr>
            <w:tcW w:w="1080" w:type="dxa"/>
            <w:tcBorders>
              <w:top w:val="nil"/>
              <w:left w:val="single" w:sz="4" w:space="0" w:color="auto"/>
              <w:bottom w:val="nil"/>
              <w:right w:val="nil"/>
            </w:tcBorders>
            <w:shd w:val="clear" w:color="auto" w:fill="auto"/>
            <w:hideMark/>
          </w:tcPr>
          <w:p w:rsidR="004B6286" w:rsidRPr="004B6286" w:rsidRDefault="004B6286" w:rsidP="004B6286">
            <w:pPr>
              <w:jc w:val="center"/>
              <w:rPr>
                <w:rFonts w:cs="Arial"/>
                <w:color w:val="000000"/>
              </w:rPr>
            </w:pPr>
            <w:r w:rsidRPr="004B6286">
              <w:rPr>
                <w:rFonts w:cs="Arial"/>
                <w:color w:val="000000"/>
              </w:rPr>
              <w:t>UV.3</w:t>
            </w:r>
          </w:p>
        </w:tc>
        <w:tc>
          <w:tcPr>
            <w:tcW w:w="1203" w:type="dxa"/>
            <w:tcBorders>
              <w:top w:val="nil"/>
              <w:left w:val="single" w:sz="4" w:space="0" w:color="auto"/>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1,631</w:t>
            </w:r>
          </w:p>
        </w:tc>
        <w:tc>
          <w:tcPr>
            <w:tcW w:w="980" w:type="dxa"/>
            <w:tcBorders>
              <w:top w:val="nil"/>
              <w:left w:val="nil"/>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-53</w:t>
            </w:r>
          </w:p>
        </w:tc>
        <w:tc>
          <w:tcPr>
            <w:tcW w:w="940" w:type="dxa"/>
            <w:tcBorders>
              <w:top w:val="nil"/>
              <w:left w:val="nil"/>
              <w:bottom w:val="nil"/>
              <w:right w:val="nil"/>
            </w:tcBorders>
            <w:shd w:val="clear" w:color="auto" w:fill="auto"/>
            <w:hideMark/>
          </w:tcPr>
          <w:p w:rsidR="004B6286" w:rsidRPr="004B6286" w:rsidRDefault="004B6286" w:rsidP="004B6286">
            <w:pPr>
              <w:jc w:val="right"/>
              <w:rPr>
                <w:rFonts w:cs="Arial"/>
                <w:color w:val="000000"/>
              </w:rPr>
            </w:pPr>
            <w:r w:rsidRPr="004B6286">
              <w:rPr>
                <w:rFonts w:cs="Arial"/>
                <w:color w:val="000000"/>
              </w:rPr>
              <w:t>-3.2%</w:t>
            </w:r>
          </w:p>
        </w:tc>
        <w:tc>
          <w:tcPr>
            <w:tcW w:w="1420" w:type="dxa"/>
            <w:tcBorders>
              <w:top w:val="nil"/>
              <w:left w:val="single" w:sz="4" w:space="0" w:color="auto"/>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1,578</w:t>
            </w:r>
          </w:p>
        </w:tc>
      </w:tr>
      <w:tr w:rsidR="004B6286" w:rsidRPr="004B6286" w:rsidTr="004B6286">
        <w:trPr>
          <w:trHeight w:val="330"/>
        </w:trPr>
        <w:tc>
          <w:tcPr>
            <w:tcW w:w="1080" w:type="dxa"/>
            <w:tcBorders>
              <w:top w:val="nil"/>
              <w:left w:val="single" w:sz="4" w:space="0" w:color="auto"/>
              <w:bottom w:val="nil"/>
              <w:right w:val="nil"/>
            </w:tcBorders>
            <w:shd w:val="clear" w:color="auto" w:fill="auto"/>
            <w:hideMark/>
          </w:tcPr>
          <w:p w:rsidR="004B6286" w:rsidRPr="004B6286" w:rsidRDefault="004B6286" w:rsidP="004B6286">
            <w:pPr>
              <w:jc w:val="center"/>
              <w:rPr>
                <w:rFonts w:cs="Arial"/>
                <w:color w:val="000000"/>
              </w:rPr>
            </w:pPr>
            <w:r w:rsidRPr="004B6286">
              <w:rPr>
                <w:rFonts w:cs="Arial"/>
                <w:color w:val="000000"/>
              </w:rPr>
              <w:t>UV.4</w:t>
            </w:r>
          </w:p>
        </w:tc>
        <w:tc>
          <w:tcPr>
            <w:tcW w:w="1203" w:type="dxa"/>
            <w:tcBorders>
              <w:top w:val="nil"/>
              <w:left w:val="single" w:sz="4" w:space="0" w:color="auto"/>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637</w:t>
            </w:r>
          </w:p>
        </w:tc>
        <w:tc>
          <w:tcPr>
            <w:tcW w:w="980" w:type="dxa"/>
            <w:tcBorders>
              <w:top w:val="nil"/>
              <w:left w:val="nil"/>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-75</w:t>
            </w:r>
          </w:p>
        </w:tc>
        <w:tc>
          <w:tcPr>
            <w:tcW w:w="940" w:type="dxa"/>
            <w:tcBorders>
              <w:top w:val="nil"/>
              <w:left w:val="nil"/>
              <w:bottom w:val="nil"/>
              <w:right w:val="nil"/>
            </w:tcBorders>
            <w:shd w:val="clear" w:color="auto" w:fill="auto"/>
            <w:hideMark/>
          </w:tcPr>
          <w:p w:rsidR="004B6286" w:rsidRPr="004B6286" w:rsidRDefault="004B6286" w:rsidP="004B6286">
            <w:pPr>
              <w:jc w:val="right"/>
              <w:rPr>
                <w:rFonts w:cs="Arial"/>
                <w:color w:val="000000"/>
              </w:rPr>
            </w:pPr>
            <w:r w:rsidRPr="004B6286">
              <w:rPr>
                <w:rFonts w:cs="Arial"/>
                <w:color w:val="000000"/>
              </w:rPr>
              <w:t>-11.8%</w:t>
            </w:r>
          </w:p>
        </w:tc>
        <w:tc>
          <w:tcPr>
            <w:tcW w:w="1420" w:type="dxa"/>
            <w:tcBorders>
              <w:top w:val="nil"/>
              <w:left w:val="single" w:sz="4" w:space="0" w:color="auto"/>
              <w:bottom w:val="nil"/>
              <w:right w:val="single" w:sz="4" w:space="0" w:color="auto"/>
            </w:tcBorders>
            <w:shd w:val="clear" w:color="auto" w:fill="auto"/>
            <w:hideMark/>
          </w:tcPr>
          <w:p w:rsidR="004B6286" w:rsidRPr="004B6286" w:rsidRDefault="004B6286" w:rsidP="004B6286">
            <w:pPr>
              <w:jc w:val="right"/>
              <w:rPr>
                <w:rFonts w:cs="Arial"/>
                <w:color w:val="000000"/>
              </w:rPr>
            </w:pPr>
            <w:r w:rsidRPr="004B6286">
              <w:rPr>
                <w:rFonts w:cs="Arial"/>
                <w:color w:val="000000"/>
              </w:rPr>
              <w:t>562</w:t>
            </w:r>
          </w:p>
        </w:tc>
      </w:tr>
      <w:tr w:rsidR="004B6286" w:rsidRPr="004B6286" w:rsidTr="004B6286">
        <w:trPr>
          <w:trHeight w:val="330"/>
        </w:trPr>
        <w:tc>
          <w:tcPr>
            <w:tcW w:w="1080" w:type="dxa"/>
            <w:tcBorders>
              <w:top w:val="nil"/>
              <w:left w:val="single" w:sz="4" w:space="0" w:color="auto"/>
              <w:bottom w:val="nil"/>
              <w:right w:val="nil"/>
            </w:tcBorders>
            <w:shd w:val="clear" w:color="auto" w:fill="auto"/>
            <w:hideMark/>
          </w:tcPr>
          <w:p w:rsidR="004B6286" w:rsidRPr="004B6286" w:rsidRDefault="004B6286" w:rsidP="004B6286">
            <w:pPr>
              <w:jc w:val="center"/>
              <w:rPr>
                <w:rFonts w:cs="Arial"/>
                <w:color w:val="000000"/>
              </w:rPr>
            </w:pPr>
          </w:p>
        </w:tc>
        <w:tc>
          <w:tcPr>
            <w:tcW w:w="1203" w:type="dxa"/>
            <w:tcBorders>
              <w:top w:val="nil"/>
              <w:left w:val="single" w:sz="4" w:space="0" w:color="auto"/>
              <w:bottom w:val="single" w:sz="4" w:space="0" w:color="auto"/>
              <w:right w:val="single" w:sz="4" w:space="0" w:color="auto"/>
            </w:tcBorders>
            <w:shd w:val="clear" w:color="auto" w:fill="auto"/>
            <w:hideMark/>
          </w:tcPr>
          <w:p w:rsidR="004B6286" w:rsidRPr="004B6286" w:rsidRDefault="004B6286" w:rsidP="004B6286">
            <w:pPr>
              <w:jc w:val="right"/>
              <w:rPr>
                <w:rFonts w:cs="Arial"/>
                <w:color w:val="000000"/>
              </w:rPr>
            </w:pPr>
          </w:p>
        </w:tc>
        <w:tc>
          <w:tcPr>
            <w:tcW w:w="980" w:type="dxa"/>
            <w:tcBorders>
              <w:top w:val="nil"/>
              <w:left w:val="nil"/>
              <w:bottom w:val="nil"/>
              <w:right w:val="single" w:sz="4" w:space="0" w:color="auto"/>
            </w:tcBorders>
            <w:shd w:val="clear" w:color="auto" w:fill="auto"/>
            <w:hideMark/>
          </w:tcPr>
          <w:p w:rsidR="004B6286" w:rsidRPr="004B6286" w:rsidRDefault="004B6286" w:rsidP="004B6286">
            <w:pPr>
              <w:jc w:val="right"/>
              <w:rPr>
                <w:rFonts w:cs="Arial"/>
                <w:color w:val="000000"/>
              </w:rPr>
            </w:pPr>
          </w:p>
        </w:tc>
        <w:tc>
          <w:tcPr>
            <w:tcW w:w="940" w:type="dxa"/>
            <w:tcBorders>
              <w:top w:val="nil"/>
              <w:left w:val="nil"/>
              <w:bottom w:val="nil"/>
              <w:right w:val="nil"/>
            </w:tcBorders>
            <w:shd w:val="clear" w:color="auto" w:fill="auto"/>
            <w:hideMark/>
          </w:tcPr>
          <w:p w:rsidR="004B6286" w:rsidRPr="004B6286" w:rsidRDefault="004B6286" w:rsidP="004B6286">
            <w:pPr>
              <w:jc w:val="right"/>
              <w:rPr>
                <w:rFonts w:cs="Arial"/>
                <w:color w:val="000000"/>
              </w:rPr>
            </w:pPr>
          </w:p>
        </w:tc>
        <w:tc>
          <w:tcPr>
            <w:tcW w:w="1420" w:type="dxa"/>
            <w:tcBorders>
              <w:top w:val="nil"/>
              <w:left w:val="single" w:sz="4" w:space="0" w:color="auto"/>
              <w:bottom w:val="single" w:sz="4" w:space="0" w:color="auto"/>
              <w:right w:val="single" w:sz="4" w:space="0" w:color="auto"/>
            </w:tcBorders>
            <w:shd w:val="clear" w:color="auto" w:fill="auto"/>
            <w:hideMark/>
          </w:tcPr>
          <w:p w:rsidR="004B6286" w:rsidRPr="004B6286" w:rsidRDefault="004B6286" w:rsidP="004B6286">
            <w:pPr>
              <w:jc w:val="right"/>
              <w:rPr>
                <w:rFonts w:cs="Arial"/>
                <w:color w:val="000000"/>
              </w:rPr>
            </w:pPr>
          </w:p>
        </w:tc>
      </w:tr>
      <w:tr w:rsidR="004B6286" w:rsidRPr="004B6286" w:rsidTr="004B6286">
        <w:trPr>
          <w:trHeight w:val="255"/>
        </w:trPr>
        <w:tc>
          <w:tcPr>
            <w:tcW w:w="1080" w:type="dxa"/>
            <w:tcBorders>
              <w:top w:val="single" w:sz="4" w:space="0" w:color="auto"/>
              <w:left w:val="single" w:sz="4" w:space="0" w:color="auto"/>
              <w:bottom w:val="single" w:sz="4" w:space="0" w:color="auto"/>
              <w:right w:val="nil"/>
            </w:tcBorders>
            <w:shd w:val="clear" w:color="auto" w:fill="auto"/>
            <w:hideMark/>
          </w:tcPr>
          <w:p w:rsidR="004B6286" w:rsidRPr="004B6286" w:rsidRDefault="004B6286" w:rsidP="004B6286">
            <w:pPr>
              <w:jc w:val="center"/>
              <w:rPr>
                <w:rFonts w:cs="Arial"/>
                <w:b/>
                <w:bCs/>
                <w:color w:val="000000"/>
              </w:rPr>
            </w:pPr>
            <w:r w:rsidRPr="004B6286">
              <w:rPr>
                <w:rFonts w:cs="Arial"/>
                <w:b/>
                <w:bCs/>
                <w:color w:val="000000"/>
              </w:rPr>
              <w:t>TOTAL</w:t>
            </w:r>
          </w:p>
        </w:tc>
        <w:tc>
          <w:tcPr>
            <w:tcW w:w="1203" w:type="dxa"/>
            <w:tcBorders>
              <w:top w:val="nil"/>
              <w:left w:val="single" w:sz="4" w:space="0" w:color="auto"/>
              <w:bottom w:val="single" w:sz="4" w:space="0" w:color="auto"/>
              <w:right w:val="nil"/>
            </w:tcBorders>
            <w:shd w:val="clear" w:color="auto" w:fill="auto"/>
            <w:hideMark/>
          </w:tcPr>
          <w:p w:rsidR="004B6286" w:rsidRPr="004B6286" w:rsidRDefault="004B6286" w:rsidP="004B6286">
            <w:pPr>
              <w:jc w:val="right"/>
              <w:rPr>
                <w:rFonts w:cs="Arial"/>
                <w:b/>
                <w:bCs/>
                <w:color w:val="000000"/>
              </w:rPr>
            </w:pPr>
            <w:r w:rsidRPr="004B6286">
              <w:rPr>
                <w:rFonts w:cs="Arial"/>
                <w:b/>
                <w:bCs/>
                <w:color w:val="000000"/>
              </w:rPr>
              <w:t>6,798</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4B6286" w:rsidRPr="004B6286" w:rsidRDefault="004B6286" w:rsidP="004B6286">
            <w:pPr>
              <w:jc w:val="right"/>
              <w:rPr>
                <w:rFonts w:cs="Arial"/>
                <w:b/>
                <w:bCs/>
                <w:color w:val="000000"/>
              </w:rPr>
            </w:pPr>
            <w:r w:rsidRPr="004B6286">
              <w:rPr>
                <w:rFonts w:cs="Arial"/>
                <w:b/>
                <w:bCs/>
                <w:color w:val="000000"/>
              </w:rPr>
              <w:t>-4</w:t>
            </w:r>
          </w:p>
        </w:tc>
        <w:tc>
          <w:tcPr>
            <w:tcW w:w="940" w:type="dxa"/>
            <w:tcBorders>
              <w:top w:val="single" w:sz="4" w:space="0" w:color="auto"/>
              <w:left w:val="nil"/>
              <w:bottom w:val="single" w:sz="4" w:space="0" w:color="auto"/>
              <w:right w:val="single" w:sz="4" w:space="0" w:color="auto"/>
            </w:tcBorders>
            <w:shd w:val="clear" w:color="auto" w:fill="auto"/>
            <w:hideMark/>
          </w:tcPr>
          <w:p w:rsidR="004B6286" w:rsidRPr="004B6286" w:rsidRDefault="004B6286" w:rsidP="004B6286">
            <w:pPr>
              <w:jc w:val="right"/>
              <w:rPr>
                <w:rFonts w:cs="Arial"/>
                <w:b/>
                <w:bCs/>
                <w:color w:val="000000"/>
              </w:rPr>
            </w:pPr>
            <w:r w:rsidRPr="004B6286">
              <w:rPr>
                <w:rFonts w:cs="Arial"/>
                <w:b/>
                <w:bCs/>
                <w:color w:val="000000"/>
              </w:rPr>
              <w:t>-0.1%</w:t>
            </w:r>
          </w:p>
        </w:tc>
        <w:tc>
          <w:tcPr>
            <w:tcW w:w="1420" w:type="dxa"/>
            <w:tcBorders>
              <w:top w:val="nil"/>
              <w:left w:val="nil"/>
              <w:bottom w:val="single" w:sz="4" w:space="0" w:color="auto"/>
              <w:right w:val="single" w:sz="4" w:space="0" w:color="auto"/>
            </w:tcBorders>
            <w:shd w:val="clear" w:color="auto" w:fill="auto"/>
            <w:hideMark/>
          </w:tcPr>
          <w:p w:rsidR="004B6286" w:rsidRPr="004B6286" w:rsidRDefault="004B6286" w:rsidP="004B6286">
            <w:pPr>
              <w:jc w:val="right"/>
              <w:rPr>
                <w:rFonts w:cs="Arial"/>
                <w:b/>
                <w:bCs/>
                <w:color w:val="000000"/>
              </w:rPr>
            </w:pPr>
            <w:r w:rsidRPr="004B6286">
              <w:rPr>
                <w:rFonts w:cs="Arial"/>
                <w:b/>
                <w:bCs/>
                <w:color w:val="000000"/>
              </w:rPr>
              <w:t>6,794</w:t>
            </w:r>
          </w:p>
        </w:tc>
      </w:tr>
    </w:tbl>
    <w:p w:rsidR="004B6286" w:rsidRDefault="004B6286" w:rsidP="004B6286"/>
    <w:p w:rsidR="004B6286" w:rsidRDefault="004B6286" w:rsidP="004B6286"/>
    <w:p w:rsidR="004B6286" w:rsidRDefault="004B6286">
      <w:pPr>
        <w:jc w:val="left"/>
        <w:rPr>
          <w:color w:val="000000"/>
        </w:rPr>
      </w:pPr>
      <w:r>
        <w:rPr>
          <w:color w:val="000000"/>
        </w:rPr>
        <w:br w:type="page"/>
      </w:r>
    </w:p>
    <w:p w:rsidR="00421639" w:rsidRPr="00DD6106" w:rsidRDefault="00421639" w:rsidP="00421639">
      <w:r w:rsidRPr="00FC2170">
        <w:rPr>
          <w:color w:val="000000"/>
        </w:rPr>
        <w:t>3.15</w:t>
      </w:r>
      <w:r w:rsidRPr="00DD6106">
        <w:tab/>
      </w:r>
      <w:r w:rsidRPr="00DD6106">
        <w:rPr>
          <w:b/>
        </w:rPr>
        <w:t>Table 8</w:t>
      </w:r>
      <w:r w:rsidRPr="00DD6106">
        <w:t xml:space="preserve"> provides information on income by source for the 2012-2013 and </w:t>
      </w:r>
      <w:r w:rsidRPr="0044380F">
        <w:rPr>
          <w:snapToGrid w:val="0"/>
          <w:spacing w:val="-2"/>
          <w:szCs w:val="24"/>
        </w:rPr>
        <w:t>2014</w:t>
      </w:r>
      <w:r>
        <w:rPr>
          <w:snapToGrid w:val="0"/>
          <w:spacing w:val="-2"/>
          <w:szCs w:val="24"/>
        </w:rPr>
        <w:t>­</w:t>
      </w:r>
      <w:r w:rsidRPr="0044380F">
        <w:rPr>
          <w:snapToGrid w:val="0"/>
          <w:spacing w:val="-2"/>
          <w:szCs w:val="24"/>
        </w:rPr>
        <w:t>2015</w:t>
      </w:r>
      <w:r w:rsidRPr="00DD6106">
        <w:t xml:space="preserve"> biennia. </w:t>
      </w:r>
    </w:p>
    <w:p w:rsidR="00421639" w:rsidRPr="00DD6106" w:rsidRDefault="00421639" w:rsidP="00421639"/>
    <w:p w:rsidR="00421639" w:rsidRPr="00DE02E8" w:rsidRDefault="00421639" w:rsidP="00421639">
      <w:r w:rsidRPr="00DE02E8">
        <w:rPr>
          <w:color w:val="000000"/>
        </w:rPr>
        <w:t>3.16</w:t>
      </w:r>
      <w:r w:rsidRPr="00DE02E8">
        <w:tab/>
        <w:t xml:space="preserve">Total income under the regular budget in the </w:t>
      </w:r>
      <w:r w:rsidRPr="00DE02E8">
        <w:rPr>
          <w:snapToGrid w:val="0"/>
          <w:spacing w:val="-2"/>
          <w:szCs w:val="24"/>
        </w:rPr>
        <w:t>2014­2015</w:t>
      </w:r>
      <w:r w:rsidRPr="00DE02E8">
        <w:t xml:space="preserve"> Biennium is expected to be </w:t>
      </w:r>
      <w:r w:rsidRPr="00DE02E8">
        <w:rPr>
          <w:spacing w:val="-2"/>
          <w:szCs w:val="24"/>
        </w:rPr>
        <w:t>6,794,000 Swiss francs</w:t>
      </w:r>
      <w:r w:rsidRPr="00DE02E8">
        <w:t xml:space="preserve">.  This income figure is </w:t>
      </w:r>
      <w:r w:rsidRPr="00DE02E8">
        <w:rPr>
          <w:spacing w:val="-2"/>
          <w:szCs w:val="24"/>
        </w:rPr>
        <w:t>4,000 Swiss francs</w:t>
      </w:r>
      <w:r w:rsidRPr="00DE02E8">
        <w:t xml:space="preserve"> or 0.1% lower than the income for the 2012-2013 Biennium of </w:t>
      </w:r>
      <w:r w:rsidRPr="00DE02E8">
        <w:rPr>
          <w:spacing w:val="-2"/>
          <w:szCs w:val="24"/>
        </w:rPr>
        <w:t>6,798,000 Swiss francs</w:t>
      </w:r>
      <w:r w:rsidRPr="00DE02E8">
        <w:t>.  In particular, this projection assumes 62.15 contribution units in 2014 and 62.35 contribution units in 2015 with no change to the value of the contribution unit, which is proposed to remain at 53,641 </w:t>
      </w:r>
      <w:r w:rsidRPr="00DE02E8">
        <w:rPr>
          <w:spacing w:val="-2"/>
          <w:szCs w:val="24"/>
        </w:rPr>
        <w:t>Swiss francs</w:t>
      </w:r>
      <w:r w:rsidRPr="00DE02E8">
        <w:t xml:space="preserve"> during the Biennium.  </w:t>
      </w:r>
    </w:p>
    <w:p w:rsidR="00421639" w:rsidRPr="00DE02E8" w:rsidRDefault="00421639" w:rsidP="00421639"/>
    <w:p w:rsidR="00421639" w:rsidRPr="00DE02E8" w:rsidRDefault="00421639" w:rsidP="00421639">
      <w:r w:rsidRPr="00DE02E8">
        <w:rPr>
          <w:color w:val="000000"/>
        </w:rPr>
        <w:t>3.17</w:t>
      </w:r>
      <w:r w:rsidRPr="00DE02E8">
        <w:tab/>
        <w:t xml:space="preserve">The income from contributions is estimated on the assumption of one new member of the </w:t>
      </w:r>
      <w:smartTag w:uri="urn:schemas-microsoft-com:office:smarttags" w:element="place">
        <w:r w:rsidRPr="00DE02E8">
          <w:t>Union</w:t>
        </w:r>
      </w:smartTag>
      <w:r w:rsidRPr="00DE02E8">
        <w:t xml:space="preserve"> per year, each contributing 0.2 contribution unit to the budget (and 1,667 </w:t>
      </w:r>
      <w:r w:rsidRPr="00DE02E8">
        <w:rPr>
          <w:spacing w:val="-2"/>
          <w:szCs w:val="24"/>
        </w:rPr>
        <w:t>Swiss francs</w:t>
      </w:r>
      <w:r w:rsidRPr="00DE02E8">
        <w:t xml:space="preserve"> to the Working Capital Fund).  At its twenty-third extraordinary session, held in </w:t>
      </w:r>
      <w:smartTag w:uri="urn:schemas-microsoft-com:office:smarttags" w:element="City">
        <w:r w:rsidRPr="00DE02E8">
          <w:t>Geneva</w:t>
        </w:r>
      </w:smartTag>
      <w:r w:rsidRPr="00DE02E8">
        <w:t xml:space="preserve"> on April 7, 2006, the Council decided that “members of the Union should not adjust downwards their number of units of contribution without considering the implications for </w:t>
      </w:r>
      <w:smartTag w:uri="urn:schemas-microsoft-com:office:smarttags" w:element="PersonName">
        <w:r w:rsidRPr="00DE02E8">
          <w:t>UPOV</w:t>
        </w:r>
      </w:smartTag>
      <w:r w:rsidRPr="00DE02E8">
        <w:t xml:space="preserve"> and considering how such a reduction would be compensated by other members of the </w:t>
      </w:r>
      <w:smartTag w:uri="urn:schemas-microsoft-com:office:smarttags" w:element="place">
        <w:r w:rsidRPr="00DE02E8">
          <w:t>Union</w:t>
        </w:r>
      </w:smartTag>
      <w:r w:rsidRPr="00DE02E8">
        <w:t xml:space="preserve">.  In particular, members of the </w:t>
      </w:r>
      <w:smartTag w:uri="urn:schemas-microsoft-com:office:smarttags" w:element="place">
        <w:r w:rsidRPr="00DE02E8">
          <w:t>Union</w:t>
        </w:r>
      </w:smartTag>
      <w:r w:rsidRPr="00DE02E8">
        <w:t xml:space="preserve"> should not reduce their number of units of contribution during a budget period approved by the Council, except under exceptional and unavoidable circumstances” (see Annex III of document C(</w:t>
      </w:r>
      <w:proofErr w:type="spellStart"/>
      <w:r w:rsidRPr="00DE02E8">
        <w:t>Extr</w:t>
      </w:r>
      <w:proofErr w:type="spellEnd"/>
      <w:r w:rsidRPr="00DE02E8">
        <w:t xml:space="preserve">.)/23/5).  On that basis, no reduction in the number of units of contribution by members of the </w:t>
      </w:r>
      <w:smartTag w:uri="urn:schemas-microsoft-com:office:smarttags" w:element="place">
        <w:r w:rsidRPr="00DE02E8">
          <w:t>Union</w:t>
        </w:r>
      </w:smartTag>
      <w:r w:rsidRPr="00DE02E8">
        <w:t xml:space="preserve"> is anticipated within the </w:t>
      </w:r>
      <w:r w:rsidRPr="00DE02E8">
        <w:rPr>
          <w:snapToGrid w:val="0"/>
          <w:spacing w:val="-2"/>
          <w:szCs w:val="24"/>
        </w:rPr>
        <w:t>2014­2015</w:t>
      </w:r>
      <w:r w:rsidRPr="00DE02E8">
        <w:t xml:space="preserve"> Biennium.</w:t>
      </w:r>
    </w:p>
    <w:p w:rsidR="00421639" w:rsidRPr="00DE02E8" w:rsidRDefault="00421639" w:rsidP="00421639"/>
    <w:p w:rsidR="00421639" w:rsidRPr="00DD6106" w:rsidRDefault="00421639" w:rsidP="00421639">
      <w:pPr>
        <w:tabs>
          <w:tab w:val="left" w:pos="567"/>
        </w:tabs>
      </w:pPr>
      <w:r w:rsidRPr="00DE02E8">
        <w:rPr>
          <w:color w:val="000000"/>
        </w:rPr>
        <w:t>3.18</w:t>
      </w:r>
      <w:r w:rsidRPr="00DE02E8">
        <w:tab/>
        <w:t xml:space="preserve">In addition to contributions from members of the Union, </w:t>
      </w:r>
      <w:smartTag w:uri="urn:schemas-microsoft-com:office:smarttags" w:element="PersonName">
        <w:r w:rsidRPr="00DE02E8">
          <w:t>UPOV</w:t>
        </w:r>
      </w:smartTag>
      <w:r w:rsidRPr="00DE02E8">
        <w:t xml:space="preserve"> income is anticipated from publications (10,000 </w:t>
      </w:r>
      <w:r w:rsidRPr="00DE02E8">
        <w:rPr>
          <w:spacing w:val="-2"/>
          <w:szCs w:val="24"/>
        </w:rPr>
        <w:t>Swiss francs</w:t>
      </w:r>
      <w:r w:rsidRPr="00DE02E8">
        <w:t>), interest earned by bank deposits from the reserves and working capital funds (20,000 </w:t>
      </w:r>
      <w:r w:rsidRPr="00DE02E8">
        <w:rPr>
          <w:spacing w:val="-2"/>
          <w:szCs w:val="24"/>
        </w:rPr>
        <w:t>Swiss francs</w:t>
      </w:r>
      <w:r w:rsidRPr="00DE02E8">
        <w:t>) and other miscellaneous income (86,000 </w:t>
      </w:r>
      <w:r w:rsidRPr="00DE02E8">
        <w:rPr>
          <w:spacing w:val="-2"/>
          <w:szCs w:val="24"/>
        </w:rPr>
        <w:t>Swiss francs</w:t>
      </w:r>
      <w:r w:rsidRPr="00DE02E8">
        <w:t xml:space="preserve">), including participants fees in the UPOV's distance learning program and administrative support costs under Funds in Trust.  Excluding contributions, all these sources combined are anticipated to generate 1.7% of </w:t>
      </w:r>
      <w:smartTag w:uri="urn:schemas-microsoft-com:office:smarttags" w:element="PersonName">
        <w:r w:rsidRPr="00DE02E8">
          <w:t>UPOV</w:t>
        </w:r>
      </w:smartTag>
      <w:r w:rsidRPr="00DE02E8">
        <w:t xml:space="preserve">’s regular income in the </w:t>
      </w:r>
      <w:r w:rsidRPr="00DE02E8">
        <w:rPr>
          <w:snapToGrid w:val="0"/>
          <w:spacing w:val="-2"/>
          <w:szCs w:val="24"/>
        </w:rPr>
        <w:t>2014­2015</w:t>
      </w:r>
      <w:r w:rsidRPr="00DE02E8">
        <w:t xml:space="preserve"> Biennium.</w:t>
      </w:r>
      <w:r w:rsidRPr="00DD6106">
        <w:t xml:space="preserve">  </w:t>
      </w:r>
    </w:p>
    <w:p w:rsidR="00421639" w:rsidRPr="00DD6106" w:rsidRDefault="00421639" w:rsidP="00421639">
      <w:pPr>
        <w:tabs>
          <w:tab w:val="left" w:pos="567"/>
        </w:tabs>
      </w:pPr>
    </w:p>
    <w:p w:rsidR="00421639" w:rsidRPr="00DD6106" w:rsidRDefault="00421639" w:rsidP="00421639">
      <w:pPr>
        <w:rPr>
          <w:spacing w:val="-2"/>
          <w:szCs w:val="24"/>
        </w:rPr>
      </w:pPr>
      <w:r w:rsidRPr="00FC2170">
        <w:rPr>
          <w:color w:val="000000"/>
        </w:rPr>
        <w:t>3.1</w:t>
      </w:r>
      <w:r>
        <w:rPr>
          <w:color w:val="000000"/>
        </w:rPr>
        <w:t>9</w:t>
      </w:r>
      <w:r w:rsidRPr="00DD6106">
        <w:rPr>
          <w:spacing w:val="-2"/>
          <w:szCs w:val="24"/>
        </w:rPr>
        <w:tab/>
        <w:t xml:space="preserve">The income for the </w:t>
      </w:r>
      <w:r w:rsidRPr="0044380F">
        <w:rPr>
          <w:snapToGrid w:val="0"/>
          <w:spacing w:val="-2"/>
          <w:szCs w:val="24"/>
        </w:rPr>
        <w:t>2014</w:t>
      </w:r>
      <w:r>
        <w:rPr>
          <w:snapToGrid w:val="0"/>
          <w:spacing w:val="-2"/>
          <w:szCs w:val="24"/>
        </w:rPr>
        <w:t>­</w:t>
      </w:r>
      <w:r w:rsidRPr="0044380F">
        <w:rPr>
          <w:snapToGrid w:val="0"/>
          <w:spacing w:val="-2"/>
          <w:szCs w:val="24"/>
        </w:rPr>
        <w:t>2015</w:t>
      </w:r>
      <w:r w:rsidRPr="00DD6106">
        <w:rPr>
          <w:spacing w:val="-2"/>
          <w:szCs w:val="24"/>
        </w:rPr>
        <w:t xml:space="preserve"> </w:t>
      </w:r>
      <w:r>
        <w:rPr>
          <w:spacing w:val="-2"/>
          <w:szCs w:val="24"/>
        </w:rPr>
        <w:t>Biennium</w:t>
      </w:r>
      <w:r w:rsidRPr="00DD6106">
        <w:rPr>
          <w:spacing w:val="-2"/>
          <w:szCs w:val="24"/>
        </w:rPr>
        <w:t xml:space="preserve"> anticipates a reduction in income from interest and </w:t>
      </w:r>
      <w:r>
        <w:rPr>
          <w:spacing w:val="-2"/>
          <w:szCs w:val="24"/>
        </w:rPr>
        <w:t>no income from</w:t>
      </w:r>
      <w:r w:rsidRPr="00DD6106">
        <w:rPr>
          <w:spacing w:val="-2"/>
          <w:szCs w:val="24"/>
        </w:rPr>
        <w:t xml:space="preserve"> subscriptions to the </w:t>
      </w:r>
      <w:smartTag w:uri="urn:schemas-microsoft-com:office:smarttags" w:element="PersonName">
        <w:r w:rsidRPr="00DD6106">
          <w:rPr>
            <w:spacing w:val="-2"/>
            <w:szCs w:val="24"/>
          </w:rPr>
          <w:t>UPOV</w:t>
        </w:r>
      </w:smartTag>
      <w:r w:rsidRPr="00DD6106">
        <w:rPr>
          <w:spacing w:val="-2"/>
          <w:szCs w:val="24"/>
        </w:rPr>
        <w:t xml:space="preserve">-ROM </w:t>
      </w:r>
      <w:r w:rsidRPr="00DD6106">
        <w:rPr>
          <w:color w:val="000000"/>
          <w:spacing w:val="-2"/>
          <w:szCs w:val="24"/>
        </w:rPr>
        <w:t xml:space="preserve">Plant Variety Database, as a result of the </w:t>
      </w:r>
      <w:r>
        <w:rPr>
          <w:color w:val="000000"/>
          <w:spacing w:val="-2"/>
          <w:szCs w:val="24"/>
        </w:rPr>
        <w:t>launch of</w:t>
      </w:r>
      <w:r w:rsidRPr="00DD6106">
        <w:rPr>
          <w:color w:val="000000"/>
          <w:spacing w:val="-2"/>
          <w:szCs w:val="24"/>
        </w:rPr>
        <w:t xml:space="preserve"> </w:t>
      </w:r>
      <w:r>
        <w:rPr>
          <w:color w:val="000000"/>
          <w:spacing w:val="-2"/>
          <w:szCs w:val="24"/>
        </w:rPr>
        <w:t xml:space="preserve">the </w:t>
      </w:r>
      <w:r w:rsidRPr="00DD6106">
        <w:rPr>
          <w:color w:val="000000"/>
          <w:spacing w:val="-2"/>
          <w:szCs w:val="24"/>
        </w:rPr>
        <w:t>web-based version of the Plant Variety Database</w:t>
      </w:r>
      <w:r>
        <w:rPr>
          <w:color w:val="000000"/>
          <w:spacing w:val="-2"/>
          <w:szCs w:val="24"/>
        </w:rPr>
        <w:t xml:space="preserve"> (PLUTO), which</w:t>
      </w:r>
      <w:r w:rsidRPr="00DD6106">
        <w:rPr>
          <w:color w:val="000000"/>
          <w:spacing w:val="-2"/>
          <w:szCs w:val="24"/>
        </w:rPr>
        <w:t xml:space="preserve"> </w:t>
      </w:r>
      <w:r>
        <w:rPr>
          <w:color w:val="000000"/>
          <w:spacing w:val="-2"/>
          <w:szCs w:val="24"/>
        </w:rPr>
        <w:t>is fr</w:t>
      </w:r>
      <w:r w:rsidRPr="00DD6106">
        <w:rPr>
          <w:color w:val="000000"/>
          <w:spacing w:val="-2"/>
          <w:szCs w:val="24"/>
        </w:rPr>
        <w:t>eely accessible to all users</w:t>
      </w:r>
      <w:r w:rsidRPr="00DD6106">
        <w:rPr>
          <w:spacing w:val="-2"/>
          <w:szCs w:val="24"/>
        </w:rPr>
        <w:t xml:space="preserve">.  </w:t>
      </w:r>
    </w:p>
    <w:p w:rsidR="00421639" w:rsidRPr="003B13DD" w:rsidRDefault="00421639" w:rsidP="00421639"/>
    <w:p w:rsidR="00421639" w:rsidRPr="003B13DD" w:rsidRDefault="00421639" w:rsidP="00421639">
      <w:pPr>
        <w:keepNext/>
        <w:jc w:val="center"/>
        <w:rPr>
          <w:b/>
        </w:rPr>
      </w:pPr>
      <w:r w:rsidRPr="003B13DD">
        <w:rPr>
          <w:b/>
        </w:rPr>
        <w:t>Table 8:  Income 2012-2013 and 2014-2015:  Variation by Source</w:t>
      </w:r>
    </w:p>
    <w:p w:rsidR="00421639" w:rsidRPr="0072367F" w:rsidRDefault="00421639" w:rsidP="00421639">
      <w:pPr>
        <w:keepNext/>
        <w:jc w:val="center"/>
      </w:pPr>
      <w:r w:rsidRPr="0072367F">
        <w:t>(in thousands of Swiss francs)</w:t>
      </w:r>
    </w:p>
    <w:p w:rsidR="00421639" w:rsidRDefault="00421639" w:rsidP="00421639">
      <w:pPr>
        <w:keepNext/>
        <w:jc w:val="center"/>
      </w:pPr>
    </w:p>
    <w:tbl>
      <w:tblPr>
        <w:tblW w:w="7551" w:type="dxa"/>
        <w:tblInd w:w="1101" w:type="dxa"/>
        <w:tblLook w:val="04A0" w:firstRow="1" w:lastRow="0" w:firstColumn="1" w:lastColumn="0" w:noHBand="0" w:noVBand="1"/>
      </w:tblPr>
      <w:tblGrid>
        <w:gridCol w:w="1395"/>
        <w:gridCol w:w="1314"/>
        <w:gridCol w:w="1195"/>
        <w:gridCol w:w="1058"/>
        <w:gridCol w:w="1261"/>
        <w:gridCol w:w="1328"/>
      </w:tblGrid>
      <w:tr w:rsidR="00BB0A3D" w:rsidRPr="00BB0A3D" w:rsidTr="00BB0A3D">
        <w:trPr>
          <w:trHeight w:val="315"/>
        </w:trPr>
        <w:tc>
          <w:tcPr>
            <w:tcW w:w="1395" w:type="dxa"/>
            <w:tcBorders>
              <w:top w:val="single" w:sz="4" w:space="0" w:color="auto"/>
              <w:left w:val="single" w:sz="4" w:space="0" w:color="auto"/>
              <w:bottom w:val="nil"/>
              <w:right w:val="nil"/>
            </w:tcBorders>
            <w:shd w:val="clear" w:color="auto" w:fill="auto"/>
            <w:hideMark/>
          </w:tcPr>
          <w:p w:rsidR="00BB0A3D" w:rsidRPr="00BB0A3D" w:rsidRDefault="00BB0A3D" w:rsidP="00BB0A3D">
            <w:pPr>
              <w:rPr>
                <w:rFonts w:cs="Arial"/>
                <w:b/>
                <w:bCs/>
              </w:rPr>
            </w:pPr>
          </w:p>
        </w:tc>
        <w:tc>
          <w:tcPr>
            <w:tcW w:w="1314" w:type="dxa"/>
            <w:tcBorders>
              <w:top w:val="single" w:sz="4" w:space="0" w:color="auto"/>
              <w:left w:val="single" w:sz="4" w:space="0" w:color="auto"/>
              <w:bottom w:val="nil"/>
              <w:right w:val="single" w:sz="4" w:space="0" w:color="auto"/>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2010-2011</w:t>
            </w:r>
          </w:p>
        </w:tc>
        <w:tc>
          <w:tcPr>
            <w:tcW w:w="1195" w:type="dxa"/>
            <w:tcBorders>
              <w:top w:val="single" w:sz="4" w:space="0" w:color="auto"/>
              <w:left w:val="nil"/>
              <w:bottom w:val="nil"/>
              <w:right w:val="single" w:sz="4" w:space="0" w:color="auto"/>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2012-2013</w:t>
            </w:r>
          </w:p>
        </w:tc>
        <w:tc>
          <w:tcPr>
            <w:tcW w:w="2319" w:type="dxa"/>
            <w:gridSpan w:val="2"/>
            <w:tcBorders>
              <w:top w:val="single" w:sz="4" w:space="0" w:color="auto"/>
              <w:left w:val="nil"/>
              <w:bottom w:val="nil"/>
              <w:right w:val="single" w:sz="4" w:space="0" w:color="000000"/>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Variation</w:t>
            </w:r>
          </w:p>
        </w:tc>
        <w:tc>
          <w:tcPr>
            <w:tcW w:w="1328" w:type="dxa"/>
            <w:tcBorders>
              <w:top w:val="single" w:sz="4" w:space="0" w:color="auto"/>
              <w:left w:val="nil"/>
              <w:bottom w:val="nil"/>
              <w:right w:val="single" w:sz="4" w:space="0" w:color="auto"/>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2014-2015</w:t>
            </w:r>
          </w:p>
        </w:tc>
      </w:tr>
      <w:tr w:rsidR="00BB0A3D" w:rsidRPr="00BB0A3D" w:rsidTr="00BB0A3D">
        <w:trPr>
          <w:trHeight w:val="255"/>
        </w:trPr>
        <w:tc>
          <w:tcPr>
            <w:tcW w:w="1395" w:type="dxa"/>
            <w:tcBorders>
              <w:top w:val="nil"/>
              <w:left w:val="single" w:sz="4" w:space="0" w:color="auto"/>
              <w:bottom w:val="nil"/>
              <w:right w:val="nil"/>
            </w:tcBorders>
            <w:shd w:val="clear" w:color="auto" w:fill="auto"/>
            <w:hideMark/>
          </w:tcPr>
          <w:p w:rsidR="00BB0A3D" w:rsidRPr="00BB0A3D" w:rsidRDefault="00BB0A3D" w:rsidP="00BB0A3D">
            <w:pPr>
              <w:rPr>
                <w:rFonts w:cs="Arial"/>
                <w:color w:val="000000"/>
              </w:rPr>
            </w:pPr>
            <w:r w:rsidRPr="00BB0A3D">
              <w:rPr>
                <w:rFonts w:cs="Arial"/>
                <w:color w:val="000000"/>
              </w:rPr>
              <w:t>Source</w:t>
            </w:r>
          </w:p>
        </w:tc>
        <w:tc>
          <w:tcPr>
            <w:tcW w:w="1314" w:type="dxa"/>
            <w:tcBorders>
              <w:top w:val="nil"/>
              <w:left w:val="single" w:sz="4" w:space="0" w:color="auto"/>
              <w:bottom w:val="nil"/>
              <w:right w:val="single" w:sz="4" w:space="0" w:color="auto"/>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Actual</w:t>
            </w:r>
          </w:p>
        </w:tc>
        <w:tc>
          <w:tcPr>
            <w:tcW w:w="1195" w:type="dxa"/>
            <w:tcBorders>
              <w:top w:val="nil"/>
              <w:left w:val="nil"/>
              <w:bottom w:val="nil"/>
              <w:right w:val="single" w:sz="4" w:space="0" w:color="auto"/>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Approved</w:t>
            </w:r>
          </w:p>
        </w:tc>
        <w:tc>
          <w:tcPr>
            <w:tcW w:w="1058" w:type="dxa"/>
            <w:tcBorders>
              <w:top w:val="nil"/>
              <w:left w:val="nil"/>
              <w:bottom w:val="nil"/>
              <w:right w:val="nil"/>
            </w:tcBorders>
            <w:shd w:val="clear" w:color="auto" w:fill="auto"/>
            <w:hideMark/>
          </w:tcPr>
          <w:p w:rsidR="00BB0A3D" w:rsidRPr="00BB0A3D" w:rsidRDefault="00BB0A3D" w:rsidP="00BB0A3D">
            <w:pPr>
              <w:rPr>
                <w:rFonts w:cs="Arial"/>
              </w:rPr>
            </w:pPr>
          </w:p>
        </w:tc>
        <w:tc>
          <w:tcPr>
            <w:tcW w:w="1261" w:type="dxa"/>
            <w:tcBorders>
              <w:top w:val="nil"/>
              <w:left w:val="nil"/>
              <w:bottom w:val="nil"/>
              <w:right w:val="single" w:sz="4" w:space="0" w:color="auto"/>
            </w:tcBorders>
            <w:shd w:val="clear" w:color="auto" w:fill="auto"/>
            <w:hideMark/>
          </w:tcPr>
          <w:p w:rsidR="00BB0A3D" w:rsidRPr="00BB0A3D" w:rsidRDefault="00BB0A3D" w:rsidP="00BB0A3D">
            <w:pPr>
              <w:rPr>
                <w:rFonts w:cs="Arial"/>
              </w:rPr>
            </w:pPr>
          </w:p>
        </w:tc>
        <w:tc>
          <w:tcPr>
            <w:tcW w:w="1328" w:type="dxa"/>
            <w:tcBorders>
              <w:top w:val="nil"/>
              <w:left w:val="nil"/>
              <w:bottom w:val="nil"/>
              <w:right w:val="single" w:sz="4" w:space="0" w:color="auto"/>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Proposed</w:t>
            </w:r>
          </w:p>
        </w:tc>
      </w:tr>
      <w:tr w:rsidR="00BB0A3D" w:rsidRPr="00BB0A3D" w:rsidTr="00BB0A3D">
        <w:trPr>
          <w:trHeight w:val="255"/>
        </w:trPr>
        <w:tc>
          <w:tcPr>
            <w:tcW w:w="1395" w:type="dxa"/>
            <w:tcBorders>
              <w:top w:val="nil"/>
              <w:left w:val="single" w:sz="4" w:space="0" w:color="auto"/>
              <w:bottom w:val="single" w:sz="4" w:space="0" w:color="auto"/>
              <w:right w:val="nil"/>
            </w:tcBorders>
            <w:shd w:val="clear" w:color="auto" w:fill="auto"/>
            <w:hideMark/>
          </w:tcPr>
          <w:p w:rsidR="00BB0A3D" w:rsidRPr="00BB0A3D" w:rsidRDefault="00BB0A3D" w:rsidP="00BB0A3D">
            <w:pPr>
              <w:rPr>
                <w:rFonts w:cs="Arial"/>
                <w:b/>
                <w:bCs/>
              </w:rPr>
            </w:pPr>
          </w:p>
        </w:tc>
        <w:tc>
          <w:tcPr>
            <w:tcW w:w="1314" w:type="dxa"/>
            <w:tcBorders>
              <w:top w:val="nil"/>
              <w:left w:val="single" w:sz="4" w:space="0" w:color="auto"/>
              <w:bottom w:val="single" w:sz="4" w:space="0" w:color="auto"/>
              <w:right w:val="single" w:sz="4" w:space="0" w:color="auto"/>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A</w:t>
            </w:r>
          </w:p>
        </w:tc>
        <w:tc>
          <w:tcPr>
            <w:tcW w:w="1195" w:type="dxa"/>
            <w:tcBorders>
              <w:top w:val="nil"/>
              <w:left w:val="nil"/>
              <w:bottom w:val="single" w:sz="4" w:space="0" w:color="auto"/>
              <w:right w:val="single" w:sz="4" w:space="0" w:color="auto"/>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B</w:t>
            </w:r>
          </w:p>
        </w:tc>
        <w:tc>
          <w:tcPr>
            <w:tcW w:w="1058" w:type="dxa"/>
            <w:tcBorders>
              <w:top w:val="single" w:sz="4" w:space="0" w:color="auto"/>
              <w:left w:val="nil"/>
              <w:bottom w:val="single" w:sz="4" w:space="0" w:color="auto"/>
              <w:right w:val="nil"/>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C</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C/B(%)</w:t>
            </w:r>
          </w:p>
        </w:tc>
        <w:tc>
          <w:tcPr>
            <w:tcW w:w="1328" w:type="dxa"/>
            <w:tcBorders>
              <w:top w:val="single" w:sz="4" w:space="0" w:color="auto"/>
              <w:left w:val="nil"/>
              <w:bottom w:val="nil"/>
              <w:right w:val="single" w:sz="4" w:space="0" w:color="auto"/>
            </w:tcBorders>
            <w:shd w:val="clear" w:color="auto" w:fill="auto"/>
            <w:hideMark/>
          </w:tcPr>
          <w:p w:rsidR="00BB0A3D" w:rsidRPr="00BB0A3D" w:rsidRDefault="00BB0A3D" w:rsidP="00BB0A3D">
            <w:pPr>
              <w:jc w:val="center"/>
              <w:rPr>
                <w:rFonts w:cs="Arial"/>
                <w:i/>
                <w:iCs/>
                <w:color w:val="000000"/>
              </w:rPr>
            </w:pPr>
            <w:r w:rsidRPr="00BB0A3D">
              <w:rPr>
                <w:rFonts w:cs="Arial"/>
                <w:i/>
                <w:iCs/>
                <w:color w:val="000000"/>
              </w:rPr>
              <w:t>D=B+C</w:t>
            </w:r>
          </w:p>
        </w:tc>
      </w:tr>
      <w:tr w:rsidR="00BB0A3D" w:rsidRPr="00BB0A3D" w:rsidTr="00BB0A3D">
        <w:trPr>
          <w:trHeight w:val="450"/>
        </w:trPr>
        <w:tc>
          <w:tcPr>
            <w:tcW w:w="1395" w:type="dxa"/>
            <w:tcBorders>
              <w:top w:val="nil"/>
              <w:left w:val="single" w:sz="4" w:space="0" w:color="auto"/>
              <w:bottom w:val="nil"/>
              <w:right w:val="nil"/>
            </w:tcBorders>
            <w:shd w:val="clear" w:color="auto" w:fill="auto"/>
            <w:vAlign w:val="bottom"/>
            <w:hideMark/>
          </w:tcPr>
          <w:p w:rsidR="00BB0A3D" w:rsidRPr="00BB0A3D" w:rsidRDefault="00BB0A3D" w:rsidP="00BB0A3D">
            <w:pPr>
              <w:jc w:val="left"/>
              <w:rPr>
                <w:rFonts w:cs="Arial"/>
                <w:color w:val="000000"/>
              </w:rPr>
            </w:pPr>
            <w:r w:rsidRPr="00BB0A3D">
              <w:rPr>
                <w:rFonts w:cs="Arial"/>
                <w:color w:val="000000"/>
              </w:rPr>
              <w:t>Contributions</w:t>
            </w:r>
          </w:p>
        </w:tc>
        <w:tc>
          <w:tcPr>
            <w:tcW w:w="1314" w:type="dxa"/>
            <w:tcBorders>
              <w:top w:val="nil"/>
              <w:left w:val="single" w:sz="4" w:space="0" w:color="auto"/>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6,563</w:t>
            </w:r>
          </w:p>
        </w:tc>
        <w:tc>
          <w:tcPr>
            <w:tcW w:w="1195" w:type="dxa"/>
            <w:tcBorders>
              <w:top w:val="nil"/>
              <w:left w:val="nil"/>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6,657</w:t>
            </w:r>
          </w:p>
        </w:tc>
        <w:tc>
          <w:tcPr>
            <w:tcW w:w="1058" w:type="dxa"/>
            <w:tcBorders>
              <w:top w:val="nil"/>
              <w:left w:val="nil"/>
              <w:bottom w:val="nil"/>
              <w:right w:val="nil"/>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21</w:t>
            </w:r>
          </w:p>
        </w:tc>
        <w:tc>
          <w:tcPr>
            <w:tcW w:w="1261" w:type="dxa"/>
            <w:tcBorders>
              <w:top w:val="nil"/>
              <w:left w:val="single" w:sz="4" w:space="0" w:color="auto"/>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0.3%</w:t>
            </w:r>
          </w:p>
        </w:tc>
        <w:tc>
          <w:tcPr>
            <w:tcW w:w="1328" w:type="dxa"/>
            <w:tcBorders>
              <w:top w:val="single" w:sz="4" w:space="0" w:color="auto"/>
              <w:left w:val="nil"/>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6,678</w:t>
            </w:r>
          </w:p>
        </w:tc>
      </w:tr>
      <w:tr w:rsidR="00BB0A3D" w:rsidRPr="00BB0A3D" w:rsidTr="00BB0A3D">
        <w:trPr>
          <w:trHeight w:val="450"/>
        </w:trPr>
        <w:tc>
          <w:tcPr>
            <w:tcW w:w="1395" w:type="dxa"/>
            <w:tcBorders>
              <w:top w:val="nil"/>
              <w:left w:val="single" w:sz="4" w:space="0" w:color="auto"/>
              <w:bottom w:val="nil"/>
              <w:right w:val="nil"/>
            </w:tcBorders>
            <w:shd w:val="clear" w:color="auto" w:fill="auto"/>
            <w:vAlign w:val="bottom"/>
            <w:hideMark/>
          </w:tcPr>
          <w:p w:rsidR="00BB0A3D" w:rsidRPr="00BB0A3D" w:rsidRDefault="00BB0A3D" w:rsidP="00BB0A3D">
            <w:pPr>
              <w:jc w:val="left"/>
              <w:rPr>
                <w:rFonts w:cs="Arial"/>
                <w:color w:val="000000"/>
              </w:rPr>
            </w:pPr>
            <w:r w:rsidRPr="00BB0A3D">
              <w:rPr>
                <w:rFonts w:cs="Arial"/>
                <w:color w:val="000000"/>
              </w:rPr>
              <w:t>Publications</w:t>
            </w:r>
          </w:p>
        </w:tc>
        <w:tc>
          <w:tcPr>
            <w:tcW w:w="1314" w:type="dxa"/>
            <w:tcBorders>
              <w:top w:val="nil"/>
              <w:left w:val="single" w:sz="4" w:space="0" w:color="auto"/>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48</w:t>
            </w:r>
          </w:p>
        </w:tc>
        <w:tc>
          <w:tcPr>
            <w:tcW w:w="1195" w:type="dxa"/>
            <w:tcBorders>
              <w:top w:val="nil"/>
              <w:left w:val="nil"/>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10</w:t>
            </w:r>
          </w:p>
        </w:tc>
        <w:tc>
          <w:tcPr>
            <w:tcW w:w="1058" w:type="dxa"/>
            <w:tcBorders>
              <w:top w:val="nil"/>
              <w:left w:val="nil"/>
              <w:bottom w:val="nil"/>
              <w:right w:val="nil"/>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0</w:t>
            </w:r>
          </w:p>
        </w:tc>
        <w:tc>
          <w:tcPr>
            <w:tcW w:w="1261" w:type="dxa"/>
            <w:tcBorders>
              <w:top w:val="nil"/>
              <w:left w:val="single" w:sz="4" w:space="0" w:color="auto"/>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0.0%</w:t>
            </w:r>
          </w:p>
        </w:tc>
        <w:tc>
          <w:tcPr>
            <w:tcW w:w="1328" w:type="dxa"/>
            <w:tcBorders>
              <w:top w:val="nil"/>
              <w:left w:val="nil"/>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10</w:t>
            </w:r>
          </w:p>
        </w:tc>
      </w:tr>
      <w:tr w:rsidR="00BB0A3D" w:rsidRPr="00BB0A3D" w:rsidTr="00BB0A3D">
        <w:trPr>
          <w:trHeight w:val="450"/>
        </w:trPr>
        <w:tc>
          <w:tcPr>
            <w:tcW w:w="1395" w:type="dxa"/>
            <w:tcBorders>
              <w:top w:val="nil"/>
              <w:left w:val="single" w:sz="4" w:space="0" w:color="auto"/>
              <w:bottom w:val="nil"/>
              <w:right w:val="nil"/>
            </w:tcBorders>
            <w:shd w:val="clear" w:color="auto" w:fill="auto"/>
            <w:vAlign w:val="bottom"/>
            <w:hideMark/>
          </w:tcPr>
          <w:p w:rsidR="00BB0A3D" w:rsidRPr="00BB0A3D" w:rsidRDefault="00BB0A3D" w:rsidP="00BB0A3D">
            <w:pPr>
              <w:jc w:val="left"/>
              <w:rPr>
                <w:rFonts w:cs="Arial"/>
                <w:color w:val="000000"/>
              </w:rPr>
            </w:pPr>
            <w:r w:rsidRPr="00BB0A3D">
              <w:rPr>
                <w:rFonts w:cs="Arial"/>
                <w:color w:val="000000"/>
              </w:rPr>
              <w:t>Interest</w:t>
            </w:r>
          </w:p>
        </w:tc>
        <w:tc>
          <w:tcPr>
            <w:tcW w:w="1314" w:type="dxa"/>
            <w:tcBorders>
              <w:top w:val="nil"/>
              <w:left w:val="single" w:sz="4" w:space="0" w:color="auto"/>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78</w:t>
            </w:r>
          </w:p>
        </w:tc>
        <w:tc>
          <w:tcPr>
            <w:tcW w:w="1195" w:type="dxa"/>
            <w:tcBorders>
              <w:top w:val="nil"/>
              <w:left w:val="nil"/>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70</w:t>
            </w:r>
          </w:p>
        </w:tc>
        <w:tc>
          <w:tcPr>
            <w:tcW w:w="1058" w:type="dxa"/>
            <w:tcBorders>
              <w:top w:val="nil"/>
              <w:left w:val="nil"/>
              <w:bottom w:val="nil"/>
              <w:right w:val="nil"/>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-50</w:t>
            </w:r>
          </w:p>
        </w:tc>
        <w:tc>
          <w:tcPr>
            <w:tcW w:w="1261" w:type="dxa"/>
            <w:tcBorders>
              <w:top w:val="nil"/>
              <w:left w:val="single" w:sz="4" w:space="0" w:color="auto"/>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-71.4%</w:t>
            </w:r>
          </w:p>
        </w:tc>
        <w:tc>
          <w:tcPr>
            <w:tcW w:w="1328" w:type="dxa"/>
            <w:tcBorders>
              <w:top w:val="nil"/>
              <w:left w:val="nil"/>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20</w:t>
            </w:r>
          </w:p>
        </w:tc>
      </w:tr>
      <w:tr w:rsidR="00BB0A3D" w:rsidRPr="00BB0A3D" w:rsidTr="00BB0A3D">
        <w:trPr>
          <w:trHeight w:val="450"/>
        </w:trPr>
        <w:tc>
          <w:tcPr>
            <w:tcW w:w="1395" w:type="dxa"/>
            <w:tcBorders>
              <w:top w:val="nil"/>
              <w:left w:val="single" w:sz="4" w:space="0" w:color="auto"/>
              <w:bottom w:val="nil"/>
              <w:right w:val="nil"/>
            </w:tcBorders>
            <w:shd w:val="clear" w:color="auto" w:fill="auto"/>
            <w:vAlign w:val="bottom"/>
            <w:hideMark/>
          </w:tcPr>
          <w:p w:rsidR="00BB0A3D" w:rsidRPr="00BB0A3D" w:rsidRDefault="00BB0A3D" w:rsidP="00BB0A3D">
            <w:pPr>
              <w:jc w:val="left"/>
              <w:rPr>
                <w:rFonts w:cs="Arial"/>
                <w:color w:val="000000"/>
              </w:rPr>
            </w:pPr>
            <w:r>
              <w:rPr>
                <w:rFonts w:cs="Arial"/>
                <w:color w:val="000000"/>
              </w:rPr>
              <w:t>Other*</w:t>
            </w:r>
          </w:p>
        </w:tc>
        <w:tc>
          <w:tcPr>
            <w:tcW w:w="1314" w:type="dxa"/>
            <w:tcBorders>
              <w:top w:val="nil"/>
              <w:left w:val="single" w:sz="4" w:space="0" w:color="auto"/>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212</w:t>
            </w:r>
          </w:p>
        </w:tc>
        <w:tc>
          <w:tcPr>
            <w:tcW w:w="1195" w:type="dxa"/>
            <w:tcBorders>
              <w:top w:val="nil"/>
              <w:left w:val="nil"/>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61</w:t>
            </w:r>
          </w:p>
        </w:tc>
        <w:tc>
          <w:tcPr>
            <w:tcW w:w="1058" w:type="dxa"/>
            <w:tcBorders>
              <w:top w:val="nil"/>
              <w:left w:val="nil"/>
              <w:bottom w:val="nil"/>
              <w:right w:val="nil"/>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25</w:t>
            </w:r>
          </w:p>
        </w:tc>
        <w:tc>
          <w:tcPr>
            <w:tcW w:w="1261" w:type="dxa"/>
            <w:tcBorders>
              <w:top w:val="nil"/>
              <w:left w:val="single" w:sz="4" w:space="0" w:color="auto"/>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41.0%</w:t>
            </w:r>
          </w:p>
        </w:tc>
        <w:tc>
          <w:tcPr>
            <w:tcW w:w="1328" w:type="dxa"/>
            <w:tcBorders>
              <w:top w:val="nil"/>
              <w:left w:val="nil"/>
              <w:bottom w:val="nil"/>
              <w:right w:val="single" w:sz="4" w:space="0" w:color="auto"/>
            </w:tcBorders>
            <w:shd w:val="clear" w:color="auto" w:fill="auto"/>
            <w:vAlign w:val="bottom"/>
            <w:hideMark/>
          </w:tcPr>
          <w:p w:rsidR="00BB0A3D" w:rsidRPr="00BB0A3D" w:rsidRDefault="00BB0A3D" w:rsidP="00BB0A3D">
            <w:pPr>
              <w:jc w:val="right"/>
              <w:rPr>
                <w:rFonts w:cs="Arial"/>
                <w:color w:val="000000"/>
              </w:rPr>
            </w:pPr>
            <w:r w:rsidRPr="00BB0A3D">
              <w:rPr>
                <w:rFonts w:cs="Arial"/>
                <w:color w:val="000000"/>
              </w:rPr>
              <w:t>86</w:t>
            </w:r>
          </w:p>
        </w:tc>
      </w:tr>
      <w:tr w:rsidR="00BB0A3D" w:rsidRPr="00BB0A3D" w:rsidTr="00BB0A3D">
        <w:trPr>
          <w:trHeight w:val="585"/>
        </w:trPr>
        <w:tc>
          <w:tcPr>
            <w:tcW w:w="1395" w:type="dxa"/>
            <w:tcBorders>
              <w:top w:val="single" w:sz="4" w:space="0" w:color="auto"/>
              <w:left w:val="single" w:sz="4" w:space="0" w:color="auto"/>
              <w:bottom w:val="single" w:sz="4" w:space="0" w:color="auto"/>
              <w:right w:val="nil"/>
            </w:tcBorders>
            <w:shd w:val="clear" w:color="auto" w:fill="auto"/>
            <w:vAlign w:val="bottom"/>
            <w:hideMark/>
          </w:tcPr>
          <w:p w:rsidR="00BB0A3D" w:rsidRPr="00BB0A3D" w:rsidRDefault="00BB0A3D" w:rsidP="00BB0A3D">
            <w:pPr>
              <w:rPr>
                <w:rFonts w:cs="Arial"/>
                <w:b/>
                <w:bCs/>
                <w:color w:val="000000"/>
              </w:rPr>
            </w:pPr>
            <w:r w:rsidRPr="00BB0A3D">
              <w:rPr>
                <w:rFonts w:cs="Arial"/>
                <w:b/>
                <w:bCs/>
                <w:color w:val="000000"/>
              </w:rPr>
              <w:t>Total</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0A3D" w:rsidRPr="00BB0A3D" w:rsidRDefault="00BB0A3D" w:rsidP="00BB0A3D">
            <w:pPr>
              <w:jc w:val="right"/>
              <w:rPr>
                <w:rFonts w:cs="Arial"/>
                <w:b/>
                <w:bCs/>
                <w:color w:val="000000"/>
              </w:rPr>
            </w:pPr>
            <w:r w:rsidRPr="00BB0A3D">
              <w:rPr>
                <w:rFonts w:cs="Arial"/>
                <w:b/>
                <w:bCs/>
                <w:color w:val="000000"/>
              </w:rPr>
              <w:t>6,901</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rsidR="00BB0A3D" w:rsidRPr="00BB0A3D" w:rsidRDefault="00BB0A3D" w:rsidP="00BB0A3D">
            <w:pPr>
              <w:jc w:val="right"/>
              <w:rPr>
                <w:rFonts w:cs="Arial"/>
                <w:b/>
                <w:bCs/>
                <w:color w:val="000000"/>
              </w:rPr>
            </w:pPr>
            <w:r w:rsidRPr="00BB0A3D">
              <w:rPr>
                <w:rFonts w:cs="Arial"/>
                <w:b/>
                <w:bCs/>
                <w:color w:val="000000"/>
              </w:rPr>
              <w:t>6,798</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BB0A3D" w:rsidRPr="00BB0A3D" w:rsidRDefault="00BB0A3D" w:rsidP="00BB0A3D">
            <w:pPr>
              <w:jc w:val="right"/>
              <w:rPr>
                <w:rFonts w:cs="Arial"/>
                <w:b/>
                <w:bCs/>
                <w:color w:val="000000"/>
              </w:rPr>
            </w:pPr>
            <w:r w:rsidRPr="00BB0A3D">
              <w:rPr>
                <w:rFonts w:cs="Arial"/>
                <w:b/>
                <w:bCs/>
                <w:color w:val="000000"/>
              </w:rPr>
              <w:t>-4</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BB0A3D" w:rsidRPr="00BB0A3D" w:rsidRDefault="00BB0A3D" w:rsidP="00BB0A3D">
            <w:pPr>
              <w:jc w:val="right"/>
              <w:rPr>
                <w:rFonts w:cs="Arial"/>
                <w:b/>
                <w:bCs/>
                <w:color w:val="000000"/>
              </w:rPr>
            </w:pPr>
            <w:r w:rsidRPr="00BB0A3D">
              <w:rPr>
                <w:rFonts w:cs="Arial"/>
                <w:b/>
                <w:bCs/>
                <w:color w:val="000000"/>
              </w:rPr>
              <w:t>-0.06%</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rsidR="00BB0A3D" w:rsidRPr="00BB0A3D" w:rsidRDefault="00BB0A3D" w:rsidP="00BB0A3D">
            <w:pPr>
              <w:jc w:val="right"/>
              <w:rPr>
                <w:rFonts w:cs="Arial"/>
                <w:b/>
                <w:bCs/>
                <w:color w:val="000000"/>
              </w:rPr>
            </w:pPr>
            <w:r w:rsidRPr="00BB0A3D">
              <w:rPr>
                <w:rFonts w:cs="Arial"/>
                <w:b/>
                <w:bCs/>
                <w:color w:val="000000"/>
              </w:rPr>
              <w:t>6,794</w:t>
            </w:r>
          </w:p>
        </w:tc>
      </w:tr>
    </w:tbl>
    <w:p w:rsidR="00BB0A3D" w:rsidRPr="0085263B" w:rsidRDefault="00421639" w:rsidP="0085263B">
      <w:pPr>
        <w:spacing w:before="120"/>
        <w:ind w:left="993" w:right="1134"/>
        <w:rPr>
          <w:sz w:val="18"/>
          <w:szCs w:val="18"/>
        </w:rPr>
      </w:pPr>
      <w:bookmarkStart w:id="12" w:name="_MON_1420012625"/>
      <w:bookmarkStart w:id="13" w:name="_MON_1421480327"/>
      <w:bookmarkEnd w:id="12"/>
      <w:bookmarkEnd w:id="13"/>
      <w:r w:rsidRPr="0085263B">
        <w:rPr>
          <w:sz w:val="18"/>
          <w:szCs w:val="18"/>
        </w:rPr>
        <w:t xml:space="preserve">*: </w:t>
      </w:r>
      <w:r w:rsidRPr="0085263B">
        <w:rPr>
          <w:i/>
          <w:sz w:val="18"/>
          <w:szCs w:val="18"/>
        </w:rPr>
        <w:t>Includes mainly income from administrative support costs under FITs and income from participants fees in the UPOV's distance learning program.</w:t>
      </w:r>
    </w:p>
    <w:p w:rsidR="00421639" w:rsidRPr="00BB0A3D" w:rsidRDefault="00421639" w:rsidP="006F4476">
      <w:pPr>
        <w:keepNext/>
      </w:pPr>
      <w:r>
        <w:rPr>
          <w:b/>
        </w:rPr>
        <w:br w:type="page"/>
        <w:t>4.</w:t>
      </w:r>
      <w:r>
        <w:rPr>
          <w:b/>
        </w:rPr>
        <w:tab/>
        <w:t>FINANCIAL INDICATORS 2008-2017</w:t>
      </w:r>
    </w:p>
    <w:p w:rsidR="00421639" w:rsidRPr="00DD6106" w:rsidRDefault="00421639" w:rsidP="00421639"/>
    <w:p w:rsidR="00421639" w:rsidRPr="00DD6106" w:rsidRDefault="00421639" w:rsidP="00421639">
      <w:pPr>
        <w:tabs>
          <w:tab w:val="left" w:pos="567"/>
        </w:tabs>
      </w:pPr>
      <w:r w:rsidRPr="00DD6106">
        <w:t>4.1</w:t>
      </w:r>
      <w:r w:rsidRPr="00DD6106">
        <w:tab/>
        <w:t xml:space="preserve">The Program and Budget for the </w:t>
      </w:r>
      <w:r w:rsidRPr="0044380F">
        <w:rPr>
          <w:snapToGrid w:val="0"/>
          <w:spacing w:val="-2"/>
          <w:szCs w:val="24"/>
        </w:rPr>
        <w:t>2014</w:t>
      </w:r>
      <w:r>
        <w:rPr>
          <w:snapToGrid w:val="0"/>
          <w:spacing w:val="-2"/>
          <w:szCs w:val="24"/>
        </w:rPr>
        <w:t>­</w:t>
      </w:r>
      <w:r w:rsidRPr="0044380F">
        <w:rPr>
          <w:snapToGrid w:val="0"/>
          <w:spacing w:val="-2"/>
          <w:szCs w:val="24"/>
        </w:rPr>
        <w:t>2015</w:t>
      </w:r>
      <w:r w:rsidRPr="00DD6106">
        <w:t xml:space="preserve"> Biennium includes a presentation of financial indicators covering a 10-year period, including two years beyond the new biennium and information from the recent past.  The presentation of the financial indicators is intended to put the proposed budget for the </w:t>
      </w:r>
      <w:r w:rsidRPr="0044380F">
        <w:rPr>
          <w:snapToGrid w:val="0"/>
          <w:spacing w:val="-2"/>
          <w:szCs w:val="24"/>
        </w:rPr>
        <w:t>2014</w:t>
      </w:r>
      <w:r>
        <w:rPr>
          <w:snapToGrid w:val="0"/>
          <w:spacing w:val="-2"/>
          <w:szCs w:val="24"/>
        </w:rPr>
        <w:t>­</w:t>
      </w:r>
      <w:r w:rsidRPr="0044380F">
        <w:rPr>
          <w:snapToGrid w:val="0"/>
          <w:spacing w:val="-2"/>
          <w:szCs w:val="24"/>
        </w:rPr>
        <w:t>2015</w:t>
      </w:r>
      <w:r w:rsidRPr="00DD6106">
        <w:t xml:space="preserve"> Biennium into context:  indicating trends and assessing future financial sustainability.  This information is provided to facilitate members’ review and decision on the proposed Program and Budget, and it should not be construed as constituting any specific financial commitment or approval beyond 201</w:t>
      </w:r>
      <w:r>
        <w:t>5</w:t>
      </w:r>
      <w:r w:rsidRPr="00DD6106">
        <w:t xml:space="preserve">.  </w:t>
      </w:r>
    </w:p>
    <w:p w:rsidR="00421639" w:rsidRPr="00DD6106" w:rsidRDefault="00421639" w:rsidP="00421639">
      <w:pPr>
        <w:tabs>
          <w:tab w:val="left" w:pos="567"/>
        </w:tabs>
      </w:pPr>
    </w:p>
    <w:p w:rsidR="00421639" w:rsidRDefault="00421639" w:rsidP="00421639">
      <w:pPr>
        <w:tabs>
          <w:tab w:val="left" w:pos="567"/>
        </w:tabs>
      </w:pPr>
      <w:r w:rsidRPr="00DD6106">
        <w:t>4.2</w:t>
      </w:r>
      <w:r w:rsidRPr="00DD6106">
        <w:tab/>
      </w:r>
      <w:r w:rsidRPr="00DD6106">
        <w:rPr>
          <w:b/>
        </w:rPr>
        <w:t>Table 9</w:t>
      </w:r>
      <w:r w:rsidRPr="00DD6106">
        <w:t xml:space="preserve"> and the </w:t>
      </w:r>
      <w:r w:rsidRPr="00DD6106">
        <w:rPr>
          <w:b/>
        </w:rPr>
        <w:t>graph</w:t>
      </w:r>
      <w:r w:rsidRPr="00DD6106">
        <w:t xml:space="preserve"> below show the evolution of the regular budget as far as income, expenditures and reserve and working capital funds levels are concerned.</w:t>
      </w:r>
    </w:p>
    <w:p w:rsidR="00421639" w:rsidRDefault="00421639" w:rsidP="00421639">
      <w:pPr>
        <w:tabs>
          <w:tab w:val="left" w:pos="567"/>
        </w:tabs>
      </w:pPr>
    </w:p>
    <w:p w:rsidR="00421639" w:rsidRPr="00ED49E5" w:rsidRDefault="00421639" w:rsidP="00421639">
      <w:pPr>
        <w:keepNext/>
        <w:jc w:val="center"/>
        <w:rPr>
          <w:b/>
        </w:rPr>
      </w:pPr>
      <w:r w:rsidRPr="003B13DD">
        <w:rPr>
          <w:b/>
        </w:rPr>
        <w:t xml:space="preserve">Table </w:t>
      </w:r>
      <w:r>
        <w:rPr>
          <w:b/>
        </w:rPr>
        <w:t>9</w:t>
      </w:r>
      <w:r w:rsidRPr="003B13DD">
        <w:rPr>
          <w:b/>
        </w:rPr>
        <w:t xml:space="preserve">:  </w:t>
      </w:r>
      <w:r w:rsidRPr="00ED49E5">
        <w:rPr>
          <w:b/>
        </w:rPr>
        <w:t>Income, Expenditure and Reserves for 2008-2017</w:t>
      </w:r>
    </w:p>
    <w:p w:rsidR="00421639" w:rsidRDefault="00421639" w:rsidP="00421639">
      <w:pPr>
        <w:keepNext/>
        <w:jc w:val="center"/>
      </w:pPr>
      <w:r w:rsidRPr="0072367F">
        <w:t>(in thousands of Swiss francs)</w:t>
      </w:r>
    </w:p>
    <w:p w:rsidR="004236BB" w:rsidRDefault="004236BB" w:rsidP="00421639">
      <w:pPr>
        <w:keepNext/>
        <w:jc w:val="center"/>
      </w:pPr>
    </w:p>
    <w:tbl>
      <w:tblPr>
        <w:tblW w:w="9528" w:type="dxa"/>
        <w:tblInd w:w="93" w:type="dxa"/>
        <w:tblLook w:val="04A0" w:firstRow="1" w:lastRow="0" w:firstColumn="1" w:lastColumn="0" w:noHBand="0" w:noVBand="1"/>
      </w:tblPr>
      <w:tblGrid>
        <w:gridCol w:w="1858"/>
        <w:gridCol w:w="767"/>
        <w:gridCol w:w="767"/>
        <w:gridCol w:w="767"/>
        <w:gridCol w:w="767"/>
        <w:gridCol w:w="767"/>
        <w:gridCol w:w="767"/>
        <w:gridCol w:w="767"/>
        <w:gridCol w:w="767"/>
        <w:gridCol w:w="767"/>
        <w:gridCol w:w="767"/>
      </w:tblGrid>
      <w:tr w:rsidR="004236BB" w:rsidRPr="004236BB" w:rsidTr="00892031">
        <w:trPr>
          <w:trHeight w:val="255"/>
        </w:trPr>
        <w:tc>
          <w:tcPr>
            <w:tcW w:w="1858" w:type="dxa"/>
            <w:tcBorders>
              <w:top w:val="nil"/>
              <w:left w:val="nil"/>
              <w:bottom w:val="nil"/>
              <w:right w:val="nil"/>
            </w:tcBorders>
            <w:shd w:val="clear" w:color="000000" w:fill="FFFFFF"/>
            <w:noWrap/>
            <w:vAlign w:val="bottom"/>
            <w:hideMark/>
          </w:tcPr>
          <w:p w:rsidR="004236BB" w:rsidRPr="004236BB" w:rsidRDefault="004236BB" w:rsidP="004236BB">
            <w:pPr>
              <w:jc w:val="left"/>
              <w:rPr>
                <w:rFonts w:cs="Arial"/>
                <w:sz w:val="18"/>
                <w:szCs w:val="18"/>
              </w:rPr>
            </w:pPr>
            <w:r w:rsidRPr="004236BB">
              <w:rPr>
                <w:rFonts w:cs="Arial"/>
                <w:sz w:val="18"/>
                <w:szCs w:val="18"/>
              </w:rPr>
              <w:t xml:space="preserve">Budgetary Basis </w:t>
            </w:r>
          </w:p>
        </w:tc>
        <w:tc>
          <w:tcPr>
            <w:tcW w:w="767" w:type="dxa"/>
            <w:tcBorders>
              <w:top w:val="nil"/>
              <w:left w:val="nil"/>
              <w:bottom w:val="nil"/>
              <w:right w:val="nil"/>
            </w:tcBorders>
            <w:shd w:val="clear" w:color="000000" w:fill="FFFFFF"/>
            <w:noWrap/>
            <w:vAlign w:val="bottom"/>
            <w:hideMark/>
          </w:tcPr>
          <w:p w:rsidR="004236BB" w:rsidRPr="004236BB" w:rsidRDefault="004236BB" w:rsidP="004236BB">
            <w:pPr>
              <w:jc w:val="left"/>
              <w:rPr>
                <w:rFonts w:cs="Arial"/>
                <w:sz w:val="18"/>
                <w:szCs w:val="18"/>
              </w:rPr>
            </w:pPr>
            <w:r w:rsidRPr="004236BB">
              <w:rPr>
                <w:rFonts w:cs="Arial"/>
                <w:sz w:val="18"/>
                <w:szCs w:val="18"/>
              </w:rPr>
              <w:t> </w:t>
            </w:r>
          </w:p>
        </w:tc>
        <w:tc>
          <w:tcPr>
            <w:tcW w:w="767" w:type="dxa"/>
            <w:tcBorders>
              <w:top w:val="nil"/>
              <w:left w:val="nil"/>
              <w:bottom w:val="nil"/>
              <w:right w:val="nil"/>
            </w:tcBorders>
            <w:shd w:val="clear" w:color="000000" w:fill="FFFFFF"/>
            <w:noWrap/>
            <w:vAlign w:val="bottom"/>
            <w:hideMark/>
          </w:tcPr>
          <w:p w:rsidR="004236BB" w:rsidRPr="004236BB" w:rsidRDefault="004236BB" w:rsidP="004236BB">
            <w:pPr>
              <w:jc w:val="left"/>
              <w:rPr>
                <w:rFonts w:cs="Arial"/>
                <w:sz w:val="18"/>
                <w:szCs w:val="18"/>
              </w:rPr>
            </w:pPr>
            <w:r w:rsidRPr="004236BB">
              <w:rPr>
                <w:rFonts w:cs="Arial"/>
                <w:sz w:val="18"/>
                <w:szCs w:val="18"/>
              </w:rPr>
              <w:t> </w:t>
            </w:r>
          </w:p>
        </w:tc>
        <w:tc>
          <w:tcPr>
            <w:tcW w:w="767" w:type="dxa"/>
            <w:tcBorders>
              <w:top w:val="nil"/>
              <w:left w:val="nil"/>
              <w:bottom w:val="nil"/>
              <w:right w:val="nil"/>
            </w:tcBorders>
            <w:shd w:val="clear" w:color="000000" w:fill="FFFFFF"/>
            <w:noWrap/>
            <w:vAlign w:val="bottom"/>
            <w:hideMark/>
          </w:tcPr>
          <w:p w:rsidR="004236BB" w:rsidRPr="004236BB" w:rsidRDefault="004236BB" w:rsidP="004236BB">
            <w:pPr>
              <w:jc w:val="left"/>
              <w:rPr>
                <w:rFonts w:cs="Arial"/>
                <w:sz w:val="18"/>
                <w:szCs w:val="18"/>
              </w:rPr>
            </w:pPr>
            <w:r w:rsidRPr="004236BB">
              <w:rPr>
                <w:rFonts w:cs="Arial"/>
                <w:sz w:val="18"/>
                <w:szCs w:val="18"/>
              </w:rPr>
              <w:t> </w:t>
            </w:r>
          </w:p>
        </w:tc>
        <w:tc>
          <w:tcPr>
            <w:tcW w:w="767" w:type="dxa"/>
            <w:tcBorders>
              <w:top w:val="nil"/>
              <w:left w:val="nil"/>
              <w:bottom w:val="nil"/>
            </w:tcBorders>
            <w:shd w:val="clear" w:color="000000" w:fill="FFFFFF"/>
            <w:noWrap/>
            <w:vAlign w:val="bottom"/>
            <w:hideMark/>
          </w:tcPr>
          <w:p w:rsidR="004236BB" w:rsidRPr="004236BB" w:rsidRDefault="004236BB" w:rsidP="004236BB">
            <w:pPr>
              <w:jc w:val="left"/>
              <w:rPr>
                <w:rFonts w:cs="Arial"/>
                <w:sz w:val="18"/>
                <w:szCs w:val="18"/>
              </w:rPr>
            </w:pPr>
            <w:r w:rsidRPr="004236BB">
              <w:rPr>
                <w:rFonts w:cs="Arial"/>
                <w:sz w:val="18"/>
                <w:szCs w:val="18"/>
              </w:rPr>
              <w:t> </w:t>
            </w:r>
          </w:p>
        </w:tc>
        <w:tc>
          <w:tcPr>
            <w:tcW w:w="3068" w:type="dxa"/>
            <w:gridSpan w:val="4"/>
            <w:tcBorders>
              <w:bottom w:val="single" w:sz="4" w:space="0" w:color="auto"/>
            </w:tcBorders>
            <w:shd w:val="clear" w:color="000000" w:fill="FFFFFF"/>
            <w:noWrap/>
            <w:vAlign w:val="bottom"/>
            <w:hideMark/>
          </w:tcPr>
          <w:p w:rsidR="004236BB" w:rsidRPr="004236BB" w:rsidRDefault="004236BB" w:rsidP="004236BB">
            <w:pPr>
              <w:jc w:val="center"/>
              <w:rPr>
                <w:rFonts w:cs="Arial"/>
                <w:sz w:val="18"/>
                <w:szCs w:val="18"/>
              </w:rPr>
            </w:pPr>
            <w:r w:rsidRPr="004236BB">
              <w:rPr>
                <w:rFonts w:cs="Arial"/>
                <w:sz w:val="18"/>
                <w:szCs w:val="18"/>
              </w:rPr>
              <w:t> </w:t>
            </w:r>
          </w:p>
        </w:tc>
        <w:tc>
          <w:tcPr>
            <w:tcW w:w="767" w:type="dxa"/>
            <w:tcBorders>
              <w:bottom w:val="single" w:sz="4" w:space="0" w:color="auto"/>
            </w:tcBorders>
            <w:shd w:val="clear" w:color="000000" w:fill="FFFFFF"/>
            <w:noWrap/>
            <w:vAlign w:val="bottom"/>
            <w:hideMark/>
          </w:tcPr>
          <w:p w:rsidR="004236BB" w:rsidRPr="004236BB" w:rsidRDefault="004236BB" w:rsidP="004236BB">
            <w:pPr>
              <w:jc w:val="left"/>
              <w:rPr>
                <w:rFonts w:cs="Arial"/>
                <w:sz w:val="18"/>
                <w:szCs w:val="18"/>
              </w:rPr>
            </w:pPr>
            <w:r w:rsidRPr="004236BB">
              <w:rPr>
                <w:rFonts w:cs="Arial"/>
                <w:sz w:val="18"/>
                <w:szCs w:val="18"/>
              </w:rPr>
              <w:t> </w:t>
            </w:r>
          </w:p>
        </w:tc>
        <w:tc>
          <w:tcPr>
            <w:tcW w:w="767" w:type="dxa"/>
            <w:tcBorders>
              <w:bottom w:val="single" w:sz="4" w:space="0" w:color="auto"/>
            </w:tcBorders>
            <w:shd w:val="clear" w:color="000000" w:fill="FFFFFF"/>
            <w:noWrap/>
            <w:vAlign w:val="bottom"/>
            <w:hideMark/>
          </w:tcPr>
          <w:p w:rsidR="004236BB" w:rsidRPr="004236BB" w:rsidRDefault="004236BB" w:rsidP="004236BB">
            <w:pPr>
              <w:jc w:val="left"/>
              <w:rPr>
                <w:rFonts w:cs="Arial"/>
                <w:sz w:val="18"/>
                <w:szCs w:val="18"/>
              </w:rPr>
            </w:pPr>
            <w:r w:rsidRPr="004236BB">
              <w:rPr>
                <w:rFonts w:cs="Arial"/>
                <w:sz w:val="18"/>
                <w:szCs w:val="18"/>
              </w:rPr>
              <w:t> </w:t>
            </w:r>
          </w:p>
        </w:tc>
      </w:tr>
      <w:tr w:rsidR="004236BB" w:rsidRPr="004236BB" w:rsidTr="00892031">
        <w:trPr>
          <w:trHeight w:val="300"/>
        </w:trPr>
        <w:tc>
          <w:tcPr>
            <w:tcW w:w="1858" w:type="dxa"/>
            <w:tcBorders>
              <w:top w:val="single" w:sz="4" w:space="0" w:color="auto"/>
              <w:left w:val="single" w:sz="4" w:space="0" w:color="auto"/>
              <w:bottom w:val="nil"/>
              <w:right w:val="single" w:sz="4" w:space="0" w:color="auto"/>
            </w:tcBorders>
            <w:shd w:val="clear" w:color="000000" w:fill="FFFFFF"/>
            <w:hideMark/>
          </w:tcPr>
          <w:p w:rsidR="004236BB" w:rsidRPr="004236BB" w:rsidRDefault="004236BB" w:rsidP="004236BB">
            <w:pPr>
              <w:jc w:val="center"/>
              <w:rPr>
                <w:rFonts w:cs="Arial"/>
                <w:i/>
                <w:iCs/>
                <w:color w:val="000000"/>
                <w:sz w:val="18"/>
                <w:szCs w:val="18"/>
              </w:rPr>
            </w:pPr>
            <w:bookmarkStart w:id="14" w:name="RANGE!B6"/>
            <w:r w:rsidRPr="004236BB">
              <w:rPr>
                <w:rFonts w:cs="Arial"/>
                <w:i/>
                <w:iCs/>
                <w:color w:val="000000"/>
                <w:sz w:val="18"/>
                <w:szCs w:val="18"/>
              </w:rPr>
              <w:t> </w:t>
            </w:r>
            <w:bookmarkEnd w:id="14"/>
          </w:p>
        </w:tc>
        <w:tc>
          <w:tcPr>
            <w:tcW w:w="3068" w:type="dxa"/>
            <w:gridSpan w:val="4"/>
            <w:tcBorders>
              <w:top w:val="single" w:sz="4" w:space="0" w:color="auto"/>
              <w:left w:val="nil"/>
              <w:bottom w:val="single" w:sz="4" w:space="0" w:color="auto"/>
              <w:right w:val="single" w:sz="4" w:space="0" w:color="auto"/>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Actual</w:t>
            </w:r>
          </w:p>
        </w:tc>
        <w:tc>
          <w:tcPr>
            <w:tcW w:w="1534"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Budget</w:t>
            </w:r>
          </w:p>
        </w:tc>
        <w:tc>
          <w:tcPr>
            <w:tcW w:w="1534" w:type="dxa"/>
            <w:gridSpan w:val="2"/>
            <w:tcBorders>
              <w:top w:val="single" w:sz="4" w:space="0" w:color="auto"/>
              <w:left w:val="nil"/>
              <w:bottom w:val="single" w:sz="4" w:space="0" w:color="auto"/>
              <w:right w:val="single" w:sz="4" w:space="0" w:color="000000"/>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Proposed</w:t>
            </w:r>
          </w:p>
        </w:tc>
        <w:tc>
          <w:tcPr>
            <w:tcW w:w="1534" w:type="dxa"/>
            <w:gridSpan w:val="2"/>
            <w:tcBorders>
              <w:top w:val="single" w:sz="4" w:space="0" w:color="auto"/>
              <w:left w:val="nil"/>
              <w:bottom w:val="single" w:sz="4" w:space="0" w:color="auto"/>
              <w:right w:val="single" w:sz="4" w:space="0" w:color="000000"/>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Estimated</w:t>
            </w:r>
          </w:p>
        </w:tc>
      </w:tr>
      <w:tr w:rsidR="004236BB" w:rsidRPr="004236BB" w:rsidTr="004236BB">
        <w:trPr>
          <w:trHeight w:val="255"/>
        </w:trPr>
        <w:tc>
          <w:tcPr>
            <w:tcW w:w="1858" w:type="dxa"/>
            <w:tcBorders>
              <w:top w:val="nil"/>
              <w:left w:val="single" w:sz="4" w:space="0" w:color="auto"/>
              <w:bottom w:val="single" w:sz="4" w:space="0" w:color="auto"/>
              <w:right w:val="single" w:sz="4" w:space="0" w:color="auto"/>
            </w:tcBorders>
            <w:shd w:val="clear" w:color="000000" w:fill="FFFFFF"/>
            <w:hideMark/>
          </w:tcPr>
          <w:p w:rsidR="004236BB" w:rsidRPr="004236BB" w:rsidRDefault="004236BB" w:rsidP="004236BB">
            <w:pPr>
              <w:jc w:val="right"/>
              <w:rPr>
                <w:rFonts w:cs="Arial"/>
                <w:i/>
                <w:iCs/>
                <w:color w:val="000000"/>
                <w:sz w:val="18"/>
                <w:szCs w:val="18"/>
              </w:rPr>
            </w:pPr>
            <w:r w:rsidRPr="004236BB">
              <w:rPr>
                <w:rFonts w:cs="Arial"/>
                <w:i/>
                <w:iCs/>
                <w:color w:val="000000"/>
                <w:sz w:val="18"/>
                <w:szCs w:val="18"/>
              </w:rPr>
              <w:t> </w:t>
            </w:r>
          </w:p>
        </w:tc>
        <w:tc>
          <w:tcPr>
            <w:tcW w:w="767" w:type="dxa"/>
            <w:tcBorders>
              <w:top w:val="nil"/>
              <w:left w:val="nil"/>
              <w:bottom w:val="single" w:sz="4" w:space="0" w:color="auto"/>
              <w:right w:val="nil"/>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2008</w:t>
            </w:r>
          </w:p>
        </w:tc>
        <w:tc>
          <w:tcPr>
            <w:tcW w:w="767" w:type="dxa"/>
            <w:tcBorders>
              <w:top w:val="nil"/>
              <w:left w:val="nil"/>
              <w:bottom w:val="single" w:sz="4" w:space="0" w:color="auto"/>
              <w:right w:val="nil"/>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2009</w:t>
            </w:r>
          </w:p>
        </w:tc>
        <w:tc>
          <w:tcPr>
            <w:tcW w:w="767" w:type="dxa"/>
            <w:tcBorders>
              <w:top w:val="nil"/>
              <w:left w:val="nil"/>
              <w:bottom w:val="single" w:sz="4" w:space="0" w:color="auto"/>
              <w:right w:val="nil"/>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2010</w:t>
            </w:r>
          </w:p>
        </w:tc>
        <w:tc>
          <w:tcPr>
            <w:tcW w:w="767" w:type="dxa"/>
            <w:tcBorders>
              <w:top w:val="nil"/>
              <w:left w:val="nil"/>
              <w:bottom w:val="single" w:sz="4" w:space="0" w:color="auto"/>
              <w:right w:val="single" w:sz="4" w:space="0" w:color="auto"/>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2011</w:t>
            </w:r>
          </w:p>
        </w:tc>
        <w:tc>
          <w:tcPr>
            <w:tcW w:w="767" w:type="dxa"/>
            <w:tcBorders>
              <w:top w:val="nil"/>
              <w:left w:val="nil"/>
              <w:bottom w:val="single" w:sz="4" w:space="0" w:color="auto"/>
              <w:right w:val="nil"/>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2012</w:t>
            </w:r>
          </w:p>
        </w:tc>
        <w:tc>
          <w:tcPr>
            <w:tcW w:w="767" w:type="dxa"/>
            <w:tcBorders>
              <w:top w:val="nil"/>
              <w:left w:val="nil"/>
              <w:bottom w:val="single" w:sz="4" w:space="0" w:color="auto"/>
              <w:right w:val="single" w:sz="4" w:space="0" w:color="auto"/>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2013</w:t>
            </w:r>
          </w:p>
        </w:tc>
        <w:tc>
          <w:tcPr>
            <w:tcW w:w="767" w:type="dxa"/>
            <w:tcBorders>
              <w:top w:val="nil"/>
              <w:left w:val="nil"/>
              <w:bottom w:val="single" w:sz="4" w:space="0" w:color="auto"/>
              <w:right w:val="nil"/>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2014</w:t>
            </w:r>
          </w:p>
        </w:tc>
        <w:tc>
          <w:tcPr>
            <w:tcW w:w="767" w:type="dxa"/>
            <w:tcBorders>
              <w:top w:val="nil"/>
              <w:left w:val="nil"/>
              <w:bottom w:val="single" w:sz="4" w:space="0" w:color="auto"/>
              <w:right w:val="single" w:sz="4" w:space="0" w:color="auto"/>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2015</w:t>
            </w:r>
          </w:p>
        </w:tc>
        <w:tc>
          <w:tcPr>
            <w:tcW w:w="767" w:type="dxa"/>
            <w:tcBorders>
              <w:top w:val="nil"/>
              <w:left w:val="nil"/>
              <w:bottom w:val="single" w:sz="4" w:space="0" w:color="auto"/>
              <w:right w:val="nil"/>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2016</w:t>
            </w:r>
          </w:p>
        </w:tc>
        <w:tc>
          <w:tcPr>
            <w:tcW w:w="767" w:type="dxa"/>
            <w:tcBorders>
              <w:top w:val="nil"/>
              <w:left w:val="nil"/>
              <w:bottom w:val="single" w:sz="4" w:space="0" w:color="auto"/>
              <w:right w:val="single" w:sz="4" w:space="0" w:color="auto"/>
            </w:tcBorders>
            <w:shd w:val="clear" w:color="000000" w:fill="FFFFFF"/>
            <w:hideMark/>
          </w:tcPr>
          <w:p w:rsidR="004236BB" w:rsidRPr="004236BB" w:rsidRDefault="004236BB" w:rsidP="004236BB">
            <w:pPr>
              <w:jc w:val="center"/>
              <w:rPr>
                <w:rFonts w:cs="Arial"/>
                <w:i/>
                <w:iCs/>
                <w:color w:val="000000"/>
                <w:sz w:val="18"/>
                <w:szCs w:val="18"/>
              </w:rPr>
            </w:pPr>
            <w:r w:rsidRPr="004236BB">
              <w:rPr>
                <w:rFonts w:cs="Arial"/>
                <w:i/>
                <w:iCs/>
                <w:color w:val="000000"/>
                <w:sz w:val="18"/>
                <w:szCs w:val="18"/>
              </w:rPr>
              <w:t>2017</w:t>
            </w:r>
          </w:p>
        </w:tc>
      </w:tr>
      <w:tr w:rsidR="004236BB" w:rsidRPr="004236BB" w:rsidTr="004236BB">
        <w:trPr>
          <w:trHeight w:val="345"/>
        </w:trPr>
        <w:tc>
          <w:tcPr>
            <w:tcW w:w="1858" w:type="dxa"/>
            <w:tcBorders>
              <w:top w:val="nil"/>
              <w:left w:val="single" w:sz="4" w:space="0" w:color="auto"/>
              <w:bottom w:val="nil"/>
              <w:right w:val="nil"/>
            </w:tcBorders>
            <w:shd w:val="clear" w:color="000000" w:fill="FFFFFF"/>
            <w:vAlign w:val="bottom"/>
            <w:hideMark/>
          </w:tcPr>
          <w:p w:rsidR="004236BB" w:rsidRPr="004236BB" w:rsidRDefault="004236BB" w:rsidP="004236BB">
            <w:pPr>
              <w:jc w:val="left"/>
              <w:rPr>
                <w:rFonts w:cs="Arial"/>
                <w:color w:val="000000"/>
                <w:sz w:val="18"/>
                <w:szCs w:val="18"/>
              </w:rPr>
            </w:pPr>
            <w:bookmarkStart w:id="15" w:name="RANGE!B8"/>
            <w:r w:rsidRPr="004236BB">
              <w:rPr>
                <w:rFonts w:cs="Arial"/>
                <w:color w:val="000000"/>
                <w:sz w:val="18"/>
                <w:szCs w:val="18"/>
              </w:rPr>
              <w:t>Income</w:t>
            </w:r>
            <w:bookmarkEnd w:id="15"/>
          </w:p>
        </w:tc>
        <w:tc>
          <w:tcPr>
            <w:tcW w:w="767" w:type="dxa"/>
            <w:tcBorders>
              <w:top w:val="nil"/>
              <w:left w:val="nil"/>
              <w:bottom w:val="nil"/>
              <w:right w:val="nil"/>
            </w:tcBorders>
            <w:shd w:val="clear" w:color="000000" w:fill="FFFFFF"/>
            <w:vAlign w:val="bottom"/>
            <w:hideMark/>
          </w:tcPr>
          <w:p w:rsidR="004236BB" w:rsidRPr="004236BB" w:rsidRDefault="004236BB" w:rsidP="004236BB">
            <w:pPr>
              <w:jc w:val="right"/>
              <w:rPr>
                <w:rFonts w:cs="Arial"/>
                <w:color w:val="000000"/>
                <w:sz w:val="18"/>
                <w:szCs w:val="18"/>
              </w:rPr>
            </w:pPr>
            <w:r w:rsidRPr="004236BB">
              <w:rPr>
                <w:rFonts w:cs="Arial"/>
                <w:color w:val="000000"/>
                <w:sz w:val="18"/>
                <w:szCs w:val="18"/>
              </w:rPr>
              <w:t>3,378</w:t>
            </w:r>
          </w:p>
        </w:tc>
        <w:tc>
          <w:tcPr>
            <w:tcW w:w="767" w:type="dxa"/>
            <w:tcBorders>
              <w:top w:val="nil"/>
              <w:left w:val="nil"/>
              <w:bottom w:val="nil"/>
              <w:right w:val="nil"/>
            </w:tcBorders>
            <w:shd w:val="clear" w:color="000000" w:fill="FFFFFF"/>
            <w:vAlign w:val="bottom"/>
            <w:hideMark/>
          </w:tcPr>
          <w:p w:rsidR="004236BB" w:rsidRPr="004236BB" w:rsidRDefault="004236BB" w:rsidP="004236BB">
            <w:pPr>
              <w:jc w:val="right"/>
              <w:rPr>
                <w:rFonts w:cs="Arial"/>
                <w:color w:val="000000"/>
                <w:sz w:val="18"/>
                <w:szCs w:val="18"/>
              </w:rPr>
            </w:pPr>
            <w:r w:rsidRPr="004236BB">
              <w:rPr>
                <w:rFonts w:cs="Arial"/>
                <w:color w:val="000000"/>
                <w:sz w:val="18"/>
                <w:szCs w:val="18"/>
              </w:rPr>
              <w:t>3,393</w:t>
            </w:r>
          </w:p>
        </w:tc>
        <w:tc>
          <w:tcPr>
            <w:tcW w:w="767" w:type="dxa"/>
            <w:tcBorders>
              <w:top w:val="nil"/>
              <w:left w:val="nil"/>
              <w:bottom w:val="nil"/>
              <w:right w:val="nil"/>
            </w:tcBorders>
            <w:shd w:val="clear" w:color="000000" w:fill="FFFFFF"/>
            <w:vAlign w:val="bottom"/>
            <w:hideMark/>
          </w:tcPr>
          <w:p w:rsidR="004236BB" w:rsidRPr="004236BB" w:rsidRDefault="004236BB" w:rsidP="004236BB">
            <w:pPr>
              <w:jc w:val="right"/>
              <w:rPr>
                <w:rFonts w:cs="Arial"/>
                <w:sz w:val="18"/>
                <w:szCs w:val="18"/>
              </w:rPr>
            </w:pPr>
            <w:r w:rsidRPr="004236BB">
              <w:rPr>
                <w:rFonts w:cs="Arial"/>
                <w:sz w:val="18"/>
                <w:szCs w:val="18"/>
              </w:rPr>
              <w:t>3,412</w:t>
            </w:r>
          </w:p>
        </w:tc>
        <w:tc>
          <w:tcPr>
            <w:tcW w:w="767" w:type="dxa"/>
            <w:tcBorders>
              <w:top w:val="nil"/>
              <w:left w:val="nil"/>
              <w:bottom w:val="nil"/>
              <w:right w:val="single" w:sz="4" w:space="0" w:color="auto"/>
            </w:tcBorders>
            <w:shd w:val="clear" w:color="000000" w:fill="FFFFFF"/>
            <w:vAlign w:val="bottom"/>
            <w:hideMark/>
          </w:tcPr>
          <w:p w:rsidR="004236BB" w:rsidRPr="004236BB" w:rsidRDefault="004236BB" w:rsidP="004236BB">
            <w:pPr>
              <w:jc w:val="right"/>
              <w:rPr>
                <w:rFonts w:cs="Arial"/>
                <w:sz w:val="18"/>
                <w:szCs w:val="18"/>
              </w:rPr>
            </w:pPr>
            <w:r w:rsidRPr="004236BB">
              <w:rPr>
                <w:rFonts w:cs="Arial"/>
                <w:sz w:val="18"/>
                <w:szCs w:val="18"/>
              </w:rPr>
              <w:t>3,489</w:t>
            </w:r>
          </w:p>
        </w:tc>
        <w:tc>
          <w:tcPr>
            <w:tcW w:w="767" w:type="dxa"/>
            <w:tcBorders>
              <w:top w:val="nil"/>
              <w:left w:val="nil"/>
              <w:bottom w:val="nil"/>
              <w:right w:val="nil"/>
            </w:tcBorders>
            <w:shd w:val="clear" w:color="000000" w:fill="FFFFFF"/>
            <w:noWrap/>
            <w:vAlign w:val="bottom"/>
            <w:hideMark/>
          </w:tcPr>
          <w:p w:rsidR="004236BB" w:rsidRPr="004236BB" w:rsidRDefault="004236BB" w:rsidP="004236BB">
            <w:pPr>
              <w:jc w:val="right"/>
              <w:rPr>
                <w:rFonts w:cs="Arial"/>
                <w:sz w:val="18"/>
                <w:szCs w:val="18"/>
              </w:rPr>
            </w:pPr>
            <w:r w:rsidRPr="004236BB">
              <w:rPr>
                <w:rFonts w:cs="Arial"/>
                <w:sz w:val="18"/>
                <w:szCs w:val="18"/>
              </w:rPr>
              <w:t>3,394</w:t>
            </w:r>
          </w:p>
        </w:tc>
        <w:tc>
          <w:tcPr>
            <w:tcW w:w="767" w:type="dxa"/>
            <w:tcBorders>
              <w:top w:val="nil"/>
              <w:left w:val="nil"/>
              <w:bottom w:val="nil"/>
              <w:right w:val="single" w:sz="4" w:space="0" w:color="auto"/>
            </w:tcBorders>
            <w:shd w:val="clear" w:color="000000" w:fill="FFFFFF"/>
            <w:noWrap/>
            <w:vAlign w:val="bottom"/>
            <w:hideMark/>
          </w:tcPr>
          <w:p w:rsidR="004236BB" w:rsidRPr="004236BB" w:rsidRDefault="004236BB" w:rsidP="004236BB">
            <w:pPr>
              <w:jc w:val="right"/>
              <w:rPr>
                <w:rFonts w:cs="Arial"/>
                <w:sz w:val="18"/>
                <w:szCs w:val="18"/>
              </w:rPr>
            </w:pPr>
            <w:r w:rsidRPr="004236BB">
              <w:rPr>
                <w:rFonts w:cs="Arial"/>
                <w:sz w:val="18"/>
                <w:szCs w:val="18"/>
              </w:rPr>
              <w:t>3,404</w:t>
            </w:r>
          </w:p>
        </w:tc>
        <w:tc>
          <w:tcPr>
            <w:tcW w:w="767" w:type="dxa"/>
            <w:tcBorders>
              <w:top w:val="nil"/>
              <w:left w:val="nil"/>
              <w:bottom w:val="nil"/>
              <w:right w:val="nil"/>
            </w:tcBorders>
            <w:shd w:val="clear" w:color="000000" w:fill="FFFFFF"/>
            <w:noWrap/>
            <w:vAlign w:val="bottom"/>
            <w:hideMark/>
          </w:tcPr>
          <w:p w:rsidR="004236BB" w:rsidRPr="004236BB" w:rsidRDefault="004236BB" w:rsidP="004236BB">
            <w:pPr>
              <w:jc w:val="right"/>
              <w:rPr>
                <w:rFonts w:cs="Arial"/>
                <w:sz w:val="18"/>
                <w:szCs w:val="18"/>
              </w:rPr>
            </w:pPr>
            <w:r w:rsidRPr="004236BB">
              <w:rPr>
                <w:rFonts w:cs="Arial"/>
                <w:sz w:val="18"/>
                <w:szCs w:val="18"/>
              </w:rPr>
              <w:t>3,392</w:t>
            </w:r>
          </w:p>
        </w:tc>
        <w:tc>
          <w:tcPr>
            <w:tcW w:w="767" w:type="dxa"/>
            <w:tcBorders>
              <w:top w:val="nil"/>
              <w:left w:val="nil"/>
              <w:bottom w:val="nil"/>
              <w:right w:val="single" w:sz="4" w:space="0" w:color="auto"/>
            </w:tcBorders>
            <w:shd w:val="clear" w:color="000000" w:fill="FFFFFF"/>
            <w:noWrap/>
            <w:vAlign w:val="bottom"/>
            <w:hideMark/>
          </w:tcPr>
          <w:p w:rsidR="004236BB" w:rsidRPr="004236BB" w:rsidRDefault="004236BB" w:rsidP="004236BB">
            <w:pPr>
              <w:jc w:val="right"/>
              <w:rPr>
                <w:rFonts w:cs="Arial"/>
                <w:sz w:val="18"/>
                <w:szCs w:val="18"/>
              </w:rPr>
            </w:pPr>
            <w:r w:rsidRPr="004236BB">
              <w:rPr>
                <w:rFonts w:cs="Arial"/>
                <w:sz w:val="18"/>
                <w:szCs w:val="18"/>
              </w:rPr>
              <w:t>3,402</w:t>
            </w:r>
          </w:p>
        </w:tc>
        <w:tc>
          <w:tcPr>
            <w:tcW w:w="767" w:type="dxa"/>
            <w:tcBorders>
              <w:top w:val="nil"/>
              <w:left w:val="nil"/>
              <w:bottom w:val="nil"/>
              <w:right w:val="nil"/>
            </w:tcBorders>
            <w:shd w:val="clear" w:color="000000" w:fill="FFFFFF"/>
            <w:noWrap/>
            <w:vAlign w:val="bottom"/>
            <w:hideMark/>
          </w:tcPr>
          <w:p w:rsidR="004236BB" w:rsidRPr="004236BB" w:rsidRDefault="004236BB" w:rsidP="004236BB">
            <w:pPr>
              <w:jc w:val="right"/>
              <w:rPr>
                <w:rFonts w:cs="Arial"/>
                <w:sz w:val="18"/>
                <w:szCs w:val="18"/>
              </w:rPr>
            </w:pPr>
            <w:r w:rsidRPr="004236BB">
              <w:rPr>
                <w:rFonts w:cs="Arial"/>
                <w:sz w:val="18"/>
                <w:szCs w:val="18"/>
              </w:rPr>
              <w:t>3,413</w:t>
            </w:r>
          </w:p>
        </w:tc>
        <w:tc>
          <w:tcPr>
            <w:tcW w:w="767" w:type="dxa"/>
            <w:tcBorders>
              <w:top w:val="nil"/>
              <w:left w:val="nil"/>
              <w:bottom w:val="nil"/>
              <w:right w:val="single" w:sz="4" w:space="0" w:color="auto"/>
            </w:tcBorders>
            <w:shd w:val="clear" w:color="000000" w:fill="FFFFFF"/>
            <w:noWrap/>
            <w:vAlign w:val="bottom"/>
            <w:hideMark/>
          </w:tcPr>
          <w:p w:rsidR="004236BB" w:rsidRPr="004236BB" w:rsidRDefault="004236BB" w:rsidP="004236BB">
            <w:pPr>
              <w:jc w:val="right"/>
              <w:rPr>
                <w:rFonts w:cs="Arial"/>
                <w:sz w:val="18"/>
                <w:szCs w:val="18"/>
              </w:rPr>
            </w:pPr>
            <w:r w:rsidRPr="004236BB">
              <w:rPr>
                <w:rFonts w:cs="Arial"/>
                <w:sz w:val="18"/>
                <w:szCs w:val="18"/>
              </w:rPr>
              <w:t>3,423</w:t>
            </w:r>
          </w:p>
        </w:tc>
      </w:tr>
      <w:tr w:rsidR="004236BB" w:rsidRPr="004236BB" w:rsidTr="004236BB">
        <w:trPr>
          <w:trHeight w:val="345"/>
        </w:trPr>
        <w:tc>
          <w:tcPr>
            <w:tcW w:w="1858" w:type="dxa"/>
            <w:tcBorders>
              <w:top w:val="nil"/>
              <w:left w:val="single" w:sz="4" w:space="0" w:color="auto"/>
              <w:bottom w:val="nil"/>
              <w:right w:val="nil"/>
            </w:tcBorders>
            <w:shd w:val="clear" w:color="000000" w:fill="FFFFFF"/>
            <w:vAlign w:val="bottom"/>
            <w:hideMark/>
          </w:tcPr>
          <w:p w:rsidR="004236BB" w:rsidRPr="004236BB" w:rsidRDefault="004236BB" w:rsidP="004236BB">
            <w:pPr>
              <w:jc w:val="left"/>
              <w:rPr>
                <w:rFonts w:cs="Arial"/>
                <w:color w:val="000000"/>
                <w:sz w:val="18"/>
                <w:szCs w:val="18"/>
              </w:rPr>
            </w:pPr>
            <w:r w:rsidRPr="004236BB">
              <w:rPr>
                <w:rFonts w:cs="Arial"/>
                <w:color w:val="000000"/>
                <w:sz w:val="18"/>
                <w:szCs w:val="18"/>
              </w:rPr>
              <w:t>Expenditure</w:t>
            </w:r>
          </w:p>
        </w:tc>
        <w:tc>
          <w:tcPr>
            <w:tcW w:w="767" w:type="dxa"/>
            <w:tcBorders>
              <w:top w:val="nil"/>
              <w:left w:val="nil"/>
              <w:bottom w:val="nil"/>
              <w:right w:val="nil"/>
            </w:tcBorders>
            <w:shd w:val="clear" w:color="000000" w:fill="FFFFFF"/>
            <w:vAlign w:val="bottom"/>
            <w:hideMark/>
          </w:tcPr>
          <w:p w:rsidR="004236BB" w:rsidRPr="004236BB" w:rsidRDefault="004236BB" w:rsidP="004236BB">
            <w:pPr>
              <w:jc w:val="right"/>
              <w:rPr>
                <w:rFonts w:cs="Arial"/>
                <w:color w:val="000000"/>
                <w:sz w:val="18"/>
                <w:szCs w:val="18"/>
              </w:rPr>
            </w:pPr>
            <w:r w:rsidRPr="004236BB">
              <w:rPr>
                <w:rFonts w:cs="Arial"/>
                <w:color w:val="000000"/>
                <w:sz w:val="18"/>
                <w:szCs w:val="18"/>
              </w:rPr>
              <w:t>3,034</w:t>
            </w:r>
          </w:p>
        </w:tc>
        <w:tc>
          <w:tcPr>
            <w:tcW w:w="767" w:type="dxa"/>
            <w:tcBorders>
              <w:top w:val="nil"/>
              <w:left w:val="nil"/>
              <w:bottom w:val="nil"/>
              <w:right w:val="nil"/>
            </w:tcBorders>
            <w:shd w:val="clear" w:color="000000" w:fill="FFFFFF"/>
            <w:vAlign w:val="bottom"/>
            <w:hideMark/>
          </w:tcPr>
          <w:p w:rsidR="004236BB" w:rsidRPr="004236BB" w:rsidRDefault="004236BB" w:rsidP="004236BB">
            <w:pPr>
              <w:jc w:val="right"/>
              <w:rPr>
                <w:rFonts w:cs="Arial"/>
                <w:color w:val="000000"/>
                <w:sz w:val="18"/>
                <w:szCs w:val="18"/>
              </w:rPr>
            </w:pPr>
            <w:r w:rsidRPr="004236BB">
              <w:rPr>
                <w:rFonts w:cs="Arial"/>
                <w:color w:val="000000"/>
                <w:sz w:val="18"/>
                <w:szCs w:val="18"/>
              </w:rPr>
              <w:t>3,347</w:t>
            </w:r>
          </w:p>
        </w:tc>
        <w:tc>
          <w:tcPr>
            <w:tcW w:w="767" w:type="dxa"/>
            <w:tcBorders>
              <w:top w:val="nil"/>
              <w:left w:val="nil"/>
              <w:bottom w:val="nil"/>
              <w:right w:val="nil"/>
            </w:tcBorders>
            <w:shd w:val="clear" w:color="000000" w:fill="FFFFFF"/>
            <w:vAlign w:val="bottom"/>
            <w:hideMark/>
          </w:tcPr>
          <w:p w:rsidR="004236BB" w:rsidRPr="004236BB" w:rsidRDefault="004236BB" w:rsidP="004236BB">
            <w:pPr>
              <w:jc w:val="right"/>
              <w:rPr>
                <w:rFonts w:cs="Arial"/>
                <w:sz w:val="18"/>
                <w:szCs w:val="18"/>
              </w:rPr>
            </w:pPr>
            <w:r w:rsidRPr="004236BB">
              <w:rPr>
                <w:rFonts w:cs="Arial"/>
                <w:sz w:val="18"/>
                <w:szCs w:val="18"/>
              </w:rPr>
              <w:t>3,501</w:t>
            </w:r>
          </w:p>
        </w:tc>
        <w:tc>
          <w:tcPr>
            <w:tcW w:w="767" w:type="dxa"/>
            <w:tcBorders>
              <w:top w:val="nil"/>
              <w:left w:val="nil"/>
              <w:bottom w:val="nil"/>
              <w:right w:val="single" w:sz="4" w:space="0" w:color="auto"/>
            </w:tcBorders>
            <w:shd w:val="clear" w:color="000000" w:fill="FFFFFF"/>
            <w:vAlign w:val="bottom"/>
            <w:hideMark/>
          </w:tcPr>
          <w:p w:rsidR="004236BB" w:rsidRPr="004236BB" w:rsidRDefault="004236BB" w:rsidP="004236BB">
            <w:pPr>
              <w:jc w:val="right"/>
              <w:rPr>
                <w:rFonts w:cs="Arial"/>
                <w:sz w:val="18"/>
                <w:szCs w:val="18"/>
              </w:rPr>
            </w:pPr>
            <w:r w:rsidRPr="004236BB">
              <w:rPr>
                <w:rFonts w:cs="Arial"/>
                <w:sz w:val="18"/>
                <w:szCs w:val="18"/>
              </w:rPr>
              <w:t>2,978</w:t>
            </w:r>
          </w:p>
        </w:tc>
        <w:tc>
          <w:tcPr>
            <w:tcW w:w="767" w:type="dxa"/>
            <w:tcBorders>
              <w:top w:val="nil"/>
              <w:left w:val="nil"/>
              <w:bottom w:val="nil"/>
              <w:right w:val="nil"/>
            </w:tcBorders>
            <w:shd w:val="clear" w:color="000000" w:fill="FFFFFF"/>
            <w:vAlign w:val="bottom"/>
            <w:hideMark/>
          </w:tcPr>
          <w:p w:rsidR="004236BB" w:rsidRPr="004236BB" w:rsidRDefault="004236BB" w:rsidP="004236BB">
            <w:pPr>
              <w:jc w:val="right"/>
              <w:rPr>
                <w:rFonts w:cs="Arial"/>
                <w:color w:val="000000"/>
                <w:sz w:val="18"/>
                <w:szCs w:val="18"/>
              </w:rPr>
            </w:pPr>
            <w:r w:rsidRPr="004236BB">
              <w:rPr>
                <w:rFonts w:cs="Arial"/>
                <w:color w:val="000000"/>
                <w:sz w:val="18"/>
                <w:szCs w:val="18"/>
              </w:rPr>
              <w:t>3,394</w:t>
            </w:r>
          </w:p>
        </w:tc>
        <w:tc>
          <w:tcPr>
            <w:tcW w:w="767" w:type="dxa"/>
            <w:tcBorders>
              <w:top w:val="nil"/>
              <w:left w:val="nil"/>
              <w:bottom w:val="nil"/>
              <w:right w:val="single" w:sz="4" w:space="0" w:color="auto"/>
            </w:tcBorders>
            <w:shd w:val="clear" w:color="000000" w:fill="FFFFFF"/>
            <w:vAlign w:val="bottom"/>
            <w:hideMark/>
          </w:tcPr>
          <w:p w:rsidR="004236BB" w:rsidRPr="004236BB" w:rsidRDefault="004236BB" w:rsidP="004236BB">
            <w:pPr>
              <w:jc w:val="right"/>
              <w:rPr>
                <w:rFonts w:cs="Arial"/>
                <w:color w:val="000000"/>
                <w:sz w:val="18"/>
                <w:szCs w:val="18"/>
              </w:rPr>
            </w:pPr>
            <w:r w:rsidRPr="004236BB">
              <w:rPr>
                <w:rFonts w:cs="Arial"/>
                <w:color w:val="000000"/>
                <w:sz w:val="18"/>
                <w:szCs w:val="18"/>
              </w:rPr>
              <w:t>3,404</w:t>
            </w:r>
          </w:p>
        </w:tc>
        <w:tc>
          <w:tcPr>
            <w:tcW w:w="767" w:type="dxa"/>
            <w:tcBorders>
              <w:top w:val="nil"/>
              <w:left w:val="nil"/>
              <w:bottom w:val="nil"/>
              <w:right w:val="nil"/>
            </w:tcBorders>
            <w:shd w:val="clear" w:color="000000" w:fill="FFFFFF"/>
            <w:vAlign w:val="bottom"/>
            <w:hideMark/>
          </w:tcPr>
          <w:p w:rsidR="004236BB" w:rsidRPr="004236BB" w:rsidRDefault="004236BB" w:rsidP="004236BB">
            <w:pPr>
              <w:jc w:val="right"/>
              <w:rPr>
                <w:rFonts w:cs="Arial"/>
                <w:color w:val="000000"/>
                <w:sz w:val="18"/>
                <w:szCs w:val="18"/>
              </w:rPr>
            </w:pPr>
            <w:r w:rsidRPr="004236BB">
              <w:rPr>
                <w:rFonts w:cs="Arial"/>
                <w:color w:val="000000"/>
                <w:sz w:val="18"/>
                <w:szCs w:val="18"/>
              </w:rPr>
              <w:t>3,392</w:t>
            </w:r>
          </w:p>
        </w:tc>
        <w:tc>
          <w:tcPr>
            <w:tcW w:w="767" w:type="dxa"/>
            <w:tcBorders>
              <w:top w:val="nil"/>
              <w:left w:val="nil"/>
              <w:bottom w:val="nil"/>
              <w:right w:val="single" w:sz="4" w:space="0" w:color="auto"/>
            </w:tcBorders>
            <w:shd w:val="clear" w:color="000000" w:fill="FFFFFF"/>
            <w:vAlign w:val="bottom"/>
            <w:hideMark/>
          </w:tcPr>
          <w:p w:rsidR="004236BB" w:rsidRPr="004236BB" w:rsidRDefault="004236BB" w:rsidP="004236BB">
            <w:pPr>
              <w:jc w:val="right"/>
              <w:rPr>
                <w:rFonts w:cs="Arial"/>
                <w:color w:val="000000"/>
                <w:sz w:val="18"/>
                <w:szCs w:val="18"/>
              </w:rPr>
            </w:pPr>
            <w:r w:rsidRPr="004236BB">
              <w:rPr>
                <w:rFonts w:cs="Arial"/>
                <w:color w:val="000000"/>
                <w:sz w:val="18"/>
                <w:szCs w:val="18"/>
              </w:rPr>
              <w:t>3,402</w:t>
            </w:r>
          </w:p>
        </w:tc>
        <w:tc>
          <w:tcPr>
            <w:tcW w:w="767" w:type="dxa"/>
            <w:tcBorders>
              <w:top w:val="nil"/>
              <w:left w:val="nil"/>
              <w:bottom w:val="nil"/>
              <w:right w:val="nil"/>
            </w:tcBorders>
            <w:shd w:val="clear" w:color="000000" w:fill="FFFFFF"/>
            <w:noWrap/>
            <w:vAlign w:val="bottom"/>
            <w:hideMark/>
          </w:tcPr>
          <w:p w:rsidR="004236BB" w:rsidRPr="004236BB" w:rsidRDefault="004236BB" w:rsidP="004236BB">
            <w:pPr>
              <w:jc w:val="right"/>
              <w:rPr>
                <w:rFonts w:cs="Arial"/>
                <w:sz w:val="18"/>
                <w:szCs w:val="18"/>
              </w:rPr>
            </w:pPr>
            <w:r w:rsidRPr="004236BB">
              <w:rPr>
                <w:rFonts w:cs="Arial"/>
                <w:sz w:val="18"/>
                <w:szCs w:val="18"/>
              </w:rPr>
              <w:t>3,413</w:t>
            </w:r>
          </w:p>
        </w:tc>
        <w:tc>
          <w:tcPr>
            <w:tcW w:w="767" w:type="dxa"/>
            <w:tcBorders>
              <w:top w:val="nil"/>
              <w:left w:val="nil"/>
              <w:bottom w:val="nil"/>
              <w:right w:val="single" w:sz="4" w:space="0" w:color="auto"/>
            </w:tcBorders>
            <w:shd w:val="clear" w:color="000000" w:fill="FFFFFF"/>
            <w:noWrap/>
            <w:vAlign w:val="bottom"/>
            <w:hideMark/>
          </w:tcPr>
          <w:p w:rsidR="004236BB" w:rsidRPr="004236BB" w:rsidRDefault="004236BB" w:rsidP="004236BB">
            <w:pPr>
              <w:jc w:val="right"/>
              <w:rPr>
                <w:rFonts w:cs="Arial"/>
                <w:sz w:val="18"/>
                <w:szCs w:val="18"/>
              </w:rPr>
            </w:pPr>
            <w:r w:rsidRPr="004236BB">
              <w:rPr>
                <w:rFonts w:cs="Arial"/>
                <w:sz w:val="18"/>
                <w:szCs w:val="18"/>
              </w:rPr>
              <w:t>3,423</w:t>
            </w:r>
          </w:p>
        </w:tc>
      </w:tr>
      <w:tr w:rsidR="004236BB" w:rsidRPr="004236BB" w:rsidTr="004236BB">
        <w:trPr>
          <w:trHeight w:val="390"/>
        </w:trPr>
        <w:tc>
          <w:tcPr>
            <w:tcW w:w="1858" w:type="dxa"/>
            <w:tcBorders>
              <w:top w:val="nil"/>
              <w:left w:val="single" w:sz="4" w:space="0" w:color="auto"/>
              <w:bottom w:val="single" w:sz="4" w:space="0" w:color="auto"/>
              <w:right w:val="nil"/>
            </w:tcBorders>
            <w:shd w:val="clear" w:color="000000" w:fill="FFFFFF"/>
            <w:vAlign w:val="bottom"/>
            <w:hideMark/>
          </w:tcPr>
          <w:p w:rsidR="004236BB" w:rsidRPr="004236BB" w:rsidRDefault="004236BB" w:rsidP="004236BB">
            <w:pPr>
              <w:jc w:val="left"/>
              <w:rPr>
                <w:rFonts w:cs="Arial"/>
                <w:i/>
                <w:iCs/>
                <w:color w:val="000000"/>
                <w:sz w:val="18"/>
                <w:szCs w:val="18"/>
              </w:rPr>
            </w:pPr>
            <w:r w:rsidRPr="004236BB">
              <w:rPr>
                <w:rFonts w:cs="Arial"/>
                <w:i/>
                <w:iCs/>
                <w:color w:val="000000"/>
                <w:sz w:val="18"/>
                <w:szCs w:val="18"/>
              </w:rPr>
              <w:t>Difference</w:t>
            </w:r>
          </w:p>
        </w:tc>
        <w:tc>
          <w:tcPr>
            <w:tcW w:w="767" w:type="dxa"/>
            <w:tcBorders>
              <w:top w:val="nil"/>
              <w:left w:val="nil"/>
              <w:bottom w:val="single" w:sz="4" w:space="0" w:color="auto"/>
              <w:right w:val="nil"/>
            </w:tcBorders>
            <w:shd w:val="clear" w:color="000000" w:fill="FFFFFF"/>
            <w:vAlign w:val="bottom"/>
            <w:hideMark/>
          </w:tcPr>
          <w:p w:rsidR="004236BB" w:rsidRPr="004236BB" w:rsidRDefault="004236BB" w:rsidP="004236BB">
            <w:pPr>
              <w:jc w:val="right"/>
              <w:rPr>
                <w:rFonts w:cs="Arial"/>
                <w:i/>
                <w:iCs/>
                <w:color w:val="000000"/>
                <w:sz w:val="18"/>
                <w:szCs w:val="18"/>
              </w:rPr>
            </w:pPr>
            <w:r w:rsidRPr="004236BB">
              <w:rPr>
                <w:rFonts w:cs="Arial"/>
                <w:i/>
                <w:iCs/>
                <w:color w:val="000000"/>
                <w:sz w:val="18"/>
                <w:szCs w:val="18"/>
              </w:rPr>
              <w:t>344</w:t>
            </w:r>
          </w:p>
        </w:tc>
        <w:tc>
          <w:tcPr>
            <w:tcW w:w="767" w:type="dxa"/>
            <w:tcBorders>
              <w:top w:val="nil"/>
              <w:left w:val="nil"/>
              <w:bottom w:val="single" w:sz="4" w:space="0" w:color="auto"/>
              <w:right w:val="nil"/>
            </w:tcBorders>
            <w:shd w:val="clear" w:color="000000" w:fill="FFFFFF"/>
            <w:vAlign w:val="bottom"/>
            <w:hideMark/>
          </w:tcPr>
          <w:p w:rsidR="004236BB" w:rsidRPr="004236BB" w:rsidRDefault="004236BB" w:rsidP="004236BB">
            <w:pPr>
              <w:jc w:val="right"/>
              <w:rPr>
                <w:rFonts w:cs="Arial"/>
                <w:i/>
                <w:iCs/>
                <w:color w:val="000000"/>
                <w:sz w:val="18"/>
                <w:szCs w:val="18"/>
              </w:rPr>
            </w:pPr>
            <w:r w:rsidRPr="004236BB">
              <w:rPr>
                <w:rFonts w:cs="Arial"/>
                <w:i/>
                <w:iCs/>
                <w:color w:val="000000"/>
                <w:sz w:val="18"/>
                <w:szCs w:val="18"/>
              </w:rPr>
              <w:t>46</w:t>
            </w:r>
          </w:p>
        </w:tc>
        <w:tc>
          <w:tcPr>
            <w:tcW w:w="767" w:type="dxa"/>
            <w:tcBorders>
              <w:top w:val="nil"/>
              <w:left w:val="nil"/>
              <w:bottom w:val="single" w:sz="4" w:space="0" w:color="auto"/>
              <w:right w:val="nil"/>
            </w:tcBorders>
            <w:shd w:val="clear" w:color="000000" w:fill="FFFFFF"/>
            <w:vAlign w:val="bottom"/>
            <w:hideMark/>
          </w:tcPr>
          <w:p w:rsidR="004236BB" w:rsidRPr="004236BB" w:rsidRDefault="004236BB" w:rsidP="004236BB">
            <w:pPr>
              <w:jc w:val="right"/>
              <w:rPr>
                <w:rFonts w:cs="Arial"/>
                <w:i/>
                <w:iCs/>
                <w:color w:val="000000"/>
                <w:sz w:val="18"/>
                <w:szCs w:val="18"/>
              </w:rPr>
            </w:pPr>
            <w:r w:rsidRPr="004236BB">
              <w:rPr>
                <w:rFonts w:cs="Arial"/>
                <w:i/>
                <w:iCs/>
                <w:color w:val="000000"/>
                <w:sz w:val="18"/>
                <w:szCs w:val="18"/>
              </w:rPr>
              <w:t>-89</w:t>
            </w:r>
          </w:p>
        </w:tc>
        <w:tc>
          <w:tcPr>
            <w:tcW w:w="767" w:type="dxa"/>
            <w:tcBorders>
              <w:top w:val="nil"/>
              <w:left w:val="nil"/>
              <w:bottom w:val="single" w:sz="4" w:space="0" w:color="auto"/>
              <w:right w:val="single" w:sz="4" w:space="0" w:color="auto"/>
            </w:tcBorders>
            <w:shd w:val="clear" w:color="000000" w:fill="FFFFFF"/>
            <w:vAlign w:val="bottom"/>
            <w:hideMark/>
          </w:tcPr>
          <w:p w:rsidR="004236BB" w:rsidRPr="004236BB" w:rsidRDefault="004236BB" w:rsidP="004236BB">
            <w:pPr>
              <w:jc w:val="right"/>
              <w:rPr>
                <w:rFonts w:cs="Arial"/>
                <w:i/>
                <w:iCs/>
                <w:color w:val="000000"/>
                <w:sz w:val="18"/>
                <w:szCs w:val="18"/>
              </w:rPr>
            </w:pPr>
            <w:r w:rsidRPr="004236BB">
              <w:rPr>
                <w:rFonts w:cs="Arial"/>
                <w:i/>
                <w:iCs/>
                <w:color w:val="000000"/>
                <w:sz w:val="18"/>
                <w:szCs w:val="18"/>
              </w:rPr>
              <w:t>511</w:t>
            </w:r>
          </w:p>
        </w:tc>
        <w:tc>
          <w:tcPr>
            <w:tcW w:w="767" w:type="dxa"/>
            <w:tcBorders>
              <w:top w:val="nil"/>
              <w:left w:val="nil"/>
              <w:bottom w:val="single" w:sz="4" w:space="0" w:color="auto"/>
              <w:right w:val="nil"/>
            </w:tcBorders>
            <w:shd w:val="clear" w:color="000000" w:fill="FFFFFF"/>
            <w:vAlign w:val="bottom"/>
            <w:hideMark/>
          </w:tcPr>
          <w:p w:rsidR="004236BB" w:rsidRPr="004236BB" w:rsidRDefault="004236BB" w:rsidP="004236BB">
            <w:pPr>
              <w:jc w:val="right"/>
              <w:rPr>
                <w:rFonts w:cs="Arial"/>
                <w:i/>
                <w:iCs/>
                <w:color w:val="000000"/>
                <w:sz w:val="18"/>
                <w:szCs w:val="18"/>
              </w:rPr>
            </w:pPr>
            <w:r w:rsidRPr="004236BB">
              <w:rPr>
                <w:rFonts w:cs="Arial"/>
                <w:i/>
                <w:iCs/>
                <w:color w:val="000000"/>
                <w:sz w:val="18"/>
                <w:szCs w:val="18"/>
              </w:rPr>
              <w:t>-</w:t>
            </w:r>
          </w:p>
        </w:tc>
        <w:tc>
          <w:tcPr>
            <w:tcW w:w="767" w:type="dxa"/>
            <w:tcBorders>
              <w:top w:val="nil"/>
              <w:left w:val="nil"/>
              <w:bottom w:val="single" w:sz="4" w:space="0" w:color="auto"/>
              <w:right w:val="single" w:sz="4" w:space="0" w:color="auto"/>
            </w:tcBorders>
            <w:shd w:val="clear" w:color="000000" w:fill="FFFFFF"/>
            <w:vAlign w:val="bottom"/>
            <w:hideMark/>
          </w:tcPr>
          <w:p w:rsidR="004236BB" w:rsidRPr="004236BB" w:rsidRDefault="004236BB" w:rsidP="004236BB">
            <w:pPr>
              <w:jc w:val="right"/>
              <w:rPr>
                <w:rFonts w:cs="Arial"/>
                <w:i/>
                <w:iCs/>
                <w:color w:val="000000"/>
                <w:sz w:val="18"/>
                <w:szCs w:val="18"/>
              </w:rPr>
            </w:pPr>
            <w:r w:rsidRPr="004236BB">
              <w:rPr>
                <w:rFonts w:cs="Arial"/>
                <w:i/>
                <w:iCs/>
                <w:color w:val="000000"/>
                <w:sz w:val="18"/>
                <w:szCs w:val="18"/>
              </w:rPr>
              <w:t>-</w:t>
            </w:r>
          </w:p>
        </w:tc>
        <w:tc>
          <w:tcPr>
            <w:tcW w:w="767" w:type="dxa"/>
            <w:tcBorders>
              <w:top w:val="nil"/>
              <w:left w:val="nil"/>
              <w:bottom w:val="single" w:sz="4" w:space="0" w:color="auto"/>
              <w:right w:val="nil"/>
            </w:tcBorders>
            <w:shd w:val="clear" w:color="000000" w:fill="FFFFFF"/>
            <w:vAlign w:val="bottom"/>
            <w:hideMark/>
          </w:tcPr>
          <w:p w:rsidR="004236BB" w:rsidRPr="004236BB" w:rsidRDefault="004236BB" w:rsidP="004236BB">
            <w:pPr>
              <w:jc w:val="right"/>
              <w:rPr>
                <w:rFonts w:cs="Arial"/>
                <w:i/>
                <w:iCs/>
                <w:color w:val="000000"/>
                <w:sz w:val="18"/>
                <w:szCs w:val="18"/>
              </w:rPr>
            </w:pPr>
            <w:r w:rsidRPr="004236BB">
              <w:rPr>
                <w:rFonts w:cs="Arial"/>
                <w:i/>
                <w:iCs/>
                <w:color w:val="000000"/>
                <w:sz w:val="18"/>
                <w:szCs w:val="18"/>
              </w:rPr>
              <w:t>-</w:t>
            </w:r>
          </w:p>
        </w:tc>
        <w:tc>
          <w:tcPr>
            <w:tcW w:w="767" w:type="dxa"/>
            <w:tcBorders>
              <w:top w:val="nil"/>
              <w:left w:val="nil"/>
              <w:bottom w:val="single" w:sz="4" w:space="0" w:color="auto"/>
              <w:right w:val="single" w:sz="4" w:space="0" w:color="auto"/>
            </w:tcBorders>
            <w:shd w:val="clear" w:color="000000" w:fill="FFFFFF"/>
            <w:vAlign w:val="bottom"/>
            <w:hideMark/>
          </w:tcPr>
          <w:p w:rsidR="004236BB" w:rsidRPr="004236BB" w:rsidRDefault="004236BB" w:rsidP="004236BB">
            <w:pPr>
              <w:jc w:val="right"/>
              <w:rPr>
                <w:rFonts w:cs="Arial"/>
                <w:i/>
                <w:iCs/>
                <w:color w:val="000000"/>
                <w:sz w:val="18"/>
                <w:szCs w:val="18"/>
              </w:rPr>
            </w:pPr>
            <w:r w:rsidRPr="004236BB">
              <w:rPr>
                <w:rFonts w:cs="Arial"/>
                <w:i/>
                <w:iCs/>
                <w:color w:val="000000"/>
                <w:sz w:val="18"/>
                <w:szCs w:val="18"/>
              </w:rPr>
              <w:t>-</w:t>
            </w:r>
          </w:p>
        </w:tc>
        <w:tc>
          <w:tcPr>
            <w:tcW w:w="767" w:type="dxa"/>
            <w:tcBorders>
              <w:top w:val="nil"/>
              <w:left w:val="nil"/>
              <w:bottom w:val="single" w:sz="4" w:space="0" w:color="auto"/>
              <w:right w:val="nil"/>
            </w:tcBorders>
            <w:shd w:val="clear" w:color="000000" w:fill="FFFFFF"/>
            <w:vAlign w:val="bottom"/>
            <w:hideMark/>
          </w:tcPr>
          <w:p w:rsidR="004236BB" w:rsidRPr="004236BB" w:rsidRDefault="004236BB" w:rsidP="004236BB">
            <w:pPr>
              <w:jc w:val="right"/>
              <w:rPr>
                <w:rFonts w:cs="Arial"/>
                <w:i/>
                <w:iCs/>
                <w:color w:val="000000"/>
                <w:sz w:val="18"/>
                <w:szCs w:val="18"/>
              </w:rPr>
            </w:pPr>
          </w:p>
        </w:tc>
        <w:tc>
          <w:tcPr>
            <w:tcW w:w="767" w:type="dxa"/>
            <w:tcBorders>
              <w:top w:val="nil"/>
              <w:left w:val="nil"/>
              <w:bottom w:val="single" w:sz="4" w:space="0" w:color="auto"/>
              <w:right w:val="single" w:sz="4" w:space="0" w:color="auto"/>
            </w:tcBorders>
            <w:shd w:val="clear" w:color="000000" w:fill="FFFFFF"/>
            <w:vAlign w:val="bottom"/>
            <w:hideMark/>
          </w:tcPr>
          <w:p w:rsidR="004236BB" w:rsidRPr="004236BB" w:rsidRDefault="004236BB" w:rsidP="004236BB">
            <w:pPr>
              <w:jc w:val="right"/>
              <w:rPr>
                <w:rFonts w:cs="Arial"/>
                <w:i/>
                <w:iCs/>
                <w:color w:val="000000"/>
                <w:sz w:val="18"/>
                <w:szCs w:val="18"/>
              </w:rPr>
            </w:pPr>
          </w:p>
        </w:tc>
      </w:tr>
    </w:tbl>
    <w:p w:rsidR="004236BB" w:rsidRDefault="004236BB" w:rsidP="00421639">
      <w:pPr>
        <w:keepNext/>
        <w:jc w:val="center"/>
        <w:rPr>
          <w:sz w:val="18"/>
          <w:szCs w:val="18"/>
        </w:rPr>
      </w:pPr>
    </w:p>
    <w:p w:rsidR="004236BB" w:rsidRPr="004236BB" w:rsidRDefault="004236BB" w:rsidP="00421639">
      <w:pPr>
        <w:keepNext/>
        <w:jc w:val="center"/>
        <w:rPr>
          <w:sz w:val="18"/>
          <w:szCs w:val="18"/>
        </w:rPr>
      </w:pPr>
    </w:p>
    <w:tbl>
      <w:tblPr>
        <w:tblW w:w="5711" w:type="dxa"/>
        <w:tblInd w:w="817" w:type="dxa"/>
        <w:tblLook w:val="04A0" w:firstRow="1" w:lastRow="0" w:firstColumn="1" w:lastColumn="0" w:noHBand="0" w:noVBand="1"/>
      </w:tblPr>
      <w:tblGrid>
        <w:gridCol w:w="4536"/>
        <w:gridCol w:w="1175"/>
      </w:tblGrid>
      <w:tr w:rsidR="004236BB" w:rsidRPr="004236BB" w:rsidTr="006802DC">
        <w:trPr>
          <w:trHeight w:val="255"/>
        </w:trPr>
        <w:tc>
          <w:tcPr>
            <w:tcW w:w="4536" w:type="dxa"/>
            <w:tcBorders>
              <w:top w:val="single" w:sz="4" w:space="0" w:color="auto"/>
              <w:left w:val="single" w:sz="4" w:space="0" w:color="auto"/>
              <w:bottom w:val="nil"/>
              <w:right w:val="nil"/>
            </w:tcBorders>
            <w:shd w:val="clear" w:color="auto" w:fill="auto"/>
            <w:noWrap/>
            <w:vAlign w:val="bottom"/>
            <w:hideMark/>
          </w:tcPr>
          <w:p w:rsidR="004236BB" w:rsidRPr="004236BB" w:rsidRDefault="004236BB" w:rsidP="004236BB">
            <w:pPr>
              <w:jc w:val="left"/>
              <w:rPr>
                <w:rFonts w:cs="Arial"/>
                <w:b/>
                <w:bCs/>
                <w:color w:val="000000"/>
                <w:sz w:val="18"/>
                <w:szCs w:val="18"/>
                <w:u w:val="single"/>
              </w:rPr>
            </w:pPr>
            <w:r w:rsidRPr="004236BB">
              <w:rPr>
                <w:rFonts w:cs="Arial"/>
                <w:b/>
                <w:bCs/>
                <w:color w:val="000000"/>
                <w:sz w:val="18"/>
                <w:szCs w:val="18"/>
                <w:u w:val="single"/>
              </w:rPr>
              <w:t>RESERVE CEILING</w:t>
            </w:r>
          </w:p>
        </w:tc>
        <w:tc>
          <w:tcPr>
            <w:tcW w:w="1175" w:type="dxa"/>
            <w:tcBorders>
              <w:top w:val="single" w:sz="4" w:space="0" w:color="auto"/>
              <w:left w:val="nil"/>
              <w:bottom w:val="single" w:sz="4" w:space="0" w:color="auto"/>
              <w:right w:val="single" w:sz="4" w:space="0" w:color="auto"/>
            </w:tcBorders>
            <w:shd w:val="clear" w:color="auto" w:fill="auto"/>
            <w:noWrap/>
            <w:vAlign w:val="bottom"/>
            <w:hideMark/>
          </w:tcPr>
          <w:p w:rsidR="004236BB" w:rsidRPr="004236BB" w:rsidRDefault="006802DC" w:rsidP="004236BB">
            <w:pPr>
              <w:jc w:val="left"/>
              <w:rPr>
                <w:rFonts w:cs="Arial"/>
                <w:b/>
                <w:bCs/>
                <w:sz w:val="18"/>
                <w:szCs w:val="18"/>
              </w:rPr>
            </w:pPr>
            <w:r>
              <w:rPr>
                <w:rFonts w:cs="Arial"/>
                <w:b/>
                <w:bCs/>
                <w:sz w:val="18"/>
                <w:szCs w:val="18"/>
              </w:rPr>
              <w:t>2010-</w:t>
            </w:r>
            <w:r w:rsidR="004236BB" w:rsidRPr="004236BB">
              <w:rPr>
                <w:rFonts w:cs="Arial"/>
                <w:b/>
                <w:bCs/>
                <w:sz w:val="18"/>
                <w:szCs w:val="18"/>
              </w:rPr>
              <w:t>2011</w:t>
            </w:r>
          </w:p>
        </w:tc>
      </w:tr>
      <w:tr w:rsidR="004236BB" w:rsidRPr="004236BB" w:rsidTr="006802DC">
        <w:trPr>
          <w:trHeight w:val="375"/>
        </w:trPr>
        <w:tc>
          <w:tcPr>
            <w:tcW w:w="4536" w:type="dxa"/>
            <w:tcBorders>
              <w:top w:val="nil"/>
              <w:left w:val="single" w:sz="4" w:space="0" w:color="auto"/>
              <w:bottom w:val="nil"/>
              <w:right w:val="nil"/>
            </w:tcBorders>
            <w:shd w:val="clear" w:color="auto" w:fill="auto"/>
            <w:noWrap/>
            <w:vAlign w:val="bottom"/>
            <w:hideMark/>
          </w:tcPr>
          <w:p w:rsidR="004236BB" w:rsidRPr="004236BB" w:rsidRDefault="004236BB" w:rsidP="004236BB">
            <w:pPr>
              <w:jc w:val="left"/>
              <w:rPr>
                <w:rFonts w:cs="Arial"/>
                <w:sz w:val="18"/>
                <w:szCs w:val="18"/>
              </w:rPr>
            </w:pPr>
            <w:r w:rsidRPr="004236BB">
              <w:rPr>
                <w:rFonts w:cs="Arial"/>
                <w:sz w:val="18"/>
                <w:szCs w:val="18"/>
              </w:rPr>
              <w:t xml:space="preserve">Reserve closing balance 2011 </w:t>
            </w:r>
          </w:p>
        </w:tc>
        <w:tc>
          <w:tcPr>
            <w:tcW w:w="1175" w:type="dxa"/>
            <w:tcBorders>
              <w:top w:val="nil"/>
              <w:left w:val="nil"/>
              <w:bottom w:val="nil"/>
              <w:right w:val="single" w:sz="4" w:space="0" w:color="auto"/>
            </w:tcBorders>
            <w:shd w:val="clear" w:color="auto" w:fill="auto"/>
            <w:noWrap/>
            <w:vAlign w:val="bottom"/>
            <w:hideMark/>
          </w:tcPr>
          <w:p w:rsidR="004236BB" w:rsidRPr="004236BB" w:rsidRDefault="004236BB" w:rsidP="004236BB">
            <w:pPr>
              <w:jc w:val="right"/>
              <w:rPr>
                <w:rFonts w:cs="Arial"/>
                <w:sz w:val="18"/>
                <w:szCs w:val="18"/>
              </w:rPr>
            </w:pPr>
            <w:r w:rsidRPr="004236BB">
              <w:rPr>
                <w:rFonts w:cs="Arial"/>
                <w:sz w:val="18"/>
                <w:szCs w:val="18"/>
              </w:rPr>
              <w:t>1,459</w:t>
            </w:r>
          </w:p>
        </w:tc>
      </w:tr>
      <w:tr w:rsidR="004236BB" w:rsidRPr="004236BB" w:rsidTr="006802DC">
        <w:trPr>
          <w:trHeight w:val="255"/>
        </w:trPr>
        <w:tc>
          <w:tcPr>
            <w:tcW w:w="4536" w:type="dxa"/>
            <w:tcBorders>
              <w:top w:val="nil"/>
              <w:left w:val="single" w:sz="4" w:space="0" w:color="auto"/>
              <w:bottom w:val="nil"/>
              <w:right w:val="nil"/>
            </w:tcBorders>
            <w:shd w:val="clear" w:color="auto" w:fill="auto"/>
            <w:noWrap/>
            <w:vAlign w:val="bottom"/>
            <w:hideMark/>
          </w:tcPr>
          <w:p w:rsidR="004236BB" w:rsidRPr="004236BB" w:rsidRDefault="004236BB" w:rsidP="004236BB">
            <w:pPr>
              <w:jc w:val="left"/>
              <w:rPr>
                <w:rFonts w:cs="Arial"/>
                <w:sz w:val="18"/>
                <w:szCs w:val="18"/>
              </w:rPr>
            </w:pPr>
            <w:r w:rsidRPr="004236BB">
              <w:rPr>
                <w:rFonts w:cs="Arial"/>
                <w:sz w:val="18"/>
                <w:szCs w:val="18"/>
              </w:rPr>
              <w:t>IPSAS Adjustments to opening balances</w:t>
            </w:r>
          </w:p>
        </w:tc>
        <w:tc>
          <w:tcPr>
            <w:tcW w:w="1175" w:type="dxa"/>
            <w:tcBorders>
              <w:top w:val="nil"/>
              <w:left w:val="nil"/>
              <w:bottom w:val="single" w:sz="4" w:space="0" w:color="auto"/>
              <w:right w:val="single" w:sz="4" w:space="0" w:color="auto"/>
            </w:tcBorders>
            <w:shd w:val="clear" w:color="auto" w:fill="auto"/>
            <w:noWrap/>
            <w:vAlign w:val="bottom"/>
            <w:hideMark/>
          </w:tcPr>
          <w:p w:rsidR="004236BB" w:rsidRPr="004236BB" w:rsidRDefault="004236BB" w:rsidP="004236BB">
            <w:pPr>
              <w:jc w:val="right"/>
              <w:rPr>
                <w:rFonts w:cs="Arial"/>
                <w:sz w:val="18"/>
                <w:szCs w:val="18"/>
              </w:rPr>
            </w:pPr>
            <w:r w:rsidRPr="004236BB">
              <w:rPr>
                <w:rFonts w:cs="Arial"/>
                <w:sz w:val="18"/>
                <w:szCs w:val="18"/>
              </w:rPr>
              <w:t>-759</w:t>
            </w:r>
          </w:p>
        </w:tc>
      </w:tr>
      <w:tr w:rsidR="004236BB" w:rsidRPr="004236BB" w:rsidTr="006802DC">
        <w:trPr>
          <w:trHeight w:val="255"/>
        </w:trPr>
        <w:tc>
          <w:tcPr>
            <w:tcW w:w="4536" w:type="dxa"/>
            <w:tcBorders>
              <w:top w:val="nil"/>
              <w:left w:val="single" w:sz="4" w:space="0" w:color="auto"/>
              <w:bottom w:val="single" w:sz="4" w:space="0" w:color="auto"/>
              <w:right w:val="nil"/>
            </w:tcBorders>
            <w:shd w:val="clear" w:color="auto" w:fill="auto"/>
            <w:noWrap/>
            <w:vAlign w:val="bottom"/>
            <w:hideMark/>
          </w:tcPr>
          <w:p w:rsidR="004236BB" w:rsidRPr="004236BB" w:rsidRDefault="004236BB" w:rsidP="00C42A72">
            <w:pPr>
              <w:jc w:val="left"/>
              <w:rPr>
                <w:rFonts w:cs="Arial"/>
                <w:sz w:val="18"/>
                <w:szCs w:val="18"/>
              </w:rPr>
            </w:pPr>
            <w:r w:rsidRPr="004236BB">
              <w:rPr>
                <w:rFonts w:cs="Arial"/>
                <w:sz w:val="18"/>
                <w:szCs w:val="18"/>
              </w:rPr>
              <w:t>Reserve opening balance 2012 </w:t>
            </w:r>
          </w:p>
        </w:tc>
        <w:tc>
          <w:tcPr>
            <w:tcW w:w="1175" w:type="dxa"/>
            <w:tcBorders>
              <w:top w:val="nil"/>
              <w:left w:val="nil"/>
              <w:bottom w:val="single" w:sz="4" w:space="0" w:color="auto"/>
              <w:right w:val="single" w:sz="4" w:space="0" w:color="auto"/>
            </w:tcBorders>
            <w:shd w:val="clear" w:color="auto" w:fill="auto"/>
            <w:noWrap/>
            <w:vAlign w:val="bottom"/>
            <w:hideMark/>
          </w:tcPr>
          <w:p w:rsidR="004236BB" w:rsidRPr="004236BB" w:rsidRDefault="004236BB" w:rsidP="004236BB">
            <w:pPr>
              <w:jc w:val="right"/>
              <w:rPr>
                <w:rFonts w:cs="Arial"/>
                <w:sz w:val="18"/>
                <w:szCs w:val="18"/>
              </w:rPr>
            </w:pPr>
            <w:r w:rsidRPr="004236BB">
              <w:rPr>
                <w:rFonts w:cs="Arial"/>
                <w:sz w:val="18"/>
                <w:szCs w:val="18"/>
              </w:rPr>
              <w:t>700</w:t>
            </w:r>
          </w:p>
        </w:tc>
      </w:tr>
      <w:tr w:rsidR="004236BB" w:rsidRPr="004236BB" w:rsidTr="006802DC">
        <w:trPr>
          <w:trHeight w:val="360"/>
        </w:trPr>
        <w:tc>
          <w:tcPr>
            <w:tcW w:w="4536" w:type="dxa"/>
            <w:tcBorders>
              <w:top w:val="nil"/>
              <w:left w:val="nil"/>
              <w:bottom w:val="nil"/>
              <w:right w:val="nil"/>
            </w:tcBorders>
            <w:shd w:val="clear" w:color="auto" w:fill="auto"/>
            <w:noWrap/>
            <w:vAlign w:val="bottom"/>
            <w:hideMark/>
          </w:tcPr>
          <w:p w:rsidR="004236BB" w:rsidRPr="004236BB" w:rsidRDefault="004236BB" w:rsidP="004236BB">
            <w:pPr>
              <w:jc w:val="left"/>
              <w:rPr>
                <w:rFonts w:cs="Arial"/>
                <w:sz w:val="18"/>
                <w:szCs w:val="18"/>
              </w:rPr>
            </w:pPr>
          </w:p>
        </w:tc>
        <w:tc>
          <w:tcPr>
            <w:tcW w:w="1175" w:type="dxa"/>
            <w:tcBorders>
              <w:top w:val="nil"/>
              <w:left w:val="nil"/>
              <w:bottom w:val="nil"/>
              <w:right w:val="nil"/>
            </w:tcBorders>
            <w:shd w:val="clear" w:color="auto" w:fill="auto"/>
            <w:noWrap/>
            <w:vAlign w:val="bottom"/>
            <w:hideMark/>
          </w:tcPr>
          <w:p w:rsidR="004236BB" w:rsidRPr="004236BB" w:rsidRDefault="004236BB" w:rsidP="004236BB">
            <w:pPr>
              <w:jc w:val="right"/>
              <w:rPr>
                <w:rFonts w:cs="Arial"/>
                <w:sz w:val="18"/>
                <w:szCs w:val="18"/>
              </w:rPr>
            </w:pPr>
          </w:p>
        </w:tc>
      </w:tr>
      <w:tr w:rsidR="004236BB" w:rsidRPr="004236BB" w:rsidTr="006802DC">
        <w:trPr>
          <w:trHeight w:val="255"/>
        </w:trPr>
        <w:tc>
          <w:tcPr>
            <w:tcW w:w="4536" w:type="dxa"/>
            <w:tcBorders>
              <w:top w:val="single" w:sz="4" w:space="0" w:color="auto"/>
              <w:left w:val="single" w:sz="4" w:space="0" w:color="auto"/>
              <w:bottom w:val="nil"/>
              <w:right w:val="nil"/>
            </w:tcBorders>
            <w:shd w:val="clear" w:color="auto" w:fill="auto"/>
            <w:noWrap/>
            <w:vAlign w:val="bottom"/>
            <w:hideMark/>
          </w:tcPr>
          <w:p w:rsidR="004236BB" w:rsidRPr="004236BB" w:rsidRDefault="004236BB" w:rsidP="004236BB">
            <w:pPr>
              <w:jc w:val="left"/>
              <w:rPr>
                <w:rFonts w:cs="Arial"/>
                <w:sz w:val="18"/>
                <w:szCs w:val="18"/>
              </w:rPr>
            </w:pPr>
            <w:r w:rsidRPr="004236BB">
              <w:rPr>
                <w:rFonts w:cs="Arial"/>
                <w:sz w:val="18"/>
                <w:szCs w:val="18"/>
              </w:rPr>
              <w:t>Income 2010/2011</w:t>
            </w:r>
          </w:p>
        </w:tc>
        <w:tc>
          <w:tcPr>
            <w:tcW w:w="1175" w:type="dxa"/>
            <w:tcBorders>
              <w:top w:val="single" w:sz="4" w:space="0" w:color="auto"/>
              <w:left w:val="nil"/>
              <w:bottom w:val="nil"/>
              <w:right w:val="single" w:sz="4" w:space="0" w:color="auto"/>
            </w:tcBorders>
            <w:shd w:val="clear" w:color="auto" w:fill="auto"/>
            <w:noWrap/>
            <w:vAlign w:val="bottom"/>
            <w:hideMark/>
          </w:tcPr>
          <w:p w:rsidR="004236BB" w:rsidRPr="004236BB" w:rsidRDefault="004236BB" w:rsidP="004236BB">
            <w:pPr>
              <w:jc w:val="right"/>
              <w:rPr>
                <w:rFonts w:cs="Arial"/>
                <w:sz w:val="18"/>
                <w:szCs w:val="18"/>
              </w:rPr>
            </w:pPr>
            <w:r w:rsidRPr="004236BB">
              <w:rPr>
                <w:rFonts w:cs="Arial"/>
                <w:sz w:val="18"/>
                <w:szCs w:val="18"/>
              </w:rPr>
              <w:t>6,901</w:t>
            </w:r>
          </w:p>
        </w:tc>
      </w:tr>
      <w:tr w:rsidR="004236BB" w:rsidRPr="004236BB" w:rsidTr="006802DC">
        <w:trPr>
          <w:trHeight w:val="255"/>
        </w:trPr>
        <w:tc>
          <w:tcPr>
            <w:tcW w:w="4536" w:type="dxa"/>
            <w:tcBorders>
              <w:top w:val="nil"/>
              <w:left w:val="single" w:sz="4" w:space="0" w:color="auto"/>
              <w:bottom w:val="nil"/>
              <w:right w:val="nil"/>
            </w:tcBorders>
            <w:shd w:val="clear" w:color="auto" w:fill="auto"/>
            <w:noWrap/>
            <w:vAlign w:val="bottom"/>
            <w:hideMark/>
          </w:tcPr>
          <w:p w:rsidR="004236BB" w:rsidRPr="004236BB" w:rsidRDefault="004236BB" w:rsidP="004236BB">
            <w:pPr>
              <w:jc w:val="left"/>
              <w:rPr>
                <w:rFonts w:cs="Arial"/>
                <w:sz w:val="18"/>
                <w:szCs w:val="18"/>
              </w:rPr>
            </w:pPr>
            <w:r w:rsidRPr="004236BB">
              <w:rPr>
                <w:rFonts w:cs="Arial"/>
                <w:sz w:val="18"/>
                <w:szCs w:val="18"/>
              </w:rPr>
              <w:t>Reserve Ceiling as % of income (15%)*</w:t>
            </w:r>
          </w:p>
        </w:tc>
        <w:tc>
          <w:tcPr>
            <w:tcW w:w="1175" w:type="dxa"/>
            <w:tcBorders>
              <w:top w:val="nil"/>
              <w:left w:val="nil"/>
              <w:bottom w:val="nil"/>
              <w:right w:val="single" w:sz="4" w:space="0" w:color="auto"/>
            </w:tcBorders>
            <w:shd w:val="clear" w:color="auto" w:fill="auto"/>
            <w:noWrap/>
            <w:vAlign w:val="bottom"/>
            <w:hideMark/>
          </w:tcPr>
          <w:p w:rsidR="004236BB" w:rsidRPr="004236BB" w:rsidRDefault="004236BB" w:rsidP="004236BB">
            <w:pPr>
              <w:jc w:val="right"/>
              <w:rPr>
                <w:rFonts w:cs="Arial"/>
                <w:sz w:val="18"/>
                <w:szCs w:val="18"/>
              </w:rPr>
            </w:pPr>
            <w:r w:rsidRPr="004236BB">
              <w:rPr>
                <w:rFonts w:cs="Arial"/>
                <w:sz w:val="18"/>
                <w:szCs w:val="18"/>
              </w:rPr>
              <w:t xml:space="preserve">1,035 </w:t>
            </w:r>
          </w:p>
        </w:tc>
      </w:tr>
      <w:tr w:rsidR="004236BB" w:rsidRPr="004236BB" w:rsidTr="006802DC">
        <w:trPr>
          <w:trHeight w:val="255"/>
        </w:trPr>
        <w:tc>
          <w:tcPr>
            <w:tcW w:w="4536" w:type="dxa"/>
            <w:tcBorders>
              <w:top w:val="nil"/>
              <w:left w:val="single" w:sz="4" w:space="0" w:color="auto"/>
              <w:bottom w:val="nil"/>
              <w:right w:val="nil"/>
            </w:tcBorders>
            <w:shd w:val="clear" w:color="auto" w:fill="auto"/>
            <w:noWrap/>
            <w:vAlign w:val="bottom"/>
            <w:hideMark/>
          </w:tcPr>
          <w:p w:rsidR="004236BB" w:rsidRPr="004236BB" w:rsidRDefault="004236BB" w:rsidP="004236BB">
            <w:pPr>
              <w:jc w:val="left"/>
              <w:rPr>
                <w:rFonts w:cs="Arial"/>
                <w:sz w:val="18"/>
                <w:szCs w:val="18"/>
              </w:rPr>
            </w:pPr>
            <w:r w:rsidRPr="004236BB">
              <w:rPr>
                <w:rFonts w:cs="Arial"/>
                <w:sz w:val="18"/>
                <w:szCs w:val="18"/>
              </w:rPr>
              <w:t>Reserve Fund in excess of 15%</w:t>
            </w:r>
          </w:p>
        </w:tc>
        <w:tc>
          <w:tcPr>
            <w:tcW w:w="1175" w:type="dxa"/>
            <w:tcBorders>
              <w:top w:val="nil"/>
              <w:left w:val="nil"/>
              <w:bottom w:val="nil"/>
              <w:right w:val="single" w:sz="4" w:space="0" w:color="auto"/>
            </w:tcBorders>
            <w:shd w:val="clear" w:color="auto" w:fill="auto"/>
            <w:noWrap/>
            <w:vAlign w:val="bottom"/>
            <w:hideMark/>
          </w:tcPr>
          <w:p w:rsidR="004236BB" w:rsidRPr="004236BB" w:rsidRDefault="004236BB" w:rsidP="00561957">
            <w:pPr>
              <w:jc w:val="right"/>
              <w:rPr>
                <w:rFonts w:cs="Arial"/>
                <w:sz w:val="18"/>
                <w:szCs w:val="18"/>
              </w:rPr>
            </w:pPr>
            <w:r w:rsidRPr="004236BB">
              <w:rPr>
                <w:rFonts w:cs="Arial"/>
                <w:sz w:val="18"/>
                <w:szCs w:val="18"/>
              </w:rPr>
              <w:t>-335</w:t>
            </w:r>
          </w:p>
        </w:tc>
      </w:tr>
      <w:tr w:rsidR="004236BB" w:rsidRPr="004236BB" w:rsidTr="006802DC">
        <w:trPr>
          <w:trHeight w:val="255"/>
        </w:trPr>
        <w:tc>
          <w:tcPr>
            <w:tcW w:w="4536" w:type="dxa"/>
            <w:tcBorders>
              <w:top w:val="nil"/>
              <w:left w:val="single" w:sz="4" w:space="0" w:color="auto"/>
              <w:bottom w:val="single" w:sz="4" w:space="0" w:color="auto"/>
              <w:right w:val="nil"/>
            </w:tcBorders>
            <w:shd w:val="clear" w:color="000000" w:fill="FFFFFF"/>
            <w:noWrap/>
            <w:vAlign w:val="bottom"/>
            <w:hideMark/>
          </w:tcPr>
          <w:p w:rsidR="004236BB" w:rsidRPr="004236BB" w:rsidRDefault="004236BB" w:rsidP="004236BB">
            <w:pPr>
              <w:jc w:val="left"/>
              <w:rPr>
                <w:rFonts w:cs="Arial"/>
                <w:sz w:val="18"/>
                <w:szCs w:val="18"/>
              </w:rPr>
            </w:pPr>
          </w:p>
        </w:tc>
        <w:tc>
          <w:tcPr>
            <w:tcW w:w="1175" w:type="dxa"/>
            <w:tcBorders>
              <w:top w:val="nil"/>
              <w:left w:val="nil"/>
              <w:bottom w:val="single" w:sz="4" w:space="0" w:color="auto"/>
              <w:right w:val="single" w:sz="4" w:space="0" w:color="auto"/>
            </w:tcBorders>
            <w:shd w:val="clear" w:color="000000" w:fill="FFFFFF"/>
            <w:noWrap/>
            <w:vAlign w:val="bottom"/>
            <w:hideMark/>
          </w:tcPr>
          <w:p w:rsidR="004236BB" w:rsidRPr="004236BB" w:rsidRDefault="004236BB" w:rsidP="00DD4DAE">
            <w:pPr>
              <w:jc w:val="right"/>
              <w:rPr>
                <w:rFonts w:cs="Arial"/>
                <w:sz w:val="18"/>
                <w:szCs w:val="18"/>
              </w:rPr>
            </w:pPr>
          </w:p>
        </w:tc>
      </w:tr>
    </w:tbl>
    <w:p w:rsidR="004236BB" w:rsidRDefault="004236BB" w:rsidP="00421639">
      <w:pPr>
        <w:keepNext/>
        <w:jc w:val="center"/>
      </w:pPr>
    </w:p>
    <w:p w:rsidR="00DD18EE" w:rsidRPr="0085263B" w:rsidRDefault="00DD18EE" w:rsidP="0085263B">
      <w:pPr>
        <w:tabs>
          <w:tab w:val="left" w:pos="567"/>
        </w:tabs>
        <w:ind w:left="709" w:right="141"/>
        <w:rPr>
          <w:i/>
          <w:sz w:val="18"/>
          <w:szCs w:val="18"/>
        </w:rPr>
      </w:pPr>
      <w:r w:rsidRPr="0085263B">
        <w:rPr>
          <w:i/>
          <w:sz w:val="18"/>
          <w:szCs w:val="18"/>
        </w:rPr>
        <w:t>*: As per Financial Regulation 4.6 on Reserve funds, “[t]he use, other than for the covering of any deficits, of the reserve fund is a matter for the decision of the Council.  If after the closure of the financial period, the amount of the reserve fund exceeds 15 percent of the total income for the financial period, the amount in excess shall be reimbursed to the members of UPOV, unless otherwise decided by the Council.  Any member of UPOV may request that the reimbursement attributed to it be deposited in a special account or trust fund specified by it."</w:t>
      </w:r>
    </w:p>
    <w:p w:rsidR="00E53156" w:rsidRDefault="00E53156" w:rsidP="00DD18EE">
      <w:pPr>
        <w:tabs>
          <w:tab w:val="left" w:pos="567"/>
        </w:tabs>
        <w:rPr>
          <w:i/>
        </w:rPr>
      </w:pPr>
    </w:p>
    <w:p w:rsidR="00E53156" w:rsidRPr="00B22226" w:rsidRDefault="00E53156" w:rsidP="00DD18EE">
      <w:pPr>
        <w:tabs>
          <w:tab w:val="left" w:pos="567"/>
        </w:tabs>
        <w:rPr>
          <w:i/>
        </w:rPr>
      </w:pPr>
    </w:p>
    <w:p w:rsidR="004236BB" w:rsidRPr="00E92E79" w:rsidRDefault="004236BB" w:rsidP="004236BB">
      <w:pPr>
        <w:keepNext/>
        <w:tabs>
          <w:tab w:val="left" w:pos="567"/>
        </w:tabs>
        <w:jc w:val="center"/>
        <w:rPr>
          <w:b/>
        </w:rPr>
      </w:pPr>
      <w:r w:rsidRPr="00E92E79">
        <w:rPr>
          <w:b/>
        </w:rPr>
        <w:t>Table 9 Graph</w:t>
      </w:r>
    </w:p>
    <w:p w:rsidR="004236BB" w:rsidRPr="007C0BD8" w:rsidRDefault="004236BB" w:rsidP="004236BB">
      <w:pPr>
        <w:keepNext/>
      </w:pPr>
    </w:p>
    <w:p w:rsidR="00946029" w:rsidRDefault="004951EA" w:rsidP="00421639">
      <w:pPr>
        <w:tabs>
          <w:tab w:val="left" w:pos="567"/>
        </w:tabs>
      </w:pPr>
      <w:r>
        <w:rPr>
          <w:noProof/>
        </w:rPr>
        <w:drawing>
          <wp:inline distT="0" distB="0" distL="0" distR="0" wp14:anchorId="260EB011" wp14:editId="1C854216">
            <wp:extent cx="6086475" cy="329565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1639" w:rsidRDefault="00421639" w:rsidP="00421639"/>
    <w:p w:rsidR="008853D2" w:rsidRDefault="008853D2" w:rsidP="00421639"/>
    <w:p w:rsidR="00421639" w:rsidRPr="00DD6106" w:rsidRDefault="00421639" w:rsidP="00421639">
      <w:r w:rsidRPr="00DD6106">
        <w:t>4.3</w:t>
      </w:r>
      <w:r w:rsidRPr="00DD6106">
        <w:tab/>
        <w:t>The following assumptions are made:</w:t>
      </w:r>
    </w:p>
    <w:p w:rsidR="00421639" w:rsidRPr="00DD6106" w:rsidRDefault="00421639" w:rsidP="00421639"/>
    <w:p w:rsidR="00421639" w:rsidRPr="00DD6106" w:rsidRDefault="00421639" w:rsidP="00421639">
      <w:pPr>
        <w:ind w:left="567" w:hanging="567"/>
      </w:pPr>
      <w:r w:rsidRPr="00DD6106">
        <w:rPr>
          <w:i/>
        </w:rPr>
        <w:t>–</w:t>
      </w:r>
      <w:r w:rsidRPr="00DD6106">
        <w:rPr>
          <w:i/>
        </w:rPr>
        <w:tab/>
      </w:r>
      <w:r w:rsidRPr="00DD6106">
        <w:rPr>
          <w:u w:val="single"/>
        </w:rPr>
        <w:t>Income and Working Capital Fund</w:t>
      </w:r>
      <w:r w:rsidRPr="00DD6106">
        <w:t>:  Accession of one additional m</w:t>
      </w:r>
      <w:r>
        <w:t>ember per year contributing 0.2 </w:t>
      </w:r>
      <w:r w:rsidRPr="00DD6106">
        <w:t>contribution unit each to the budget and 1,667</w:t>
      </w:r>
      <w:r>
        <w:t> </w:t>
      </w:r>
      <w:r w:rsidRPr="00C058E1">
        <w:rPr>
          <w:spacing w:val="-2"/>
          <w:szCs w:val="24"/>
        </w:rPr>
        <w:t>Swiss francs</w:t>
      </w:r>
      <w:r w:rsidRPr="00DD6106">
        <w:t xml:space="preserve"> to the Working Capital Fund.  The corresponding amounts have been inserted with some </w:t>
      </w:r>
      <w:proofErr w:type="spellStart"/>
      <w:r w:rsidRPr="00DD6106">
        <w:t>roundings</w:t>
      </w:r>
      <w:proofErr w:type="spellEnd"/>
      <w:r w:rsidRPr="00DD6106">
        <w:t>.</w:t>
      </w:r>
    </w:p>
    <w:p w:rsidR="00421639" w:rsidRPr="00DD6106" w:rsidRDefault="00421639" w:rsidP="00421639">
      <w:pPr>
        <w:ind w:left="567" w:hanging="567"/>
      </w:pPr>
    </w:p>
    <w:p w:rsidR="00421639" w:rsidRPr="00DD6106" w:rsidRDefault="00421639" w:rsidP="00421639">
      <w:pPr>
        <w:ind w:left="567" w:hanging="567"/>
      </w:pPr>
      <w:r w:rsidRPr="00DD6106">
        <w:t>–</w:t>
      </w:r>
      <w:r w:rsidRPr="00DD6106">
        <w:tab/>
      </w:r>
      <w:r w:rsidRPr="00DD6106">
        <w:rPr>
          <w:u w:val="single"/>
        </w:rPr>
        <w:t>Expenditure</w:t>
      </w:r>
      <w:r w:rsidRPr="00DD6106">
        <w:t xml:space="preserve">:  </w:t>
      </w:r>
    </w:p>
    <w:p w:rsidR="00421639" w:rsidRPr="00DD6106" w:rsidRDefault="00421639" w:rsidP="00421639">
      <w:pPr>
        <w:ind w:left="567" w:hanging="567"/>
      </w:pPr>
    </w:p>
    <w:p w:rsidR="00421639" w:rsidRPr="00CC4E43" w:rsidRDefault="00421639" w:rsidP="00421639">
      <w:pPr>
        <w:ind w:left="567" w:hanging="567"/>
      </w:pPr>
      <w:r w:rsidRPr="00DD6106">
        <w:tab/>
      </w:r>
      <w:r w:rsidRPr="00CC4E43">
        <w:rPr>
          <w:i/>
        </w:rPr>
        <w:t xml:space="preserve">Personnel resources:  </w:t>
      </w:r>
      <w:r w:rsidRPr="00CC4E43">
        <w:t xml:space="preserve">No additional staff are planned for the Office of the </w:t>
      </w:r>
      <w:smartTag w:uri="urn:schemas-microsoft-com:office:smarttags" w:element="place">
        <w:r w:rsidRPr="00CC4E43">
          <w:t>Union</w:t>
        </w:r>
      </w:smartTag>
      <w:r w:rsidRPr="00CC4E43">
        <w:t xml:space="preserve"> during the period under consideration.  Personnel resources are anticipated to account for </w:t>
      </w:r>
      <w:bookmarkStart w:id="16" w:name="OLE_LINK13"/>
      <w:bookmarkStart w:id="17" w:name="OLE_LINK14"/>
      <w:r w:rsidRPr="00CC4E43">
        <w:t>65%</w:t>
      </w:r>
      <w:bookmarkEnd w:id="16"/>
      <w:bookmarkEnd w:id="17"/>
      <w:r w:rsidRPr="00CC4E43">
        <w:t xml:space="preserve"> of the budget in </w:t>
      </w:r>
      <w:r w:rsidRPr="00CC4E43">
        <w:rPr>
          <w:snapToGrid w:val="0"/>
          <w:spacing w:val="-2"/>
          <w:szCs w:val="24"/>
        </w:rPr>
        <w:t>2014­2015</w:t>
      </w:r>
      <w:r w:rsidRPr="00CC4E43">
        <w:t xml:space="preserve"> and 66% in 2016-2017, compared to 66% in the 2010­2011 Biennium and 67% in the 2012-2013 Budget.  </w:t>
      </w:r>
    </w:p>
    <w:p w:rsidR="00421639" w:rsidRPr="00CC4E43" w:rsidRDefault="00421639" w:rsidP="00421639">
      <w:pPr>
        <w:ind w:left="567" w:hanging="567"/>
      </w:pPr>
    </w:p>
    <w:p w:rsidR="00421639" w:rsidRPr="00DD6106" w:rsidRDefault="00421639" w:rsidP="00421639">
      <w:pPr>
        <w:ind w:left="567" w:hanging="567"/>
      </w:pPr>
      <w:r w:rsidRPr="00CC4E43">
        <w:tab/>
      </w:r>
      <w:r w:rsidRPr="00CC4E43">
        <w:rPr>
          <w:i/>
        </w:rPr>
        <w:t>Non-personnel resources:</w:t>
      </w:r>
      <w:r w:rsidRPr="00CC4E43">
        <w:t xml:space="preserve">  Operating expenses, furniture and supplies costs are projected to remain stable and to account for 19% of the budget in both the </w:t>
      </w:r>
      <w:r w:rsidRPr="00CC4E43">
        <w:rPr>
          <w:snapToGrid w:val="0"/>
          <w:spacing w:val="-2"/>
          <w:szCs w:val="24"/>
        </w:rPr>
        <w:t>2014­2015</w:t>
      </w:r>
      <w:r w:rsidRPr="00CC4E43">
        <w:t xml:space="preserve"> and the 2016­2017 biennia, compared to 20% in the 2010­2011 Biennium and 19% in the 2012-2013 Budget.  </w:t>
      </w:r>
      <w:smartTag w:uri="urn:schemas-microsoft-com:office:smarttags" w:element="PersonName">
        <w:r w:rsidRPr="00CC4E43">
          <w:t>Travel</w:t>
        </w:r>
      </w:smartTag>
      <w:r w:rsidRPr="00CC4E43">
        <w:t xml:space="preserve"> and contractual services costs are projected to account for 16% of the budget in 2014­2015 and 15% in 2016-2017, respectively, compared to 14% in the 2010­2011 Biennium and 15% in the 2012-2013 Budget.</w:t>
      </w:r>
    </w:p>
    <w:p w:rsidR="00421639" w:rsidRPr="00DD6106" w:rsidRDefault="00421639" w:rsidP="00421639">
      <w:pPr>
        <w:ind w:left="567" w:hanging="567"/>
      </w:pPr>
    </w:p>
    <w:p w:rsidR="00421639" w:rsidRPr="00DD6106" w:rsidRDefault="00421639" w:rsidP="00421639">
      <w:pPr>
        <w:ind w:left="567" w:hanging="567"/>
      </w:pPr>
    </w:p>
    <w:p w:rsidR="00421639" w:rsidRPr="0050046B" w:rsidRDefault="00421639" w:rsidP="00421639">
      <w:pPr>
        <w:sectPr w:rsidR="00421639" w:rsidRPr="0050046B" w:rsidSect="00DC35EC">
          <w:headerReference w:type="default" r:id="rId20"/>
          <w:headerReference w:type="first" r:id="rId21"/>
          <w:footerReference w:type="first" r:id="rId22"/>
          <w:pgSz w:w="11907" w:h="16840" w:code="9"/>
          <w:pgMar w:top="510" w:right="1134" w:bottom="1134" w:left="1134" w:header="510" w:footer="680" w:gutter="0"/>
          <w:pgNumType w:start="1"/>
          <w:cols w:space="720"/>
          <w:titlePg/>
        </w:sectPr>
      </w:pPr>
    </w:p>
    <w:p w:rsidR="00421639" w:rsidRPr="00EA1426" w:rsidRDefault="00421639" w:rsidP="00421639">
      <w:pPr>
        <w:jc w:val="center"/>
      </w:pPr>
      <w:r w:rsidRPr="00EA1426">
        <w:t>APPENDIX I</w:t>
      </w:r>
    </w:p>
    <w:p w:rsidR="00421639" w:rsidRPr="00EA1426" w:rsidRDefault="00421639" w:rsidP="00421639">
      <w:pPr>
        <w:jc w:val="center"/>
      </w:pPr>
    </w:p>
    <w:p w:rsidR="00421639" w:rsidRPr="00EA1426" w:rsidRDefault="00421639" w:rsidP="00421639">
      <w:pPr>
        <w:jc w:val="center"/>
      </w:pPr>
    </w:p>
    <w:p w:rsidR="00421639" w:rsidRPr="00EA1426" w:rsidRDefault="00421639" w:rsidP="00421639">
      <w:pPr>
        <w:jc w:val="center"/>
      </w:pPr>
      <w:r w:rsidRPr="00EA1426">
        <w:t>BUDGET METHODOLOGY</w:t>
      </w:r>
    </w:p>
    <w:p w:rsidR="00421639" w:rsidRPr="00EA1426" w:rsidRDefault="00421639" w:rsidP="00421639">
      <w:pPr>
        <w:jc w:val="center"/>
      </w:pPr>
    </w:p>
    <w:p w:rsidR="00421639" w:rsidRPr="00EA1426" w:rsidRDefault="00421639" w:rsidP="00421639">
      <w:pPr>
        <w:jc w:val="center"/>
      </w:pPr>
    </w:p>
    <w:p w:rsidR="00421639" w:rsidRPr="00EA1426" w:rsidRDefault="00421639" w:rsidP="00421639">
      <w:pPr>
        <w:tabs>
          <w:tab w:val="left" w:pos="567"/>
        </w:tabs>
      </w:pPr>
      <w:r w:rsidRPr="00EA1426">
        <w:t>1.</w:t>
      </w:r>
      <w:r w:rsidRPr="00EA1426">
        <w:tab/>
        <w:t xml:space="preserve">The description of the regular budget methodology provides for the codification and clarification of budget practice as well as the role of the different sections within this proposed program and budget.  The budget formulation process starts with the adopted budget for 2012-2013, and concludes with the proposed budget for the </w:t>
      </w:r>
      <w:r w:rsidRPr="00EA1426">
        <w:rPr>
          <w:snapToGrid w:val="0"/>
          <w:spacing w:val="-2"/>
          <w:szCs w:val="24"/>
        </w:rPr>
        <w:t>2014­2015</w:t>
      </w:r>
      <w:r w:rsidRPr="00EA1426">
        <w:t xml:space="preserve"> </w:t>
      </w:r>
      <w:r>
        <w:t>Biennium</w:t>
      </w:r>
      <w:r w:rsidRPr="00EA1426">
        <w:t xml:space="preserve"> by incorporating the resource variation between the budget for 2012</w:t>
      </w:r>
      <w:r>
        <w:noBreakHyphen/>
      </w:r>
      <w:r w:rsidRPr="00EA1426">
        <w:t xml:space="preserve">2013 and the proposed budget for the </w:t>
      </w:r>
      <w:r w:rsidRPr="00EA1426">
        <w:rPr>
          <w:snapToGrid w:val="0"/>
          <w:spacing w:val="-2"/>
          <w:szCs w:val="24"/>
        </w:rPr>
        <w:t>2014­2015</w:t>
      </w:r>
      <w:r w:rsidRPr="00EA1426">
        <w:t xml:space="preserve"> </w:t>
      </w:r>
      <w:r>
        <w:t>Biennium</w:t>
      </w:r>
      <w:r w:rsidRPr="00EA1426">
        <w:t>.  Table 4 summarizes the main indicators discussed in this Appendix I.</w:t>
      </w:r>
    </w:p>
    <w:p w:rsidR="00421639" w:rsidRPr="00EA1426" w:rsidRDefault="00421639" w:rsidP="00421639"/>
    <w:p w:rsidR="00421639" w:rsidRPr="00EA1426" w:rsidRDefault="00421639" w:rsidP="00421639">
      <w:pPr>
        <w:tabs>
          <w:tab w:val="left" w:pos="567"/>
        </w:tabs>
      </w:pPr>
      <w:r w:rsidRPr="00EA1426">
        <w:t>2.</w:t>
      </w:r>
      <w:r w:rsidRPr="00EA1426">
        <w:tab/>
        <w:t>Budget 2012-2013:  The starting point for the budget is presented in document C/45/4 Rev.2</w:t>
      </w:r>
      <w:r>
        <w:t>.</w:t>
      </w:r>
    </w:p>
    <w:p w:rsidR="00421639" w:rsidRPr="00EA1426" w:rsidRDefault="00421639" w:rsidP="00421639"/>
    <w:p w:rsidR="00421639" w:rsidRPr="00EA1426" w:rsidRDefault="00421639" w:rsidP="00421639">
      <w:pPr>
        <w:tabs>
          <w:tab w:val="left" w:pos="567"/>
        </w:tabs>
      </w:pPr>
      <w:r w:rsidRPr="00EA1426">
        <w:t>3.</w:t>
      </w:r>
      <w:r w:rsidRPr="00EA1426">
        <w:tab/>
        <w:t xml:space="preserve">Proposed budget </w:t>
      </w:r>
      <w:r w:rsidRPr="00EA1426">
        <w:rPr>
          <w:snapToGrid w:val="0"/>
          <w:spacing w:val="-2"/>
          <w:szCs w:val="24"/>
        </w:rPr>
        <w:t>2014­2015</w:t>
      </w:r>
      <w:r w:rsidRPr="00EA1426">
        <w:t>:  The proposed budget is the result of adding the resource variation to the 2012-2013 budget and subsequent adjustments of items of expenditure according to UPOV’s priorities.</w:t>
      </w:r>
    </w:p>
    <w:p w:rsidR="00421639" w:rsidRPr="00EA1426" w:rsidRDefault="00421639" w:rsidP="00421639"/>
    <w:p w:rsidR="00421639" w:rsidRPr="00EA1426" w:rsidRDefault="00421639" w:rsidP="00421639">
      <w:pPr>
        <w:tabs>
          <w:tab w:val="left" w:pos="567"/>
        </w:tabs>
      </w:pPr>
      <w:r w:rsidRPr="00EA1426">
        <w:t>4.</w:t>
      </w:r>
      <w:r w:rsidRPr="00EA1426">
        <w:tab/>
        <w:t>A 10-year resource plan is presented in Table 9 of this document in order to provide an integrated financial overview, including budget estimates, resource availability and reserve movements.  This resource plan is seen to help assessing the financial sustainability</w:t>
      </w:r>
      <w:r>
        <w:t xml:space="preserve"> of</w:t>
      </w:r>
      <w:r w:rsidRPr="00EA1426">
        <w:t xml:space="preserve"> the </w:t>
      </w:r>
      <w:smartTag w:uri="urn:schemas-microsoft-com:office:smarttags" w:element="place">
        <w:r w:rsidRPr="00EA1426">
          <w:t>Union</w:t>
        </w:r>
      </w:smartTag>
      <w:r w:rsidRPr="00EA1426">
        <w:t xml:space="preserve"> over the medium term.</w:t>
      </w:r>
    </w:p>
    <w:p w:rsidR="00421639" w:rsidRPr="00EA1426" w:rsidRDefault="00421639" w:rsidP="00421639"/>
    <w:p w:rsidR="00421639" w:rsidRPr="00EA1426" w:rsidRDefault="00421639" w:rsidP="00421639"/>
    <w:p w:rsidR="00421639" w:rsidRPr="00EA1426" w:rsidRDefault="00421639" w:rsidP="00421639"/>
    <w:p w:rsidR="00421639" w:rsidRPr="00EA1426" w:rsidRDefault="00421639" w:rsidP="00421639">
      <w:pPr>
        <w:jc w:val="right"/>
        <w:rPr>
          <w:rFonts w:cs="Arial"/>
          <w:snapToGrid w:val="0"/>
          <w:color w:val="000000"/>
        </w:rPr>
      </w:pPr>
      <w:r w:rsidRPr="00EA1426">
        <w:rPr>
          <w:rFonts w:cs="Arial"/>
          <w:snapToGrid w:val="0"/>
          <w:color w:val="000000"/>
        </w:rPr>
        <w:t>[Appendix II follows]</w:t>
      </w:r>
    </w:p>
    <w:p w:rsidR="00421639" w:rsidRPr="00EA1426" w:rsidRDefault="00421639" w:rsidP="00421639"/>
    <w:p w:rsidR="00421639" w:rsidRPr="00EA1426" w:rsidRDefault="00421639" w:rsidP="00421639"/>
    <w:p w:rsidR="00421639" w:rsidRPr="00EA1426" w:rsidRDefault="00421639" w:rsidP="00421639"/>
    <w:p w:rsidR="00421639" w:rsidRPr="00EA1426" w:rsidRDefault="00421639" w:rsidP="00421639"/>
    <w:p w:rsidR="00421639" w:rsidRPr="0050046B" w:rsidRDefault="00421639" w:rsidP="00421639">
      <w:pPr>
        <w:sectPr w:rsidR="00421639" w:rsidRPr="0050046B" w:rsidSect="00DC35EC">
          <w:headerReference w:type="default" r:id="rId23"/>
          <w:headerReference w:type="first" r:id="rId24"/>
          <w:pgSz w:w="11907" w:h="16840" w:code="9"/>
          <w:pgMar w:top="510" w:right="1134" w:bottom="1134" w:left="1134" w:header="510" w:footer="680" w:gutter="0"/>
          <w:cols w:space="720"/>
          <w:titlePg/>
        </w:sectPr>
      </w:pPr>
    </w:p>
    <w:p w:rsidR="00421639" w:rsidRPr="00DD6106" w:rsidRDefault="00421639" w:rsidP="00421639">
      <w:pPr>
        <w:jc w:val="center"/>
      </w:pPr>
      <w:r w:rsidRPr="00EA1426">
        <w:t>APPENDIX II</w:t>
      </w:r>
    </w:p>
    <w:p w:rsidR="00421639" w:rsidRPr="00DD6106" w:rsidRDefault="00421639" w:rsidP="00421639">
      <w:pPr>
        <w:jc w:val="center"/>
      </w:pPr>
    </w:p>
    <w:p w:rsidR="00421639" w:rsidRPr="00DD6106" w:rsidRDefault="00421639" w:rsidP="00421639">
      <w:pPr>
        <w:jc w:val="center"/>
      </w:pPr>
    </w:p>
    <w:p w:rsidR="00421639" w:rsidRPr="00DD6106" w:rsidRDefault="00421639" w:rsidP="00421639">
      <w:pPr>
        <w:jc w:val="center"/>
      </w:pPr>
      <w:r w:rsidRPr="00DD6106">
        <w:t>CONTRIBUTIONS OF MEMBERS</w:t>
      </w:r>
    </w:p>
    <w:p w:rsidR="00421639" w:rsidRPr="00DD6106" w:rsidRDefault="00421639" w:rsidP="00421639">
      <w:pPr>
        <w:jc w:val="center"/>
      </w:pPr>
      <w:r w:rsidRPr="000C39BD">
        <w:t xml:space="preserve">AS OF </w:t>
      </w:r>
      <w:r w:rsidR="008853D2" w:rsidRPr="000C39BD">
        <w:t xml:space="preserve">JULY </w:t>
      </w:r>
      <w:r w:rsidRPr="000C39BD">
        <w:t>31, 2013</w:t>
      </w:r>
    </w:p>
    <w:p w:rsidR="00421639" w:rsidRPr="00DD6106" w:rsidRDefault="00421639" w:rsidP="00421639">
      <w:pPr>
        <w:jc w:val="center"/>
        <w:rPr>
          <w:caps/>
        </w:rPr>
      </w:pPr>
      <w:r w:rsidRPr="00DD6106">
        <w:t>(in Swiss Francs)</w:t>
      </w:r>
    </w:p>
    <w:p w:rsidR="00421639" w:rsidRPr="00DD6106" w:rsidRDefault="00421639" w:rsidP="00421639">
      <w:pPr>
        <w:jc w:val="center"/>
      </w:pPr>
    </w:p>
    <w:tbl>
      <w:tblPr>
        <w:tblW w:w="9680" w:type="dxa"/>
        <w:tblInd w:w="30" w:type="dxa"/>
        <w:tblLayout w:type="fixed"/>
        <w:tblCellMar>
          <w:left w:w="30" w:type="dxa"/>
          <w:right w:w="30" w:type="dxa"/>
        </w:tblCellMar>
        <w:tblLook w:val="0000" w:firstRow="0" w:lastRow="0" w:firstColumn="0" w:lastColumn="0" w:noHBand="0" w:noVBand="0"/>
      </w:tblPr>
      <w:tblGrid>
        <w:gridCol w:w="1218"/>
        <w:gridCol w:w="1134"/>
        <w:gridCol w:w="3177"/>
        <w:gridCol w:w="1032"/>
        <w:gridCol w:w="1560"/>
        <w:gridCol w:w="1559"/>
      </w:tblGrid>
      <w:tr w:rsidR="00421639" w:rsidRPr="003B0178" w:rsidTr="00DC35EC">
        <w:trPr>
          <w:cantSplit/>
          <w:trHeight w:val="340"/>
          <w:tblHeader/>
        </w:trPr>
        <w:tc>
          <w:tcPr>
            <w:tcW w:w="1218" w:type="dxa"/>
            <w:tcBorders>
              <w:top w:val="single" w:sz="8" w:space="0" w:color="auto"/>
              <w:bottom w:val="single" w:sz="8" w:space="0" w:color="auto"/>
            </w:tcBorders>
            <w:vAlign w:val="bottom"/>
          </w:tcPr>
          <w:p w:rsidR="00421639" w:rsidRPr="003B0178" w:rsidRDefault="00421639" w:rsidP="00DC35EC">
            <w:pPr>
              <w:spacing w:before="120" w:after="120"/>
              <w:jc w:val="center"/>
              <w:rPr>
                <w:rFonts w:cs="Arial"/>
              </w:rPr>
            </w:pPr>
            <w:r w:rsidRPr="003B0178">
              <w:rPr>
                <w:rFonts w:cs="Arial"/>
              </w:rPr>
              <w:t>2012</w:t>
            </w:r>
            <w:r w:rsidRPr="003B0178">
              <w:rPr>
                <w:rFonts w:cs="Arial"/>
              </w:rPr>
              <w:br/>
            </w:r>
            <w:r w:rsidRPr="003B0178">
              <w:rPr>
                <w:rFonts w:cs="Arial"/>
                <w:snapToGrid w:val="0"/>
              </w:rPr>
              <w:t>Actual</w:t>
            </w:r>
          </w:p>
        </w:tc>
        <w:tc>
          <w:tcPr>
            <w:tcW w:w="1134" w:type="dxa"/>
            <w:tcBorders>
              <w:top w:val="single" w:sz="8" w:space="0" w:color="auto"/>
              <w:bottom w:val="single" w:sz="8" w:space="0" w:color="auto"/>
            </w:tcBorders>
            <w:vAlign w:val="bottom"/>
          </w:tcPr>
          <w:p w:rsidR="00421639" w:rsidRPr="003B0178" w:rsidRDefault="00421639" w:rsidP="00DC35EC">
            <w:pPr>
              <w:spacing w:before="120" w:after="120"/>
              <w:jc w:val="center"/>
              <w:rPr>
                <w:rFonts w:cs="Arial"/>
              </w:rPr>
            </w:pPr>
            <w:r w:rsidRPr="003B0178">
              <w:rPr>
                <w:rFonts w:cs="Arial"/>
              </w:rPr>
              <w:t>2013</w:t>
            </w:r>
            <w:r w:rsidRPr="003B0178">
              <w:rPr>
                <w:rFonts w:cs="Arial"/>
              </w:rPr>
              <w:br/>
            </w:r>
            <w:r w:rsidRPr="003B0178">
              <w:rPr>
                <w:rFonts w:cs="Arial"/>
                <w:snapToGrid w:val="0"/>
              </w:rPr>
              <w:t>Actual</w:t>
            </w:r>
          </w:p>
        </w:tc>
        <w:tc>
          <w:tcPr>
            <w:tcW w:w="3177" w:type="dxa"/>
            <w:tcBorders>
              <w:top w:val="single" w:sz="8" w:space="0" w:color="auto"/>
              <w:bottom w:val="single" w:sz="8" w:space="0" w:color="auto"/>
            </w:tcBorders>
            <w:vAlign w:val="bottom"/>
          </w:tcPr>
          <w:p w:rsidR="00421639" w:rsidRPr="003B0178" w:rsidRDefault="00421639" w:rsidP="00DC35EC">
            <w:pPr>
              <w:spacing w:before="120" w:after="120"/>
              <w:jc w:val="center"/>
              <w:rPr>
                <w:rFonts w:cs="Arial"/>
                <w:snapToGrid w:val="0"/>
              </w:rPr>
            </w:pPr>
            <w:r w:rsidRPr="003B0178">
              <w:rPr>
                <w:rFonts w:cs="Arial"/>
                <w:snapToGrid w:val="0"/>
              </w:rPr>
              <w:t>Members</w:t>
            </w:r>
          </w:p>
        </w:tc>
        <w:tc>
          <w:tcPr>
            <w:tcW w:w="1032" w:type="dxa"/>
            <w:tcBorders>
              <w:top w:val="single" w:sz="8" w:space="0" w:color="auto"/>
              <w:bottom w:val="single" w:sz="8" w:space="0" w:color="auto"/>
            </w:tcBorders>
            <w:vAlign w:val="bottom"/>
          </w:tcPr>
          <w:p w:rsidR="00421639" w:rsidRPr="003B0178" w:rsidRDefault="00421639" w:rsidP="00DC35EC">
            <w:pPr>
              <w:spacing w:before="120" w:after="120"/>
              <w:jc w:val="center"/>
              <w:rPr>
                <w:rFonts w:cs="Arial"/>
                <w:snapToGrid w:val="0"/>
              </w:rPr>
            </w:pPr>
            <w:r w:rsidRPr="003B0178">
              <w:rPr>
                <w:rFonts w:cs="Arial"/>
                <w:snapToGrid w:val="0"/>
              </w:rPr>
              <w:t>Number</w:t>
            </w:r>
            <w:r w:rsidRPr="003B0178">
              <w:rPr>
                <w:rFonts w:cs="Arial"/>
                <w:snapToGrid w:val="0"/>
              </w:rPr>
              <w:br/>
            </w:r>
            <w:r w:rsidRPr="003B0178">
              <w:rPr>
                <w:rFonts w:cs="Arial"/>
              </w:rPr>
              <w:t>of Units</w:t>
            </w:r>
          </w:p>
        </w:tc>
        <w:tc>
          <w:tcPr>
            <w:tcW w:w="1560" w:type="dxa"/>
            <w:tcBorders>
              <w:top w:val="single" w:sz="8" w:space="0" w:color="auto"/>
              <w:bottom w:val="single" w:sz="8" w:space="0" w:color="auto"/>
            </w:tcBorders>
            <w:vAlign w:val="bottom"/>
          </w:tcPr>
          <w:p w:rsidR="00421639" w:rsidRPr="003B0178" w:rsidRDefault="00421639" w:rsidP="00DC35EC">
            <w:pPr>
              <w:spacing w:before="120" w:after="120"/>
              <w:jc w:val="center"/>
              <w:rPr>
                <w:rFonts w:cs="Arial"/>
              </w:rPr>
            </w:pPr>
            <w:r w:rsidRPr="003B0178">
              <w:rPr>
                <w:rFonts w:cs="Arial"/>
              </w:rPr>
              <w:t>Payable in</w:t>
            </w:r>
            <w:r w:rsidRPr="003B0178">
              <w:rPr>
                <w:rFonts w:cs="Arial"/>
              </w:rPr>
              <w:br/>
            </w:r>
            <w:r w:rsidRPr="003B0178">
              <w:rPr>
                <w:rFonts w:cs="Arial"/>
                <w:snapToGrid w:val="0"/>
              </w:rPr>
              <w:t>January 2014</w:t>
            </w:r>
          </w:p>
        </w:tc>
        <w:tc>
          <w:tcPr>
            <w:tcW w:w="1559" w:type="dxa"/>
            <w:tcBorders>
              <w:top w:val="single" w:sz="8" w:space="0" w:color="auto"/>
              <w:bottom w:val="single" w:sz="8" w:space="0" w:color="auto"/>
            </w:tcBorders>
            <w:vAlign w:val="bottom"/>
          </w:tcPr>
          <w:p w:rsidR="00421639" w:rsidRPr="003B0178" w:rsidRDefault="00421639" w:rsidP="00DC35EC">
            <w:pPr>
              <w:spacing w:before="120" w:after="120"/>
              <w:jc w:val="center"/>
              <w:rPr>
                <w:rFonts w:cs="Arial"/>
              </w:rPr>
            </w:pPr>
            <w:r w:rsidRPr="003B0178">
              <w:rPr>
                <w:rFonts w:cs="Arial"/>
              </w:rPr>
              <w:t>Payable in</w:t>
            </w:r>
            <w:r w:rsidRPr="003B0178">
              <w:rPr>
                <w:rFonts w:cs="Arial"/>
              </w:rPr>
              <w:br/>
            </w:r>
            <w:r w:rsidRPr="003B0178">
              <w:rPr>
                <w:rFonts w:cs="Arial"/>
                <w:snapToGrid w:val="0"/>
              </w:rPr>
              <w:t>January 2015</w:t>
            </w:r>
          </w:p>
        </w:tc>
      </w:tr>
      <w:tr w:rsidR="00421639" w:rsidRPr="003B0178" w:rsidTr="00DC35EC">
        <w:tblPrEx>
          <w:tblCellMar>
            <w:left w:w="85" w:type="dxa"/>
            <w:right w:w="85" w:type="dxa"/>
          </w:tblCellMar>
        </w:tblPrEx>
        <w:trPr>
          <w:cantSplit/>
          <w:tblHeader/>
        </w:trPr>
        <w:tc>
          <w:tcPr>
            <w:tcW w:w="1218" w:type="dxa"/>
            <w:tcBorders>
              <w:top w:val="single" w:sz="8" w:space="0" w:color="auto"/>
            </w:tcBorders>
          </w:tcPr>
          <w:p w:rsidR="00421639" w:rsidRPr="003B0178" w:rsidRDefault="00421639" w:rsidP="00DC35EC">
            <w:pPr>
              <w:jc w:val="right"/>
              <w:rPr>
                <w:rFonts w:cs="Arial"/>
                <w:snapToGrid w:val="0"/>
                <w:color w:val="000000"/>
              </w:rPr>
            </w:pPr>
          </w:p>
        </w:tc>
        <w:tc>
          <w:tcPr>
            <w:tcW w:w="1134" w:type="dxa"/>
            <w:tcBorders>
              <w:top w:val="single" w:sz="8" w:space="0" w:color="auto"/>
            </w:tcBorders>
          </w:tcPr>
          <w:p w:rsidR="00421639" w:rsidRPr="003B0178" w:rsidRDefault="00421639" w:rsidP="00DC35EC">
            <w:pPr>
              <w:jc w:val="right"/>
              <w:rPr>
                <w:rFonts w:cs="Arial"/>
                <w:snapToGrid w:val="0"/>
                <w:color w:val="000000"/>
              </w:rPr>
            </w:pPr>
          </w:p>
        </w:tc>
        <w:tc>
          <w:tcPr>
            <w:tcW w:w="3177" w:type="dxa"/>
            <w:tcBorders>
              <w:top w:val="single" w:sz="8" w:space="0" w:color="auto"/>
            </w:tcBorders>
          </w:tcPr>
          <w:p w:rsidR="00421639" w:rsidRPr="003B0178" w:rsidRDefault="00421639" w:rsidP="00DC35EC">
            <w:pPr>
              <w:ind w:left="138"/>
              <w:rPr>
                <w:rFonts w:cs="Arial"/>
                <w:snapToGrid w:val="0"/>
                <w:color w:val="000000"/>
              </w:rPr>
            </w:pPr>
          </w:p>
        </w:tc>
        <w:tc>
          <w:tcPr>
            <w:tcW w:w="1032" w:type="dxa"/>
            <w:tcBorders>
              <w:top w:val="single" w:sz="8" w:space="0" w:color="auto"/>
            </w:tcBorders>
          </w:tcPr>
          <w:p w:rsidR="00421639" w:rsidRPr="003B0178" w:rsidRDefault="00421639" w:rsidP="00DC35EC">
            <w:pPr>
              <w:tabs>
                <w:tab w:val="decimal" w:pos="482"/>
              </w:tabs>
              <w:jc w:val="left"/>
              <w:rPr>
                <w:rFonts w:cs="Arial"/>
                <w:snapToGrid w:val="0"/>
                <w:color w:val="000000"/>
              </w:rPr>
            </w:pPr>
          </w:p>
        </w:tc>
        <w:tc>
          <w:tcPr>
            <w:tcW w:w="1560" w:type="dxa"/>
            <w:tcBorders>
              <w:top w:val="single" w:sz="8" w:space="0" w:color="auto"/>
            </w:tcBorders>
          </w:tcPr>
          <w:p w:rsidR="00421639" w:rsidRPr="003B0178" w:rsidRDefault="00421639" w:rsidP="00DC35EC">
            <w:pPr>
              <w:jc w:val="right"/>
              <w:rPr>
                <w:rFonts w:cs="Arial"/>
                <w:snapToGrid w:val="0"/>
                <w:color w:val="000000"/>
              </w:rPr>
            </w:pPr>
          </w:p>
        </w:tc>
        <w:tc>
          <w:tcPr>
            <w:tcW w:w="1559" w:type="dxa"/>
            <w:tcBorders>
              <w:top w:val="single" w:sz="8" w:space="0" w:color="auto"/>
            </w:tcBorders>
          </w:tcPr>
          <w:p w:rsidR="00421639" w:rsidRPr="003B0178" w:rsidRDefault="00421639" w:rsidP="00DC35EC">
            <w:pPr>
              <w:jc w:val="right"/>
              <w:rPr>
                <w:rFonts w:cs="Arial"/>
                <w:snapToGrid w:val="0"/>
                <w:color w:val="000000"/>
              </w:rPr>
            </w:pP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bookmarkStart w:id="18" w:name="_Hlk173836680"/>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Albania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bookmarkEnd w:id="18"/>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Argentina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Australia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rPr>
              <w:t>1.00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40,231</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40,231</w:t>
            </w:r>
          </w:p>
        </w:tc>
        <w:tc>
          <w:tcPr>
            <w:tcW w:w="3177" w:type="dxa"/>
          </w:tcPr>
          <w:p w:rsidR="00421639" w:rsidRPr="003B0178" w:rsidRDefault="00421639" w:rsidP="00DC35EC">
            <w:pPr>
              <w:ind w:left="57"/>
              <w:jc w:val="left"/>
              <w:rPr>
                <w:rFonts w:cs="Arial"/>
                <w:snapToGrid w:val="0"/>
                <w:color w:val="000000"/>
                <w:vertAlign w:val="superscript"/>
              </w:rPr>
            </w:pPr>
            <w:smartTag w:uri="urn:schemas-microsoft-com:office:smarttags" w:element="place">
              <w:smartTag w:uri="urn:schemas-microsoft-com:office:smarttags" w:element="country-region">
                <w:r w:rsidRPr="003B0178">
                  <w:rPr>
                    <w:rFonts w:cs="Arial"/>
                    <w:snapToGrid w:val="0"/>
                    <w:color w:val="000000"/>
                  </w:rPr>
                  <w:t>Austria</w:t>
                </w:r>
              </w:smartTag>
            </w:smartTag>
            <w:r w:rsidRPr="003B0178">
              <w:rPr>
                <w:rFonts w:cs="Arial"/>
                <w:snapToGrid w:val="0"/>
                <w:color w:val="000000"/>
                <w:vertAlign w:val="superscript"/>
              </w:rPr>
              <w:t xml:space="preserve"> </w:t>
            </w:r>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0.75</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40,231</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40,231</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Azerbaijan</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vertAlign w:val="superscript"/>
              </w:rPr>
            </w:pPr>
            <w:smartTag w:uri="urn:schemas-microsoft-com:office:smarttags" w:element="place">
              <w:smartTag w:uri="urn:schemas-microsoft-com:office:smarttags" w:element="country-region">
                <w:r w:rsidRPr="003B0178">
                  <w:rPr>
                    <w:rFonts w:cs="Arial"/>
                    <w:snapToGrid w:val="0"/>
                    <w:color w:val="000000"/>
                  </w:rPr>
                  <w:t>Belarus</w:t>
                </w:r>
              </w:smartTag>
            </w:smartTag>
          </w:p>
        </w:tc>
        <w:tc>
          <w:tcPr>
            <w:tcW w:w="1032" w:type="dxa"/>
          </w:tcPr>
          <w:p w:rsidR="00421639" w:rsidRPr="003B0178" w:rsidRDefault="00421639" w:rsidP="00DC35EC">
            <w:pPr>
              <w:tabs>
                <w:tab w:val="decimal" w:pos="482"/>
              </w:tabs>
              <w:jc w:val="left"/>
              <w:rPr>
                <w:rFonts w:cs="Arial"/>
                <w:snapToGrid w:val="0"/>
                <w:color w:val="000000"/>
                <w:vertAlign w:val="superscript"/>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80,462</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80,462</w:t>
            </w:r>
          </w:p>
        </w:tc>
        <w:tc>
          <w:tcPr>
            <w:tcW w:w="3177" w:type="dxa"/>
          </w:tcPr>
          <w:p w:rsidR="00421639" w:rsidRPr="003B0178" w:rsidRDefault="00421639" w:rsidP="00DC35EC">
            <w:pPr>
              <w:ind w:left="57"/>
              <w:jc w:val="left"/>
              <w:rPr>
                <w:rFonts w:cs="Arial"/>
                <w:snapToGrid w:val="0"/>
                <w:color w:val="000000"/>
                <w:vertAlign w:val="superscript"/>
              </w:rPr>
            </w:pPr>
            <w:smartTag w:uri="urn:schemas-microsoft-com:office:smarttags" w:element="place">
              <w:smartTag w:uri="urn:schemas-microsoft-com:office:smarttags" w:element="country-region">
                <w:r w:rsidRPr="003B0178">
                  <w:rPr>
                    <w:rFonts w:cs="Arial"/>
                    <w:snapToGrid w:val="0"/>
                    <w:color w:val="000000"/>
                  </w:rPr>
                  <w:t>Belgium</w:t>
                </w:r>
              </w:smartTag>
            </w:smartTag>
            <w:r w:rsidRPr="003B0178">
              <w:rPr>
                <w:rFonts w:cs="Arial"/>
                <w:snapToGrid w:val="0"/>
                <w:color w:val="000000"/>
                <w:vertAlign w:val="superscript"/>
              </w:rPr>
              <w:t xml:space="preserve"> </w:t>
            </w:r>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1.50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80,462</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80,462</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country-region">
              <w:r w:rsidRPr="003B0178">
                <w:rPr>
                  <w:rFonts w:cs="Arial"/>
                  <w:snapToGrid w:val="0"/>
                  <w:color w:val="000000"/>
                </w:rPr>
                <w:t>Bolivia</w:t>
              </w:r>
            </w:smartTag>
            <w:r w:rsidRPr="003B0178">
              <w:rPr>
                <w:rFonts w:cs="Arial"/>
                <w:snapToGrid w:val="0"/>
                <w:color w:val="000000"/>
              </w:rPr>
              <w:t xml:space="preserve"> (</w:t>
            </w:r>
            <w:proofErr w:type="spellStart"/>
            <w:smartTag w:uri="urn:schemas-microsoft-com:office:smarttags" w:element="place">
              <w:smartTag w:uri="urn:schemas-microsoft-com:office:smarttags" w:element="PlaceName">
                <w:r w:rsidRPr="003B0178">
                  <w:rPr>
                    <w:rFonts w:cs="Arial"/>
                    <w:snapToGrid w:val="0"/>
                    <w:color w:val="000000"/>
                  </w:rPr>
                  <w:t>Plurinational</w:t>
                </w:r>
              </w:smartTag>
              <w:proofErr w:type="spellEnd"/>
              <w:r w:rsidRPr="003B0178">
                <w:rPr>
                  <w:rFonts w:cs="Arial"/>
                  <w:snapToGrid w:val="0"/>
                  <w:color w:val="000000"/>
                </w:rPr>
                <w:t xml:space="preserve"> </w:t>
              </w:r>
              <w:smartTag w:uri="urn:schemas-microsoft-com:office:smarttags" w:element="PlaceType">
                <w:r w:rsidRPr="003B0178">
                  <w:rPr>
                    <w:rFonts w:cs="Arial"/>
                    <w:snapToGrid w:val="0"/>
                    <w:color w:val="000000"/>
                  </w:rPr>
                  <w:t>State</w:t>
                </w:r>
              </w:smartTag>
            </w:smartTag>
            <w:r w:rsidRPr="003B0178">
              <w:rPr>
                <w:rFonts w:cs="Arial"/>
                <w:snapToGrid w:val="0"/>
                <w:color w:val="000000"/>
              </w:rPr>
              <w:t xml:space="preserve"> of)</w:t>
            </w:r>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13,410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13,410</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Brazil</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0.25</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13,410</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13,410</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Bulgaria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Canada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rPr>
              <w:t>1.00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Chile</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China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Colombia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Costa Rica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Croatia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PlaceName">
                <w:r w:rsidRPr="003B0178">
                  <w:rPr>
                    <w:rFonts w:cs="Arial"/>
                    <w:snapToGrid w:val="0"/>
                    <w:color w:val="000000"/>
                  </w:rPr>
                  <w:t>Czech</w:t>
                </w:r>
              </w:smartTag>
              <w:r w:rsidRPr="003B0178">
                <w:rPr>
                  <w:rFonts w:cs="Arial"/>
                  <w:snapToGrid w:val="0"/>
                  <w:color w:val="000000"/>
                </w:rPr>
                <w:t xml:space="preserve"> </w:t>
              </w:r>
              <w:smartTag w:uri="urn:schemas-microsoft-com:office:smarttags" w:element="PlaceType">
                <w:r w:rsidRPr="003B0178">
                  <w:rPr>
                    <w:rFonts w:cs="Arial"/>
                    <w:snapToGrid w:val="0"/>
                    <w:color w:val="000000"/>
                  </w:rPr>
                  <w:t>Republic</w:t>
                </w:r>
              </w:smartTag>
            </w:smartTag>
            <w:r w:rsidRPr="003B0178">
              <w:rPr>
                <w:rFonts w:cs="Arial"/>
                <w:snapToGrid w:val="0"/>
                <w:color w:val="000000"/>
              </w:rPr>
              <w:t xml:space="preserve"> </w:t>
            </w:r>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Denmark</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Dominican Republic</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Ecuador</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Estonia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268,205</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268,205</w:t>
            </w:r>
          </w:p>
        </w:tc>
        <w:tc>
          <w:tcPr>
            <w:tcW w:w="3177" w:type="dxa"/>
          </w:tcPr>
          <w:p w:rsidR="00421639" w:rsidRPr="003B0178" w:rsidRDefault="00421639" w:rsidP="00DC35EC">
            <w:pPr>
              <w:ind w:left="57"/>
              <w:jc w:val="left"/>
              <w:rPr>
                <w:rFonts w:cs="Arial"/>
                <w:snapToGrid w:val="0"/>
                <w:color w:val="000000"/>
              </w:rPr>
            </w:pPr>
            <w:r w:rsidRPr="003B0178">
              <w:rPr>
                <w:rFonts w:cs="Arial"/>
                <w:snapToGrid w:val="0"/>
                <w:color w:val="000000"/>
              </w:rPr>
              <w:t>European Union</w:t>
            </w:r>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rPr>
              <w:t>5.00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268,205</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268,205</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Finland</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rPr>
              <w:t>1.00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268,205</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268,205</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France</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rPr>
              <w:t>5.00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268,205</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268,205</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ind w:left="57"/>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Georgia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268,205</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268,205</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Germany</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rPr>
              <w:t>5.00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268,205</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268,205</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Hungary</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Iceland</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Ireland</w:t>
                </w:r>
              </w:smartTag>
            </w:smartTag>
          </w:p>
        </w:tc>
        <w:tc>
          <w:tcPr>
            <w:tcW w:w="1032" w:type="dxa"/>
          </w:tcPr>
          <w:p w:rsidR="00421639" w:rsidRPr="003B0178" w:rsidRDefault="00421639" w:rsidP="00DC35EC">
            <w:pPr>
              <w:tabs>
                <w:tab w:val="decimal" w:pos="482"/>
              </w:tabs>
              <w:jc w:val="left"/>
              <w:rPr>
                <w:rFonts w:cs="Arial"/>
                <w:snapToGrid w:val="0"/>
                <w:color w:val="000000"/>
                <w:vertAlign w:val="superscript"/>
              </w:rPr>
            </w:pPr>
            <w:r w:rsidRPr="003B0178">
              <w:rPr>
                <w:rFonts w:cs="Arial"/>
              </w:rPr>
              <w:t>1.00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Israel</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107,282</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107,282</w:t>
            </w:r>
          </w:p>
        </w:tc>
        <w:tc>
          <w:tcPr>
            <w:tcW w:w="3177" w:type="dxa"/>
          </w:tcPr>
          <w:p w:rsidR="00421639" w:rsidRPr="003B0178" w:rsidRDefault="00421639" w:rsidP="00DC35EC">
            <w:pPr>
              <w:ind w:left="57"/>
              <w:jc w:val="left"/>
              <w:rPr>
                <w:rFonts w:cs="Arial"/>
                <w:snapToGrid w:val="0"/>
                <w:color w:val="000000"/>
                <w:vertAlign w:val="superscript"/>
              </w:rPr>
            </w:pPr>
            <w:smartTag w:uri="urn:schemas-microsoft-com:office:smarttags" w:element="place">
              <w:smartTag w:uri="urn:schemas-microsoft-com:office:smarttags" w:element="country-region">
                <w:r w:rsidRPr="003B0178">
                  <w:rPr>
                    <w:rFonts w:cs="Arial"/>
                    <w:snapToGrid w:val="0"/>
                    <w:color w:val="000000"/>
                  </w:rPr>
                  <w:t>Italy</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2.00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107,282</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107,282</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268,205</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268,205</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Japan</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rPr>
              <w:t>5.00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268,205</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268,205</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Jordan</w:t>
                </w:r>
              </w:smartTag>
            </w:smartTag>
          </w:p>
        </w:tc>
        <w:tc>
          <w:tcPr>
            <w:tcW w:w="1032" w:type="dxa"/>
          </w:tcPr>
          <w:p w:rsidR="00421639" w:rsidRPr="003B0178" w:rsidRDefault="00421639" w:rsidP="00DC35EC">
            <w:pPr>
              <w:tabs>
                <w:tab w:val="decimal" w:pos="482"/>
              </w:tabs>
              <w:jc w:val="left"/>
              <w:rPr>
                <w:rFonts w:cs="Arial"/>
              </w:rPr>
            </w:pPr>
            <w:r w:rsidRPr="003B0178">
              <w:rPr>
                <w:rFonts w:cs="Arial"/>
                <w:snapToGrid w:val="0"/>
                <w:color w:val="000000"/>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Kenya</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Kyrgyzstan</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Latvia</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Lithuania</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40,231</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40,231</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Mexico</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0.75</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40,231</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40,231</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Morocco</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160,923</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160,923</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Netherlands</w:t>
                </w:r>
              </w:smartTag>
            </w:smartTag>
            <w:r w:rsidRPr="003B0178">
              <w:rPr>
                <w:rFonts w:cs="Arial"/>
                <w:snapToGrid w:val="0"/>
                <w:color w:val="000000"/>
              </w:rPr>
              <w:t xml:space="preserve"> </w:t>
            </w:r>
          </w:p>
        </w:tc>
        <w:tc>
          <w:tcPr>
            <w:tcW w:w="1032" w:type="dxa"/>
          </w:tcPr>
          <w:p w:rsidR="00421639" w:rsidRPr="003B0178" w:rsidRDefault="00421639" w:rsidP="00DC35EC">
            <w:pPr>
              <w:tabs>
                <w:tab w:val="decimal" w:pos="482"/>
              </w:tabs>
              <w:jc w:val="left"/>
              <w:rPr>
                <w:rFonts w:cs="Arial"/>
              </w:rPr>
            </w:pPr>
            <w:r w:rsidRPr="003B0178">
              <w:rPr>
                <w:rFonts w:cs="Arial"/>
              </w:rPr>
              <w:t>3.00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160,923</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160,923</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New Zealand</w:t>
                </w:r>
              </w:smartTag>
            </w:smartTag>
          </w:p>
        </w:tc>
        <w:tc>
          <w:tcPr>
            <w:tcW w:w="1032" w:type="dxa"/>
          </w:tcPr>
          <w:p w:rsidR="00421639" w:rsidRPr="003B0178" w:rsidRDefault="00421639" w:rsidP="00DC35EC">
            <w:pPr>
              <w:tabs>
                <w:tab w:val="decimal" w:pos="482"/>
              </w:tabs>
              <w:jc w:val="left"/>
              <w:rPr>
                <w:rFonts w:cs="Arial"/>
              </w:rPr>
            </w:pPr>
            <w:r w:rsidRPr="003B0178">
              <w:rPr>
                <w:rFonts w:cs="Arial"/>
              </w:rPr>
              <w:t>1.00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Nicaragua</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Norway</w:t>
                </w:r>
              </w:smartTag>
            </w:smartTag>
          </w:p>
        </w:tc>
        <w:tc>
          <w:tcPr>
            <w:tcW w:w="1032" w:type="dxa"/>
          </w:tcPr>
          <w:p w:rsidR="00421639" w:rsidRPr="003B0178" w:rsidRDefault="00421639" w:rsidP="00DC35EC">
            <w:pPr>
              <w:tabs>
                <w:tab w:val="decimal" w:pos="482"/>
              </w:tabs>
              <w:jc w:val="left"/>
              <w:rPr>
                <w:rFonts w:cs="Arial"/>
              </w:rPr>
            </w:pPr>
            <w:r w:rsidRPr="003B0178">
              <w:rPr>
                <w:rFonts w:cs="Arial"/>
              </w:rPr>
              <w:t>1.00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Oman</w:t>
                </w:r>
              </w:smartTag>
            </w:smartTag>
          </w:p>
        </w:tc>
        <w:tc>
          <w:tcPr>
            <w:tcW w:w="1032" w:type="dxa"/>
          </w:tcPr>
          <w:p w:rsidR="00421639" w:rsidRPr="003B0178" w:rsidRDefault="00421639" w:rsidP="00DC35EC">
            <w:pPr>
              <w:tabs>
                <w:tab w:val="decimal" w:pos="482"/>
              </w:tabs>
              <w:jc w:val="left"/>
              <w:rPr>
                <w:rFonts w:cs="Arial"/>
              </w:rPr>
            </w:pPr>
            <w:r w:rsidRPr="003B0178">
              <w:rPr>
                <w:rFonts w:cs="Arial"/>
              </w:rPr>
              <w:t>1.00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Panama</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Paraguay</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Peru</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3177" w:type="dxa"/>
          </w:tcPr>
          <w:p w:rsidR="00421639" w:rsidRPr="003B0178" w:rsidRDefault="00421639" w:rsidP="00DC35EC">
            <w:pPr>
              <w:ind w:left="57"/>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Poland</w:t>
                </w:r>
              </w:smartTag>
            </w:smartTag>
          </w:p>
        </w:tc>
        <w:tc>
          <w:tcPr>
            <w:tcW w:w="1032" w:type="dxa"/>
          </w:tcPr>
          <w:p w:rsidR="00421639" w:rsidRPr="003B0178" w:rsidRDefault="00421639" w:rsidP="00DC35EC">
            <w:pPr>
              <w:tabs>
                <w:tab w:val="decimal" w:pos="482"/>
              </w:tabs>
              <w:jc w:val="left"/>
              <w:rPr>
                <w:rFonts w:cs="Arial"/>
              </w:rPr>
            </w:pPr>
            <w:r w:rsidRPr="003B0178">
              <w:rPr>
                <w:rFonts w:cs="Arial"/>
              </w:rPr>
              <w:t>0.50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Portugal</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80,462</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80,462</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PlaceType">
                <w:r w:rsidRPr="003B0178">
                  <w:rPr>
                    <w:rFonts w:cs="Arial"/>
                    <w:snapToGrid w:val="0"/>
                    <w:color w:val="000000"/>
                  </w:rPr>
                  <w:t>Republic</w:t>
                </w:r>
              </w:smartTag>
              <w:r w:rsidRPr="003B0178">
                <w:rPr>
                  <w:rFonts w:cs="Arial"/>
                  <w:snapToGrid w:val="0"/>
                  <w:color w:val="000000"/>
                </w:rPr>
                <w:t xml:space="preserve"> of </w:t>
              </w:r>
              <w:smartTag w:uri="urn:schemas-microsoft-com:office:smarttags" w:element="PlaceName">
                <w:r w:rsidRPr="003B0178">
                  <w:rPr>
                    <w:rFonts w:cs="Arial"/>
                    <w:snapToGrid w:val="0"/>
                    <w:color w:val="000000"/>
                  </w:rPr>
                  <w:t>Korea</w:t>
                </w:r>
              </w:smartTag>
            </w:smartTag>
          </w:p>
        </w:tc>
        <w:tc>
          <w:tcPr>
            <w:tcW w:w="1032" w:type="dxa"/>
          </w:tcPr>
          <w:p w:rsidR="00421639" w:rsidRPr="003B0178" w:rsidRDefault="00421639" w:rsidP="00DC35EC">
            <w:pPr>
              <w:tabs>
                <w:tab w:val="decimal" w:pos="482"/>
              </w:tabs>
              <w:jc w:val="left"/>
              <w:rPr>
                <w:rFonts w:cs="Arial"/>
                <w:snapToGrid w:val="0"/>
                <w:color w:val="000000"/>
              </w:rPr>
            </w:pPr>
            <w:r w:rsidRPr="003B0178">
              <w:rPr>
                <w:rFonts w:cs="Arial"/>
                <w:snapToGrid w:val="0"/>
                <w:color w:val="000000"/>
              </w:rPr>
              <w:t>1.50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80,462</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80,462</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right="-142"/>
              <w:jc w:val="left"/>
              <w:rPr>
                <w:rFonts w:cs="Arial"/>
                <w:snapToGrid w:val="0"/>
                <w:color w:val="000000"/>
              </w:rPr>
            </w:pPr>
            <w:smartTag w:uri="urn:schemas-microsoft-com:office:smarttags" w:element="place">
              <w:smartTag w:uri="urn:schemas-microsoft-com:office:smarttags" w:element="PlaceType">
                <w:r w:rsidRPr="003B0178">
                  <w:rPr>
                    <w:rFonts w:cs="Arial"/>
                    <w:snapToGrid w:val="0"/>
                    <w:color w:val="000000"/>
                  </w:rPr>
                  <w:t>Republic</w:t>
                </w:r>
              </w:smartTag>
              <w:r w:rsidRPr="003B0178">
                <w:rPr>
                  <w:rFonts w:cs="Arial"/>
                  <w:snapToGrid w:val="0"/>
                  <w:color w:val="000000"/>
                </w:rPr>
                <w:t xml:space="preserve"> of </w:t>
              </w:r>
              <w:smartTag w:uri="urn:schemas-microsoft-com:office:smarttags" w:element="PlaceName">
                <w:r w:rsidRPr="003B0178">
                  <w:rPr>
                    <w:rFonts w:cs="Arial"/>
                    <w:snapToGrid w:val="0"/>
                    <w:color w:val="000000"/>
                  </w:rPr>
                  <w:t>Moldova</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Romania</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Russian Federation</w:t>
                </w:r>
              </w:smartTag>
            </w:smartTag>
            <w:r w:rsidRPr="003B0178">
              <w:rPr>
                <w:rFonts w:cs="Arial"/>
                <w:snapToGrid w:val="0"/>
                <w:color w:val="000000"/>
              </w:rPr>
              <w:t xml:space="preserve"> </w:t>
            </w:r>
          </w:p>
        </w:tc>
        <w:tc>
          <w:tcPr>
            <w:tcW w:w="1032" w:type="dxa"/>
          </w:tcPr>
          <w:p w:rsidR="00421639" w:rsidRPr="003B0178" w:rsidRDefault="00421639" w:rsidP="00DC35EC">
            <w:pPr>
              <w:tabs>
                <w:tab w:val="decimal" w:pos="482"/>
              </w:tabs>
              <w:jc w:val="left"/>
              <w:rPr>
                <w:rFonts w:cs="Arial"/>
              </w:rPr>
            </w:pPr>
            <w:r w:rsidRPr="003B0178">
              <w:rPr>
                <w:rFonts w:cs="Arial"/>
              </w:rPr>
              <w:t>0.50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0</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Serbia</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Singapore</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Slovakia</w:t>
                </w:r>
              </w:smartTag>
            </w:smartTag>
          </w:p>
        </w:tc>
        <w:tc>
          <w:tcPr>
            <w:tcW w:w="1032" w:type="dxa"/>
          </w:tcPr>
          <w:p w:rsidR="00421639" w:rsidRPr="003B0178" w:rsidRDefault="00421639" w:rsidP="00DC35EC">
            <w:pPr>
              <w:tabs>
                <w:tab w:val="decimal" w:pos="482"/>
              </w:tabs>
              <w:jc w:val="left"/>
              <w:rPr>
                <w:rFonts w:cs="Arial"/>
              </w:rPr>
            </w:pPr>
            <w:r w:rsidRPr="003B0178">
              <w:rPr>
                <w:rFonts w:cs="Arial"/>
              </w:rPr>
              <w:t>0.50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Slovenia</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53,641</w:t>
            </w:r>
          </w:p>
        </w:tc>
        <w:tc>
          <w:tcPr>
            <w:tcW w:w="3177" w:type="dxa"/>
          </w:tcPr>
          <w:p w:rsidR="00421639" w:rsidRPr="003B0178" w:rsidRDefault="00421639" w:rsidP="00DC35EC">
            <w:pPr>
              <w:tabs>
                <w:tab w:val="left" w:pos="212"/>
              </w:tabs>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South Africa</w:t>
                </w:r>
              </w:smartTag>
            </w:smartTag>
          </w:p>
        </w:tc>
        <w:tc>
          <w:tcPr>
            <w:tcW w:w="1032" w:type="dxa"/>
          </w:tcPr>
          <w:p w:rsidR="00421639" w:rsidRPr="003B0178" w:rsidRDefault="00421639" w:rsidP="00DC35EC">
            <w:pPr>
              <w:tabs>
                <w:tab w:val="decimal" w:pos="482"/>
              </w:tabs>
              <w:jc w:val="left"/>
              <w:rPr>
                <w:rFonts w:cs="Arial"/>
              </w:rPr>
            </w:pPr>
            <w:r w:rsidRPr="003B0178">
              <w:rPr>
                <w:rFonts w:cs="Arial"/>
              </w:rPr>
              <w:t>1.00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53,641</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107,282</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107,282</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Spain</w:t>
                </w:r>
              </w:smartTag>
            </w:smartTag>
          </w:p>
        </w:tc>
        <w:tc>
          <w:tcPr>
            <w:tcW w:w="1032" w:type="dxa"/>
          </w:tcPr>
          <w:p w:rsidR="00421639" w:rsidRPr="003B0178" w:rsidRDefault="00421639" w:rsidP="00DC35EC">
            <w:pPr>
              <w:tabs>
                <w:tab w:val="decimal" w:pos="482"/>
              </w:tabs>
              <w:jc w:val="left"/>
              <w:rPr>
                <w:rFonts w:cs="Arial"/>
              </w:rPr>
            </w:pPr>
            <w:r w:rsidRPr="003B0178">
              <w:rPr>
                <w:rFonts w:cs="Arial"/>
              </w:rPr>
              <w:t>2.00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107,282</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107,282</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80,462</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80,462</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Sweden</w:t>
                </w:r>
              </w:smartTag>
            </w:smartTag>
          </w:p>
        </w:tc>
        <w:tc>
          <w:tcPr>
            <w:tcW w:w="1032" w:type="dxa"/>
          </w:tcPr>
          <w:p w:rsidR="00421639" w:rsidRPr="003B0178" w:rsidRDefault="00421639" w:rsidP="00DC35EC">
            <w:pPr>
              <w:tabs>
                <w:tab w:val="decimal" w:pos="482"/>
              </w:tabs>
              <w:jc w:val="left"/>
              <w:rPr>
                <w:rFonts w:cs="Arial"/>
              </w:rPr>
            </w:pPr>
            <w:r w:rsidRPr="003B0178">
              <w:rPr>
                <w:rFonts w:cs="Arial"/>
              </w:rPr>
              <w:t>1.50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80,462</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80,462</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80,462</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80,462</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Switzerland</w:t>
                </w:r>
              </w:smartTag>
            </w:smartTag>
          </w:p>
        </w:tc>
        <w:tc>
          <w:tcPr>
            <w:tcW w:w="1032" w:type="dxa"/>
          </w:tcPr>
          <w:p w:rsidR="00421639" w:rsidRPr="003B0178" w:rsidRDefault="00421639" w:rsidP="00DC35EC">
            <w:pPr>
              <w:tabs>
                <w:tab w:val="decimal" w:pos="482"/>
              </w:tabs>
              <w:jc w:val="left"/>
              <w:rPr>
                <w:rFonts w:cs="Arial"/>
              </w:rPr>
            </w:pPr>
            <w:r w:rsidRPr="003B0178">
              <w:rPr>
                <w:rFonts w:cs="Arial"/>
              </w:rPr>
              <w:t>1.50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80,462</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80,462</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spacing w:after="40"/>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spacing w:after="40"/>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spacing w:after="40"/>
              <w:ind w:left="57" w:right="-142"/>
              <w:jc w:val="left"/>
              <w:rPr>
                <w:rFonts w:cs="Arial"/>
                <w:snapToGrid w:val="0"/>
                <w:color w:val="000000"/>
              </w:rPr>
            </w:pPr>
            <w:r w:rsidRPr="003B0178">
              <w:rPr>
                <w:rFonts w:cs="Arial"/>
                <w:snapToGrid w:val="0"/>
                <w:color w:val="000000"/>
              </w:rPr>
              <w:t xml:space="preserve">The </w:t>
            </w:r>
            <w:smartTag w:uri="urn:schemas-microsoft-com:office:smarttags" w:element="place">
              <w:smartTag w:uri="urn:schemas-microsoft-com:office:smarttags" w:element="country-region">
                <w:r w:rsidRPr="003B0178">
                  <w:rPr>
                    <w:rFonts w:cs="Arial"/>
                    <w:snapToGrid w:val="0"/>
                    <w:color w:val="000000"/>
                  </w:rPr>
                  <w:t>former Yugoslav Republic of Macedonia</w:t>
                </w:r>
              </w:smartTag>
            </w:smartTag>
          </w:p>
        </w:tc>
        <w:tc>
          <w:tcPr>
            <w:tcW w:w="1032" w:type="dxa"/>
          </w:tcPr>
          <w:p w:rsidR="00421639" w:rsidRPr="003B0178" w:rsidRDefault="00421639" w:rsidP="00DC35EC">
            <w:pPr>
              <w:tabs>
                <w:tab w:val="decimal" w:pos="482"/>
              </w:tabs>
              <w:spacing w:after="40"/>
              <w:jc w:val="left"/>
              <w:rPr>
                <w:rFonts w:cs="Arial"/>
              </w:rPr>
            </w:pPr>
            <w:r w:rsidRPr="003B0178">
              <w:rPr>
                <w:rFonts w:cs="Arial"/>
              </w:rPr>
              <w:t>0.20</w:t>
            </w:r>
          </w:p>
        </w:tc>
        <w:tc>
          <w:tcPr>
            <w:tcW w:w="1560" w:type="dxa"/>
          </w:tcPr>
          <w:p w:rsidR="00421639" w:rsidRPr="003B0178" w:rsidRDefault="00421639" w:rsidP="00DC35EC">
            <w:pPr>
              <w:spacing w:after="40"/>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spacing w:after="40"/>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Trinidad and Tobago</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Tunisia</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Turkey</w:t>
                </w:r>
              </w:smartTag>
            </w:smartTag>
          </w:p>
        </w:tc>
        <w:tc>
          <w:tcPr>
            <w:tcW w:w="1032" w:type="dxa"/>
          </w:tcPr>
          <w:p w:rsidR="00421639" w:rsidRPr="003B0178" w:rsidRDefault="00421639" w:rsidP="00DC35EC">
            <w:pPr>
              <w:tabs>
                <w:tab w:val="decimal" w:pos="482"/>
              </w:tabs>
              <w:jc w:val="left"/>
              <w:rPr>
                <w:rFonts w:cs="Arial"/>
              </w:rPr>
            </w:pPr>
            <w:r w:rsidRPr="003B0178">
              <w:rPr>
                <w:rFonts w:cs="Arial"/>
              </w:rPr>
              <w:t>0.50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Ukraine</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107,282</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107,282</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United Kingdom</w:t>
                </w:r>
              </w:smartTag>
            </w:smartTag>
          </w:p>
        </w:tc>
        <w:tc>
          <w:tcPr>
            <w:tcW w:w="1032" w:type="dxa"/>
          </w:tcPr>
          <w:p w:rsidR="00421639" w:rsidRPr="003B0178" w:rsidRDefault="00421639" w:rsidP="00DC35EC">
            <w:pPr>
              <w:tabs>
                <w:tab w:val="decimal" w:pos="482"/>
              </w:tabs>
              <w:jc w:val="left"/>
              <w:rPr>
                <w:rFonts w:cs="Arial"/>
              </w:rPr>
            </w:pPr>
            <w:r w:rsidRPr="003B0178">
              <w:rPr>
                <w:rFonts w:cs="Arial"/>
              </w:rPr>
              <w:t>2.00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107,282</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107,282</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268,205</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268,205</w:t>
            </w:r>
          </w:p>
        </w:tc>
        <w:tc>
          <w:tcPr>
            <w:tcW w:w="3177" w:type="dxa"/>
          </w:tcPr>
          <w:p w:rsidR="00421639" w:rsidRPr="003B0178" w:rsidRDefault="00421639" w:rsidP="00DC35EC">
            <w:pPr>
              <w:ind w:left="57" w:right="-141"/>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United States of America</w:t>
                </w:r>
              </w:smartTag>
            </w:smartTag>
          </w:p>
        </w:tc>
        <w:tc>
          <w:tcPr>
            <w:tcW w:w="1032" w:type="dxa"/>
          </w:tcPr>
          <w:p w:rsidR="00421639" w:rsidRPr="003B0178" w:rsidRDefault="00421639" w:rsidP="00DC35EC">
            <w:pPr>
              <w:tabs>
                <w:tab w:val="decimal" w:pos="482"/>
              </w:tabs>
              <w:jc w:val="left"/>
              <w:rPr>
                <w:rFonts w:cs="Arial"/>
              </w:rPr>
            </w:pPr>
            <w:r w:rsidRPr="003B0178">
              <w:rPr>
                <w:rFonts w:cs="Arial"/>
              </w:rPr>
              <w:t>5.00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268,205</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268,205</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right="-142"/>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Uruguay</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right="-142"/>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Uzbekistan</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rPr>
        <w:tc>
          <w:tcPr>
            <w:tcW w:w="1218"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1134" w:type="dxa"/>
          </w:tcPr>
          <w:p w:rsidR="00421639" w:rsidRPr="003B0178" w:rsidRDefault="00421639" w:rsidP="00DC35EC">
            <w:pPr>
              <w:jc w:val="right"/>
              <w:rPr>
                <w:rFonts w:cs="Arial"/>
                <w:snapToGrid w:val="0"/>
                <w:color w:val="000000"/>
              </w:rPr>
            </w:pPr>
            <w:r w:rsidRPr="003B0178">
              <w:rPr>
                <w:rFonts w:cs="Arial"/>
                <w:snapToGrid w:val="0"/>
                <w:color w:val="000000"/>
              </w:rPr>
              <w:t>10,728</w:t>
            </w:r>
          </w:p>
        </w:tc>
        <w:tc>
          <w:tcPr>
            <w:tcW w:w="3177" w:type="dxa"/>
          </w:tcPr>
          <w:p w:rsidR="00421639" w:rsidRPr="003B0178" w:rsidRDefault="00421639" w:rsidP="00DC35EC">
            <w:pPr>
              <w:ind w:left="57" w:right="-142"/>
              <w:jc w:val="left"/>
              <w:rPr>
                <w:rFonts w:cs="Arial"/>
                <w:snapToGrid w:val="0"/>
                <w:color w:val="000000"/>
              </w:rPr>
            </w:pPr>
            <w:smartTag w:uri="urn:schemas-microsoft-com:office:smarttags" w:element="place">
              <w:smartTag w:uri="urn:schemas-microsoft-com:office:smarttags" w:element="country-region">
                <w:r w:rsidRPr="003B0178">
                  <w:rPr>
                    <w:rFonts w:cs="Arial"/>
                    <w:snapToGrid w:val="0"/>
                    <w:color w:val="000000"/>
                  </w:rPr>
                  <w:t>Viet Nam</w:t>
                </w:r>
              </w:smartTag>
            </w:smartTag>
          </w:p>
        </w:tc>
        <w:tc>
          <w:tcPr>
            <w:tcW w:w="1032" w:type="dxa"/>
          </w:tcPr>
          <w:p w:rsidR="00421639" w:rsidRPr="003B0178" w:rsidRDefault="00421639" w:rsidP="00DC35EC">
            <w:pPr>
              <w:tabs>
                <w:tab w:val="decimal" w:pos="482"/>
              </w:tabs>
              <w:jc w:val="left"/>
              <w:rPr>
                <w:rFonts w:cs="Arial"/>
              </w:rPr>
            </w:pPr>
            <w:r w:rsidRPr="003B0178">
              <w:rPr>
                <w:rFonts w:cs="Arial"/>
              </w:rPr>
              <w:t>0.20</w:t>
            </w:r>
          </w:p>
        </w:tc>
        <w:tc>
          <w:tcPr>
            <w:tcW w:w="1560"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c>
          <w:tcPr>
            <w:tcW w:w="1559" w:type="dxa"/>
          </w:tcPr>
          <w:p w:rsidR="00421639" w:rsidRPr="003B0178" w:rsidRDefault="00421639" w:rsidP="00DC35EC">
            <w:pPr>
              <w:ind w:right="113"/>
              <w:jc w:val="right"/>
              <w:rPr>
                <w:rFonts w:cs="Arial"/>
                <w:snapToGrid w:val="0"/>
                <w:color w:val="000000"/>
              </w:rPr>
            </w:pPr>
            <w:r w:rsidRPr="003B0178">
              <w:rPr>
                <w:rFonts w:cs="Arial"/>
                <w:snapToGrid w:val="0"/>
                <w:color w:val="000000"/>
              </w:rPr>
              <w:t>10,728</w:t>
            </w:r>
          </w:p>
        </w:tc>
      </w:tr>
      <w:tr w:rsidR="00421639" w:rsidRPr="003B0178" w:rsidTr="00DC35EC">
        <w:tblPrEx>
          <w:tblCellMar>
            <w:left w:w="85" w:type="dxa"/>
            <w:right w:w="85" w:type="dxa"/>
          </w:tblCellMar>
        </w:tblPrEx>
        <w:trPr>
          <w:cantSplit/>
          <w:trHeight w:val="312"/>
          <w:tblHeader/>
        </w:trPr>
        <w:tc>
          <w:tcPr>
            <w:tcW w:w="1218" w:type="dxa"/>
            <w:tcBorders>
              <w:bottom w:val="single" w:sz="8" w:space="0" w:color="auto"/>
            </w:tcBorders>
          </w:tcPr>
          <w:p w:rsidR="00421639" w:rsidRPr="003B0178" w:rsidRDefault="00421639" w:rsidP="00DC35EC">
            <w:pPr>
              <w:jc w:val="right"/>
              <w:rPr>
                <w:rFonts w:cs="Arial"/>
                <w:snapToGrid w:val="0"/>
                <w:color w:val="000000"/>
              </w:rPr>
            </w:pPr>
          </w:p>
        </w:tc>
        <w:tc>
          <w:tcPr>
            <w:tcW w:w="1134" w:type="dxa"/>
            <w:tcBorders>
              <w:bottom w:val="single" w:sz="8" w:space="0" w:color="auto"/>
            </w:tcBorders>
          </w:tcPr>
          <w:p w:rsidR="00421639" w:rsidRPr="003B0178" w:rsidRDefault="00421639" w:rsidP="00DC35EC">
            <w:pPr>
              <w:jc w:val="right"/>
              <w:rPr>
                <w:rFonts w:cs="Arial"/>
                <w:snapToGrid w:val="0"/>
                <w:color w:val="000000"/>
              </w:rPr>
            </w:pPr>
          </w:p>
        </w:tc>
        <w:tc>
          <w:tcPr>
            <w:tcW w:w="3177" w:type="dxa"/>
            <w:tcBorders>
              <w:bottom w:val="single" w:sz="8" w:space="0" w:color="auto"/>
            </w:tcBorders>
          </w:tcPr>
          <w:p w:rsidR="00421639" w:rsidRPr="003B0178" w:rsidRDefault="00421639" w:rsidP="00DC35EC">
            <w:pPr>
              <w:ind w:left="138"/>
              <w:rPr>
                <w:rFonts w:cs="Arial"/>
                <w:snapToGrid w:val="0"/>
                <w:color w:val="000000"/>
              </w:rPr>
            </w:pPr>
          </w:p>
        </w:tc>
        <w:tc>
          <w:tcPr>
            <w:tcW w:w="1032" w:type="dxa"/>
            <w:tcBorders>
              <w:bottom w:val="single" w:sz="8" w:space="0" w:color="auto"/>
            </w:tcBorders>
          </w:tcPr>
          <w:p w:rsidR="00421639" w:rsidRPr="003B0178" w:rsidRDefault="00421639" w:rsidP="00DC35EC">
            <w:pPr>
              <w:tabs>
                <w:tab w:val="decimal" w:pos="482"/>
              </w:tabs>
              <w:jc w:val="left"/>
              <w:rPr>
                <w:rFonts w:cs="Arial"/>
                <w:snapToGrid w:val="0"/>
                <w:color w:val="000000"/>
              </w:rPr>
            </w:pPr>
          </w:p>
        </w:tc>
        <w:tc>
          <w:tcPr>
            <w:tcW w:w="1560" w:type="dxa"/>
            <w:tcBorders>
              <w:bottom w:val="single" w:sz="8" w:space="0" w:color="auto"/>
            </w:tcBorders>
          </w:tcPr>
          <w:p w:rsidR="00421639" w:rsidRPr="003B0178" w:rsidRDefault="00421639" w:rsidP="00DC35EC">
            <w:pPr>
              <w:ind w:right="113"/>
              <w:jc w:val="right"/>
              <w:rPr>
                <w:rFonts w:cs="Arial"/>
                <w:snapToGrid w:val="0"/>
                <w:color w:val="000000"/>
              </w:rPr>
            </w:pPr>
          </w:p>
        </w:tc>
        <w:tc>
          <w:tcPr>
            <w:tcW w:w="1559" w:type="dxa"/>
            <w:tcBorders>
              <w:bottom w:val="single" w:sz="8" w:space="0" w:color="auto"/>
            </w:tcBorders>
          </w:tcPr>
          <w:p w:rsidR="00421639" w:rsidRPr="003B0178" w:rsidRDefault="00421639" w:rsidP="00DC35EC">
            <w:pPr>
              <w:ind w:right="113"/>
              <w:jc w:val="right"/>
              <w:rPr>
                <w:rFonts w:cs="Arial"/>
                <w:snapToGrid w:val="0"/>
                <w:color w:val="000000"/>
              </w:rPr>
            </w:pPr>
          </w:p>
        </w:tc>
      </w:tr>
      <w:tr w:rsidR="00421639" w:rsidRPr="00EA1426" w:rsidTr="00DC35EC">
        <w:tblPrEx>
          <w:tblCellMar>
            <w:left w:w="85" w:type="dxa"/>
            <w:right w:w="85" w:type="dxa"/>
          </w:tblCellMar>
        </w:tblPrEx>
        <w:trPr>
          <w:cantSplit/>
          <w:trHeight w:val="312"/>
        </w:trPr>
        <w:tc>
          <w:tcPr>
            <w:tcW w:w="1218" w:type="dxa"/>
            <w:tcBorders>
              <w:top w:val="single" w:sz="8" w:space="0" w:color="auto"/>
              <w:bottom w:val="single" w:sz="8" w:space="0" w:color="auto"/>
            </w:tcBorders>
          </w:tcPr>
          <w:p w:rsidR="00421639" w:rsidRPr="003B0178" w:rsidRDefault="00421639" w:rsidP="00DC35EC">
            <w:pPr>
              <w:spacing w:before="40"/>
              <w:ind w:left="-98" w:right="-113"/>
              <w:jc w:val="center"/>
              <w:rPr>
                <w:rFonts w:cs="Arial"/>
                <w:b/>
                <w:snapToGrid w:val="0"/>
              </w:rPr>
            </w:pPr>
            <w:r w:rsidRPr="003B0178">
              <w:rPr>
                <w:rFonts w:cs="Arial"/>
                <w:b/>
                <w:snapToGrid w:val="0"/>
              </w:rPr>
              <w:t>3,323,050</w:t>
            </w:r>
          </w:p>
        </w:tc>
        <w:tc>
          <w:tcPr>
            <w:tcW w:w="1134" w:type="dxa"/>
            <w:tcBorders>
              <w:top w:val="single" w:sz="8" w:space="0" w:color="auto"/>
              <w:bottom w:val="single" w:sz="8" w:space="0" w:color="auto"/>
            </w:tcBorders>
          </w:tcPr>
          <w:p w:rsidR="00421639" w:rsidRPr="003B0178" w:rsidRDefault="00421639" w:rsidP="00DC35EC">
            <w:pPr>
              <w:spacing w:before="40"/>
              <w:ind w:hanging="1"/>
              <w:jc w:val="center"/>
              <w:rPr>
                <w:rFonts w:cs="Arial"/>
                <w:b/>
                <w:snapToGrid w:val="0"/>
              </w:rPr>
            </w:pPr>
            <w:r w:rsidRPr="003B0178">
              <w:rPr>
                <w:rFonts w:cs="Arial"/>
                <w:b/>
                <w:snapToGrid w:val="0"/>
              </w:rPr>
              <w:t>3,323,050</w:t>
            </w:r>
          </w:p>
        </w:tc>
        <w:tc>
          <w:tcPr>
            <w:tcW w:w="3177" w:type="dxa"/>
            <w:tcBorders>
              <w:top w:val="single" w:sz="8" w:space="0" w:color="auto"/>
              <w:bottom w:val="single" w:sz="8" w:space="0" w:color="auto"/>
            </w:tcBorders>
          </w:tcPr>
          <w:p w:rsidR="00421639" w:rsidRPr="003B0178" w:rsidRDefault="00421639" w:rsidP="00DC35EC">
            <w:pPr>
              <w:spacing w:before="40"/>
              <w:ind w:left="57"/>
              <w:rPr>
                <w:rFonts w:cs="Arial"/>
                <w:b/>
                <w:snapToGrid w:val="0"/>
                <w:vertAlign w:val="superscript"/>
              </w:rPr>
            </w:pPr>
          </w:p>
        </w:tc>
        <w:tc>
          <w:tcPr>
            <w:tcW w:w="1032" w:type="dxa"/>
            <w:tcBorders>
              <w:top w:val="single" w:sz="8" w:space="0" w:color="auto"/>
              <w:bottom w:val="single" w:sz="8" w:space="0" w:color="auto"/>
            </w:tcBorders>
          </w:tcPr>
          <w:p w:rsidR="00421639" w:rsidRPr="003B0178" w:rsidRDefault="00421639" w:rsidP="00DC35EC">
            <w:pPr>
              <w:tabs>
                <w:tab w:val="decimal" w:pos="482"/>
              </w:tabs>
              <w:spacing w:before="40"/>
              <w:jc w:val="left"/>
              <w:rPr>
                <w:rFonts w:cs="Arial"/>
                <w:b/>
                <w:snapToGrid w:val="0"/>
              </w:rPr>
            </w:pPr>
            <w:r w:rsidRPr="003B0178">
              <w:rPr>
                <w:rFonts w:cs="Arial"/>
                <w:b/>
                <w:snapToGrid w:val="0"/>
              </w:rPr>
              <w:t>62.15</w:t>
            </w:r>
          </w:p>
        </w:tc>
        <w:tc>
          <w:tcPr>
            <w:tcW w:w="1560" w:type="dxa"/>
            <w:tcBorders>
              <w:top w:val="single" w:sz="8" w:space="0" w:color="auto"/>
              <w:bottom w:val="single" w:sz="8" w:space="0" w:color="auto"/>
            </w:tcBorders>
          </w:tcPr>
          <w:p w:rsidR="00421639" w:rsidRPr="003B0178" w:rsidRDefault="00421639" w:rsidP="00DC35EC">
            <w:pPr>
              <w:spacing w:before="40"/>
              <w:ind w:right="113"/>
              <w:jc w:val="right"/>
              <w:rPr>
                <w:rFonts w:cs="Arial"/>
                <w:b/>
                <w:snapToGrid w:val="0"/>
              </w:rPr>
            </w:pPr>
            <w:r w:rsidRPr="003B0178">
              <w:rPr>
                <w:rFonts w:cs="Arial"/>
                <w:b/>
                <w:snapToGrid w:val="0"/>
              </w:rPr>
              <w:t>3,333,778</w:t>
            </w:r>
          </w:p>
        </w:tc>
        <w:tc>
          <w:tcPr>
            <w:tcW w:w="1559" w:type="dxa"/>
            <w:tcBorders>
              <w:top w:val="single" w:sz="8" w:space="0" w:color="auto"/>
              <w:bottom w:val="single" w:sz="8" w:space="0" w:color="auto"/>
            </w:tcBorders>
          </w:tcPr>
          <w:p w:rsidR="00421639" w:rsidRPr="00EA1426" w:rsidRDefault="00421639" w:rsidP="00DC35EC">
            <w:pPr>
              <w:spacing w:before="40"/>
              <w:ind w:right="113"/>
              <w:jc w:val="right"/>
              <w:rPr>
                <w:rFonts w:cs="Arial"/>
                <w:b/>
                <w:snapToGrid w:val="0"/>
              </w:rPr>
            </w:pPr>
            <w:r w:rsidRPr="003B0178">
              <w:rPr>
                <w:rFonts w:cs="Arial"/>
                <w:b/>
                <w:snapToGrid w:val="0"/>
              </w:rPr>
              <w:t>3,333,778</w:t>
            </w:r>
          </w:p>
        </w:tc>
      </w:tr>
    </w:tbl>
    <w:p w:rsidR="00421639" w:rsidRPr="00DD6106" w:rsidRDefault="00421639" w:rsidP="00421639"/>
    <w:p w:rsidR="00421639" w:rsidRPr="00DD6106" w:rsidRDefault="00421639" w:rsidP="00421639"/>
    <w:p w:rsidR="00421639" w:rsidRPr="00DD6106" w:rsidRDefault="00421639" w:rsidP="00421639"/>
    <w:p w:rsidR="00421639" w:rsidRPr="00FC083C" w:rsidRDefault="00421639" w:rsidP="00421639">
      <w:pPr>
        <w:tabs>
          <w:tab w:val="decimal" w:pos="9071"/>
        </w:tabs>
        <w:ind w:right="-1"/>
        <w:jc w:val="right"/>
        <w:rPr>
          <w:rFonts w:cs="Arial"/>
        </w:rPr>
      </w:pPr>
      <w:r w:rsidRPr="00EA1426">
        <w:rPr>
          <w:rFonts w:cs="Arial"/>
          <w:snapToGrid w:val="0"/>
        </w:rPr>
        <w:t>[Appendix III follows]</w:t>
      </w:r>
    </w:p>
    <w:p w:rsidR="00421639" w:rsidRPr="00FC083C" w:rsidRDefault="00421639" w:rsidP="00421639">
      <w:pPr>
        <w:rPr>
          <w:rFonts w:cs="Arial"/>
          <w:b/>
          <w:color w:val="0000FF"/>
        </w:rPr>
        <w:sectPr w:rsidR="00421639" w:rsidRPr="00FC083C" w:rsidSect="00DC35EC">
          <w:headerReference w:type="default" r:id="rId25"/>
          <w:footerReference w:type="first" r:id="rId26"/>
          <w:pgSz w:w="11907" w:h="16840" w:code="9"/>
          <w:pgMar w:top="510" w:right="1134" w:bottom="1134" w:left="1134" w:header="510" w:footer="680" w:gutter="0"/>
          <w:pgNumType w:start="1"/>
          <w:cols w:space="720"/>
          <w:titlePg/>
        </w:sectPr>
      </w:pPr>
    </w:p>
    <w:p w:rsidR="00421639" w:rsidRPr="00DD6106" w:rsidRDefault="00421639" w:rsidP="00421639">
      <w:pPr>
        <w:jc w:val="center"/>
      </w:pPr>
      <w:r w:rsidRPr="0050046B">
        <w:t>APPENDIX III</w:t>
      </w:r>
    </w:p>
    <w:p w:rsidR="00421639" w:rsidRPr="00DD6106" w:rsidRDefault="00421639" w:rsidP="00421639">
      <w:pPr>
        <w:jc w:val="center"/>
      </w:pPr>
    </w:p>
    <w:p w:rsidR="00421639" w:rsidRPr="00DD6106" w:rsidRDefault="00421639" w:rsidP="00421639">
      <w:pPr>
        <w:jc w:val="center"/>
      </w:pPr>
      <w:r w:rsidRPr="00DD6106">
        <w:t>DEFINITIONS OF BUDGET HEADINGS</w:t>
      </w:r>
    </w:p>
    <w:p w:rsidR="00421639" w:rsidRPr="00DD6106" w:rsidRDefault="00421639" w:rsidP="00421639"/>
    <w:p w:rsidR="00421639" w:rsidRPr="00DD6106" w:rsidRDefault="00421639" w:rsidP="00421639">
      <w:pPr>
        <w:jc w:val="center"/>
        <w:rPr>
          <w:b/>
          <w:szCs w:val="24"/>
        </w:rPr>
      </w:pPr>
      <w:r w:rsidRPr="00DD6106">
        <w:rPr>
          <w:rStyle w:val="underline"/>
          <w:b/>
          <w:szCs w:val="24"/>
        </w:rPr>
        <w:t>Sources of Income</w:t>
      </w:r>
    </w:p>
    <w:p w:rsidR="00421639" w:rsidRPr="00DD6106" w:rsidRDefault="00421639" w:rsidP="00421639"/>
    <w:p w:rsidR="00421639" w:rsidRPr="00DD6106" w:rsidRDefault="00421639" w:rsidP="00421639"/>
    <w:p w:rsidR="00421639" w:rsidRPr="00EA1426" w:rsidRDefault="00421639" w:rsidP="00421639">
      <w:pPr>
        <w:rPr>
          <w:rStyle w:val="underline"/>
          <w:b/>
          <w:i/>
        </w:rPr>
      </w:pPr>
      <w:r w:rsidRPr="00EA1426">
        <w:rPr>
          <w:b/>
          <w:u w:val="single"/>
        </w:rPr>
        <w:t>Contributions</w:t>
      </w:r>
    </w:p>
    <w:p w:rsidR="00421639" w:rsidRDefault="00421639" w:rsidP="00421639"/>
    <w:p w:rsidR="00421639" w:rsidRPr="00DD6106" w:rsidRDefault="00421639" w:rsidP="00421639">
      <w:r w:rsidRPr="00DD6106">
        <w:t>Contributions of members of the Union under the UPOV Convention (Article</w:t>
      </w:r>
      <w:r>
        <w:t xml:space="preserve"> 29 of the 1991 Act and Article </w:t>
      </w:r>
      <w:r w:rsidRPr="00DD6106">
        <w:t>26 of the 1978 Act).</w:t>
      </w:r>
    </w:p>
    <w:p w:rsidR="00421639" w:rsidRPr="00DD6106" w:rsidRDefault="00421639" w:rsidP="00421639"/>
    <w:p w:rsidR="00421639" w:rsidRPr="00EA1426" w:rsidRDefault="00421639" w:rsidP="00421639">
      <w:pPr>
        <w:keepNext/>
        <w:spacing w:after="40"/>
        <w:rPr>
          <w:b/>
        </w:rPr>
      </w:pPr>
      <w:r w:rsidRPr="00EA1426">
        <w:rPr>
          <w:b/>
        </w:rPr>
        <w:t>Publications Income</w:t>
      </w:r>
    </w:p>
    <w:p w:rsidR="00421639" w:rsidRPr="00DD6106" w:rsidRDefault="00421639" w:rsidP="00421639">
      <w:r w:rsidRPr="00DD6106">
        <w:t>Revenue from the sale of publications and products by the Office of the Union.</w:t>
      </w:r>
    </w:p>
    <w:p w:rsidR="00421639" w:rsidRPr="00DD6106" w:rsidRDefault="00421639" w:rsidP="00421639"/>
    <w:p w:rsidR="00421639" w:rsidRPr="00DD6106" w:rsidRDefault="00421639" w:rsidP="00421639">
      <w:pPr>
        <w:keepNext/>
        <w:spacing w:after="40"/>
        <w:rPr>
          <w:b/>
        </w:rPr>
      </w:pPr>
      <w:r w:rsidRPr="00DD6106">
        <w:rPr>
          <w:b/>
        </w:rPr>
        <w:t>Interest Income</w:t>
      </w:r>
    </w:p>
    <w:p w:rsidR="00421639" w:rsidRPr="00DD6106" w:rsidRDefault="00421639" w:rsidP="00421639">
      <w:r w:rsidRPr="00DD6106">
        <w:t>Revenues from interest on capital deposits.</w:t>
      </w:r>
    </w:p>
    <w:p w:rsidR="00421639" w:rsidRPr="00DD6106" w:rsidRDefault="00421639" w:rsidP="00421639"/>
    <w:p w:rsidR="00421639" w:rsidRPr="00DD6106" w:rsidRDefault="00421639" w:rsidP="00421639">
      <w:pPr>
        <w:keepNext/>
        <w:spacing w:after="40"/>
        <w:rPr>
          <w:b/>
        </w:rPr>
      </w:pPr>
      <w:r w:rsidRPr="00DD6106">
        <w:rPr>
          <w:b/>
        </w:rPr>
        <w:t>Other Income</w:t>
      </w:r>
    </w:p>
    <w:p w:rsidR="00421639" w:rsidRPr="00DD6106" w:rsidRDefault="00421639" w:rsidP="00421639">
      <w:r w:rsidRPr="00DD6106">
        <w:t>All other income not described above, including accounting adjustments (credits) in respect of prior years, currency adjustments (credits) and income to cover “support costs” in respect of extra</w:t>
      </w:r>
      <w:r w:rsidRPr="00DD6106">
        <w:noBreakHyphen/>
        <w:t>budgetary activities executed by UPOV and financed by Funds-in-Trust.</w:t>
      </w:r>
    </w:p>
    <w:p w:rsidR="00421639" w:rsidRPr="00DD6106" w:rsidRDefault="00421639" w:rsidP="00421639"/>
    <w:p w:rsidR="00421639" w:rsidRPr="00DD6106" w:rsidRDefault="00421639" w:rsidP="00421639"/>
    <w:p w:rsidR="00421639" w:rsidRPr="00DD6106" w:rsidRDefault="00421639" w:rsidP="00421639">
      <w:pPr>
        <w:jc w:val="center"/>
        <w:rPr>
          <w:rStyle w:val="underline"/>
          <w:b/>
          <w:szCs w:val="24"/>
        </w:rPr>
      </w:pPr>
      <w:r w:rsidRPr="00DD6106">
        <w:rPr>
          <w:rStyle w:val="underline"/>
          <w:b/>
          <w:szCs w:val="24"/>
        </w:rPr>
        <w:t>Objects of Expenditure</w:t>
      </w:r>
    </w:p>
    <w:p w:rsidR="00421639" w:rsidRPr="00DD6106" w:rsidRDefault="00421639" w:rsidP="00421639">
      <w:pPr>
        <w:jc w:val="center"/>
      </w:pPr>
    </w:p>
    <w:p w:rsidR="002418F6" w:rsidRDefault="002418F6" w:rsidP="00421639">
      <w:pPr>
        <w:jc w:val="center"/>
      </w:pPr>
    </w:p>
    <w:p w:rsidR="002418F6" w:rsidRPr="003151BA" w:rsidRDefault="002418F6" w:rsidP="002418F6">
      <w:pPr>
        <w:pStyle w:val="zanxtext"/>
        <w:spacing w:before="0"/>
        <w:ind w:right="91"/>
        <w:jc w:val="both"/>
        <w:rPr>
          <w:rFonts w:ascii="Arial" w:hAnsi="Arial" w:cs="Arial"/>
          <w:bCs/>
          <w:sz w:val="20"/>
        </w:rPr>
      </w:pPr>
      <w:r w:rsidRPr="003151BA">
        <w:rPr>
          <w:rFonts w:ascii="Arial" w:hAnsi="Arial" w:cs="Arial"/>
          <w:bCs/>
          <w:sz w:val="20"/>
        </w:rPr>
        <w:t>PERSONNEL RESOURCES</w:t>
      </w:r>
    </w:p>
    <w:p w:rsidR="002418F6" w:rsidRPr="00CF238E" w:rsidRDefault="002418F6" w:rsidP="002418F6">
      <w:pPr>
        <w:pStyle w:val="zanxtext"/>
        <w:spacing w:before="0"/>
        <w:ind w:right="91"/>
        <w:jc w:val="both"/>
        <w:rPr>
          <w:rFonts w:ascii="Arial" w:hAnsi="Arial" w:cs="Arial"/>
          <w:b/>
          <w:sz w:val="20"/>
          <w:u w:val="single"/>
        </w:rPr>
      </w:pPr>
    </w:p>
    <w:p w:rsidR="002418F6" w:rsidRDefault="002418F6" w:rsidP="002418F6">
      <w:pPr>
        <w:tabs>
          <w:tab w:val="left" w:pos="567"/>
        </w:tabs>
        <w:ind w:left="567" w:right="91"/>
        <w:rPr>
          <w:rFonts w:cs="Arial"/>
        </w:rPr>
      </w:pPr>
      <w:r w:rsidRPr="00CF238E">
        <w:rPr>
          <w:rFonts w:cs="Arial"/>
          <w:b/>
          <w:i/>
        </w:rPr>
        <w:t>Posts:</w:t>
      </w:r>
      <w:r w:rsidRPr="00CF238E">
        <w:rPr>
          <w:rFonts w:cs="Arial"/>
        </w:rPr>
        <w:t xml:space="preserve">  remuneration received by staff members, in particular salaries, post adjustment, dependency allowances, language allowances and overtime, non</w:t>
      </w:r>
      <w:r w:rsidRPr="00CF238E">
        <w:rPr>
          <w:rFonts w:cs="Arial"/>
        </w:rPr>
        <w:noBreakHyphen/>
        <w:t>resident allowances, assignment grant and representation allowances.</w:t>
      </w:r>
    </w:p>
    <w:p w:rsidR="002418F6" w:rsidRPr="00CF238E" w:rsidRDefault="002418F6" w:rsidP="002418F6">
      <w:pPr>
        <w:tabs>
          <w:tab w:val="left" w:pos="567"/>
        </w:tabs>
        <w:ind w:left="567" w:right="91"/>
        <w:rPr>
          <w:rFonts w:cs="Arial"/>
          <w:i/>
        </w:rPr>
      </w:pPr>
    </w:p>
    <w:p w:rsidR="002418F6" w:rsidRPr="00CF238E" w:rsidRDefault="002418F6" w:rsidP="002418F6">
      <w:pPr>
        <w:tabs>
          <w:tab w:val="left" w:pos="567"/>
        </w:tabs>
        <w:ind w:left="567" w:right="91"/>
        <w:rPr>
          <w:rFonts w:cs="Arial"/>
          <w:color w:val="000000"/>
        </w:rPr>
      </w:pPr>
      <w:r>
        <w:rPr>
          <w:rFonts w:cs="Arial"/>
          <w:b/>
          <w:bCs/>
          <w:i/>
          <w:iCs/>
          <w:color w:val="000000"/>
        </w:rPr>
        <w:t>Temporary Staff</w:t>
      </w:r>
      <w:r w:rsidRPr="00CF238E">
        <w:rPr>
          <w:rFonts w:cs="Arial"/>
          <w:color w:val="000000"/>
        </w:rPr>
        <w:t xml:space="preserve">:  remuneration and allowances paid to professional </w:t>
      </w:r>
      <w:r>
        <w:rPr>
          <w:rFonts w:cs="Arial"/>
          <w:color w:val="000000"/>
        </w:rPr>
        <w:t xml:space="preserve">and general service </w:t>
      </w:r>
      <w:r w:rsidRPr="00CF238E">
        <w:rPr>
          <w:rFonts w:cs="Arial"/>
          <w:color w:val="000000"/>
        </w:rPr>
        <w:t>employees on short-term contracts.</w:t>
      </w:r>
    </w:p>
    <w:p w:rsidR="002418F6" w:rsidRDefault="002418F6" w:rsidP="002418F6">
      <w:pPr>
        <w:rPr>
          <w:rFonts w:cs="Arial"/>
          <w:b/>
          <w:bCs/>
        </w:rPr>
      </w:pPr>
    </w:p>
    <w:p w:rsidR="002418F6" w:rsidRPr="00633455" w:rsidRDefault="002418F6" w:rsidP="002418F6">
      <w:pPr>
        <w:rPr>
          <w:rFonts w:cs="Arial"/>
        </w:rPr>
      </w:pPr>
    </w:p>
    <w:p w:rsidR="002418F6" w:rsidRPr="002C4A47" w:rsidRDefault="00B417A5" w:rsidP="002418F6">
      <w:pPr>
        <w:rPr>
          <w:rFonts w:cs="Arial"/>
        </w:rPr>
      </w:pPr>
      <w:r w:rsidRPr="00B417A5">
        <w:rPr>
          <w:rFonts w:cs="Arial"/>
        </w:rPr>
        <w:t>NON</w:t>
      </w:r>
      <w:r>
        <w:rPr>
          <w:rFonts w:cs="Arial"/>
        </w:rPr>
        <w:t>-</w:t>
      </w:r>
      <w:r w:rsidRPr="002C4A47">
        <w:rPr>
          <w:rFonts w:cs="Arial"/>
        </w:rPr>
        <w:t>PERSONNEL RESOURCES</w:t>
      </w:r>
    </w:p>
    <w:p w:rsidR="00B417A5" w:rsidRPr="00633455" w:rsidRDefault="00B417A5" w:rsidP="002418F6">
      <w:pPr>
        <w:rPr>
          <w:rFonts w:cs="Arial"/>
        </w:rPr>
      </w:pPr>
    </w:p>
    <w:p w:rsidR="00B417A5" w:rsidRDefault="002418F6" w:rsidP="002418F6">
      <w:pPr>
        <w:rPr>
          <w:rFonts w:cs="Arial"/>
          <w:b/>
          <w:bCs/>
        </w:rPr>
      </w:pPr>
      <w:r w:rsidRPr="00633455">
        <w:rPr>
          <w:rFonts w:cs="Arial"/>
          <w:b/>
          <w:bCs/>
        </w:rPr>
        <w:t xml:space="preserve">Internships </w:t>
      </w:r>
    </w:p>
    <w:p w:rsidR="00B417A5" w:rsidRPr="002C4A47" w:rsidRDefault="00B417A5" w:rsidP="002418F6">
      <w:pPr>
        <w:rPr>
          <w:rFonts w:cs="Arial"/>
          <w:b/>
          <w:bCs/>
        </w:rPr>
      </w:pPr>
    </w:p>
    <w:p w:rsidR="002418F6" w:rsidRDefault="002418F6" w:rsidP="002418F6">
      <w:pPr>
        <w:numPr>
          <w:ilvl w:val="0"/>
          <w:numId w:val="12"/>
        </w:numPr>
        <w:tabs>
          <w:tab w:val="clear" w:pos="1287"/>
          <w:tab w:val="num" w:pos="567"/>
        </w:tabs>
        <w:ind w:left="567" w:hanging="283"/>
        <w:rPr>
          <w:rFonts w:cs="Arial"/>
        </w:rPr>
      </w:pPr>
      <w:r w:rsidRPr="00633455">
        <w:rPr>
          <w:rFonts w:cs="Arial"/>
          <w:b/>
          <w:bCs/>
          <w:i/>
          <w:iCs/>
        </w:rPr>
        <w:t>Internships</w:t>
      </w:r>
      <w:r>
        <w:rPr>
          <w:rFonts w:cs="Arial"/>
        </w:rPr>
        <w:t xml:space="preserve">: remuneration and allowances paid to interns. </w:t>
      </w:r>
    </w:p>
    <w:p w:rsidR="00B417A5" w:rsidRDefault="00B417A5" w:rsidP="002C4A47">
      <w:pPr>
        <w:ind w:left="567"/>
        <w:rPr>
          <w:rFonts w:cs="Arial"/>
        </w:rPr>
      </w:pPr>
    </w:p>
    <w:p w:rsidR="001778C4" w:rsidRDefault="001778C4" w:rsidP="002418F6">
      <w:pPr>
        <w:rPr>
          <w:rFonts w:cs="Arial"/>
          <w:b/>
          <w:bCs/>
        </w:rPr>
      </w:pPr>
      <w:bookmarkStart w:id="19" w:name="RANGE!A3"/>
    </w:p>
    <w:p w:rsidR="002418F6" w:rsidRPr="00633455" w:rsidRDefault="002418F6" w:rsidP="002418F6">
      <w:pPr>
        <w:rPr>
          <w:rFonts w:cs="Arial"/>
          <w:b/>
          <w:bCs/>
        </w:rPr>
      </w:pPr>
      <w:r w:rsidRPr="00633455">
        <w:rPr>
          <w:rFonts w:cs="Arial"/>
          <w:b/>
          <w:bCs/>
        </w:rPr>
        <w:t>Travel</w:t>
      </w:r>
      <w:bookmarkEnd w:id="19"/>
    </w:p>
    <w:p w:rsidR="002418F6" w:rsidRPr="00633455" w:rsidRDefault="002418F6" w:rsidP="002418F6">
      <w:pPr>
        <w:rPr>
          <w:rFonts w:cs="Arial"/>
        </w:rPr>
      </w:pPr>
    </w:p>
    <w:p w:rsidR="002418F6" w:rsidRPr="00633455" w:rsidRDefault="002418F6" w:rsidP="002418F6">
      <w:pPr>
        <w:numPr>
          <w:ilvl w:val="0"/>
          <w:numId w:val="13"/>
        </w:numPr>
        <w:tabs>
          <w:tab w:val="clear" w:pos="1120"/>
          <w:tab w:val="num" w:pos="567"/>
        </w:tabs>
        <w:ind w:left="567" w:hanging="283"/>
        <w:rPr>
          <w:rFonts w:cs="Arial"/>
          <w:color w:val="000000"/>
        </w:rPr>
      </w:pPr>
      <w:r w:rsidRPr="00633455">
        <w:rPr>
          <w:rFonts w:cs="Arial"/>
          <w:b/>
          <w:bCs/>
          <w:i/>
          <w:iCs/>
          <w:color w:val="000000"/>
        </w:rPr>
        <w:t>Staff missions</w:t>
      </w:r>
      <w:r w:rsidRPr="00633455">
        <w:rPr>
          <w:rFonts w:cs="Arial"/>
          <w:color w:val="000000"/>
        </w:rPr>
        <w:t>: travel expenses and daily subsistence allowances for all staff on official travel.</w:t>
      </w:r>
    </w:p>
    <w:p w:rsidR="002418F6" w:rsidRPr="00633455" w:rsidRDefault="002418F6" w:rsidP="002418F6">
      <w:pPr>
        <w:tabs>
          <w:tab w:val="num" w:pos="567"/>
        </w:tabs>
        <w:ind w:left="567" w:hanging="283"/>
        <w:rPr>
          <w:rFonts w:cs="Arial"/>
        </w:rPr>
      </w:pPr>
    </w:p>
    <w:p w:rsidR="002418F6" w:rsidRPr="00633455" w:rsidRDefault="002418F6" w:rsidP="002418F6">
      <w:pPr>
        <w:numPr>
          <w:ilvl w:val="0"/>
          <w:numId w:val="13"/>
        </w:numPr>
        <w:tabs>
          <w:tab w:val="clear" w:pos="1120"/>
          <w:tab w:val="num" w:pos="567"/>
        </w:tabs>
        <w:ind w:left="567" w:hanging="283"/>
        <w:rPr>
          <w:rFonts w:cs="Arial"/>
          <w:color w:val="000000"/>
        </w:rPr>
      </w:pPr>
      <w:r w:rsidRPr="00633455">
        <w:rPr>
          <w:rFonts w:cs="Arial"/>
          <w:b/>
          <w:bCs/>
          <w:i/>
          <w:iCs/>
          <w:color w:val="000000"/>
        </w:rPr>
        <w:t>Third party travel</w:t>
      </w:r>
      <w:r w:rsidRPr="00633455">
        <w:rPr>
          <w:rFonts w:cs="Arial"/>
          <w:color w:val="000000"/>
        </w:rPr>
        <w:t>: travel expenses and daily subsistence allowances for all third parties</w:t>
      </w:r>
      <w:r>
        <w:rPr>
          <w:rFonts w:cs="Arial"/>
          <w:color w:val="000000"/>
        </w:rPr>
        <w:t>, including</w:t>
      </w:r>
      <w:r w:rsidRPr="00633455">
        <w:rPr>
          <w:rFonts w:cs="Arial"/>
          <w:color w:val="000000"/>
        </w:rPr>
        <w:t xml:space="preserve"> the travel costs of Government officials, participa</w:t>
      </w:r>
      <w:r w:rsidR="00FE2F44">
        <w:rPr>
          <w:rFonts w:cs="Arial"/>
          <w:color w:val="000000"/>
        </w:rPr>
        <w:t>nts and lecturers attending UPOV</w:t>
      </w:r>
      <w:r w:rsidRPr="00633455">
        <w:rPr>
          <w:rFonts w:cs="Arial"/>
          <w:color w:val="000000"/>
        </w:rPr>
        <w:noBreakHyphen/>
        <w:t>sponsored meetings.</w:t>
      </w:r>
    </w:p>
    <w:p w:rsidR="002418F6" w:rsidRPr="00633455" w:rsidRDefault="002418F6" w:rsidP="002C4A47">
      <w:pPr>
        <w:tabs>
          <w:tab w:val="num" w:pos="567"/>
        </w:tabs>
        <w:rPr>
          <w:rFonts w:cs="Arial"/>
        </w:rPr>
      </w:pPr>
    </w:p>
    <w:p w:rsidR="002418F6" w:rsidRDefault="002418F6" w:rsidP="002418F6">
      <w:pPr>
        <w:rPr>
          <w:rFonts w:cs="Arial"/>
          <w:b/>
          <w:bCs/>
        </w:rPr>
      </w:pPr>
      <w:bookmarkStart w:id="20" w:name="RANGE!A11"/>
    </w:p>
    <w:p w:rsidR="002418F6" w:rsidRPr="00633455" w:rsidRDefault="002418F6" w:rsidP="002418F6">
      <w:pPr>
        <w:keepNext/>
        <w:keepLines/>
        <w:rPr>
          <w:rFonts w:cs="Arial"/>
          <w:b/>
          <w:bCs/>
        </w:rPr>
      </w:pPr>
      <w:r w:rsidRPr="00633455">
        <w:rPr>
          <w:rFonts w:cs="Arial"/>
          <w:b/>
          <w:bCs/>
        </w:rPr>
        <w:t>Contractual Services</w:t>
      </w:r>
      <w:bookmarkEnd w:id="20"/>
    </w:p>
    <w:p w:rsidR="002418F6" w:rsidRPr="00633455" w:rsidRDefault="002418F6" w:rsidP="002418F6">
      <w:pPr>
        <w:keepNext/>
        <w:keepLines/>
        <w:rPr>
          <w:rFonts w:cs="Arial"/>
        </w:rPr>
      </w:pPr>
    </w:p>
    <w:p w:rsidR="002418F6" w:rsidRPr="00633455" w:rsidRDefault="002418F6" w:rsidP="006E77FA">
      <w:pPr>
        <w:keepNext/>
        <w:keepLines/>
        <w:numPr>
          <w:ilvl w:val="0"/>
          <w:numId w:val="13"/>
        </w:numPr>
        <w:tabs>
          <w:tab w:val="clear" w:pos="1120"/>
        </w:tabs>
        <w:ind w:left="567" w:hanging="283"/>
        <w:rPr>
          <w:rFonts w:cs="Arial"/>
          <w:color w:val="000000"/>
        </w:rPr>
      </w:pPr>
      <w:r w:rsidRPr="00633455">
        <w:rPr>
          <w:rFonts w:cs="Arial"/>
          <w:b/>
          <w:bCs/>
          <w:i/>
          <w:iCs/>
          <w:color w:val="000000"/>
        </w:rPr>
        <w:t>Conferences</w:t>
      </w:r>
      <w:r w:rsidRPr="00633455">
        <w:rPr>
          <w:rFonts w:cs="Arial"/>
          <w:color w:val="000000"/>
        </w:rPr>
        <w:t xml:space="preserve">: remuneration, travel expenses and daily subsistence allowances for interpreters; renting of conference facilities, and interpretation equipment; refreshments and receptions; and the cost of any other service directly linked to the organization of a conference. </w:t>
      </w:r>
    </w:p>
    <w:p w:rsidR="002418F6" w:rsidRPr="00633455" w:rsidRDefault="002418F6" w:rsidP="002418F6">
      <w:pPr>
        <w:keepNext/>
        <w:keepLines/>
        <w:ind w:left="567" w:hanging="283"/>
        <w:rPr>
          <w:rFonts w:cs="Arial"/>
        </w:rPr>
      </w:pPr>
    </w:p>
    <w:p w:rsidR="002418F6" w:rsidRPr="00633455" w:rsidRDefault="002418F6" w:rsidP="002418F6">
      <w:pPr>
        <w:numPr>
          <w:ilvl w:val="0"/>
          <w:numId w:val="13"/>
        </w:numPr>
        <w:tabs>
          <w:tab w:val="clear" w:pos="1120"/>
        </w:tabs>
        <w:ind w:left="567" w:hanging="283"/>
        <w:rPr>
          <w:rFonts w:cs="Arial"/>
          <w:color w:val="000000"/>
        </w:rPr>
      </w:pPr>
      <w:r w:rsidRPr="00633455">
        <w:rPr>
          <w:rFonts w:cs="Arial"/>
          <w:b/>
          <w:bCs/>
          <w:i/>
          <w:iCs/>
          <w:color w:val="000000"/>
        </w:rPr>
        <w:t>Publishing</w:t>
      </w:r>
      <w:r w:rsidRPr="00633455">
        <w:rPr>
          <w:rFonts w:cs="Arial"/>
          <w:color w:val="000000"/>
        </w:rPr>
        <w:t>: outside printing and binding; reviews; paper and printing; other printing:  reprints of articles published in reviews;  brochures;  treaties;  collections of texts;  manuals;  working forms and other miscellaneous printed material;  production of CD-ROMs, videos, magnetic tapes and other forms of electronic publishing.</w:t>
      </w:r>
    </w:p>
    <w:p w:rsidR="002418F6" w:rsidRPr="00633455" w:rsidRDefault="002418F6" w:rsidP="002418F6">
      <w:pPr>
        <w:ind w:left="567" w:firstLineChars="200" w:firstLine="400"/>
        <w:rPr>
          <w:rFonts w:cs="Arial"/>
          <w:color w:val="000000"/>
        </w:rPr>
      </w:pPr>
    </w:p>
    <w:p w:rsidR="002418F6" w:rsidRPr="00633455" w:rsidRDefault="002418F6" w:rsidP="002418F6">
      <w:pPr>
        <w:numPr>
          <w:ilvl w:val="0"/>
          <w:numId w:val="13"/>
        </w:numPr>
        <w:tabs>
          <w:tab w:val="clear" w:pos="1120"/>
        </w:tabs>
        <w:ind w:left="567" w:hanging="283"/>
        <w:rPr>
          <w:rFonts w:cs="Arial"/>
          <w:color w:val="000000"/>
        </w:rPr>
      </w:pPr>
      <w:r w:rsidRPr="00633455">
        <w:rPr>
          <w:rFonts w:cs="Arial"/>
          <w:b/>
          <w:bCs/>
          <w:i/>
          <w:iCs/>
          <w:color w:val="000000"/>
        </w:rPr>
        <w:t>Individual Contractual Services</w:t>
      </w:r>
      <w:r>
        <w:rPr>
          <w:rFonts w:cs="Arial"/>
          <w:color w:val="000000"/>
        </w:rPr>
        <w:t xml:space="preserve">: </w:t>
      </w:r>
      <w:r w:rsidRPr="00633455">
        <w:rPr>
          <w:rFonts w:cs="Arial"/>
          <w:color w:val="000000"/>
        </w:rPr>
        <w:t xml:space="preserve">remuneration paid in respect of individual contractual services.  </w:t>
      </w:r>
    </w:p>
    <w:p w:rsidR="002418F6" w:rsidRPr="00633455" w:rsidRDefault="002418F6" w:rsidP="002418F6">
      <w:pPr>
        <w:ind w:left="567" w:hanging="283"/>
        <w:rPr>
          <w:rFonts w:cs="Arial"/>
          <w:color w:val="000000"/>
        </w:rPr>
      </w:pPr>
    </w:p>
    <w:p w:rsidR="002418F6" w:rsidRPr="00633455" w:rsidRDefault="002418F6" w:rsidP="002418F6">
      <w:pPr>
        <w:numPr>
          <w:ilvl w:val="0"/>
          <w:numId w:val="13"/>
        </w:numPr>
        <w:tabs>
          <w:tab w:val="clear" w:pos="1120"/>
        </w:tabs>
        <w:ind w:left="567" w:hanging="283"/>
        <w:rPr>
          <w:rFonts w:cs="Arial"/>
          <w:color w:val="000000"/>
        </w:rPr>
      </w:pPr>
      <w:r w:rsidRPr="00633455">
        <w:rPr>
          <w:rFonts w:cs="Arial"/>
          <w:b/>
          <w:bCs/>
          <w:i/>
          <w:iCs/>
          <w:color w:val="000000"/>
        </w:rPr>
        <w:t xml:space="preserve">Other Contractual Services: </w:t>
      </w:r>
      <w:r w:rsidRPr="00633455">
        <w:rPr>
          <w:rFonts w:cs="Arial"/>
          <w:color w:val="000000"/>
        </w:rPr>
        <w:t>includes all other contractual services with both commercial and non-commercial service providers.</w:t>
      </w:r>
    </w:p>
    <w:p w:rsidR="002418F6" w:rsidRPr="00633455" w:rsidRDefault="002418F6" w:rsidP="002418F6">
      <w:pPr>
        <w:rPr>
          <w:rFonts w:cs="Arial"/>
        </w:rPr>
      </w:pPr>
    </w:p>
    <w:p w:rsidR="002418F6" w:rsidRDefault="002418F6" w:rsidP="002418F6">
      <w:pPr>
        <w:keepNext/>
        <w:keepLines/>
        <w:rPr>
          <w:rFonts w:cs="Arial"/>
          <w:b/>
          <w:bCs/>
        </w:rPr>
      </w:pPr>
      <w:bookmarkStart w:id="21" w:name="RANGE!A23"/>
    </w:p>
    <w:p w:rsidR="002418F6" w:rsidRPr="00633455" w:rsidRDefault="002418F6" w:rsidP="002418F6">
      <w:pPr>
        <w:keepNext/>
        <w:keepLines/>
        <w:rPr>
          <w:rFonts w:cs="Arial"/>
          <w:b/>
          <w:bCs/>
        </w:rPr>
      </w:pPr>
      <w:r w:rsidRPr="00633455">
        <w:rPr>
          <w:rFonts w:cs="Arial"/>
          <w:b/>
          <w:bCs/>
        </w:rPr>
        <w:t>Operating Expenses</w:t>
      </w:r>
      <w:bookmarkEnd w:id="21"/>
    </w:p>
    <w:p w:rsidR="002418F6" w:rsidRPr="00633455" w:rsidRDefault="002418F6" w:rsidP="002418F6">
      <w:pPr>
        <w:keepNext/>
        <w:keepLines/>
        <w:rPr>
          <w:rFonts w:cs="Arial"/>
        </w:rPr>
      </w:pPr>
    </w:p>
    <w:p w:rsidR="002418F6" w:rsidRPr="00633455" w:rsidRDefault="002418F6" w:rsidP="002418F6">
      <w:pPr>
        <w:keepNext/>
        <w:keepLines/>
        <w:numPr>
          <w:ilvl w:val="0"/>
          <w:numId w:val="14"/>
        </w:numPr>
        <w:tabs>
          <w:tab w:val="clear" w:pos="1160"/>
          <w:tab w:val="num" w:pos="567"/>
        </w:tabs>
        <w:ind w:left="567" w:hanging="283"/>
        <w:rPr>
          <w:rFonts w:cs="Arial"/>
          <w:color w:val="000000"/>
        </w:rPr>
      </w:pPr>
      <w:r w:rsidRPr="00633455">
        <w:rPr>
          <w:rFonts w:cs="Arial"/>
          <w:b/>
          <w:bCs/>
          <w:i/>
          <w:iCs/>
          <w:color w:val="000000"/>
        </w:rPr>
        <w:t>Premises and maintenance</w:t>
      </w:r>
      <w:r w:rsidRPr="00633455">
        <w:rPr>
          <w:rFonts w:cs="Arial"/>
          <w:color w:val="000000"/>
        </w:rPr>
        <w:t>: acquiring, renting, improving and maintaining office space and renting or maintaining equipment and furniture.</w:t>
      </w:r>
    </w:p>
    <w:p w:rsidR="002418F6" w:rsidRPr="00633455" w:rsidRDefault="002418F6" w:rsidP="002418F6">
      <w:pPr>
        <w:tabs>
          <w:tab w:val="num" w:pos="567"/>
        </w:tabs>
        <w:ind w:left="567" w:hanging="283"/>
        <w:rPr>
          <w:rFonts w:cs="Arial"/>
        </w:rPr>
      </w:pPr>
    </w:p>
    <w:p w:rsidR="002418F6" w:rsidRPr="00633455" w:rsidRDefault="002418F6" w:rsidP="002418F6">
      <w:pPr>
        <w:numPr>
          <w:ilvl w:val="0"/>
          <w:numId w:val="14"/>
        </w:numPr>
        <w:tabs>
          <w:tab w:val="clear" w:pos="1160"/>
          <w:tab w:val="num" w:pos="567"/>
        </w:tabs>
        <w:ind w:left="567" w:hanging="283"/>
        <w:rPr>
          <w:rFonts w:cs="Arial"/>
          <w:color w:val="000000"/>
        </w:rPr>
      </w:pPr>
      <w:r w:rsidRPr="00633455">
        <w:rPr>
          <w:rFonts w:cs="Arial"/>
          <w:b/>
          <w:bCs/>
          <w:i/>
          <w:iCs/>
        </w:rPr>
        <w:t>Communication</w:t>
      </w:r>
      <w:r w:rsidRPr="00633455">
        <w:rPr>
          <w:rFonts w:cs="Arial"/>
        </w:rPr>
        <w:t xml:space="preserve">:  communication expenses such as telephone, internet, facsimile and mail, postage and carriage of documents. </w:t>
      </w:r>
    </w:p>
    <w:p w:rsidR="002418F6" w:rsidRPr="00633455" w:rsidRDefault="002418F6" w:rsidP="002418F6">
      <w:pPr>
        <w:tabs>
          <w:tab w:val="num" w:pos="567"/>
        </w:tabs>
        <w:ind w:left="567" w:firstLineChars="200" w:firstLine="400"/>
        <w:rPr>
          <w:rFonts w:cs="Arial"/>
          <w:color w:val="000000"/>
        </w:rPr>
      </w:pPr>
    </w:p>
    <w:p w:rsidR="002418F6" w:rsidRPr="00633455" w:rsidRDefault="002418F6" w:rsidP="002418F6">
      <w:pPr>
        <w:numPr>
          <w:ilvl w:val="0"/>
          <w:numId w:val="14"/>
        </w:numPr>
        <w:tabs>
          <w:tab w:val="clear" w:pos="1160"/>
          <w:tab w:val="num" w:pos="567"/>
        </w:tabs>
        <w:ind w:left="567" w:hanging="283"/>
        <w:rPr>
          <w:rFonts w:cs="Arial"/>
          <w:color w:val="000000"/>
        </w:rPr>
      </w:pPr>
      <w:r w:rsidRPr="00633455">
        <w:rPr>
          <w:rFonts w:cs="Arial"/>
          <w:b/>
          <w:bCs/>
          <w:i/>
          <w:iCs/>
        </w:rPr>
        <w:t>Representation</w:t>
      </w:r>
      <w:r w:rsidRPr="00633455">
        <w:rPr>
          <w:rFonts w:cs="Arial"/>
        </w:rPr>
        <w:t>: official hospitality expenses.</w:t>
      </w:r>
    </w:p>
    <w:p w:rsidR="002418F6" w:rsidRPr="00633455" w:rsidRDefault="002418F6" w:rsidP="002418F6">
      <w:pPr>
        <w:tabs>
          <w:tab w:val="num" w:pos="567"/>
        </w:tabs>
        <w:ind w:left="567" w:firstLineChars="200" w:firstLine="400"/>
        <w:rPr>
          <w:rFonts w:cs="Arial"/>
          <w:color w:val="000000"/>
        </w:rPr>
      </w:pPr>
    </w:p>
    <w:p w:rsidR="002418F6" w:rsidRPr="00633455" w:rsidRDefault="002418F6" w:rsidP="002418F6">
      <w:pPr>
        <w:numPr>
          <w:ilvl w:val="0"/>
          <w:numId w:val="14"/>
        </w:numPr>
        <w:tabs>
          <w:tab w:val="clear" w:pos="1160"/>
          <w:tab w:val="num" w:pos="567"/>
        </w:tabs>
        <w:ind w:left="567" w:hanging="283"/>
        <w:rPr>
          <w:rFonts w:cs="Arial"/>
          <w:color w:val="000000"/>
        </w:rPr>
      </w:pPr>
      <w:r w:rsidRPr="00633455">
        <w:rPr>
          <w:rFonts w:cs="Arial"/>
          <w:b/>
          <w:bCs/>
          <w:i/>
          <w:iCs/>
        </w:rPr>
        <w:t>Admin and bank charges</w:t>
      </w:r>
      <w:r w:rsidRPr="00633455">
        <w:rPr>
          <w:rFonts w:cs="Arial"/>
        </w:rPr>
        <w:t>:  bank charges; currency adjustments;</w:t>
      </w:r>
      <w:r w:rsidRPr="00633455">
        <w:rPr>
          <w:rFonts w:cs="Arial"/>
          <w:b/>
          <w:bCs/>
        </w:rPr>
        <w:t xml:space="preserve"> </w:t>
      </w:r>
      <w:r w:rsidRPr="00633455">
        <w:rPr>
          <w:rFonts w:cs="Arial"/>
        </w:rPr>
        <w:t xml:space="preserve">contribution to Staff Association.  </w:t>
      </w:r>
    </w:p>
    <w:p w:rsidR="002418F6" w:rsidRPr="00633455" w:rsidRDefault="002418F6" w:rsidP="002418F6">
      <w:pPr>
        <w:ind w:firstLineChars="200" w:firstLine="400"/>
        <w:rPr>
          <w:rFonts w:cs="Arial"/>
          <w:color w:val="000000"/>
        </w:rPr>
      </w:pPr>
    </w:p>
    <w:p w:rsidR="002418F6" w:rsidRPr="00633455" w:rsidRDefault="002418F6" w:rsidP="002418F6">
      <w:pPr>
        <w:numPr>
          <w:ilvl w:val="0"/>
          <w:numId w:val="14"/>
        </w:numPr>
        <w:tabs>
          <w:tab w:val="clear" w:pos="1160"/>
          <w:tab w:val="num" w:pos="567"/>
        </w:tabs>
        <w:ind w:left="567" w:hanging="283"/>
        <w:rPr>
          <w:rFonts w:cs="Arial"/>
          <w:color w:val="000000"/>
        </w:rPr>
      </w:pPr>
      <w:r w:rsidRPr="00633455">
        <w:rPr>
          <w:rFonts w:cs="Arial"/>
          <w:b/>
          <w:bCs/>
          <w:i/>
          <w:iCs/>
        </w:rPr>
        <w:t>UN Joint Services</w:t>
      </w:r>
      <w:r w:rsidRPr="00633455">
        <w:rPr>
          <w:rFonts w:cs="Arial"/>
        </w:rPr>
        <w:t>:  medical assistance, contributions to joint administrative activities within the United Nations system</w:t>
      </w:r>
      <w:r>
        <w:rPr>
          <w:rFonts w:cs="Arial"/>
        </w:rPr>
        <w:t xml:space="preserve">, </w:t>
      </w:r>
      <w:r w:rsidRPr="00D6239D">
        <w:rPr>
          <w:rFonts w:cs="Arial"/>
        </w:rPr>
        <w:t xml:space="preserve">United Nations cost </w:t>
      </w:r>
      <w:r>
        <w:rPr>
          <w:rFonts w:cs="Arial"/>
        </w:rPr>
        <w:t>shared</w:t>
      </w:r>
      <w:r w:rsidRPr="00D6239D">
        <w:rPr>
          <w:rFonts w:cs="Arial"/>
        </w:rPr>
        <w:t xml:space="preserve"> activities</w:t>
      </w:r>
      <w:r w:rsidRPr="00633455">
        <w:rPr>
          <w:rFonts w:cs="Arial"/>
        </w:rPr>
        <w:t>, Administrative Tribunal.</w:t>
      </w:r>
    </w:p>
    <w:p w:rsidR="002418F6" w:rsidRPr="00633455" w:rsidRDefault="002418F6" w:rsidP="002418F6">
      <w:pPr>
        <w:rPr>
          <w:rFonts w:cs="Arial"/>
          <w:b/>
          <w:bCs/>
        </w:rPr>
      </w:pPr>
    </w:p>
    <w:p w:rsidR="002418F6" w:rsidRDefault="002418F6" w:rsidP="002418F6">
      <w:pPr>
        <w:rPr>
          <w:rFonts w:cs="Arial"/>
          <w:b/>
          <w:bCs/>
        </w:rPr>
      </w:pPr>
      <w:bookmarkStart w:id="22" w:name="RANGE!A35"/>
    </w:p>
    <w:p w:rsidR="002418F6" w:rsidRPr="00633455" w:rsidRDefault="002418F6" w:rsidP="002418F6">
      <w:pPr>
        <w:rPr>
          <w:rFonts w:cs="Arial"/>
          <w:b/>
          <w:bCs/>
        </w:rPr>
      </w:pPr>
      <w:r w:rsidRPr="00633455">
        <w:rPr>
          <w:rFonts w:cs="Arial"/>
          <w:b/>
          <w:bCs/>
        </w:rPr>
        <w:t>Equipment and Supplies</w:t>
      </w:r>
      <w:bookmarkEnd w:id="22"/>
    </w:p>
    <w:p w:rsidR="002418F6" w:rsidRPr="00633455" w:rsidRDefault="002418F6" w:rsidP="002418F6">
      <w:pPr>
        <w:rPr>
          <w:rFonts w:cs="Arial"/>
        </w:rPr>
      </w:pPr>
    </w:p>
    <w:p w:rsidR="002418F6" w:rsidRPr="00633455" w:rsidRDefault="002418F6" w:rsidP="002418F6">
      <w:pPr>
        <w:numPr>
          <w:ilvl w:val="0"/>
          <w:numId w:val="15"/>
        </w:numPr>
        <w:tabs>
          <w:tab w:val="clear" w:pos="1160"/>
          <w:tab w:val="num" w:pos="567"/>
        </w:tabs>
        <w:ind w:left="567" w:hanging="283"/>
        <w:rPr>
          <w:rFonts w:cs="Arial"/>
          <w:color w:val="000000"/>
        </w:rPr>
      </w:pPr>
      <w:r w:rsidRPr="00633455">
        <w:rPr>
          <w:rFonts w:cs="Arial"/>
          <w:b/>
          <w:bCs/>
          <w:i/>
          <w:iCs/>
          <w:color w:val="000000"/>
        </w:rPr>
        <w:t>Furniture and equipment</w:t>
      </w:r>
      <w:r w:rsidRPr="00633455">
        <w:rPr>
          <w:rFonts w:cs="Arial"/>
          <w:color w:val="000000"/>
        </w:rPr>
        <w:t xml:space="preserve">: purchase of office furniture, office machines, computer equipment (desktop, laptops, printers, servers, </w:t>
      </w:r>
      <w:proofErr w:type="spellStart"/>
      <w:r w:rsidRPr="00633455">
        <w:rPr>
          <w:rFonts w:cs="Arial"/>
          <w:color w:val="000000"/>
        </w:rPr>
        <w:t>etc</w:t>
      </w:r>
      <w:proofErr w:type="spellEnd"/>
      <w:r w:rsidRPr="00633455">
        <w:rPr>
          <w:rFonts w:cs="Arial"/>
          <w:color w:val="000000"/>
        </w:rPr>
        <w:t>), conference servicing equipment, reproduction equipment and transportation equipment.</w:t>
      </w:r>
    </w:p>
    <w:p w:rsidR="002418F6" w:rsidRPr="00633455" w:rsidRDefault="002418F6" w:rsidP="002418F6">
      <w:pPr>
        <w:tabs>
          <w:tab w:val="num" w:pos="567"/>
        </w:tabs>
        <w:ind w:left="567" w:hanging="283"/>
        <w:rPr>
          <w:rFonts w:cs="Arial"/>
        </w:rPr>
      </w:pPr>
    </w:p>
    <w:p w:rsidR="002418F6" w:rsidRPr="00633455" w:rsidRDefault="002418F6" w:rsidP="002418F6">
      <w:pPr>
        <w:numPr>
          <w:ilvl w:val="0"/>
          <w:numId w:val="15"/>
        </w:numPr>
        <w:tabs>
          <w:tab w:val="clear" w:pos="1160"/>
          <w:tab w:val="num" w:pos="567"/>
        </w:tabs>
        <w:ind w:left="567" w:hanging="283"/>
        <w:rPr>
          <w:rFonts w:cs="Arial"/>
          <w:color w:val="000000"/>
        </w:rPr>
      </w:pPr>
      <w:r w:rsidRPr="00633455">
        <w:rPr>
          <w:rFonts w:cs="Arial"/>
          <w:b/>
          <w:bCs/>
          <w:i/>
          <w:iCs/>
          <w:color w:val="000000"/>
        </w:rPr>
        <w:t>Supplies and materials</w:t>
      </w:r>
      <w:r w:rsidRPr="00633455">
        <w:rPr>
          <w:rFonts w:cs="Arial"/>
          <w:color w:val="000000"/>
        </w:rPr>
        <w:t>: stationery and office supplies; internal reproduction supplies (offset, microfilms, etc.); library books and subscriptions to reviews and periodicals; uniforms; computer supplies, software and licenses.</w:t>
      </w:r>
    </w:p>
    <w:p w:rsidR="002418F6" w:rsidRPr="00DD6106" w:rsidRDefault="002418F6" w:rsidP="00421639">
      <w:pPr>
        <w:jc w:val="center"/>
      </w:pPr>
    </w:p>
    <w:p w:rsidR="00421639" w:rsidRPr="00DD6106" w:rsidRDefault="00421639" w:rsidP="002C4A47">
      <w:pPr>
        <w:jc w:val="center"/>
      </w:pPr>
    </w:p>
    <w:p w:rsidR="00421639" w:rsidRPr="00DD6106" w:rsidRDefault="00421639" w:rsidP="00421639">
      <w:pPr>
        <w:jc w:val="center"/>
        <w:rPr>
          <w:rStyle w:val="underline"/>
          <w:b/>
          <w:szCs w:val="24"/>
        </w:rPr>
      </w:pPr>
      <w:r w:rsidRPr="00DD6106">
        <w:rPr>
          <w:rStyle w:val="underline"/>
          <w:b/>
          <w:szCs w:val="24"/>
        </w:rPr>
        <w:t>Program</w:t>
      </w:r>
    </w:p>
    <w:p w:rsidR="00421639" w:rsidRPr="00DD6106" w:rsidRDefault="00421639" w:rsidP="00421639">
      <w:pPr>
        <w:jc w:val="center"/>
      </w:pPr>
    </w:p>
    <w:p w:rsidR="00421639" w:rsidRPr="00DD6106" w:rsidRDefault="00421639" w:rsidP="00421639">
      <w:pPr>
        <w:jc w:val="center"/>
      </w:pPr>
    </w:p>
    <w:p w:rsidR="00421639" w:rsidRPr="00DD6106" w:rsidRDefault="00421639" w:rsidP="00421639">
      <w:r w:rsidRPr="00DD6106">
        <w:rPr>
          <w:b/>
        </w:rPr>
        <w:t>Main Program:</w:t>
      </w:r>
      <w:r w:rsidRPr="00DD6106">
        <w:t xml:space="preserve">  UPOV consists of a single Main Program which has been designed according to the need to realize priorities as defined by its membership.  Its over-reaching goals</w:t>
      </w:r>
      <w:r>
        <w:t xml:space="preserve"> are grouped by type at the sub</w:t>
      </w:r>
      <w:r>
        <w:noBreakHyphen/>
      </w:r>
      <w:r w:rsidRPr="00DD6106">
        <w:t>program level.</w:t>
      </w:r>
    </w:p>
    <w:p w:rsidR="00421639" w:rsidRPr="00DD6106" w:rsidRDefault="00421639" w:rsidP="00421639"/>
    <w:p w:rsidR="00421639" w:rsidRPr="00DD6106" w:rsidRDefault="00421639" w:rsidP="00421639">
      <w:r w:rsidRPr="00DD6106">
        <w:rPr>
          <w:b/>
        </w:rPr>
        <w:t>Sub-programs:</w:t>
      </w:r>
      <w:r w:rsidRPr="00DD6106">
        <w:t xml:space="preserve">  The UPOV Main Program is divided into four Sub-programs (UV.1</w:t>
      </w:r>
      <w:r w:rsidRPr="00DD6106">
        <w:noBreakHyphen/>
        <w:t>UV.4).  Progress in each sub</w:t>
      </w:r>
      <w:r w:rsidRPr="00DD6106">
        <w:noBreakHyphen/>
        <w:t xml:space="preserve">program is monitored against pre-determined objectives.  This process </w:t>
      </w:r>
      <w:r>
        <w:t>supports the efficient and cost</w:t>
      </w:r>
      <w:r>
        <w:noBreakHyphen/>
      </w:r>
      <w:r w:rsidRPr="00DD6106">
        <w:t>effective utilization of resources and the maintenance of a system of accountabili</w:t>
      </w:r>
      <w:r>
        <w:t>ty for program implementation.</w:t>
      </w:r>
    </w:p>
    <w:p w:rsidR="00421639" w:rsidRPr="004312D5" w:rsidRDefault="00421639" w:rsidP="00421639">
      <w:pPr>
        <w:pStyle w:val="endofdoc"/>
        <w:rPr>
          <w:rFonts w:cs="Arial"/>
        </w:rPr>
      </w:pPr>
      <w:r w:rsidRPr="00EA1426">
        <w:t>[End of Appendix III and of document]</w:t>
      </w:r>
    </w:p>
    <w:sectPr w:rsidR="00421639" w:rsidRPr="004312D5" w:rsidSect="00421639">
      <w:headerReference w:type="defaul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C4" w:rsidRDefault="001778C4" w:rsidP="006655D3">
      <w:r>
        <w:separator/>
      </w:r>
    </w:p>
    <w:p w:rsidR="001778C4" w:rsidRDefault="001778C4" w:rsidP="006655D3"/>
    <w:p w:rsidR="001778C4" w:rsidRDefault="001778C4" w:rsidP="006655D3"/>
  </w:endnote>
  <w:endnote w:type="continuationSeparator" w:id="0">
    <w:p w:rsidR="001778C4" w:rsidRDefault="001778C4" w:rsidP="006655D3">
      <w:r>
        <w:separator/>
      </w:r>
    </w:p>
    <w:p w:rsidR="001778C4" w:rsidRPr="00560A6D" w:rsidRDefault="001778C4">
      <w:pPr>
        <w:pStyle w:val="Footer"/>
        <w:spacing w:after="60"/>
        <w:rPr>
          <w:sz w:val="18"/>
          <w:lang w:val="fr-FR"/>
        </w:rPr>
      </w:pPr>
      <w:r w:rsidRPr="00560A6D">
        <w:rPr>
          <w:sz w:val="18"/>
          <w:lang w:val="fr-FR"/>
        </w:rPr>
        <w:t>[Suite de la note de la page précédente]</w:t>
      </w:r>
    </w:p>
    <w:p w:rsidR="001778C4" w:rsidRPr="00560A6D" w:rsidRDefault="001778C4" w:rsidP="006655D3">
      <w:pPr>
        <w:rPr>
          <w:lang w:val="fr-FR"/>
        </w:rPr>
      </w:pPr>
    </w:p>
    <w:p w:rsidR="001778C4" w:rsidRPr="00560A6D" w:rsidRDefault="001778C4" w:rsidP="006655D3">
      <w:pPr>
        <w:rPr>
          <w:lang w:val="fr-FR"/>
        </w:rPr>
      </w:pPr>
    </w:p>
  </w:endnote>
  <w:endnote w:type="continuationNotice" w:id="1">
    <w:p w:rsidR="001778C4" w:rsidRPr="00560A6D" w:rsidRDefault="001778C4" w:rsidP="006655D3">
      <w:pPr>
        <w:rPr>
          <w:lang w:val="fr-FR"/>
        </w:rPr>
      </w:pPr>
      <w:r w:rsidRPr="00560A6D">
        <w:rPr>
          <w:lang w:val="fr-FR"/>
        </w:rPr>
        <w:t>[Suite de la note page suivante]</w:t>
      </w:r>
    </w:p>
    <w:p w:rsidR="001778C4" w:rsidRPr="00560A6D" w:rsidRDefault="001778C4" w:rsidP="006655D3">
      <w:pPr>
        <w:rPr>
          <w:lang w:val="fr-FR"/>
        </w:rPr>
      </w:pPr>
    </w:p>
    <w:p w:rsidR="001778C4" w:rsidRPr="00560A6D" w:rsidRDefault="001778C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4" w:rsidRPr="00221F69" w:rsidRDefault="001778C4" w:rsidP="00DC3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4" w:rsidRDefault="00177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C4" w:rsidRDefault="001778C4" w:rsidP="00C95616">
      <w:pPr>
        <w:spacing w:before="120"/>
      </w:pPr>
      <w:r>
        <w:separator/>
      </w:r>
    </w:p>
  </w:footnote>
  <w:footnote w:type="continuationSeparator" w:id="0">
    <w:p w:rsidR="001778C4" w:rsidRDefault="001778C4" w:rsidP="006655D3">
      <w:r>
        <w:separator/>
      </w:r>
    </w:p>
  </w:footnote>
  <w:footnote w:type="continuationNotice" w:id="1">
    <w:p w:rsidR="001778C4" w:rsidRPr="00A56FAA" w:rsidRDefault="001778C4"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4" w:rsidRPr="00C5280D" w:rsidRDefault="00223DC1" w:rsidP="00EB048E">
    <w:pPr>
      <w:pStyle w:val="Header"/>
      <w:rPr>
        <w:rStyle w:val="PageNumber"/>
        <w:lang w:val="en-US"/>
      </w:rPr>
    </w:pPr>
    <w:r>
      <w:rPr>
        <w:rStyle w:val="PageNumber"/>
        <w:lang w:val="en-US"/>
      </w:rPr>
      <w:t>C/47/4 Rev.</w:t>
    </w:r>
  </w:p>
  <w:p w:rsidR="001778C4" w:rsidRPr="00C5280D" w:rsidRDefault="001778C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D5D77">
      <w:rPr>
        <w:rStyle w:val="PageNumber"/>
        <w:noProof/>
        <w:lang w:val="en-US"/>
      </w:rPr>
      <w:t>2</w:t>
    </w:r>
    <w:r w:rsidRPr="00C5280D">
      <w:rPr>
        <w:rStyle w:val="PageNumber"/>
        <w:lang w:val="en-US"/>
      </w:rPr>
      <w:fldChar w:fldCharType="end"/>
    </w:r>
  </w:p>
  <w:p w:rsidR="001778C4" w:rsidRPr="00C5280D" w:rsidRDefault="001778C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4" w:rsidRPr="00C5280D" w:rsidRDefault="00223DC1" w:rsidP="00EB048E">
    <w:pPr>
      <w:pStyle w:val="Header"/>
      <w:rPr>
        <w:rStyle w:val="PageNumber"/>
        <w:lang w:val="en-US"/>
      </w:rPr>
    </w:pPr>
    <w:r>
      <w:rPr>
        <w:rStyle w:val="PageNumber"/>
        <w:lang w:val="en-US"/>
      </w:rPr>
      <w:t>C/47/4 Rev.</w:t>
    </w:r>
  </w:p>
  <w:p w:rsidR="001778C4" w:rsidRPr="00C5280D" w:rsidRDefault="001778C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D5D77">
      <w:rPr>
        <w:rStyle w:val="PageNumber"/>
        <w:noProof/>
        <w:lang w:val="en-US"/>
      </w:rPr>
      <w:t>2</w:t>
    </w:r>
    <w:r w:rsidRPr="00C5280D">
      <w:rPr>
        <w:rStyle w:val="PageNumber"/>
        <w:lang w:val="en-US"/>
      </w:rPr>
      <w:fldChar w:fldCharType="end"/>
    </w:r>
  </w:p>
  <w:p w:rsidR="001778C4" w:rsidRPr="00C5280D" w:rsidRDefault="001778C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4" w:rsidRPr="005C7228" w:rsidRDefault="001778C4" w:rsidP="00DC35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4" w:rsidRPr="00C5280D" w:rsidRDefault="001778C4" w:rsidP="00EB048E">
    <w:pPr>
      <w:pStyle w:val="Header"/>
      <w:rPr>
        <w:rStyle w:val="PageNumber"/>
        <w:lang w:val="en-US"/>
      </w:rPr>
    </w:pPr>
    <w:r>
      <w:rPr>
        <w:rStyle w:val="PageNumber"/>
        <w:lang w:val="en-US"/>
      </w:rPr>
      <w:t>CC/85/4:  ANNEX</w:t>
    </w:r>
  </w:p>
  <w:p w:rsidR="001778C4" w:rsidRPr="00C5280D" w:rsidRDefault="001778C4"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4" w:rsidRPr="00C5280D" w:rsidRDefault="00223DC1" w:rsidP="00DC35EC">
    <w:pPr>
      <w:pStyle w:val="Header"/>
      <w:rPr>
        <w:rStyle w:val="PageNumber"/>
        <w:lang w:val="en-US"/>
      </w:rPr>
    </w:pPr>
    <w:r>
      <w:rPr>
        <w:rStyle w:val="PageNumber"/>
        <w:lang w:val="en-US"/>
      </w:rPr>
      <w:t>C/47/4 Rev.</w:t>
    </w:r>
    <w:r w:rsidR="001778C4">
      <w:rPr>
        <w:rStyle w:val="PageNumber"/>
        <w:lang w:val="en-US"/>
      </w:rPr>
      <w:t>:  ANNEX</w:t>
    </w:r>
  </w:p>
  <w:p w:rsidR="001778C4" w:rsidRPr="005C7228" w:rsidRDefault="001778C4" w:rsidP="00DC35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4" w:rsidRPr="00B8035E" w:rsidRDefault="00223DC1" w:rsidP="00DC35EC">
    <w:pPr>
      <w:pStyle w:val="Header"/>
      <w:rPr>
        <w:rStyle w:val="PageNumber"/>
      </w:rPr>
    </w:pPr>
    <w:r>
      <w:rPr>
        <w:rStyle w:val="PageNumber"/>
      </w:rPr>
      <w:t xml:space="preserve">C/47/4 </w:t>
    </w:r>
    <w:proofErr w:type="spellStart"/>
    <w:r>
      <w:rPr>
        <w:rStyle w:val="PageNumber"/>
      </w:rPr>
      <w:t>Rev</w:t>
    </w:r>
    <w:proofErr w:type="spellEnd"/>
    <w:r>
      <w:rPr>
        <w:rStyle w:val="PageNumber"/>
      </w:rPr>
      <w:t>.</w:t>
    </w:r>
    <w:r w:rsidR="001778C4" w:rsidRPr="00B8035E">
      <w:rPr>
        <w:rStyle w:val="PageNumber"/>
      </w:rPr>
      <w:t>:  ANNEX</w:t>
    </w:r>
  </w:p>
  <w:p w:rsidR="001778C4" w:rsidRDefault="001778C4" w:rsidP="00DC35EC">
    <w:pPr>
      <w:pStyle w:val="Header"/>
      <w:rPr>
        <w:rStyle w:val="PageNumber"/>
      </w:rPr>
    </w:pPr>
    <w:proofErr w:type="spellStart"/>
    <w:r>
      <w:t>Appendix</w:t>
    </w:r>
    <w:proofErr w:type="spellEnd"/>
    <w:r>
      <w:t xml:space="preserve"> II, page </w:t>
    </w:r>
    <w:r>
      <w:rPr>
        <w:rStyle w:val="PageNumber"/>
      </w:rPr>
      <w:fldChar w:fldCharType="begin"/>
    </w:r>
    <w:r>
      <w:rPr>
        <w:rStyle w:val="PageNumber"/>
      </w:rPr>
      <w:instrText xml:space="preserve"> PAGE </w:instrText>
    </w:r>
    <w:r>
      <w:rPr>
        <w:rStyle w:val="PageNumber"/>
      </w:rPr>
      <w:fldChar w:fldCharType="separate"/>
    </w:r>
    <w:r w:rsidR="00AD5D77">
      <w:rPr>
        <w:rStyle w:val="PageNumber"/>
        <w:noProof/>
      </w:rPr>
      <w:t>2</w:t>
    </w:r>
    <w:r>
      <w:rPr>
        <w:rStyle w:val="PageNumber"/>
      </w:rPr>
      <w:fldChar w:fldCharType="end"/>
    </w:r>
  </w:p>
  <w:p w:rsidR="001778C4" w:rsidRPr="004312D5" w:rsidRDefault="001778C4" w:rsidP="00DC35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C4" w:rsidRPr="00B8035E" w:rsidRDefault="00223DC1" w:rsidP="00DC35EC">
    <w:pPr>
      <w:pStyle w:val="Header"/>
      <w:rPr>
        <w:rStyle w:val="PageNumber"/>
      </w:rPr>
    </w:pPr>
    <w:r>
      <w:rPr>
        <w:rStyle w:val="PageNumber"/>
      </w:rPr>
      <w:t xml:space="preserve">C/47/4 </w:t>
    </w:r>
    <w:proofErr w:type="spellStart"/>
    <w:r>
      <w:rPr>
        <w:rStyle w:val="PageNumber"/>
      </w:rPr>
      <w:t>Rev</w:t>
    </w:r>
    <w:proofErr w:type="spellEnd"/>
    <w:r>
      <w:rPr>
        <w:rStyle w:val="PageNumber"/>
      </w:rPr>
      <w:t>.</w:t>
    </w:r>
    <w:r w:rsidR="001778C4" w:rsidRPr="00B8035E">
      <w:rPr>
        <w:rStyle w:val="PageNumber"/>
      </w:rPr>
      <w:t>:  ANNEX</w:t>
    </w:r>
  </w:p>
  <w:p w:rsidR="001778C4" w:rsidRDefault="001778C4" w:rsidP="00DC35EC">
    <w:pPr>
      <w:pStyle w:val="Header"/>
      <w:rPr>
        <w:rStyle w:val="PageNumber"/>
      </w:rPr>
    </w:pPr>
    <w:proofErr w:type="spellStart"/>
    <w:r>
      <w:t>Appendix</w:t>
    </w:r>
    <w:proofErr w:type="spellEnd"/>
    <w:r>
      <w:t xml:space="preserve"> III, page </w:t>
    </w:r>
    <w:r>
      <w:rPr>
        <w:rStyle w:val="PageNumber"/>
      </w:rPr>
      <w:fldChar w:fldCharType="begin"/>
    </w:r>
    <w:r>
      <w:rPr>
        <w:rStyle w:val="PageNumber"/>
      </w:rPr>
      <w:instrText xml:space="preserve"> PAGE </w:instrText>
    </w:r>
    <w:r>
      <w:rPr>
        <w:rStyle w:val="PageNumber"/>
      </w:rPr>
      <w:fldChar w:fldCharType="separate"/>
    </w:r>
    <w:r w:rsidR="00AD5D77">
      <w:rPr>
        <w:rStyle w:val="PageNumber"/>
        <w:noProof/>
      </w:rPr>
      <w:t>2</w:t>
    </w:r>
    <w:r>
      <w:rPr>
        <w:rStyle w:val="PageNumber"/>
      </w:rPr>
      <w:fldChar w:fldCharType="end"/>
    </w:r>
  </w:p>
  <w:p w:rsidR="001778C4" w:rsidRPr="004312D5" w:rsidRDefault="001778C4" w:rsidP="00DC35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2D170B"/>
    <w:multiLevelType w:val="hybridMultilevel"/>
    <w:tmpl w:val="4BC8BF5A"/>
    <w:lvl w:ilvl="0" w:tplc="1890D32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FFC"/>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5E7006"/>
    <w:multiLevelType w:val="hybridMultilevel"/>
    <w:tmpl w:val="FCB44B40"/>
    <w:lvl w:ilvl="0" w:tplc="75FA6534">
      <w:start w:val="1"/>
      <w:numFmt w:val="decimal"/>
      <w:lvlText w:val="%1."/>
      <w:lvlJc w:val="left"/>
      <w:pPr>
        <w:tabs>
          <w:tab w:val="num" w:pos="360"/>
        </w:tabs>
        <w:ind w:left="360" w:hanging="360"/>
      </w:pPr>
    </w:lvl>
    <w:lvl w:ilvl="1" w:tplc="160E8812">
      <w:start w:val="1"/>
      <w:numFmt w:val="lowerLetter"/>
      <w:lvlText w:val="(%2)"/>
      <w:lvlJc w:val="left"/>
      <w:pPr>
        <w:tabs>
          <w:tab w:val="num" w:pos="1080"/>
        </w:tabs>
        <w:ind w:left="1080" w:hanging="360"/>
      </w:pPr>
      <w:rPr>
        <w:rFonts w:hint="default"/>
      </w:rPr>
    </w:lvl>
    <w:lvl w:ilvl="2" w:tplc="87E848DC">
      <w:start w:val="1"/>
      <w:numFmt w:val="lowerRoman"/>
      <w:lvlText w:val="(%3)"/>
      <w:lvlJc w:val="left"/>
      <w:pPr>
        <w:tabs>
          <w:tab w:val="num" w:pos="1790"/>
        </w:tabs>
        <w:ind w:left="1620" w:firstLine="0"/>
      </w:pPr>
      <w:rPr>
        <w:rFonts w:hint="default"/>
      </w:rPr>
    </w:lvl>
    <w:lvl w:ilvl="3" w:tplc="87B6F5D8">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nsid w:val="24726D81"/>
    <w:multiLevelType w:val="hybridMultilevel"/>
    <w:tmpl w:val="259AE5A4"/>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7">
    <w:nsid w:val="276F7D50"/>
    <w:multiLevelType w:val="hybridMultilevel"/>
    <w:tmpl w:val="E26E1252"/>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8">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7F1CA2"/>
    <w:multiLevelType w:val="hybridMultilevel"/>
    <w:tmpl w:val="449ED5AA"/>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1">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313078"/>
    <w:multiLevelType w:val="hybridMultilevel"/>
    <w:tmpl w:val="32D6B086"/>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2"/>
  </w:num>
  <w:num w:numId="4">
    <w:abstractNumId w:val="14"/>
  </w:num>
  <w:num w:numId="5">
    <w:abstractNumId w:val="2"/>
  </w:num>
  <w:num w:numId="6">
    <w:abstractNumId w:val="4"/>
  </w:num>
  <w:num w:numId="7">
    <w:abstractNumId w:val="8"/>
  </w:num>
  <w:num w:numId="8">
    <w:abstractNumId w:val="15"/>
  </w:num>
  <w:num w:numId="9">
    <w:abstractNumId w:val="3"/>
  </w:num>
  <w:num w:numId="10">
    <w:abstractNumId w:val="1"/>
  </w:num>
  <w:num w:numId="11">
    <w:abstractNumId w:val="13"/>
  </w:num>
  <w:num w:numId="12">
    <w:abstractNumId w:val="10"/>
  </w:num>
  <w:num w:numId="13">
    <w:abstractNumId w:val="9"/>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6C"/>
    <w:rsid w:val="00010CF3"/>
    <w:rsid w:val="00011506"/>
    <w:rsid w:val="00011E27"/>
    <w:rsid w:val="000148BC"/>
    <w:rsid w:val="00024AB8"/>
    <w:rsid w:val="00030854"/>
    <w:rsid w:val="00036028"/>
    <w:rsid w:val="0004373E"/>
    <w:rsid w:val="00044642"/>
    <w:rsid w:val="000446B9"/>
    <w:rsid w:val="00047E21"/>
    <w:rsid w:val="0005633D"/>
    <w:rsid w:val="000712DA"/>
    <w:rsid w:val="00085505"/>
    <w:rsid w:val="0009121A"/>
    <w:rsid w:val="000A68B4"/>
    <w:rsid w:val="000C39BD"/>
    <w:rsid w:val="000C7021"/>
    <w:rsid w:val="000D555A"/>
    <w:rsid w:val="000D6BBC"/>
    <w:rsid w:val="000D7780"/>
    <w:rsid w:val="000D7C2D"/>
    <w:rsid w:val="000F20F4"/>
    <w:rsid w:val="00105929"/>
    <w:rsid w:val="001131D5"/>
    <w:rsid w:val="00141DB8"/>
    <w:rsid w:val="00167B98"/>
    <w:rsid w:val="0017474A"/>
    <w:rsid w:val="001758C6"/>
    <w:rsid w:val="001778C4"/>
    <w:rsid w:val="00177CC6"/>
    <w:rsid w:val="00182B99"/>
    <w:rsid w:val="001856B5"/>
    <w:rsid w:val="001A0080"/>
    <w:rsid w:val="001A0E1A"/>
    <w:rsid w:val="001B547F"/>
    <w:rsid w:val="001B5703"/>
    <w:rsid w:val="001E0CF9"/>
    <w:rsid w:val="001E327C"/>
    <w:rsid w:val="0021332C"/>
    <w:rsid w:val="00213982"/>
    <w:rsid w:val="00223DC1"/>
    <w:rsid w:val="002418F6"/>
    <w:rsid w:val="0024416D"/>
    <w:rsid w:val="0026629A"/>
    <w:rsid w:val="002800A0"/>
    <w:rsid w:val="002801B3"/>
    <w:rsid w:val="0028098F"/>
    <w:rsid w:val="00281060"/>
    <w:rsid w:val="002940E8"/>
    <w:rsid w:val="002A336C"/>
    <w:rsid w:val="002A6E50"/>
    <w:rsid w:val="002C256A"/>
    <w:rsid w:val="002C4A47"/>
    <w:rsid w:val="002E51D8"/>
    <w:rsid w:val="00305A7F"/>
    <w:rsid w:val="00315280"/>
    <w:rsid w:val="003152FE"/>
    <w:rsid w:val="00325C7B"/>
    <w:rsid w:val="00327436"/>
    <w:rsid w:val="0033507D"/>
    <w:rsid w:val="00341660"/>
    <w:rsid w:val="00344BD6"/>
    <w:rsid w:val="0035241B"/>
    <w:rsid w:val="0035528D"/>
    <w:rsid w:val="00361821"/>
    <w:rsid w:val="003B550A"/>
    <w:rsid w:val="003D227C"/>
    <w:rsid w:val="003D2B4D"/>
    <w:rsid w:val="003F54EA"/>
    <w:rsid w:val="0040412E"/>
    <w:rsid w:val="00416F63"/>
    <w:rsid w:val="00420BD2"/>
    <w:rsid w:val="00421639"/>
    <w:rsid w:val="004236BB"/>
    <w:rsid w:val="00444A88"/>
    <w:rsid w:val="00471088"/>
    <w:rsid w:val="00474DA4"/>
    <w:rsid w:val="00476B4D"/>
    <w:rsid w:val="004805FA"/>
    <w:rsid w:val="00486CD9"/>
    <w:rsid w:val="00490B4C"/>
    <w:rsid w:val="00491CB1"/>
    <w:rsid w:val="004951EA"/>
    <w:rsid w:val="004B6286"/>
    <w:rsid w:val="004D047D"/>
    <w:rsid w:val="004E7B00"/>
    <w:rsid w:val="004F305A"/>
    <w:rsid w:val="00512164"/>
    <w:rsid w:val="00520297"/>
    <w:rsid w:val="005338F9"/>
    <w:rsid w:val="0054281C"/>
    <w:rsid w:val="0055268D"/>
    <w:rsid w:val="00560A6D"/>
    <w:rsid w:val="00561957"/>
    <w:rsid w:val="00576BE4"/>
    <w:rsid w:val="005A400A"/>
    <w:rsid w:val="005B0934"/>
    <w:rsid w:val="005B2FA6"/>
    <w:rsid w:val="005D77D2"/>
    <w:rsid w:val="005E348F"/>
    <w:rsid w:val="005E79BF"/>
    <w:rsid w:val="005F05B6"/>
    <w:rsid w:val="00612379"/>
    <w:rsid w:val="0061555F"/>
    <w:rsid w:val="0062172B"/>
    <w:rsid w:val="00630A77"/>
    <w:rsid w:val="00641200"/>
    <w:rsid w:val="00650965"/>
    <w:rsid w:val="00653452"/>
    <w:rsid w:val="00656D37"/>
    <w:rsid w:val="006655D3"/>
    <w:rsid w:val="006802DC"/>
    <w:rsid w:val="00687EB4"/>
    <w:rsid w:val="006B17D2"/>
    <w:rsid w:val="006C224E"/>
    <w:rsid w:val="006C532E"/>
    <w:rsid w:val="006C6E31"/>
    <w:rsid w:val="006D57E6"/>
    <w:rsid w:val="006D5D8F"/>
    <w:rsid w:val="006D780A"/>
    <w:rsid w:val="006E77FA"/>
    <w:rsid w:val="006F35E5"/>
    <w:rsid w:val="006F4476"/>
    <w:rsid w:val="007115E9"/>
    <w:rsid w:val="00722B37"/>
    <w:rsid w:val="007313F2"/>
    <w:rsid w:val="00732DEC"/>
    <w:rsid w:val="00735BD5"/>
    <w:rsid w:val="00737E13"/>
    <w:rsid w:val="007425EB"/>
    <w:rsid w:val="0075335B"/>
    <w:rsid w:val="007556F6"/>
    <w:rsid w:val="00760EEF"/>
    <w:rsid w:val="00777EE5"/>
    <w:rsid w:val="00784836"/>
    <w:rsid w:val="00784DBB"/>
    <w:rsid w:val="0079023E"/>
    <w:rsid w:val="00792929"/>
    <w:rsid w:val="007A2854"/>
    <w:rsid w:val="007A4FCD"/>
    <w:rsid w:val="007A7840"/>
    <w:rsid w:val="007D0B9D"/>
    <w:rsid w:val="007D19B0"/>
    <w:rsid w:val="007E5174"/>
    <w:rsid w:val="007F498F"/>
    <w:rsid w:val="00801EF0"/>
    <w:rsid w:val="008066A6"/>
    <w:rsid w:val="0080679D"/>
    <w:rsid w:val="008108B0"/>
    <w:rsid w:val="00811B20"/>
    <w:rsid w:val="0082296E"/>
    <w:rsid w:val="00824099"/>
    <w:rsid w:val="00830231"/>
    <w:rsid w:val="00851CED"/>
    <w:rsid w:val="0085263B"/>
    <w:rsid w:val="00867AC1"/>
    <w:rsid w:val="008853D2"/>
    <w:rsid w:val="00892031"/>
    <w:rsid w:val="008A3C6D"/>
    <w:rsid w:val="008A743F"/>
    <w:rsid w:val="008B00C9"/>
    <w:rsid w:val="008C0970"/>
    <w:rsid w:val="008D2CF7"/>
    <w:rsid w:val="008E35A1"/>
    <w:rsid w:val="008E42D0"/>
    <w:rsid w:val="00900C26"/>
    <w:rsid w:val="0090197F"/>
    <w:rsid w:val="00901A3F"/>
    <w:rsid w:val="00906DDC"/>
    <w:rsid w:val="00934E09"/>
    <w:rsid w:val="00936253"/>
    <w:rsid w:val="009371E4"/>
    <w:rsid w:val="009425E0"/>
    <w:rsid w:val="00946029"/>
    <w:rsid w:val="00952DD4"/>
    <w:rsid w:val="00966021"/>
    <w:rsid w:val="00970195"/>
    <w:rsid w:val="00970FED"/>
    <w:rsid w:val="00974363"/>
    <w:rsid w:val="009747D9"/>
    <w:rsid w:val="00997029"/>
    <w:rsid w:val="009A0B7E"/>
    <w:rsid w:val="009C0336"/>
    <w:rsid w:val="009D690D"/>
    <w:rsid w:val="009E65B6"/>
    <w:rsid w:val="009F7D0F"/>
    <w:rsid w:val="00A24A4D"/>
    <w:rsid w:val="00A42221"/>
    <w:rsid w:val="00A42AC3"/>
    <w:rsid w:val="00A430CF"/>
    <w:rsid w:val="00A44F6C"/>
    <w:rsid w:val="00A54309"/>
    <w:rsid w:val="00A56FAA"/>
    <w:rsid w:val="00A6434F"/>
    <w:rsid w:val="00AB2B93"/>
    <w:rsid w:val="00AB7E5B"/>
    <w:rsid w:val="00AD5D77"/>
    <w:rsid w:val="00AE0EF1"/>
    <w:rsid w:val="00AE2937"/>
    <w:rsid w:val="00B07301"/>
    <w:rsid w:val="00B224DE"/>
    <w:rsid w:val="00B417A5"/>
    <w:rsid w:val="00B46575"/>
    <w:rsid w:val="00B47D5C"/>
    <w:rsid w:val="00B52D9F"/>
    <w:rsid w:val="00B8035E"/>
    <w:rsid w:val="00B84BBD"/>
    <w:rsid w:val="00BA43FB"/>
    <w:rsid w:val="00BB0A3D"/>
    <w:rsid w:val="00BB79FF"/>
    <w:rsid w:val="00BC127D"/>
    <w:rsid w:val="00BC1FE6"/>
    <w:rsid w:val="00BD3B21"/>
    <w:rsid w:val="00BE04D9"/>
    <w:rsid w:val="00BE70AC"/>
    <w:rsid w:val="00BF0D8E"/>
    <w:rsid w:val="00BF6734"/>
    <w:rsid w:val="00C061B6"/>
    <w:rsid w:val="00C06D61"/>
    <w:rsid w:val="00C2446C"/>
    <w:rsid w:val="00C36AE5"/>
    <w:rsid w:val="00C41F17"/>
    <w:rsid w:val="00C42A72"/>
    <w:rsid w:val="00C51D44"/>
    <w:rsid w:val="00C5280D"/>
    <w:rsid w:val="00C5791C"/>
    <w:rsid w:val="00C63B52"/>
    <w:rsid w:val="00C651CE"/>
    <w:rsid w:val="00C66290"/>
    <w:rsid w:val="00C724E7"/>
    <w:rsid w:val="00C72B7A"/>
    <w:rsid w:val="00C740F2"/>
    <w:rsid w:val="00C95616"/>
    <w:rsid w:val="00C973F2"/>
    <w:rsid w:val="00CA304C"/>
    <w:rsid w:val="00CA774A"/>
    <w:rsid w:val="00CA77D0"/>
    <w:rsid w:val="00CB75C1"/>
    <w:rsid w:val="00CC11B0"/>
    <w:rsid w:val="00CD42CD"/>
    <w:rsid w:val="00CF7E36"/>
    <w:rsid w:val="00D26E03"/>
    <w:rsid w:val="00D3708D"/>
    <w:rsid w:val="00D40426"/>
    <w:rsid w:val="00D541D0"/>
    <w:rsid w:val="00D57C96"/>
    <w:rsid w:val="00D67D01"/>
    <w:rsid w:val="00D74825"/>
    <w:rsid w:val="00D906BE"/>
    <w:rsid w:val="00D91203"/>
    <w:rsid w:val="00D95174"/>
    <w:rsid w:val="00DA0559"/>
    <w:rsid w:val="00DA6F36"/>
    <w:rsid w:val="00DB593C"/>
    <w:rsid w:val="00DB596E"/>
    <w:rsid w:val="00DB6B6B"/>
    <w:rsid w:val="00DC00EA"/>
    <w:rsid w:val="00DC35EC"/>
    <w:rsid w:val="00DD18EE"/>
    <w:rsid w:val="00DD4DAE"/>
    <w:rsid w:val="00DE14BA"/>
    <w:rsid w:val="00E32CBA"/>
    <w:rsid w:val="00E32F7E"/>
    <w:rsid w:val="00E53156"/>
    <w:rsid w:val="00E64320"/>
    <w:rsid w:val="00E72D49"/>
    <w:rsid w:val="00E7593C"/>
    <w:rsid w:val="00E7678A"/>
    <w:rsid w:val="00E935F1"/>
    <w:rsid w:val="00E94A81"/>
    <w:rsid w:val="00EA1FFB"/>
    <w:rsid w:val="00EB048E"/>
    <w:rsid w:val="00EC2F57"/>
    <w:rsid w:val="00ED32C1"/>
    <w:rsid w:val="00EE34DF"/>
    <w:rsid w:val="00EF2F89"/>
    <w:rsid w:val="00EF3628"/>
    <w:rsid w:val="00EF6346"/>
    <w:rsid w:val="00F1237A"/>
    <w:rsid w:val="00F22CBD"/>
    <w:rsid w:val="00F45372"/>
    <w:rsid w:val="00F560F7"/>
    <w:rsid w:val="00F56C99"/>
    <w:rsid w:val="00F6334D"/>
    <w:rsid w:val="00F80602"/>
    <w:rsid w:val="00F93AB4"/>
    <w:rsid w:val="00FA1B68"/>
    <w:rsid w:val="00FA49AB"/>
    <w:rsid w:val="00FE2F44"/>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4BA"/>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A44F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4Normal">
    <w:name w:val="Inf_4_Normal"/>
    <w:basedOn w:val="Normal"/>
    <w:rsid w:val="00421639"/>
    <w:pPr>
      <w:spacing w:before="108"/>
    </w:pPr>
    <w:rPr>
      <w:rFonts w:ascii="Times New Roman" w:hAnsi="Times New Roman"/>
      <w:sz w:val="24"/>
    </w:rPr>
  </w:style>
  <w:style w:type="paragraph" w:customStyle="1" w:styleId="Inf4Heading4">
    <w:name w:val="Inf_4_Heading_4"/>
    <w:basedOn w:val="Heading4"/>
    <w:next w:val="Normal"/>
    <w:rsid w:val="00421639"/>
    <w:pPr>
      <w:spacing w:before="120"/>
      <w:ind w:left="0"/>
    </w:pPr>
    <w:rPr>
      <w:rFonts w:ascii="Times New Roman" w:hAnsi="Times New Roman"/>
      <w:b/>
      <w:bCs/>
      <w:i w:val="0"/>
      <w:sz w:val="22"/>
      <w:lang w:val="en-US"/>
    </w:rPr>
  </w:style>
  <w:style w:type="paragraph" w:customStyle="1" w:styleId="Inf4Heading6">
    <w:name w:val="Inf_4_Heading_6"/>
    <w:basedOn w:val="Normal"/>
    <w:rsid w:val="00421639"/>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421639"/>
    <w:pPr>
      <w:spacing w:before="240"/>
    </w:pPr>
    <w:rPr>
      <w:rFonts w:ascii="Times New Roman" w:hAnsi="Times New Roman"/>
      <w:b/>
      <w:bCs/>
      <w:i w:val="0"/>
      <w:sz w:val="24"/>
    </w:rPr>
  </w:style>
  <w:style w:type="paragraph" w:customStyle="1" w:styleId="ZchnZchn1">
    <w:name w:val="Zchn Zchn1"/>
    <w:basedOn w:val="Normal"/>
    <w:rsid w:val="00421639"/>
    <w:pPr>
      <w:spacing w:after="160" w:line="240" w:lineRule="exact"/>
      <w:jc w:val="left"/>
    </w:pPr>
    <w:rPr>
      <w:rFonts w:ascii="Verdana" w:eastAsia="PMingLiU" w:hAnsi="Verdana"/>
    </w:rPr>
  </w:style>
  <w:style w:type="paragraph" w:styleId="Subtitle">
    <w:name w:val="Subtitle"/>
    <w:basedOn w:val="Normal"/>
    <w:link w:val="SubtitleChar"/>
    <w:qFormat/>
    <w:rsid w:val="00421639"/>
    <w:pPr>
      <w:jc w:val="center"/>
    </w:pPr>
    <w:rPr>
      <w:rFonts w:ascii="Times New Roman" w:hAnsi="Times New Roman"/>
      <w:b/>
      <w:caps/>
      <w:color w:val="0000FF"/>
      <w:sz w:val="28"/>
    </w:rPr>
  </w:style>
  <w:style w:type="character" w:customStyle="1" w:styleId="SubtitleChar">
    <w:name w:val="Subtitle Char"/>
    <w:basedOn w:val="DefaultParagraphFont"/>
    <w:link w:val="Subtitle"/>
    <w:rsid w:val="00421639"/>
    <w:rPr>
      <w:b/>
      <w:caps/>
      <w:color w:val="0000FF"/>
      <w:sz w:val="28"/>
    </w:rPr>
  </w:style>
  <w:style w:type="character" w:customStyle="1" w:styleId="underline">
    <w:name w:val="underline"/>
    <w:basedOn w:val="DefaultParagraphFont"/>
    <w:rsid w:val="00421639"/>
    <w:rPr>
      <w:u w:val="single"/>
    </w:rPr>
  </w:style>
  <w:style w:type="paragraph" w:customStyle="1" w:styleId="zanxtext">
    <w:name w:val="zanxtext"/>
    <w:basedOn w:val="Normal"/>
    <w:rsid w:val="002418F6"/>
    <w:pPr>
      <w:spacing w:before="120"/>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4BA"/>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A44F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4Normal">
    <w:name w:val="Inf_4_Normal"/>
    <w:basedOn w:val="Normal"/>
    <w:rsid w:val="00421639"/>
    <w:pPr>
      <w:spacing w:before="108"/>
    </w:pPr>
    <w:rPr>
      <w:rFonts w:ascii="Times New Roman" w:hAnsi="Times New Roman"/>
      <w:sz w:val="24"/>
    </w:rPr>
  </w:style>
  <w:style w:type="paragraph" w:customStyle="1" w:styleId="Inf4Heading4">
    <w:name w:val="Inf_4_Heading_4"/>
    <w:basedOn w:val="Heading4"/>
    <w:next w:val="Normal"/>
    <w:rsid w:val="00421639"/>
    <w:pPr>
      <w:spacing w:before="120"/>
      <w:ind w:left="0"/>
    </w:pPr>
    <w:rPr>
      <w:rFonts w:ascii="Times New Roman" w:hAnsi="Times New Roman"/>
      <w:b/>
      <w:bCs/>
      <w:i w:val="0"/>
      <w:sz w:val="22"/>
      <w:lang w:val="en-US"/>
    </w:rPr>
  </w:style>
  <w:style w:type="paragraph" w:customStyle="1" w:styleId="Inf4Heading6">
    <w:name w:val="Inf_4_Heading_6"/>
    <w:basedOn w:val="Normal"/>
    <w:rsid w:val="00421639"/>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421639"/>
    <w:pPr>
      <w:spacing w:before="240"/>
    </w:pPr>
    <w:rPr>
      <w:rFonts w:ascii="Times New Roman" w:hAnsi="Times New Roman"/>
      <w:b/>
      <w:bCs/>
      <w:i w:val="0"/>
      <w:sz w:val="24"/>
    </w:rPr>
  </w:style>
  <w:style w:type="paragraph" w:customStyle="1" w:styleId="ZchnZchn1">
    <w:name w:val="Zchn Zchn1"/>
    <w:basedOn w:val="Normal"/>
    <w:rsid w:val="00421639"/>
    <w:pPr>
      <w:spacing w:after="160" w:line="240" w:lineRule="exact"/>
      <w:jc w:val="left"/>
    </w:pPr>
    <w:rPr>
      <w:rFonts w:ascii="Verdana" w:eastAsia="PMingLiU" w:hAnsi="Verdana"/>
    </w:rPr>
  </w:style>
  <w:style w:type="paragraph" w:styleId="Subtitle">
    <w:name w:val="Subtitle"/>
    <w:basedOn w:val="Normal"/>
    <w:link w:val="SubtitleChar"/>
    <w:qFormat/>
    <w:rsid w:val="00421639"/>
    <w:pPr>
      <w:jc w:val="center"/>
    </w:pPr>
    <w:rPr>
      <w:rFonts w:ascii="Times New Roman" w:hAnsi="Times New Roman"/>
      <w:b/>
      <w:caps/>
      <w:color w:val="0000FF"/>
      <w:sz w:val="28"/>
    </w:rPr>
  </w:style>
  <w:style w:type="character" w:customStyle="1" w:styleId="SubtitleChar">
    <w:name w:val="Subtitle Char"/>
    <w:basedOn w:val="DefaultParagraphFont"/>
    <w:link w:val="Subtitle"/>
    <w:rsid w:val="00421639"/>
    <w:rPr>
      <w:b/>
      <w:caps/>
      <w:color w:val="0000FF"/>
      <w:sz w:val="28"/>
    </w:rPr>
  </w:style>
  <w:style w:type="character" w:customStyle="1" w:styleId="underline">
    <w:name w:val="underline"/>
    <w:basedOn w:val="DefaultParagraphFont"/>
    <w:rsid w:val="00421639"/>
    <w:rPr>
      <w:u w:val="single"/>
    </w:rPr>
  </w:style>
  <w:style w:type="paragraph" w:customStyle="1" w:styleId="zanxtext">
    <w:name w:val="zanxtext"/>
    <w:basedOn w:val="Normal"/>
    <w:rsid w:val="002418F6"/>
    <w:pPr>
      <w:spacing w:before="12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7569">
      <w:bodyDiv w:val="1"/>
      <w:marLeft w:val="0"/>
      <w:marRight w:val="0"/>
      <w:marTop w:val="0"/>
      <w:marBottom w:val="0"/>
      <w:divBdr>
        <w:top w:val="none" w:sz="0" w:space="0" w:color="auto"/>
        <w:left w:val="none" w:sz="0" w:space="0" w:color="auto"/>
        <w:bottom w:val="none" w:sz="0" w:space="0" w:color="auto"/>
        <w:right w:val="none" w:sz="0" w:space="0" w:color="auto"/>
      </w:divBdr>
    </w:div>
    <w:div w:id="405610906">
      <w:bodyDiv w:val="1"/>
      <w:marLeft w:val="0"/>
      <w:marRight w:val="0"/>
      <w:marTop w:val="0"/>
      <w:marBottom w:val="0"/>
      <w:divBdr>
        <w:top w:val="none" w:sz="0" w:space="0" w:color="auto"/>
        <w:left w:val="none" w:sz="0" w:space="0" w:color="auto"/>
        <w:bottom w:val="none" w:sz="0" w:space="0" w:color="auto"/>
        <w:right w:val="none" w:sz="0" w:space="0" w:color="auto"/>
      </w:divBdr>
    </w:div>
    <w:div w:id="520434709">
      <w:bodyDiv w:val="1"/>
      <w:marLeft w:val="0"/>
      <w:marRight w:val="0"/>
      <w:marTop w:val="0"/>
      <w:marBottom w:val="0"/>
      <w:divBdr>
        <w:top w:val="none" w:sz="0" w:space="0" w:color="auto"/>
        <w:left w:val="none" w:sz="0" w:space="0" w:color="auto"/>
        <w:bottom w:val="none" w:sz="0" w:space="0" w:color="auto"/>
        <w:right w:val="none" w:sz="0" w:space="0" w:color="auto"/>
      </w:divBdr>
    </w:div>
    <w:div w:id="682972164">
      <w:bodyDiv w:val="1"/>
      <w:marLeft w:val="0"/>
      <w:marRight w:val="0"/>
      <w:marTop w:val="0"/>
      <w:marBottom w:val="0"/>
      <w:divBdr>
        <w:top w:val="none" w:sz="0" w:space="0" w:color="auto"/>
        <w:left w:val="none" w:sz="0" w:space="0" w:color="auto"/>
        <w:bottom w:val="none" w:sz="0" w:space="0" w:color="auto"/>
        <w:right w:val="none" w:sz="0" w:space="0" w:color="auto"/>
      </w:divBdr>
    </w:div>
    <w:div w:id="742070775">
      <w:bodyDiv w:val="1"/>
      <w:marLeft w:val="0"/>
      <w:marRight w:val="0"/>
      <w:marTop w:val="0"/>
      <w:marBottom w:val="0"/>
      <w:divBdr>
        <w:top w:val="none" w:sz="0" w:space="0" w:color="auto"/>
        <w:left w:val="none" w:sz="0" w:space="0" w:color="auto"/>
        <w:bottom w:val="none" w:sz="0" w:space="0" w:color="auto"/>
        <w:right w:val="none" w:sz="0" w:space="0" w:color="auto"/>
      </w:divBdr>
    </w:div>
    <w:div w:id="800264511">
      <w:bodyDiv w:val="1"/>
      <w:marLeft w:val="0"/>
      <w:marRight w:val="0"/>
      <w:marTop w:val="0"/>
      <w:marBottom w:val="0"/>
      <w:divBdr>
        <w:top w:val="none" w:sz="0" w:space="0" w:color="auto"/>
        <w:left w:val="none" w:sz="0" w:space="0" w:color="auto"/>
        <w:bottom w:val="none" w:sz="0" w:space="0" w:color="auto"/>
        <w:right w:val="none" w:sz="0" w:space="0" w:color="auto"/>
      </w:divBdr>
    </w:div>
    <w:div w:id="954948981">
      <w:bodyDiv w:val="1"/>
      <w:marLeft w:val="0"/>
      <w:marRight w:val="0"/>
      <w:marTop w:val="0"/>
      <w:marBottom w:val="0"/>
      <w:divBdr>
        <w:top w:val="none" w:sz="0" w:space="0" w:color="auto"/>
        <w:left w:val="none" w:sz="0" w:space="0" w:color="auto"/>
        <w:bottom w:val="none" w:sz="0" w:space="0" w:color="auto"/>
        <w:right w:val="none" w:sz="0" w:space="0" w:color="auto"/>
      </w:divBdr>
    </w:div>
    <w:div w:id="1134831097">
      <w:bodyDiv w:val="1"/>
      <w:marLeft w:val="0"/>
      <w:marRight w:val="0"/>
      <w:marTop w:val="0"/>
      <w:marBottom w:val="0"/>
      <w:divBdr>
        <w:top w:val="none" w:sz="0" w:space="0" w:color="auto"/>
        <w:left w:val="none" w:sz="0" w:space="0" w:color="auto"/>
        <w:bottom w:val="none" w:sz="0" w:space="0" w:color="auto"/>
        <w:right w:val="none" w:sz="0" w:space="0" w:color="auto"/>
      </w:divBdr>
    </w:div>
    <w:div w:id="1361079602">
      <w:bodyDiv w:val="1"/>
      <w:marLeft w:val="0"/>
      <w:marRight w:val="0"/>
      <w:marTop w:val="0"/>
      <w:marBottom w:val="0"/>
      <w:divBdr>
        <w:top w:val="none" w:sz="0" w:space="0" w:color="auto"/>
        <w:left w:val="none" w:sz="0" w:space="0" w:color="auto"/>
        <w:bottom w:val="none" w:sz="0" w:space="0" w:color="auto"/>
        <w:right w:val="none" w:sz="0" w:space="0" w:color="auto"/>
      </w:divBdr>
    </w:div>
    <w:div w:id="1380593716">
      <w:bodyDiv w:val="1"/>
      <w:marLeft w:val="0"/>
      <w:marRight w:val="0"/>
      <w:marTop w:val="0"/>
      <w:marBottom w:val="0"/>
      <w:divBdr>
        <w:top w:val="none" w:sz="0" w:space="0" w:color="auto"/>
        <w:left w:val="none" w:sz="0" w:space="0" w:color="auto"/>
        <w:bottom w:val="none" w:sz="0" w:space="0" w:color="auto"/>
        <w:right w:val="none" w:sz="0" w:space="0" w:color="auto"/>
      </w:divBdr>
    </w:div>
    <w:div w:id="1447702472">
      <w:bodyDiv w:val="1"/>
      <w:marLeft w:val="0"/>
      <w:marRight w:val="0"/>
      <w:marTop w:val="0"/>
      <w:marBottom w:val="0"/>
      <w:divBdr>
        <w:top w:val="none" w:sz="0" w:space="0" w:color="auto"/>
        <w:left w:val="none" w:sz="0" w:space="0" w:color="auto"/>
        <w:bottom w:val="none" w:sz="0" w:space="0" w:color="auto"/>
        <w:right w:val="none" w:sz="0" w:space="0" w:color="auto"/>
      </w:divBdr>
    </w:div>
    <w:div w:id="1789161914">
      <w:bodyDiv w:val="1"/>
      <w:marLeft w:val="0"/>
      <w:marRight w:val="0"/>
      <w:marTop w:val="0"/>
      <w:marBottom w:val="0"/>
      <w:divBdr>
        <w:top w:val="none" w:sz="0" w:space="0" w:color="auto"/>
        <w:left w:val="none" w:sz="0" w:space="0" w:color="auto"/>
        <w:bottom w:val="none" w:sz="0" w:space="0" w:color="auto"/>
        <w:right w:val="none" w:sz="0" w:space="0" w:color="auto"/>
      </w:divBdr>
    </w:div>
    <w:div w:id="1842163759">
      <w:bodyDiv w:val="1"/>
      <w:marLeft w:val="0"/>
      <w:marRight w:val="0"/>
      <w:marTop w:val="0"/>
      <w:marBottom w:val="0"/>
      <w:divBdr>
        <w:top w:val="none" w:sz="0" w:space="0" w:color="auto"/>
        <w:left w:val="none" w:sz="0" w:space="0" w:color="auto"/>
        <w:bottom w:val="none" w:sz="0" w:space="0" w:color="auto"/>
        <w:right w:val="none" w:sz="0" w:space="0" w:color="auto"/>
      </w:divBdr>
    </w:div>
    <w:div w:id="1995913811">
      <w:bodyDiv w:val="1"/>
      <w:marLeft w:val="0"/>
      <w:marRight w:val="0"/>
      <w:marTop w:val="0"/>
      <w:marBottom w:val="0"/>
      <w:divBdr>
        <w:top w:val="none" w:sz="0" w:space="0" w:color="auto"/>
        <w:left w:val="none" w:sz="0" w:space="0" w:color="auto"/>
        <w:bottom w:val="none" w:sz="0" w:space="0" w:color="auto"/>
        <w:right w:val="none" w:sz="0" w:space="0" w:color="auto"/>
      </w:divBdr>
    </w:div>
    <w:div w:id="2024822881">
      <w:bodyDiv w:val="1"/>
      <w:marLeft w:val="0"/>
      <w:marRight w:val="0"/>
      <w:marTop w:val="0"/>
      <w:marBottom w:val="0"/>
      <w:divBdr>
        <w:top w:val="none" w:sz="0" w:space="0" w:color="auto"/>
        <w:left w:val="none" w:sz="0" w:space="0" w:color="auto"/>
        <w:bottom w:val="none" w:sz="0" w:space="0" w:color="auto"/>
        <w:right w:val="none" w:sz="0" w:space="0" w:color="auto"/>
      </w:divBdr>
    </w:div>
    <w:div w:id="213327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en/details.jsp?meeting_id=26104" TargetMode="External"/><Relationship Id="rId18" Type="http://schemas.openxmlformats.org/officeDocument/2006/relationships/chart" Target="charts/chart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pov.int/meetings/en/details.jsp?meeting_id=22163" TargetMode="Externa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24133"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about/en/pdf/353_upov_report.pdf" TargetMode="External"/><Relationship Id="rId22" Type="http://schemas.openxmlformats.org/officeDocument/2006/relationships/footer" Target="footer1.xml"/><Relationship Id="rId27" Type="http://schemas.openxmlformats.org/officeDocument/2006/relationships/header" Target="header7.xm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OV\Shared\Document\C\C47\c_47_04_Program&amp;Budget\c_47_04_figures_xxx.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Wipogvafs01\DAT1\ORGOIOP\2007\UPOV\UPOV%20FRR\201415\Budget%20Tables%20for%20201415_June%20201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hPercent val="100"/>
      <c:rotY val="1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470122133514657"/>
          <c:y val="0.18241758241758241"/>
          <c:w val="0.82391018142147543"/>
          <c:h val="0.68351648351648353"/>
        </c:manualLayout>
      </c:layout>
      <c:bar3DChart>
        <c:barDir val="col"/>
        <c:grouping val="standard"/>
        <c:varyColors val="0"/>
        <c:ser>
          <c:idx val="0"/>
          <c:order val="0"/>
          <c:tx>
            <c:v>Cooperation Agreements</c:v>
          </c:tx>
          <c:spPr>
            <a:solidFill>
              <a:srgbClr val="FFCC00"/>
            </a:solidFill>
            <a:ln w="12700">
              <a:solidFill>
                <a:srgbClr val="000000"/>
              </a:solidFill>
              <a:prstDash val="solid"/>
            </a:ln>
          </c:spPr>
          <c:invertIfNegative val="0"/>
          <c:dLbls>
            <c:dLbl>
              <c:idx val="0"/>
              <c:layout>
                <c:manualLayout>
                  <c:x val="2.3514562106044792E-3"/>
                  <c:y val="5.4083470335438838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5.2747252747252747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'Fig.4-Exp&amp;Cooperation'!$A$30:$A$37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'Fig.4-Exp&amp;Cooperation'!$E$30:$E$37</c:f>
              <c:numCache>
                <c:formatCode>General</c:formatCode>
                <c:ptCount val="8"/>
                <c:pt idx="0">
                  <c:v>640</c:v>
                </c:pt>
                <c:pt idx="1">
                  <c:v>570</c:v>
                </c:pt>
                <c:pt idx="2">
                  <c:v>1360</c:v>
                </c:pt>
                <c:pt idx="3">
                  <c:v>1360</c:v>
                </c:pt>
                <c:pt idx="4">
                  <c:v>1379</c:v>
                </c:pt>
                <c:pt idx="5">
                  <c:v>1417</c:v>
                </c:pt>
                <c:pt idx="6">
                  <c:v>1990</c:v>
                </c:pt>
                <c:pt idx="7">
                  <c:v>1991</c:v>
                </c:pt>
              </c:numCache>
            </c:numRef>
          </c:val>
        </c:ser>
        <c:ser>
          <c:idx val="1"/>
          <c:order val="1"/>
          <c:tx>
            <c:v>Practical Experience</c:v>
          </c:tx>
          <c:spPr>
            <a:solidFill>
              <a:srgbClr val="99CC00"/>
            </a:solidFill>
            <a:ln w="12700">
              <a:solidFill>
                <a:srgbClr val="000000"/>
              </a:solidFill>
              <a:prstDash val="solid"/>
            </a:ln>
          </c:spPr>
          <c:invertIfNegative val="0"/>
          <c:dLbls>
            <c:dLbl>
              <c:idx val="0"/>
              <c:layout>
                <c:manualLayout>
                  <c:x val="2.2045916398601008E-3"/>
                  <c:y val="5.1338582677165318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4.981684981684982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'Fig.4-Exp&amp;Cooperation'!$A$30:$A$37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'Fig.4-Exp&amp;Cooperation'!$D$30:$D$37</c:f>
              <c:numCache>
                <c:formatCode>General</c:formatCode>
                <c:ptCount val="8"/>
                <c:pt idx="0">
                  <c:v>1750</c:v>
                </c:pt>
                <c:pt idx="1">
                  <c:v>1900</c:v>
                </c:pt>
                <c:pt idx="2">
                  <c:v>2000</c:v>
                </c:pt>
                <c:pt idx="3">
                  <c:v>2170</c:v>
                </c:pt>
                <c:pt idx="4">
                  <c:v>2209</c:v>
                </c:pt>
                <c:pt idx="5">
                  <c:v>2254</c:v>
                </c:pt>
                <c:pt idx="6">
                  <c:v>2679</c:v>
                </c:pt>
                <c:pt idx="7">
                  <c:v>2726</c:v>
                </c:pt>
              </c:numCache>
            </c:numRef>
          </c:val>
        </c:ser>
        <c:ser>
          <c:idx val="2"/>
          <c:order val="2"/>
          <c:tx>
            <c:v>PBR Entries in Plant Variety Database</c:v>
          </c:tx>
          <c:spPr>
            <a:solidFill>
              <a:srgbClr val="FFFFCC"/>
            </a:solidFill>
            <a:ln w="12700">
              <a:solidFill>
                <a:srgbClr val="000000"/>
              </a:solidFill>
              <a:prstDash val="solid"/>
            </a:ln>
          </c:spPr>
          <c:invertIfNegative val="0"/>
          <c:dLbls>
            <c:dLbl>
              <c:idx val="0"/>
              <c:layout>
                <c:manualLayout>
                  <c:x val="1.5538265313902789E-3"/>
                  <c:y val="4.9303913933835222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4.6886446886446886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'Fig.4-Exp&amp;Cooperation'!$A$30:$A$37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'Fig.4-Exp&amp;Cooperation'!$C$30:$C$37</c:f>
              <c:numCache>
                <c:formatCode>General</c:formatCode>
                <c:ptCount val="8"/>
                <c:pt idx="0">
                  <c:v>2336</c:v>
                </c:pt>
                <c:pt idx="1">
                  <c:v>2429</c:v>
                </c:pt>
                <c:pt idx="2">
                  <c:v>2522</c:v>
                </c:pt>
                <c:pt idx="3">
                  <c:v>2654</c:v>
                </c:pt>
                <c:pt idx="4">
                  <c:v>2790</c:v>
                </c:pt>
                <c:pt idx="5">
                  <c:v>2940</c:v>
                </c:pt>
                <c:pt idx="6">
                  <c:v>3042</c:v>
                </c:pt>
                <c:pt idx="7">
                  <c:v>3144</c:v>
                </c:pt>
              </c:numCache>
            </c:numRef>
          </c:val>
        </c:ser>
        <c:dLbls>
          <c:showLegendKey val="0"/>
          <c:showVal val="0"/>
          <c:showCatName val="0"/>
          <c:showSerName val="0"/>
          <c:showPercent val="0"/>
          <c:showBubbleSize val="0"/>
        </c:dLbls>
        <c:gapWidth val="110"/>
        <c:shape val="box"/>
        <c:axId val="132081920"/>
        <c:axId val="72876416"/>
        <c:axId val="124099648"/>
      </c:bar3DChart>
      <c:catAx>
        <c:axId val="132081920"/>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a:t>Year</a:t>
                </a:r>
              </a:p>
            </c:rich>
          </c:tx>
          <c:layout>
            <c:manualLayout>
              <c:xMode val="edge"/>
              <c:yMode val="edge"/>
              <c:x val="0.48788406821428543"/>
              <c:y val="0.91648351648351645"/>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72876416"/>
        <c:crosses val="autoZero"/>
        <c:auto val="1"/>
        <c:lblAlgn val="ctr"/>
        <c:lblOffset val="100"/>
        <c:tickLblSkip val="1"/>
        <c:tickMarkSkip val="1"/>
        <c:noMultiLvlLbl val="1"/>
      </c:catAx>
      <c:valAx>
        <c:axId val="72876416"/>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US"/>
                  <a:t>Number of genera/species</a:t>
                </a:r>
              </a:p>
            </c:rich>
          </c:tx>
          <c:layout>
            <c:manualLayout>
              <c:xMode val="edge"/>
              <c:yMode val="edge"/>
              <c:x val="3.8772213247172858E-2"/>
              <c:y val="0.336263736263736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32081920"/>
        <c:crosses val="autoZero"/>
        <c:crossBetween val="between"/>
      </c:valAx>
      <c:serAx>
        <c:axId val="124099648"/>
        <c:scaling>
          <c:orientation val="minMax"/>
        </c:scaling>
        <c:delete val="1"/>
        <c:axPos val="b"/>
        <c:majorTickMark val="out"/>
        <c:minorTickMark val="none"/>
        <c:tickLblPos val="nextTo"/>
        <c:crossAx val="72876416"/>
        <c:crosses val="autoZero"/>
      </c:serAx>
      <c:spPr>
        <a:noFill/>
        <a:ln w="25400">
          <a:noFill/>
        </a:ln>
      </c:spPr>
    </c:plotArea>
    <c:legend>
      <c:legendPos val="t"/>
      <c:layout>
        <c:manualLayout>
          <c:xMode val="edge"/>
          <c:yMode val="edge"/>
          <c:x val="0.47819100725638575"/>
          <c:y val="3.5164835164835165E-2"/>
          <c:w val="0.3925689687949383"/>
          <c:h val="0.13186813186813187"/>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342653177742453"/>
          <c:y val="6.309529227921655E-2"/>
          <c:w val="0.87873900738933453"/>
          <c:h val="0.77813693808505147"/>
        </c:manualLayout>
      </c:layout>
      <c:barChart>
        <c:barDir val="col"/>
        <c:grouping val="clustered"/>
        <c:varyColors val="0"/>
        <c:ser>
          <c:idx val="1"/>
          <c:order val="0"/>
          <c:tx>
            <c:strRef>
              <c:f>'Chart on table 9 (2)'!$B$7</c:f>
              <c:strCache>
                <c:ptCount val="1"/>
                <c:pt idx="0">
                  <c:v>Income</c:v>
                </c:pt>
              </c:strCache>
            </c:strRef>
          </c:tx>
          <c:spPr>
            <a:gradFill rotWithShape="0">
              <a:gsLst>
                <a:gs pos="0">
                  <a:srgbClr val="339966"/>
                </a:gs>
                <a:gs pos="100000">
                  <a:srgbClr val="333333"/>
                </a:gs>
              </a:gsLst>
              <a:lin ang="0" scaled="1"/>
            </a:gradFill>
            <a:ln w="12700">
              <a:solidFill>
                <a:srgbClr val="000000"/>
              </a:solidFill>
              <a:prstDash val="solid"/>
            </a:ln>
          </c:spPr>
          <c:invertIfNegative val="0"/>
          <c:cat>
            <c:numRef>
              <c:f>'Chart on table 9 (2)'!$C$6:$N$6</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on table 9 (2)'!$C$7:$N$7</c:f>
              <c:numCache>
                <c:formatCode>#,##0</c:formatCode>
                <c:ptCount val="12"/>
                <c:pt idx="0">
                  <c:v>3355</c:v>
                </c:pt>
                <c:pt idx="1">
                  <c:v>3406</c:v>
                </c:pt>
                <c:pt idx="2">
                  <c:v>3378</c:v>
                </c:pt>
                <c:pt idx="3">
                  <c:v>3393</c:v>
                </c:pt>
                <c:pt idx="4">
                  <c:v>3412</c:v>
                </c:pt>
                <c:pt idx="5">
                  <c:v>3489</c:v>
                </c:pt>
                <c:pt idx="6">
                  <c:v>3393.5</c:v>
                </c:pt>
                <c:pt idx="7">
                  <c:v>3404.2</c:v>
                </c:pt>
                <c:pt idx="8">
                  <c:v>3392</c:v>
                </c:pt>
                <c:pt idx="9">
                  <c:v>3402</c:v>
                </c:pt>
                <c:pt idx="10">
                  <c:v>3412.7280000000001</c:v>
                </c:pt>
                <c:pt idx="11">
                  <c:v>3423.4560000000001</c:v>
                </c:pt>
              </c:numCache>
            </c:numRef>
          </c:val>
        </c:ser>
        <c:ser>
          <c:idx val="0"/>
          <c:order val="1"/>
          <c:tx>
            <c:strRef>
              <c:f>'Chart on table 9 (2)'!$B$8</c:f>
              <c:strCache>
                <c:ptCount val="1"/>
                <c:pt idx="0">
                  <c:v>Expenditure</c:v>
                </c:pt>
              </c:strCache>
            </c:strRef>
          </c:tx>
          <c:spPr>
            <a:gradFill rotWithShape="0">
              <a:gsLst>
                <a:gs pos="0">
                  <a:srgbClr val="33CCCC"/>
                </a:gs>
                <a:gs pos="100000">
                  <a:srgbClr val="CCFFCC"/>
                </a:gs>
              </a:gsLst>
              <a:lin ang="0" scaled="1"/>
            </a:gradFill>
            <a:ln w="12700">
              <a:solidFill>
                <a:srgbClr val="000000"/>
              </a:solidFill>
              <a:prstDash val="solid"/>
            </a:ln>
          </c:spPr>
          <c:invertIfNegative val="0"/>
          <c:cat>
            <c:numRef>
              <c:f>'Chart on table 9 (2)'!$C$6:$N$6</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on table 9 (2)'!$C$8:$N$8</c:f>
              <c:numCache>
                <c:formatCode>#,##0</c:formatCode>
                <c:ptCount val="12"/>
                <c:pt idx="0">
                  <c:v>2930</c:v>
                </c:pt>
                <c:pt idx="1">
                  <c:v>3284</c:v>
                </c:pt>
                <c:pt idx="2">
                  <c:v>3034</c:v>
                </c:pt>
                <c:pt idx="3">
                  <c:v>3347</c:v>
                </c:pt>
                <c:pt idx="4">
                  <c:v>3501</c:v>
                </c:pt>
                <c:pt idx="5">
                  <c:v>2978</c:v>
                </c:pt>
                <c:pt idx="6">
                  <c:v>3393.5</c:v>
                </c:pt>
                <c:pt idx="7">
                  <c:v>3404.2</c:v>
                </c:pt>
                <c:pt idx="8">
                  <c:v>3392</c:v>
                </c:pt>
                <c:pt idx="9">
                  <c:v>3402</c:v>
                </c:pt>
                <c:pt idx="10">
                  <c:v>3412.7280000000001</c:v>
                </c:pt>
                <c:pt idx="11">
                  <c:v>3423.4560000000001</c:v>
                </c:pt>
              </c:numCache>
            </c:numRef>
          </c:val>
        </c:ser>
        <c:ser>
          <c:idx val="4"/>
          <c:order val="2"/>
          <c:tx>
            <c:strRef>
              <c:f>'Chart on table 9 (2)'!$B$9</c:f>
              <c:strCache>
                <c:ptCount val="1"/>
                <c:pt idx="0">
                  <c:v>WCF</c:v>
                </c:pt>
              </c:strCache>
            </c:strRef>
          </c:tx>
          <c:spPr>
            <a:gradFill rotWithShape="0">
              <a:gsLst>
                <a:gs pos="0">
                  <a:srgbClr val="FF99CC"/>
                </a:gs>
                <a:gs pos="50000">
                  <a:srgbClr val="993366"/>
                </a:gs>
                <a:gs pos="100000">
                  <a:srgbClr val="FF99CC"/>
                </a:gs>
              </a:gsLst>
              <a:lin ang="0" scaled="1"/>
            </a:gradFill>
            <a:ln w="12700">
              <a:solidFill>
                <a:srgbClr val="000000"/>
              </a:solidFill>
              <a:prstDash val="solid"/>
            </a:ln>
          </c:spPr>
          <c:invertIfNegative val="0"/>
          <c:cat>
            <c:numRef>
              <c:f>'Chart on table 9 (2)'!$C$6:$N$6</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'Chart on table 9 (2)'!$C$9:$N$9</c:f>
              <c:numCache>
                <c:formatCode>#,##0</c:formatCode>
                <c:ptCount val="12"/>
                <c:pt idx="0" formatCode="General">
                  <c:v>#N/A</c:v>
                </c:pt>
                <c:pt idx="1">
                  <c:v>513</c:v>
                </c:pt>
                <c:pt idx="2" formatCode="General">
                  <c:v>#N/A</c:v>
                </c:pt>
                <c:pt idx="3">
                  <c:v>520.4</c:v>
                </c:pt>
                <c:pt idx="4" formatCode="General">
                  <c:v>#N/A</c:v>
                </c:pt>
                <c:pt idx="5">
                  <c:v>537</c:v>
                </c:pt>
                <c:pt idx="6" formatCode="General">
                  <c:v>#N/A</c:v>
                </c:pt>
                <c:pt idx="7">
                  <c:v>540</c:v>
                </c:pt>
                <c:pt idx="8" formatCode="General">
                  <c:v>#N/A</c:v>
                </c:pt>
                <c:pt idx="9">
                  <c:v>543</c:v>
                </c:pt>
                <c:pt idx="11" formatCode="0">
                  <c:v>547</c:v>
                </c:pt>
              </c:numCache>
            </c:numRef>
          </c:val>
        </c:ser>
        <c:dLbls>
          <c:showLegendKey val="0"/>
          <c:showVal val="0"/>
          <c:showCatName val="0"/>
          <c:showSerName val="0"/>
          <c:showPercent val="0"/>
          <c:showBubbleSize val="0"/>
        </c:dLbls>
        <c:gapWidth val="150"/>
        <c:axId val="111488000"/>
        <c:axId val="111493888"/>
      </c:barChart>
      <c:catAx>
        <c:axId val="11148800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1493888"/>
        <c:crosses val="autoZero"/>
        <c:auto val="0"/>
        <c:lblAlgn val="ctr"/>
        <c:lblOffset val="100"/>
        <c:tickLblSkip val="1"/>
        <c:tickMarkSkip val="1"/>
        <c:noMultiLvlLbl val="0"/>
      </c:catAx>
      <c:valAx>
        <c:axId val="111493888"/>
        <c:scaling>
          <c:orientation val="minMax"/>
          <c:max val="3500"/>
        </c:scaling>
        <c:delete val="0"/>
        <c:axPos val="l"/>
        <c:title>
          <c:tx>
            <c:rich>
              <a:bodyPr/>
              <a:lstStyle/>
              <a:p>
                <a:pPr>
                  <a:defRPr sz="800" b="1" i="0" u="none" strike="noStrike" baseline="0">
                    <a:solidFill>
                      <a:srgbClr val="000000"/>
                    </a:solidFill>
                    <a:latin typeface="Arial"/>
                    <a:ea typeface="Arial"/>
                    <a:cs typeface="Arial"/>
                  </a:defRPr>
                </a:pPr>
                <a:r>
                  <a:rPr lang="en-US"/>
                  <a:t>in thousands of Swiss Francs</a:t>
                </a:r>
              </a:p>
            </c:rich>
          </c:tx>
          <c:layout>
            <c:manualLayout>
              <c:xMode val="edge"/>
              <c:yMode val="edge"/>
              <c:x val="5.4248267043542657E-3"/>
              <c:y val="0.1657968528973624"/>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1488000"/>
        <c:crosses val="autoZero"/>
        <c:crossBetween val="between"/>
        <c:majorUnit val="250"/>
      </c:valAx>
      <c:spPr>
        <a:noFill/>
        <a:ln w="12700">
          <a:solidFill>
            <a:srgbClr val="808080"/>
          </a:solidFill>
          <a:prstDash val="solid"/>
        </a:ln>
      </c:spPr>
    </c:plotArea>
    <c:legend>
      <c:legendPos val="b"/>
      <c:layout>
        <c:manualLayout>
          <c:xMode val="edge"/>
          <c:yMode val="edge"/>
          <c:x val="0.17834394904458598"/>
          <c:y val="0.93127962085308058"/>
          <c:w val="0.7184713375796179"/>
          <c:h val="5.2132701421800931E-2"/>
        </c:manualLayout>
      </c:layout>
      <c:overlay val="0"/>
      <c:spPr>
        <a:solidFill>
          <a:srgbClr val="FFFFFF"/>
        </a:solidFill>
        <a:ln w="3175">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en-US"/>
        </a:p>
      </c:txPr>
    </c:legend>
    <c:plotVisOnly val="1"/>
    <c:dispBlanksAs val="gap"/>
    <c:showDLblsOverMax val="0"/>
  </c:chart>
  <c:spPr>
    <a:noFill/>
    <a:ln w="3175">
      <a:solidFill>
        <a:srgbClr val="000000"/>
      </a:solidFill>
      <a:prstDash val="solid"/>
    </a:ln>
  </c:spPr>
  <c:txPr>
    <a:bodyPr/>
    <a:lstStyle/>
    <a:p>
      <a:pPr>
        <a:defRPr sz="800" b="1"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74D32-D96C-4608-B0D7-95562B41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10047</Words>
  <Characters>57271</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67184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SANCHEZ-VIZCAINO GOMEZ Rosa Maria</dc:creator>
  <cp:lastModifiedBy>SANCHEZ-VIZCAINO GOMEZ Rosa Maria</cp:lastModifiedBy>
  <cp:revision>7</cp:revision>
  <cp:lastPrinted>2013-11-01T08:32:00Z</cp:lastPrinted>
  <dcterms:created xsi:type="dcterms:W3CDTF">2013-11-01T08:26:00Z</dcterms:created>
  <dcterms:modified xsi:type="dcterms:W3CDTF">2013-11-01T08:32:00Z</dcterms:modified>
</cp:coreProperties>
</file>