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lang w:val="es-ES_tradnl" w:eastAsia="es-ES_tradnl"/>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EB4E9C">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DA4499" w:rsidP="00DA4499">
            <w:pPr>
              <w:pStyle w:val="Sessiontc"/>
            </w:pPr>
            <w:r>
              <w:t xml:space="preserve">Working Group on Biochemical and Molecular Techniques </w:t>
            </w:r>
            <w:r>
              <w:br/>
              <w:t>and DNA-Profiling in Particular</w:t>
            </w:r>
          </w:p>
          <w:p w:rsidR="00EB4E9C" w:rsidRPr="00DC3802" w:rsidRDefault="00DA4499" w:rsidP="00E02914">
            <w:pPr>
              <w:pStyle w:val="Sessiontcplacedate"/>
              <w:rPr>
                <w:sz w:val="22"/>
              </w:rPr>
            </w:pPr>
            <w:r>
              <w:t>Sixteenth</w:t>
            </w:r>
            <w:r w:rsidR="00EB4E9C" w:rsidRPr="00DA4973">
              <w:t xml:space="preserve"> Session</w:t>
            </w:r>
            <w:r w:rsidR="00EB4E9C" w:rsidRPr="00DA4973">
              <w:br/>
            </w:r>
            <w:r>
              <w:t>La Rochelle, France</w:t>
            </w:r>
            <w:r w:rsidR="00EB4E9C" w:rsidRPr="00DA4973">
              <w:t xml:space="preserve">, </w:t>
            </w:r>
            <w:r w:rsidR="00E02914">
              <w:t>November</w:t>
            </w:r>
            <w:r>
              <w:t xml:space="preserve"> </w:t>
            </w:r>
            <w:r w:rsidR="00E02914">
              <w:t>7</w:t>
            </w:r>
            <w:r w:rsidR="00EB4E9C" w:rsidRPr="00DA4973">
              <w:t xml:space="preserve"> to </w:t>
            </w:r>
            <w:r w:rsidR="00E02914">
              <w:t>10</w:t>
            </w:r>
            <w:r w:rsidR="00EB4E9C" w:rsidRPr="00DA4973">
              <w:t>, 2017</w:t>
            </w:r>
          </w:p>
        </w:tc>
        <w:tc>
          <w:tcPr>
            <w:tcW w:w="3127" w:type="dxa"/>
          </w:tcPr>
          <w:p w:rsidR="00EB4E9C" w:rsidRDefault="00621302" w:rsidP="003C7FBE">
            <w:pPr>
              <w:pStyle w:val="Doccode"/>
            </w:pPr>
            <w:r>
              <w:t>BMT</w:t>
            </w:r>
            <w:r w:rsidR="00EB4E9C" w:rsidRPr="00AC2883">
              <w:t>/</w:t>
            </w:r>
            <w:r>
              <w:t>16</w:t>
            </w:r>
            <w:r w:rsidR="00EB4E9C" w:rsidRPr="00AC2883">
              <w:t>/</w:t>
            </w:r>
            <w:r w:rsidR="00116664">
              <w:t>6</w:t>
            </w:r>
          </w:p>
          <w:p w:rsidR="00DA4499" w:rsidRPr="003C7FBE" w:rsidRDefault="00DA4499" w:rsidP="003C7FBE">
            <w:pPr>
              <w:pStyle w:val="Doccode"/>
            </w:pPr>
          </w:p>
          <w:p w:rsidR="00EB4E9C" w:rsidRPr="003C7FBE" w:rsidRDefault="00EB4E9C" w:rsidP="003C7FBE">
            <w:pPr>
              <w:pStyle w:val="Docoriginal"/>
            </w:pPr>
            <w:r w:rsidRPr="00AC2883">
              <w:t>Original:</w:t>
            </w:r>
            <w:r w:rsidRPr="000E636A">
              <w:rPr>
                <w:b w:val="0"/>
                <w:spacing w:val="0"/>
              </w:rPr>
              <w:t xml:space="preserve">  English</w:t>
            </w:r>
          </w:p>
          <w:p w:rsidR="00EB4E9C" w:rsidRPr="007C1D92" w:rsidRDefault="00EB4E9C" w:rsidP="00632C8D">
            <w:pPr>
              <w:pStyle w:val="Docoriginal"/>
            </w:pPr>
            <w:r w:rsidRPr="00AC2883">
              <w:t>Date:</w:t>
            </w:r>
            <w:r w:rsidRPr="000E636A">
              <w:rPr>
                <w:b w:val="0"/>
                <w:spacing w:val="0"/>
              </w:rPr>
              <w:t xml:space="preserve">  </w:t>
            </w:r>
            <w:r w:rsidR="00D11C0E" w:rsidRPr="00632C8D">
              <w:rPr>
                <w:b w:val="0"/>
                <w:spacing w:val="0"/>
              </w:rPr>
              <w:t>October</w:t>
            </w:r>
            <w:r w:rsidR="00FD52E3" w:rsidRPr="00632C8D">
              <w:rPr>
                <w:b w:val="0"/>
                <w:spacing w:val="0"/>
              </w:rPr>
              <w:t xml:space="preserve"> </w:t>
            </w:r>
            <w:r w:rsidR="00632C8D" w:rsidRPr="00632C8D">
              <w:rPr>
                <w:b w:val="0"/>
                <w:spacing w:val="0"/>
              </w:rPr>
              <w:t>11</w:t>
            </w:r>
            <w:r w:rsidRPr="00632C8D">
              <w:rPr>
                <w:b w:val="0"/>
                <w:spacing w:val="0"/>
              </w:rPr>
              <w:t>, 2017</w:t>
            </w:r>
          </w:p>
        </w:tc>
      </w:tr>
    </w:tbl>
    <w:p w:rsidR="000D7780" w:rsidRPr="006A644A" w:rsidRDefault="00116664" w:rsidP="006A644A">
      <w:pPr>
        <w:pStyle w:val="Titleofdoc0"/>
      </w:pPr>
      <w:bookmarkStart w:id="0" w:name="TitleOfDoc"/>
      <w:bookmarkEnd w:id="0"/>
      <w:r>
        <w:t>GENETIC DISTANCE-BASED SELECTION OF SIMILAR VARIETIES FOR WHEAT DISTINCTNESS TEST</w:t>
      </w:r>
    </w:p>
    <w:p w:rsidR="006A644A" w:rsidRPr="006A644A" w:rsidRDefault="00AE0EF1" w:rsidP="006A644A">
      <w:pPr>
        <w:pStyle w:val="preparedby1"/>
        <w:jc w:val="left"/>
      </w:pPr>
      <w:bookmarkStart w:id="1" w:name="Prepared"/>
      <w:bookmarkEnd w:id="1"/>
      <w:r w:rsidRPr="000C4E25">
        <w:t xml:space="preserve">Document </w:t>
      </w:r>
      <w:r w:rsidR="0061555F" w:rsidRPr="000C4E25">
        <w:t xml:space="preserve">prepared by </w:t>
      </w:r>
      <w:r w:rsidR="00116664">
        <w:t>experts from China</w:t>
      </w:r>
    </w:p>
    <w:p w:rsidR="00050E16" w:rsidRPr="006A644A" w:rsidRDefault="00050E16" w:rsidP="006A644A">
      <w:pPr>
        <w:pStyle w:val="Disclaimer"/>
      </w:pPr>
      <w:r w:rsidRPr="006A644A">
        <w:t>Disclaimer:  this document does not represent UPOV policies or guidance</w:t>
      </w:r>
    </w:p>
    <w:p w:rsidR="004D080E" w:rsidRDefault="004D080E" w:rsidP="00835FB9">
      <w:pPr>
        <w:pStyle w:val="Heading1"/>
      </w:pPr>
      <w:r w:rsidRPr="004D080E">
        <w:t>INTRODUCTION</w:t>
      </w:r>
    </w:p>
    <w:p w:rsidR="00835FB9" w:rsidRPr="004D080E" w:rsidRDefault="00835FB9" w:rsidP="00835FB9"/>
    <w:p w:rsidR="004D080E" w:rsidRPr="004D080E" w:rsidRDefault="004D080E" w:rsidP="00835FB9">
      <w:r w:rsidRPr="004D080E">
        <w:t>1. Wheat is China’s third largest crop both in planted area and total output. In 2016, the planted area was 24.2 million hectares and total production 128.85 million tons, ranking second and</w:t>
      </w:r>
      <w:bookmarkStart w:id="2" w:name="OLE_LINK1"/>
      <w:bookmarkStart w:id="3" w:name="OLE_LINK2"/>
      <w:r w:rsidRPr="004D080E">
        <w:t xml:space="preserve"> first </w:t>
      </w:r>
      <w:bookmarkEnd w:id="2"/>
      <w:bookmarkEnd w:id="3"/>
      <w:r w:rsidRPr="004D080E">
        <w:t xml:space="preserve">in acreage and total output in the world, respectively. The wheat planting regions in China </w:t>
      </w:r>
      <w:r w:rsidR="00B44E4C">
        <w:t>are</w:t>
      </w:r>
      <w:r w:rsidRPr="004D080E">
        <w:t xml:space="preserve"> classified into ten ecological zones, among which </w:t>
      </w:r>
      <w:proofErr w:type="spellStart"/>
      <w:r w:rsidRPr="004D080E">
        <w:t>Huanghuai</w:t>
      </w:r>
      <w:proofErr w:type="spellEnd"/>
      <w:r w:rsidRPr="004D080E">
        <w:t xml:space="preserve"> is the largest ecological zone accounting for more than 60% of the total wheat planting area.</w:t>
      </w:r>
    </w:p>
    <w:p w:rsidR="004D080E" w:rsidRPr="004D080E" w:rsidRDefault="004D080E" w:rsidP="00835FB9"/>
    <w:p w:rsidR="004D080E" w:rsidRPr="004D080E" w:rsidRDefault="004D080E" w:rsidP="00835FB9">
      <w:r w:rsidRPr="004D080E">
        <w:t>2. DUS testing started in China from 2001 with the implementation of the New Plant Varieties Protection Regulations. The number of annual new wheat applications tested at Jinan Station was around 40 before 2015. Since 2015, the revised Seed Act and other regulations have had a great impact on the scale of DUS testing. According to the new seed law, DUS report is required both for variety registration and for granting of Breeder’s Rights. As a result, the number of wheat applications increased rapidly (table 1).</w:t>
      </w:r>
    </w:p>
    <w:p w:rsidR="004D080E" w:rsidRPr="004D080E" w:rsidRDefault="004D080E" w:rsidP="004D080E">
      <w:pPr>
        <w:spacing w:beforeLines="50" w:before="120" w:afterLines="50" w:after="120" w:line="440" w:lineRule="exact"/>
        <w:jc w:val="center"/>
        <w:rPr>
          <w:rFonts w:cs="Arial"/>
        </w:rPr>
      </w:pPr>
      <w:r w:rsidRPr="004D080E">
        <w:rPr>
          <w:rFonts w:cs="Arial"/>
        </w:rPr>
        <w:t xml:space="preserve">Table 1 Number of annual new wheat applications tested at Jinan Station </w:t>
      </w:r>
    </w:p>
    <w:tbl>
      <w:tblPr>
        <w:tblStyle w:val="TableGrid"/>
        <w:tblW w:w="0" w:type="auto"/>
        <w:tblLook w:val="04A0" w:firstRow="1" w:lastRow="0" w:firstColumn="1" w:lastColumn="0" w:noHBand="0" w:noVBand="1"/>
      </w:tblPr>
      <w:tblGrid>
        <w:gridCol w:w="1127"/>
        <w:gridCol w:w="873"/>
        <w:gridCol w:w="872"/>
        <w:gridCol w:w="873"/>
        <w:gridCol w:w="873"/>
        <w:gridCol w:w="872"/>
        <w:gridCol w:w="873"/>
        <w:gridCol w:w="873"/>
        <w:gridCol w:w="873"/>
        <w:gridCol w:w="873"/>
        <w:gridCol w:w="873"/>
      </w:tblGrid>
      <w:tr w:rsidR="004D080E" w:rsidRPr="004D080E" w:rsidTr="0039247E">
        <w:tc>
          <w:tcPr>
            <w:tcW w:w="1135" w:type="dxa"/>
          </w:tcPr>
          <w:p w:rsidR="004D080E" w:rsidRPr="004D080E" w:rsidRDefault="004D080E" w:rsidP="0039247E">
            <w:pPr>
              <w:spacing w:line="440" w:lineRule="exact"/>
              <w:jc w:val="center"/>
              <w:rPr>
                <w:rFonts w:cs="Arial"/>
                <w:sz w:val="20"/>
                <w:szCs w:val="20"/>
              </w:rPr>
            </w:pPr>
            <w:r w:rsidRPr="004D080E">
              <w:rPr>
                <w:rFonts w:cs="Arial"/>
                <w:sz w:val="20"/>
                <w:szCs w:val="20"/>
              </w:rPr>
              <w:t>Year</w:t>
            </w:r>
          </w:p>
        </w:tc>
        <w:tc>
          <w:tcPr>
            <w:tcW w:w="882" w:type="dxa"/>
          </w:tcPr>
          <w:p w:rsidR="004D080E" w:rsidRPr="004D080E" w:rsidRDefault="004D080E" w:rsidP="0039247E">
            <w:pPr>
              <w:spacing w:line="440" w:lineRule="exact"/>
              <w:jc w:val="center"/>
              <w:rPr>
                <w:rFonts w:cs="Arial"/>
                <w:sz w:val="20"/>
                <w:szCs w:val="20"/>
              </w:rPr>
            </w:pPr>
            <w:r w:rsidRPr="004D080E">
              <w:rPr>
                <w:rFonts w:cs="Arial"/>
                <w:sz w:val="20"/>
                <w:szCs w:val="20"/>
              </w:rPr>
              <w:t>2007</w:t>
            </w:r>
          </w:p>
        </w:tc>
        <w:tc>
          <w:tcPr>
            <w:tcW w:w="882" w:type="dxa"/>
          </w:tcPr>
          <w:p w:rsidR="004D080E" w:rsidRPr="004D080E" w:rsidRDefault="004D080E" w:rsidP="0039247E">
            <w:pPr>
              <w:spacing w:line="440" w:lineRule="exact"/>
              <w:jc w:val="center"/>
              <w:rPr>
                <w:rFonts w:cs="Arial"/>
                <w:sz w:val="20"/>
                <w:szCs w:val="20"/>
              </w:rPr>
            </w:pPr>
            <w:r w:rsidRPr="004D080E">
              <w:rPr>
                <w:rFonts w:cs="Arial"/>
                <w:sz w:val="20"/>
                <w:szCs w:val="20"/>
              </w:rPr>
              <w:t>2008</w:t>
            </w:r>
          </w:p>
        </w:tc>
        <w:tc>
          <w:tcPr>
            <w:tcW w:w="883" w:type="dxa"/>
          </w:tcPr>
          <w:p w:rsidR="004D080E" w:rsidRPr="004D080E" w:rsidRDefault="004D080E" w:rsidP="0039247E">
            <w:pPr>
              <w:spacing w:line="440" w:lineRule="exact"/>
              <w:jc w:val="center"/>
              <w:rPr>
                <w:rFonts w:cs="Arial"/>
                <w:sz w:val="20"/>
                <w:szCs w:val="20"/>
              </w:rPr>
            </w:pPr>
            <w:r w:rsidRPr="004D080E">
              <w:rPr>
                <w:rFonts w:cs="Arial"/>
                <w:sz w:val="20"/>
                <w:szCs w:val="20"/>
              </w:rPr>
              <w:t>2009</w:t>
            </w:r>
          </w:p>
        </w:tc>
        <w:tc>
          <w:tcPr>
            <w:tcW w:w="883" w:type="dxa"/>
          </w:tcPr>
          <w:p w:rsidR="004D080E" w:rsidRPr="004D080E" w:rsidRDefault="004D080E" w:rsidP="0039247E">
            <w:pPr>
              <w:spacing w:line="440" w:lineRule="exact"/>
              <w:jc w:val="center"/>
              <w:rPr>
                <w:rFonts w:cs="Arial"/>
                <w:sz w:val="20"/>
                <w:szCs w:val="20"/>
              </w:rPr>
            </w:pPr>
            <w:r w:rsidRPr="004D080E">
              <w:rPr>
                <w:rFonts w:cs="Arial"/>
                <w:sz w:val="20"/>
                <w:szCs w:val="20"/>
              </w:rPr>
              <w:t>2010</w:t>
            </w:r>
          </w:p>
        </w:tc>
        <w:tc>
          <w:tcPr>
            <w:tcW w:w="882" w:type="dxa"/>
          </w:tcPr>
          <w:p w:rsidR="004D080E" w:rsidRPr="004D080E" w:rsidRDefault="004D080E" w:rsidP="0039247E">
            <w:pPr>
              <w:spacing w:line="440" w:lineRule="exact"/>
              <w:jc w:val="center"/>
              <w:rPr>
                <w:rFonts w:cs="Arial"/>
                <w:sz w:val="20"/>
                <w:szCs w:val="20"/>
              </w:rPr>
            </w:pPr>
            <w:r w:rsidRPr="004D080E">
              <w:rPr>
                <w:rFonts w:cs="Arial"/>
                <w:sz w:val="20"/>
                <w:szCs w:val="20"/>
              </w:rPr>
              <w:t>2011</w:t>
            </w:r>
          </w:p>
        </w:tc>
        <w:tc>
          <w:tcPr>
            <w:tcW w:w="883" w:type="dxa"/>
          </w:tcPr>
          <w:p w:rsidR="004D080E" w:rsidRPr="004D080E" w:rsidRDefault="004D080E" w:rsidP="0039247E">
            <w:pPr>
              <w:spacing w:line="440" w:lineRule="exact"/>
              <w:jc w:val="center"/>
              <w:rPr>
                <w:rFonts w:cs="Arial"/>
                <w:sz w:val="20"/>
                <w:szCs w:val="20"/>
              </w:rPr>
            </w:pPr>
            <w:r w:rsidRPr="004D080E">
              <w:rPr>
                <w:rFonts w:cs="Arial"/>
                <w:sz w:val="20"/>
                <w:szCs w:val="20"/>
              </w:rPr>
              <w:t>2012</w:t>
            </w:r>
          </w:p>
        </w:tc>
        <w:tc>
          <w:tcPr>
            <w:tcW w:w="883" w:type="dxa"/>
          </w:tcPr>
          <w:p w:rsidR="004D080E" w:rsidRPr="004D080E" w:rsidRDefault="004D080E" w:rsidP="0039247E">
            <w:pPr>
              <w:spacing w:line="440" w:lineRule="exact"/>
              <w:jc w:val="center"/>
              <w:rPr>
                <w:rFonts w:cs="Arial"/>
                <w:sz w:val="20"/>
                <w:szCs w:val="20"/>
              </w:rPr>
            </w:pPr>
            <w:r w:rsidRPr="004D080E">
              <w:rPr>
                <w:rFonts w:cs="Arial"/>
                <w:sz w:val="20"/>
                <w:szCs w:val="20"/>
              </w:rPr>
              <w:t>2013</w:t>
            </w:r>
          </w:p>
        </w:tc>
        <w:tc>
          <w:tcPr>
            <w:tcW w:w="883" w:type="dxa"/>
          </w:tcPr>
          <w:p w:rsidR="004D080E" w:rsidRPr="004D080E" w:rsidRDefault="004D080E" w:rsidP="0039247E">
            <w:pPr>
              <w:spacing w:line="440" w:lineRule="exact"/>
              <w:jc w:val="center"/>
              <w:rPr>
                <w:rFonts w:cs="Arial"/>
                <w:sz w:val="20"/>
                <w:szCs w:val="20"/>
              </w:rPr>
            </w:pPr>
            <w:r w:rsidRPr="004D080E">
              <w:rPr>
                <w:rFonts w:cs="Arial"/>
                <w:sz w:val="20"/>
                <w:szCs w:val="20"/>
              </w:rPr>
              <w:t>2014</w:t>
            </w:r>
          </w:p>
        </w:tc>
        <w:tc>
          <w:tcPr>
            <w:tcW w:w="883" w:type="dxa"/>
          </w:tcPr>
          <w:p w:rsidR="004D080E" w:rsidRPr="004D080E" w:rsidRDefault="004D080E" w:rsidP="0039247E">
            <w:pPr>
              <w:spacing w:line="440" w:lineRule="exact"/>
              <w:jc w:val="center"/>
              <w:rPr>
                <w:rFonts w:cs="Arial"/>
                <w:sz w:val="20"/>
                <w:szCs w:val="20"/>
              </w:rPr>
            </w:pPr>
            <w:r w:rsidRPr="004D080E">
              <w:rPr>
                <w:rFonts w:cs="Arial"/>
                <w:sz w:val="20"/>
                <w:szCs w:val="20"/>
              </w:rPr>
              <w:t>2015</w:t>
            </w:r>
          </w:p>
        </w:tc>
        <w:tc>
          <w:tcPr>
            <w:tcW w:w="883" w:type="dxa"/>
          </w:tcPr>
          <w:p w:rsidR="004D080E" w:rsidRPr="004D080E" w:rsidRDefault="004D080E" w:rsidP="0039247E">
            <w:pPr>
              <w:spacing w:line="440" w:lineRule="exact"/>
              <w:jc w:val="center"/>
              <w:rPr>
                <w:rFonts w:cs="Arial"/>
                <w:sz w:val="20"/>
                <w:szCs w:val="20"/>
              </w:rPr>
            </w:pPr>
            <w:r w:rsidRPr="004D080E">
              <w:rPr>
                <w:rFonts w:cs="Arial"/>
                <w:sz w:val="20"/>
                <w:szCs w:val="20"/>
              </w:rPr>
              <w:t>2016</w:t>
            </w:r>
          </w:p>
        </w:tc>
      </w:tr>
      <w:tr w:rsidR="004D080E" w:rsidRPr="004D080E" w:rsidTr="0039247E">
        <w:tc>
          <w:tcPr>
            <w:tcW w:w="1135" w:type="dxa"/>
          </w:tcPr>
          <w:p w:rsidR="004D080E" w:rsidRPr="004D080E" w:rsidRDefault="004D080E" w:rsidP="0039247E">
            <w:pPr>
              <w:spacing w:line="440" w:lineRule="exact"/>
              <w:jc w:val="center"/>
              <w:rPr>
                <w:rFonts w:cs="Arial"/>
                <w:sz w:val="20"/>
                <w:szCs w:val="20"/>
              </w:rPr>
            </w:pPr>
            <w:r w:rsidRPr="004D080E">
              <w:rPr>
                <w:rFonts w:cs="Arial"/>
                <w:sz w:val="20"/>
                <w:szCs w:val="20"/>
              </w:rPr>
              <w:t>Number</w:t>
            </w:r>
          </w:p>
        </w:tc>
        <w:tc>
          <w:tcPr>
            <w:tcW w:w="882" w:type="dxa"/>
            <w:vAlign w:val="center"/>
          </w:tcPr>
          <w:p w:rsidR="004D080E" w:rsidRPr="004D080E" w:rsidRDefault="004D080E" w:rsidP="0039247E">
            <w:pPr>
              <w:spacing w:line="440" w:lineRule="exact"/>
              <w:jc w:val="center"/>
              <w:rPr>
                <w:rFonts w:cs="Arial"/>
                <w:sz w:val="20"/>
                <w:szCs w:val="20"/>
              </w:rPr>
            </w:pPr>
            <w:r w:rsidRPr="004D080E">
              <w:rPr>
                <w:rFonts w:cs="Arial"/>
                <w:sz w:val="20"/>
                <w:szCs w:val="20"/>
              </w:rPr>
              <w:t>62</w:t>
            </w:r>
          </w:p>
        </w:tc>
        <w:tc>
          <w:tcPr>
            <w:tcW w:w="882" w:type="dxa"/>
            <w:vAlign w:val="center"/>
          </w:tcPr>
          <w:p w:rsidR="004D080E" w:rsidRPr="004D080E" w:rsidRDefault="004D080E" w:rsidP="0039247E">
            <w:pPr>
              <w:spacing w:line="440" w:lineRule="exact"/>
              <w:jc w:val="center"/>
              <w:rPr>
                <w:rFonts w:cs="Arial"/>
                <w:sz w:val="20"/>
                <w:szCs w:val="20"/>
              </w:rPr>
            </w:pPr>
            <w:r w:rsidRPr="004D080E">
              <w:rPr>
                <w:rFonts w:cs="Arial"/>
                <w:sz w:val="20"/>
                <w:szCs w:val="20"/>
              </w:rPr>
              <w:t>36</w:t>
            </w:r>
          </w:p>
        </w:tc>
        <w:tc>
          <w:tcPr>
            <w:tcW w:w="883" w:type="dxa"/>
            <w:vAlign w:val="center"/>
          </w:tcPr>
          <w:p w:rsidR="004D080E" w:rsidRPr="004D080E" w:rsidRDefault="004D080E" w:rsidP="0039247E">
            <w:pPr>
              <w:spacing w:line="440" w:lineRule="exact"/>
              <w:jc w:val="center"/>
              <w:rPr>
                <w:rFonts w:cs="Arial"/>
                <w:sz w:val="20"/>
                <w:szCs w:val="20"/>
              </w:rPr>
            </w:pPr>
            <w:r w:rsidRPr="004D080E">
              <w:rPr>
                <w:rFonts w:cs="Arial"/>
                <w:sz w:val="20"/>
                <w:szCs w:val="20"/>
              </w:rPr>
              <w:t>39</w:t>
            </w:r>
          </w:p>
        </w:tc>
        <w:tc>
          <w:tcPr>
            <w:tcW w:w="883" w:type="dxa"/>
            <w:vAlign w:val="center"/>
          </w:tcPr>
          <w:p w:rsidR="004D080E" w:rsidRPr="004D080E" w:rsidRDefault="004D080E" w:rsidP="0039247E">
            <w:pPr>
              <w:spacing w:line="440" w:lineRule="exact"/>
              <w:jc w:val="center"/>
              <w:rPr>
                <w:rFonts w:cs="Arial"/>
                <w:sz w:val="20"/>
                <w:szCs w:val="20"/>
              </w:rPr>
            </w:pPr>
            <w:r w:rsidRPr="004D080E">
              <w:rPr>
                <w:rFonts w:cs="Arial"/>
                <w:sz w:val="20"/>
                <w:szCs w:val="20"/>
              </w:rPr>
              <w:t>30</w:t>
            </w:r>
          </w:p>
        </w:tc>
        <w:tc>
          <w:tcPr>
            <w:tcW w:w="882" w:type="dxa"/>
            <w:vAlign w:val="center"/>
          </w:tcPr>
          <w:p w:rsidR="004D080E" w:rsidRPr="004D080E" w:rsidRDefault="004D080E" w:rsidP="0039247E">
            <w:pPr>
              <w:spacing w:line="440" w:lineRule="exact"/>
              <w:jc w:val="center"/>
              <w:rPr>
                <w:rFonts w:cs="Arial"/>
                <w:sz w:val="20"/>
                <w:szCs w:val="20"/>
              </w:rPr>
            </w:pPr>
            <w:r w:rsidRPr="004D080E">
              <w:rPr>
                <w:rFonts w:cs="Arial"/>
                <w:sz w:val="20"/>
                <w:szCs w:val="20"/>
              </w:rPr>
              <w:t>36</w:t>
            </w:r>
          </w:p>
        </w:tc>
        <w:tc>
          <w:tcPr>
            <w:tcW w:w="883" w:type="dxa"/>
            <w:vAlign w:val="center"/>
          </w:tcPr>
          <w:p w:rsidR="004D080E" w:rsidRPr="004D080E" w:rsidRDefault="004D080E" w:rsidP="0039247E">
            <w:pPr>
              <w:spacing w:line="440" w:lineRule="exact"/>
              <w:jc w:val="center"/>
              <w:rPr>
                <w:rFonts w:cs="Arial"/>
                <w:sz w:val="20"/>
                <w:szCs w:val="20"/>
              </w:rPr>
            </w:pPr>
            <w:r w:rsidRPr="004D080E">
              <w:rPr>
                <w:rFonts w:cs="Arial"/>
                <w:sz w:val="20"/>
                <w:szCs w:val="20"/>
              </w:rPr>
              <w:t>25</w:t>
            </w:r>
          </w:p>
        </w:tc>
        <w:tc>
          <w:tcPr>
            <w:tcW w:w="883" w:type="dxa"/>
            <w:vAlign w:val="center"/>
          </w:tcPr>
          <w:p w:rsidR="004D080E" w:rsidRPr="004D080E" w:rsidRDefault="004D080E" w:rsidP="0039247E">
            <w:pPr>
              <w:spacing w:line="440" w:lineRule="exact"/>
              <w:jc w:val="center"/>
              <w:rPr>
                <w:rFonts w:cs="Arial"/>
                <w:sz w:val="20"/>
                <w:szCs w:val="20"/>
              </w:rPr>
            </w:pPr>
            <w:r w:rsidRPr="004D080E">
              <w:rPr>
                <w:rFonts w:cs="Arial"/>
                <w:sz w:val="20"/>
                <w:szCs w:val="20"/>
              </w:rPr>
              <w:t>85</w:t>
            </w:r>
          </w:p>
        </w:tc>
        <w:tc>
          <w:tcPr>
            <w:tcW w:w="883" w:type="dxa"/>
            <w:vAlign w:val="center"/>
          </w:tcPr>
          <w:p w:rsidR="004D080E" w:rsidRPr="004D080E" w:rsidRDefault="004D080E" w:rsidP="0039247E">
            <w:pPr>
              <w:spacing w:line="440" w:lineRule="exact"/>
              <w:jc w:val="center"/>
              <w:rPr>
                <w:rFonts w:cs="Arial"/>
                <w:sz w:val="20"/>
                <w:szCs w:val="20"/>
              </w:rPr>
            </w:pPr>
            <w:r w:rsidRPr="004D080E">
              <w:rPr>
                <w:rFonts w:cs="Arial"/>
                <w:sz w:val="20"/>
                <w:szCs w:val="20"/>
              </w:rPr>
              <w:t>38</w:t>
            </w:r>
          </w:p>
        </w:tc>
        <w:tc>
          <w:tcPr>
            <w:tcW w:w="883" w:type="dxa"/>
            <w:vAlign w:val="center"/>
          </w:tcPr>
          <w:p w:rsidR="004D080E" w:rsidRPr="004D080E" w:rsidRDefault="004D080E" w:rsidP="0039247E">
            <w:pPr>
              <w:spacing w:line="440" w:lineRule="exact"/>
              <w:jc w:val="center"/>
              <w:rPr>
                <w:rFonts w:cs="Arial"/>
                <w:sz w:val="20"/>
                <w:szCs w:val="20"/>
              </w:rPr>
            </w:pPr>
            <w:r w:rsidRPr="004D080E">
              <w:rPr>
                <w:rFonts w:cs="Arial"/>
                <w:sz w:val="20"/>
                <w:szCs w:val="20"/>
              </w:rPr>
              <w:t>181</w:t>
            </w:r>
          </w:p>
        </w:tc>
        <w:tc>
          <w:tcPr>
            <w:tcW w:w="883" w:type="dxa"/>
            <w:vAlign w:val="center"/>
          </w:tcPr>
          <w:p w:rsidR="004D080E" w:rsidRPr="004D080E" w:rsidRDefault="004D080E" w:rsidP="0039247E">
            <w:pPr>
              <w:spacing w:line="440" w:lineRule="exact"/>
              <w:jc w:val="center"/>
              <w:rPr>
                <w:rFonts w:cs="Arial"/>
                <w:sz w:val="20"/>
                <w:szCs w:val="20"/>
              </w:rPr>
            </w:pPr>
            <w:r w:rsidRPr="004D080E">
              <w:rPr>
                <w:rFonts w:cs="Arial"/>
                <w:sz w:val="20"/>
                <w:szCs w:val="20"/>
              </w:rPr>
              <w:t>230</w:t>
            </w:r>
          </w:p>
        </w:tc>
      </w:tr>
    </w:tbl>
    <w:p w:rsidR="004D080E" w:rsidRDefault="004D080E" w:rsidP="00835FB9"/>
    <w:p w:rsidR="00B840F7" w:rsidRPr="004D080E" w:rsidRDefault="00B840F7" w:rsidP="00835FB9"/>
    <w:p w:rsidR="004D080E" w:rsidRPr="004D080E" w:rsidRDefault="004D080E" w:rsidP="00835FB9">
      <w:r w:rsidRPr="004D080E">
        <w:t xml:space="preserve">3. Among the 17 DUS testing stations in operation, 10 stations are involved in wheat DUS testing. However, most of the applications for winter wheat are from </w:t>
      </w:r>
      <w:proofErr w:type="spellStart"/>
      <w:r w:rsidRPr="004D080E">
        <w:t>Huanghuai</w:t>
      </w:r>
      <w:proofErr w:type="spellEnd"/>
      <w:r w:rsidRPr="004D080E">
        <w:t>. Until 2016, Jinan DUS Testing Station was the only station located in this region and had tested 722 winter wheat varieties.</w:t>
      </w:r>
    </w:p>
    <w:p w:rsidR="004D080E" w:rsidRPr="004D080E" w:rsidRDefault="004D080E" w:rsidP="00835FB9"/>
    <w:p w:rsidR="004D080E" w:rsidRPr="004D080E" w:rsidRDefault="004D080E" w:rsidP="00835FB9">
      <w:r w:rsidRPr="004D080E">
        <w:t xml:space="preserve">4. In order to make a decision on distinctness, a candidate variety needs to be compared with a collection of reference varieties. There is a large reference collection for wheat in china. As present, the number of the reference varieties, including varieties registered and (or) protected (and being tested), has reached more than 3000.  </w:t>
      </w:r>
    </w:p>
    <w:p w:rsidR="004D080E" w:rsidRPr="004D080E" w:rsidRDefault="004D080E" w:rsidP="00835FB9"/>
    <w:p w:rsidR="004D080E" w:rsidRPr="004D080E" w:rsidRDefault="004D080E" w:rsidP="00835FB9">
      <w:r w:rsidRPr="004D080E">
        <w:t xml:space="preserve">5. Because of the large size of the reference collection and the fact that the grouping characteristics are mostly quantitative, selection of reference wheat varieties to be grown along candidate varieties (“similar varieties”) is the most difficult step in distinctness evaluation.  In the past, selection of similar varieties was mainly based on the pedigree information of candidate varieties provided by the breeders. Generally, one or several similar varieties was (were) selected to be grown in the trials for each application. However, the selection was often inaccurate and the process inefficient. As wheat breeding is getting more profitable with the implementation of PBR laws, increasingly more private seed breeders start wheat breeding. In the meantime, the practice of “modification breeding” is getting common. The traditional methods for similar variety selection were unable to meet the new challenge. To address the problems, we have taken the UPOV Option 2 “calibrated molecular distances in the management of variety collections” approach using SSR markers (UPOV, 2011). With funding from the Ministry of Agriculture, we developed a harmonized protocol for wheat variety DNA profiling and started construction of a wheat reference variety DNA database during 2009-2012. In 2013, we began to select wheat similar varieties based on genetic distances. In 2016, </w:t>
      </w:r>
      <w:r w:rsidRPr="004D080E">
        <w:lastRenderedPageBreak/>
        <w:t xml:space="preserve">software was developed to speed up the selection process and the new approach is routinely used for almost all other DUS testing stations involved in wheat DUS testing in China.   </w:t>
      </w:r>
    </w:p>
    <w:p w:rsidR="004D080E" w:rsidRDefault="004D080E" w:rsidP="00835FB9"/>
    <w:p w:rsidR="008B41FC" w:rsidRDefault="008B41FC" w:rsidP="00835FB9"/>
    <w:p w:rsidR="004D080E" w:rsidRDefault="004D080E" w:rsidP="00835FB9">
      <w:pPr>
        <w:pStyle w:val="Heading1"/>
      </w:pPr>
      <w:r w:rsidRPr="004D080E">
        <w:t>DEVELOPMENT OF A HARMONISED PROTOCOL FOR DNA PROFILING USING SSR MARKERS</w:t>
      </w:r>
    </w:p>
    <w:p w:rsidR="00835FB9" w:rsidRPr="00835FB9" w:rsidRDefault="00835FB9" w:rsidP="00835FB9"/>
    <w:p w:rsidR="004D080E" w:rsidRPr="004D080E" w:rsidRDefault="004D080E" w:rsidP="00835FB9">
      <w:r w:rsidRPr="004D080E">
        <w:t xml:space="preserve">6. We started to make the protocol in 2009 with the support of a project from the Ministry of Agriculture. Selection of SSR markers and detection platforms were according to the BMT guidelines (UPOV, 2010).  All the SSR markers collected were from public sources (e.g. </w:t>
      </w:r>
      <w:proofErr w:type="spellStart"/>
      <w:r w:rsidRPr="004D080E">
        <w:t>Rōder</w:t>
      </w:r>
      <w:proofErr w:type="spellEnd"/>
      <w:r w:rsidRPr="004D080E">
        <w:t xml:space="preserve">, </w:t>
      </w:r>
      <w:r w:rsidRPr="004D080E">
        <w:rPr>
          <w:i/>
        </w:rPr>
        <w:t>et al.,</w:t>
      </w:r>
      <w:r w:rsidRPr="004D080E">
        <w:t xml:space="preserve"> 2002; Somers, et al., 2004). The following criterions for marker selection were followed: (1) even distribution in the genome; (2) high polymorphism; (3) good reproducibility; (4) easiness of scoring. Two markers on each chromosome meeting the above criterion were chosen with a total number at 42. Capillary gel analysis was adopted as the main platform in the protocol while procedure for using ordinary sequencing gel equipment was also provided. The forward primers of the selected markers were labeled with one of the four dyes: 6-Fam, Hex, </w:t>
      </w:r>
      <w:proofErr w:type="spellStart"/>
      <w:r w:rsidRPr="004D080E">
        <w:t>Tamra</w:t>
      </w:r>
      <w:proofErr w:type="spellEnd"/>
      <w:r w:rsidRPr="004D080E">
        <w:t xml:space="preserve"> and </w:t>
      </w:r>
      <w:proofErr w:type="spellStart"/>
      <w:r w:rsidRPr="004D080E">
        <w:t>Rox</w:t>
      </w:r>
      <w:proofErr w:type="spellEnd"/>
      <w:r w:rsidRPr="004D080E">
        <w:t xml:space="preserve">. The alleles at each locus were named in the form of “size” in base pairs. Reference variety was determined for each allele to eliminate the systematic errors that occur among different models of DNA sequencers or different sample batches (Zheng, </w:t>
      </w:r>
      <w:r w:rsidRPr="004D080E">
        <w:rPr>
          <w:i/>
        </w:rPr>
        <w:t>et al.,</w:t>
      </w:r>
      <w:r w:rsidRPr="004D080E">
        <w:t xml:space="preserve"> 2014). The protocol was validated using different detection platforms or models of equipment among several laboratories. In 2013, it was adopted as a standard by the Ministry of Agriculture (MOA, 2013).       </w:t>
      </w:r>
    </w:p>
    <w:p w:rsidR="004D080E" w:rsidRDefault="004D080E" w:rsidP="00835FB9"/>
    <w:p w:rsidR="00835FB9" w:rsidRDefault="00835FB9" w:rsidP="00835FB9"/>
    <w:p w:rsidR="004D080E" w:rsidRDefault="004D080E" w:rsidP="00835FB9">
      <w:pPr>
        <w:pStyle w:val="Heading1"/>
      </w:pPr>
      <w:r w:rsidRPr="004D080E">
        <w:t>CONSTRUCTION OF DNA PROFILE DATABASE OF WHEAT REFERRENCE VARIETIES</w:t>
      </w:r>
    </w:p>
    <w:p w:rsidR="00835FB9" w:rsidRPr="00835FB9" w:rsidRDefault="00835FB9" w:rsidP="00835FB9"/>
    <w:p w:rsidR="004D080E" w:rsidRPr="004D080E" w:rsidRDefault="004D080E" w:rsidP="00835FB9">
      <w:r w:rsidRPr="004D080E">
        <w:t xml:space="preserve">7. During 2012-2014, a DNA database mainly consisting of the </w:t>
      </w:r>
      <w:proofErr w:type="spellStart"/>
      <w:r w:rsidRPr="004D080E">
        <w:t>Huanghuai</w:t>
      </w:r>
      <w:proofErr w:type="spellEnd"/>
      <w:r w:rsidRPr="004D080E">
        <w:t xml:space="preserve"> winter wheat reference varieties was constructed. 44 SSR markers (42 markers plus 2 additional markers) were used to genotype the reference varieties following the above mentioned protocol. In 2015, wheat varieties from other ecological zones were genotyped and data entered into the database. In the meantime, DNA profiles of new candidate varieties were routinely collected and entered into the database. As of August 2017, the database is comprised of DNA data of more than 3300 varieties.    </w:t>
      </w:r>
    </w:p>
    <w:p w:rsidR="004D080E" w:rsidRDefault="004D080E" w:rsidP="00835FB9"/>
    <w:p w:rsidR="008B41FC" w:rsidRDefault="008B41FC" w:rsidP="00835FB9"/>
    <w:p w:rsidR="004D080E" w:rsidRDefault="004D080E" w:rsidP="00835FB9">
      <w:pPr>
        <w:pStyle w:val="Heading1"/>
      </w:pPr>
      <w:r w:rsidRPr="004D080E">
        <w:t>DETERMINATION OF THE THRESHOLD FOR SELECTION OF SIMILARITIES</w:t>
      </w:r>
    </w:p>
    <w:p w:rsidR="00835FB9" w:rsidRPr="00835FB9" w:rsidRDefault="00835FB9" w:rsidP="00835FB9"/>
    <w:p w:rsidR="004D080E" w:rsidRPr="004D080E" w:rsidRDefault="004D080E" w:rsidP="00835FB9">
      <w:r w:rsidRPr="004D080E">
        <w:t xml:space="preserve">8. There had been some reports on the setting of a threshold for wheat similar variety selection. Wang </w:t>
      </w:r>
      <w:r w:rsidRPr="004D080E">
        <w:rPr>
          <w:i/>
        </w:rPr>
        <w:t>et al</w:t>
      </w:r>
      <w:r w:rsidRPr="004D080E">
        <w:t xml:space="preserve"> (2010) investigated the relationship between genotypic and phenotypic distances. They computed the Dice genetic similarity of VCU trial varieties using 122 SSR markers, and compared variety pairs characteristic by characteristic using wheat DUS testing guidelines. It was observed that (1) variety pairs with below 90% genetic similarity could be clearly distinguished; (2) a large portion of variety pairs with genetic similarity between 90-95% were similar or very close; (3) variety pairs with genetic similarity above 95% were very close or could not be distinguished from each other. Based on these findings, a threshold of 90% was set in VCU trials. We compared the molecular and phenotypic distances of 130 variety pairs from our DUS trials and similar results were obtained (Table 2). We also compared the genetic distances between 33 non-distinct candidate varieties and their corresponding most similar varieties based on 44 SSR markers. The genetic similarities varied between 90% and 100% for those variety pairs. Thus, a genetic similarity threshold of 80% was chosen for management of our wheat variety reference collection.        </w:t>
      </w:r>
    </w:p>
    <w:p w:rsidR="004D080E" w:rsidRPr="004D080E" w:rsidRDefault="004D080E" w:rsidP="00835FB9">
      <w:pPr>
        <w:spacing w:beforeLines="50" w:before="120" w:afterLines="50" w:after="120" w:line="440" w:lineRule="exact"/>
        <w:jc w:val="center"/>
        <w:rPr>
          <w:rFonts w:cs="Arial"/>
        </w:rPr>
      </w:pPr>
      <w:r w:rsidRPr="004D080E">
        <w:rPr>
          <w:rFonts w:cs="Arial"/>
        </w:rPr>
        <w:t xml:space="preserve">Table </w:t>
      </w:r>
      <w:proofErr w:type="gramStart"/>
      <w:r w:rsidRPr="004D080E">
        <w:rPr>
          <w:rFonts w:cs="Arial"/>
        </w:rPr>
        <w:t>2  Relation</w:t>
      </w:r>
      <w:proofErr w:type="gramEnd"/>
      <w:r w:rsidRPr="004D080E">
        <w:rPr>
          <w:rFonts w:cs="Arial"/>
        </w:rPr>
        <w:t xml:space="preserve"> between genetic similarity and percentage of non-distinct varieties</w:t>
      </w:r>
    </w:p>
    <w:tbl>
      <w:tblPr>
        <w:tblStyle w:val="TableGrid"/>
        <w:tblW w:w="0" w:type="auto"/>
        <w:tblLook w:val="04A0" w:firstRow="1" w:lastRow="0" w:firstColumn="1" w:lastColumn="0" w:noHBand="0" w:noVBand="1"/>
      </w:tblPr>
      <w:tblGrid>
        <w:gridCol w:w="3348"/>
        <w:gridCol w:w="1074"/>
        <w:gridCol w:w="1359"/>
        <w:gridCol w:w="1359"/>
        <w:gridCol w:w="1359"/>
        <w:gridCol w:w="1356"/>
      </w:tblGrid>
      <w:tr w:rsidR="004D080E" w:rsidRPr="004D080E" w:rsidTr="0039247E">
        <w:tc>
          <w:tcPr>
            <w:tcW w:w="3369" w:type="dxa"/>
          </w:tcPr>
          <w:p w:rsidR="004D080E" w:rsidRPr="004D080E" w:rsidRDefault="004D080E" w:rsidP="0039247E">
            <w:pPr>
              <w:rPr>
                <w:rFonts w:cs="Arial"/>
                <w:sz w:val="20"/>
                <w:szCs w:val="20"/>
              </w:rPr>
            </w:pPr>
            <w:r w:rsidRPr="004D080E">
              <w:rPr>
                <w:rFonts w:cs="Arial"/>
                <w:sz w:val="20"/>
                <w:szCs w:val="20"/>
              </w:rPr>
              <w:t>Genetic similarity</w:t>
            </w:r>
          </w:p>
        </w:tc>
        <w:tc>
          <w:tcPr>
            <w:tcW w:w="1076" w:type="dxa"/>
          </w:tcPr>
          <w:p w:rsidR="004D080E" w:rsidRPr="004D080E" w:rsidRDefault="004D080E" w:rsidP="0039247E">
            <w:pPr>
              <w:jc w:val="center"/>
              <w:rPr>
                <w:rFonts w:cs="Arial"/>
                <w:sz w:val="20"/>
                <w:szCs w:val="20"/>
              </w:rPr>
            </w:pPr>
            <w:r w:rsidRPr="004D080E">
              <w:rPr>
                <w:rFonts w:cs="Arial"/>
                <w:sz w:val="20"/>
                <w:szCs w:val="20"/>
              </w:rPr>
              <w:t>GS≥95</w:t>
            </w:r>
          </w:p>
        </w:tc>
        <w:tc>
          <w:tcPr>
            <w:tcW w:w="1361" w:type="dxa"/>
          </w:tcPr>
          <w:p w:rsidR="004D080E" w:rsidRPr="004D080E" w:rsidRDefault="004D080E" w:rsidP="0039247E">
            <w:pPr>
              <w:jc w:val="center"/>
              <w:rPr>
                <w:rFonts w:cs="Arial"/>
                <w:sz w:val="20"/>
                <w:szCs w:val="20"/>
              </w:rPr>
            </w:pPr>
            <w:r w:rsidRPr="004D080E">
              <w:rPr>
                <w:rFonts w:cs="Arial"/>
                <w:sz w:val="20"/>
                <w:szCs w:val="20"/>
              </w:rPr>
              <w:t>90</w:t>
            </w:r>
            <w:r w:rsidRPr="004D080E">
              <w:rPr>
                <w:rFonts w:eastAsia="SimSun" w:cs="Arial"/>
                <w:sz w:val="20"/>
                <w:szCs w:val="20"/>
              </w:rPr>
              <w:t>≤</w:t>
            </w:r>
            <w:r w:rsidRPr="004D080E">
              <w:rPr>
                <w:rFonts w:cs="Arial"/>
                <w:sz w:val="20"/>
                <w:szCs w:val="20"/>
              </w:rPr>
              <w:t>GS&lt;</w:t>
            </w:r>
            <w:r w:rsidRPr="004D080E">
              <w:rPr>
                <w:rFonts w:eastAsia="SimSun" w:cs="Arial"/>
                <w:sz w:val="20"/>
                <w:szCs w:val="20"/>
              </w:rPr>
              <w:t>95</w:t>
            </w:r>
          </w:p>
        </w:tc>
        <w:tc>
          <w:tcPr>
            <w:tcW w:w="1361" w:type="dxa"/>
          </w:tcPr>
          <w:p w:rsidR="004D080E" w:rsidRPr="004D080E" w:rsidRDefault="004D080E" w:rsidP="0039247E">
            <w:pPr>
              <w:jc w:val="center"/>
              <w:rPr>
                <w:rFonts w:cs="Arial"/>
                <w:sz w:val="20"/>
                <w:szCs w:val="20"/>
              </w:rPr>
            </w:pPr>
            <w:r w:rsidRPr="004D080E">
              <w:rPr>
                <w:rFonts w:cs="Arial"/>
                <w:sz w:val="20"/>
                <w:szCs w:val="20"/>
              </w:rPr>
              <w:t>85</w:t>
            </w:r>
            <w:r w:rsidRPr="004D080E">
              <w:rPr>
                <w:rFonts w:eastAsia="SimSun" w:cs="Arial"/>
                <w:sz w:val="20"/>
                <w:szCs w:val="20"/>
              </w:rPr>
              <w:t>≤</w:t>
            </w:r>
            <w:r w:rsidRPr="004D080E">
              <w:rPr>
                <w:rFonts w:cs="Arial"/>
                <w:sz w:val="20"/>
                <w:szCs w:val="20"/>
              </w:rPr>
              <w:t>GS</w:t>
            </w:r>
            <w:r w:rsidRPr="004D080E">
              <w:rPr>
                <w:rFonts w:eastAsia="SimSun" w:cs="Arial"/>
                <w:sz w:val="20"/>
                <w:szCs w:val="20"/>
              </w:rPr>
              <w:t>&lt;</w:t>
            </w:r>
            <w:r w:rsidRPr="004D080E">
              <w:rPr>
                <w:rFonts w:cs="Arial"/>
                <w:sz w:val="20"/>
                <w:szCs w:val="20"/>
              </w:rPr>
              <w:t>90</w:t>
            </w:r>
          </w:p>
        </w:tc>
        <w:tc>
          <w:tcPr>
            <w:tcW w:w="1361" w:type="dxa"/>
          </w:tcPr>
          <w:p w:rsidR="004D080E" w:rsidRPr="004D080E" w:rsidRDefault="004D080E" w:rsidP="0039247E">
            <w:pPr>
              <w:jc w:val="center"/>
              <w:rPr>
                <w:rFonts w:cs="Arial"/>
                <w:sz w:val="20"/>
                <w:szCs w:val="20"/>
              </w:rPr>
            </w:pPr>
            <w:r w:rsidRPr="004D080E">
              <w:rPr>
                <w:rFonts w:cs="Arial"/>
                <w:sz w:val="20"/>
                <w:szCs w:val="20"/>
              </w:rPr>
              <w:t>80</w:t>
            </w:r>
            <w:r w:rsidRPr="004D080E">
              <w:rPr>
                <w:rFonts w:eastAsia="SimSun" w:cs="Arial"/>
                <w:sz w:val="20"/>
                <w:szCs w:val="20"/>
              </w:rPr>
              <w:t>≤</w:t>
            </w:r>
            <w:r w:rsidRPr="004D080E">
              <w:rPr>
                <w:rFonts w:cs="Arial"/>
                <w:sz w:val="20"/>
                <w:szCs w:val="20"/>
              </w:rPr>
              <w:t>GS</w:t>
            </w:r>
            <w:r w:rsidRPr="004D080E">
              <w:rPr>
                <w:rFonts w:eastAsia="SimSun" w:cs="Arial"/>
                <w:sz w:val="20"/>
                <w:szCs w:val="20"/>
              </w:rPr>
              <w:t>&lt;</w:t>
            </w:r>
            <w:r w:rsidRPr="004D080E">
              <w:rPr>
                <w:rFonts w:cs="Arial"/>
                <w:sz w:val="20"/>
                <w:szCs w:val="20"/>
              </w:rPr>
              <w:t>85</w:t>
            </w:r>
          </w:p>
        </w:tc>
        <w:tc>
          <w:tcPr>
            <w:tcW w:w="1361" w:type="dxa"/>
          </w:tcPr>
          <w:p w:rsidR="004D080E" w:rsidRPr="004D080E" w:rsidRDefault="004D080E" w:rsidP="0039247E">
            <w:pPr>
              <w:jc w:val="center"/>
              <w:rPr>
                <w:rFonts w:cs="Arial"/>
                <w:sz w:val="20"/>
                <w:szCs w:val="20"/>
              </w:rPr>
            </w:pPr>
            <w:r w:rsidRPr="004D080E">
              <w:rPr>
                <w:rFonts w:cs="Arial"/>
                <w:sz w:val="20"/>
                <w:szCs w:val="20"/>
              </w:rPr>
              <w:t>GS</w:t>
            </w:r>
            <w:r w:rsidRPr="004D080E">
              <w:rPr>
                <w:rFonts w:eastAsia="SimSun" w:cs="Arial"/>
                <w:sz w:val="20"/>
                <w:szCs w:val="20"/>
              </w:rPr>
              <w:t>&lt;</w:t>
            </w:r>
            <w:r w:rsidRPr="004D080E">
              <w:rPr>
                <w:rFonts w:cs="Arial"/>
                <w:sz w:val="20"/>
                <w:szCs w:val="20"/>
              </w:rPr>
              <w:t>80</w:t>
            </w:r>
          </w:p>
        </w:tc>
      </w:tr>
      <w:tr w:rsidR="004D080E" w:rsidRPr="004D080E" w:rsidTr="0039247E">
        <w:tc>
          <w:tcPr>
            <w:tcW w:w="3369" w:type="dxa"/>
          </w:tcPr>
          <w:p w:rsidR="004D080E" w:rsidRPr="004D080E" w:rsidRDefault="004D080E" w:rsidP="0039247E">
            <w:pPr>
              <w:rPr>
                <w:rFonts w:cs="Arial"/>
                <w:sz w:val="20"/>
                <w:szCs w:val="20"/>
              </w:rPr>
            </w:pPr>
            <w:r w:rsidRPr="004D080E">
              <w:rPr>
                <w:rFonts w:cs="Arial"/>
                <w:sz w:val="20"/>
                <w:szCs w:val="20"/>
              </w:rPr>
              <w:t>Number of variety pairs</w:t>
            </w:r>
          </w:p>
        </w:tc>
        <w:tc>
          <w:tcPr>
            <w:tcW w:w="1076" w:type="dxa"/>
          </w:tcPr>
          <w:p w:rsidR="004D080E" w:rsidRPr="004D080E" w:rsidRDefault="004D080E" w:rsidP="0039247E">
            <w:pPr>
              <w:jc w:val="center"/>
              <w:rPr>
                <w:rFonts w:cs="Arial"/>
                <w:sz w:val="20"/>
                <w:szCs w:val="20"/>
              </w:rPr>
            </w:pPr>
            <w:r w:rsidRPr="004D080E">
              <w:rPr>
                <w:rFonts w:cs="Arial"/>
                <w:sz w:val="20"/>
                <w:szCs w:val="20"/>
              </w:rPr>
              <w:t>35</w:t>
            </w:r>
          </w:p>
        </w:tc>
        <w:tc>
          <w:tcPr>
            <w:tcW w:w="1361" w:type="dxa"/>
          </w:tcPr>
          <w:p w:rsidR="004D080E" w:rsidRPr="004D080E" w:rsidRDefault="004D080E" w:rsidP="0039247E">
            <w:pPr>
              <w:jc w:val="center"/>
              <w:rPr>
                <w:rFonts w:cs="Arial"/>
                <w:sz w:val="20"/>
                <w:szCs w:val="20"/>
              </w:rPr>
            </w:pPr>
            <w:r w:rsidRPr="004D080E">
              <w:rPr>
                <w:rFonts w:cs="Arial"/>
                <w:sz w:val="20"/>
                <w:szCs w:val="20"/>
              </w:rPr>
              <w:t>15</w:t>
            </w:r>
          </w:p>
        </w:tc>
        <w:tc>
          <w:tcPr>
            <w:tcW w:w="1361" w:type="dxa"/>
          </w:tcPr>
          <w:p w:rsidR="004D080E" w:rsidRPr="004D080E" w:rsidRDefault="004D080E" w:rsidP="0039247E">
            <w:pPr>
              <w:jc w:val="center"/>
              <w:rPr>
                <w:rFonts w:cs="Arial"/>
                <w:sz w:val="20"/>
                <w:szCs w:val="20"/>
              </w:rPr>
            </w:pPr>
            <w:r w:rsidRPr="004D080E">
              <w:rPr>
                <w:rFonts w:cs="Arial"/>
                <w:sz w:val="20"/>
                <w:szCs w:val="20"/>
              </w:rPr>
              <w:t>9</w:t>
            </w:r>
          </w:p>
        </w:tc>
        <w:tc>
          <w:tcPr>
            <w:tcW w:w="1361" w:type="dxa"/>
          </w:tcPr>
          <w:p w:rsidR="004D080E" w:rsidRPr="004D080E" w:rsidRDefault="004D080E" w:rsidP="0039247E">
            <w:pPr>
              <w:jc w:val="center"/>
              <w:rPr>
                <w:rFonts w:cs="Arial"/>
                <w:sz w:val="20"/>
                <w:szCs w:val="20"/>
              </w:rPr>
            </w:pPr>
            <w:r w:rsidRPr="004D080E">
              <w:rPr>
                <w:rFonts w:cs="Arial"/>
                <w:sz w:val="20"/>
                <w:szCs w:val="20"/>
              </w:rPr>
              <w:t>10</w:t>
            </w:r>
          </w:p>
        </w:tc>
        <w:tc>
          <w:tcPr>
            <w:tcW w:w="1361" w:type="dxa"/>
          </w:tcPr>
          <w:p w:rsidR="004D080E" w:rsidRPr="004D080E" w:rsidRDefault="004D080E" w:rsidP="0039247E">
            <w:pPr>
              <w:jc w:val="center"/>
              <w:rPr>
                <w:rFonts w:cs="Arial"/>
                <w:sz w:val="20"/>
                <w:szCs w:val="20"/>
              </w:rPr>
            </w:pPr>
            <w:r w:rsidRPr="004D080E">
              <w:rPr>
                <w:rFonts w:cs="Arial"/>
                <w:sz w:val="20"/>
                <w:szCs w:val="20"/>
              </w:rPr>
              <w:t>61</w:t>
            </w:r>
          </w:p>
        </w:tc>
      </w:tr>
      <w:tr w:rsidR="004D080E" w:rsidRPr="004D080E" w:rsidTr="0039247E">
        <w:tc>
          <w:tcPr>
            <w:tcW w:w="3369" w:type="dxa"/>
          </w:tcPr>
          <w:p w:rsidR="004D080E" w:rsidRPr="004D080E" w:rsidRDefault="004D080E" w:rsidP="0039247E">
            <w:pPr>
              <w:rPr>
                <w:rFonts w:cs="Arial"/>
                <w:sz w:val="20"/>
                <w:szCs w:val="20"/>
              </w:rPr>
            </w:pPr>
            <w:r w:rsidRPr="004D080E">
              <w:rPr>
                <w:rFonts w:cs="Arial"/>
                <w:sz w:val="20"/>
                <w:szCs w:val="20"/>
              </w:rPr>
              <w:t>Number of non-distinct variety pairs</w:t>
            </w:r>
          </w:p>
        </w:tc>
        <w:tc>
          <w:tcPr>
            <w:tcW w:w="1076" w:type="dxa"/>
          </w:tcPr>
          <w:p w:rsidR="004D080E" w:rsidRPr="004D080E" w:rsidRDefault="004D080E" w:rsidP="0039247E">
            <w:pPr>
              <w:jc w:val="center"/>
              <w:rPr>
                <w:rFonts w:cs="Arial"/>
                <w:sz w:val="20"/>
                <w:szCs w:val="20"/>
              </w:rPr>
            </w:pPr>
            <w:r w:rsidRPr="004D080E">
              <w:rPr>
                <w:rFonts w:cs="Arial"/>
                <w:sz w:val="20"/>
                <w:szCs w:val="20"/>
              </w:rPr>
              <w:t>26</w:t>
            </w:r>
          </w:p>
        </w:tc>
        <w:tc>
          <w:tcPr>
            <w:tcW w:w="1361" w:type="dxa"/>
          </w:tcPr>
          <w:p w:rsidR="004D080E" w:rsidRPr="004D080E" w:rsidRDefault="004D080E" w:rsidP="0039247E">
            <w:pPr>
              <w:jc w:val="center"/>
              <w:rPr>
                <w:rFonts w:cs="Arial"/>
                <w:sz w:val="20"/>
                <w:szCs w:val="20"/>
              </w:rPr>
            </w:pPr>
            <w:r w:rsidRPr="004D080E">
              <w:rPr>
                <w:rFonts w:cs="Arial"/>
                <w:sz w:val="20"/>
                <w:szCs w:val="20"/>
              </w:rPr>
              <w:t>7</w:t>
            </w:r>
          </w:p>
        </w:tc>
        <w:tc>
          <w:tcPr>
            <w:tcW w:w="1361" w:type="dxa"/>
          </w:tcPr>
          <w:p w:rsidR="004D080E" w:rsidRPr="004D080E" w:rsidRDefault="004D080E" w:rsidP="0039247E">
            <w:pPr>
              <w:jc w:val="center"/>
              <w:rPr>
                <w:rFonts w:cs="Arial"/>
                <w:sz w:val="20"/>
                <w:szCs w:val="20"/>
              </w:rPr>
            </w:pPr>
            <w:r w:rsidRPr="004D080E">
              <w:rPr>
                <w:rFonts w:cs="Arial"/>
                <w:sz w:val="20"/>
                <w:szCs w:val="20"/>
              </w:rPr>
              <w:t>0</w:t>
            </w:r>
          </w:p>
        </w:tc>
        <w:tc>
          <w:tcPr>
            <w:tcW w:w="1361" w:type="dxa"/>
          </w:tcPr>
          <w:p w:rsidR="004D080E" w:rsidRPr="004D080E" w:rsidRDefault="004D080E" w:rsidP="0039247E">
            <w:pPr>
              <w:jc w:val="center"/>
              <w:rPr>
                <w:rFonts w:cs="Arial"/>
                <w:sz w:val="20"/>
                <w:szCs w:val="20"/>
              </w:rPr>
            </w:pPr>
            <w:r w:rsidRPr="004D080E">
              <w:rPr>
                <w:rFonts w:cs="Arial"/>
                <w:sz w:val="20"/>
                <w:szCs w:val="20"/>
              </w:rPr>
              <w:t>0</w:t>
            </w:r>
          </w:p>
        </w:tc>
        <w:tc>
          <w:tcPr>
            <w:tcW w:w="1361" w:type="dxa"/>
          </w:tcPr>
          <w:p w:rsidR="004D080E" w:rsidRPr="004D080E" w:rsidRDefault="004D080E" w:rsidP="0039247E">
            <w:pPr>
              <w:jc w:val="center"/>
              <w:rPr>
                <w:rFonts w:cs="Arial"/>
                <w:sz w:val="20"/>
                <w:szCs w:val="20"/>
              </w:rPr>
            </w:pPr>
            <w:r w:rsidRPr="004D080E">
              <w:rPr>
                <w:rFonts w:cs="Arial"/>
                <w:sz w:val="20"/>
                <w:szCs w:val="20"/>
              </w:rPr>
              <w:t>0</w:t>
            </w:r>
          </w:p>
        </w:tc>
      </w:tr>
      <w:tr w:rsidR="004D080E" w:rsidRPr="004D080E" w:rsidTr="0039247E">
        <w:tc>
          <w:tcPr>
            <w:tcW w:w="3369" w:type="dxa"/>
          </w:tcPr>
          <w:p w:rsidR="004D080E" w:rsidRPr="004D080E" w:rsidRDefault="004D080E" w:rsidP="0039247E">
            <w:pPr>
              <w:rPr>
                <w:rFonts w:cs="Arial"/>
                <w:sz w:val="20"/>
                <w:szCs w:val="20"/>
              </w:rPr>
            </w:pPr>
            <w:r w:rsidRPr="004D080E">
              <w:rPr>
                <w:rFonts w:cs="Arial"/>
                <w:sz w:val="20"/>
                <w:szCs w:val="20"/>
              </w:rPr>
              <w:t>% of non-distinct variety pairs</w:t>
            </w:r>
          </w:p>
        </w:tc>
        <w:tc>
          <w:tcPr>
            <w:tcW w:w="1076" w:type="dxa"/>
          </w:tcPr>
          <w:p w:rsidR="004D080E" w:rsidRPr="004D080E" w:rsidRDefault="004D080E" w:rsidP="0039247E">
            <w:pPr>
              <w:jc w:val="center"/>
              <w:rPr>
                <w:rFonts w:cs="Arial"/>
                <w:sz w:val="20"/>
                <w:szCs w:val="20"/>
              </w:rPr>
            </w:pPr>
            <w:r w:rsidRPr="004D080E">
              <w:rPr>
                <w:rFonts w:cs="Arial"/>
                <w:sz w:val="20"/>
                <w:szCs w:val="20"/>
              </w:rPr>
              <w:t>74.3</w:t>
            </w:r>
          </w:p>
        </w:tc>
        <w:tc>
          <w:tcPr>
            <w:tcW w:w="1361" w:type="dxa"/>
          </w:tcPr>
          <w:p w:rsidR="004D080E" w:rsidRPr="004D080E" w:rsidRDefault="004D080E" w:rsidP="0039247E">
            <w:pPr>
              <w:tabs>
                <w:tab w:val="left" w:pos="360"/>
                <w:tab w:val="center" w:pos="572"/>
              </w:tabs>
              <w:jc w:val="left"/>
              <w:rPr>
                <w:rFonts w:cs="Arial"/>
                <w:sz w:val="20"/>
                <w:szCs w:val="20"/>
              </w:rPr>
            </w:pPr>
            <w:r w:rsidRPr="004D080E">
              <w:rPr>
                <w:rFonts w:cs="Arial"/>
                <w:sz w:val="20"/>
                <w:szCs w:val="20"/>
              </w:rPr>
              <w:tab/>
              <w:t>46.7</w:t>
            </w:r>
          </w:p>
        </w:tc>
        <w:tc>
          <w:tcPr>
            <w:tcW w:w="1361" w:type="dxa"/>
          </w:tcPr>
          <w:p w:rsidR="004D080E" w:rsidRPr="004D080E" w:rsidRDefault="004D080E" w:rsidP="0039247E">
            <w:pPr>
              <w:jc w:val="center"/>
              <w:rPr>
                <w:rFonts w:cs="Arial"/>
                <w:sz w:val="20"/>
                <w:szCs w:val="20"/>
              </w:rPr>
            </w:pPr>
            <w:r w:rsidRPr="004D080E">
              <w:rPr>
                <w:rFonts w:cs="Arial"/>
                <w:sz w:val="20"/>
                <w:szCs w:val="20"/>
              </w:rPr>
              <w:t>0</w:t>
            </w:r>
          </w:p>
        </w:tc>
        <w:tc>
          <w:tcPr>
            <w:tcW w:w="1361" w:type="dxa"/>
          </w:tcPr>
          <w:p w:rsidR="004D080E" w:rsidRPr="004D080E" w:rsidRDefault="004D080E" w:rsidP="0039247E">
            <w:pPr>
              <w:jc w:val="center"/>
              <w:rPr>
                <w:rFonts w:cs="Arial"/>
                <w:sz w:val="20"/>
                <w:szCs w:val="20"/>
              </w:rPr>
            </w:pPr>
            <w:r w:rsidRPr="004D080E">
              <w:rPr>
                <w:rFonts w:cs="Arial"/>
                <w:sz w:val="20"/>
                <w:szCs w:val="20"/>
              </w:rPr>
              <w:t>0</w:t>
            </w:r>
          </w:p>
        </w:tc>
        <w:tc>
          <w:tcPr>
            <w:tcW w:w="1361" w:type="dxa"/>
          </w:tcPr>
          <w:p w:rsidR="004D080E" w:rsidRPr="004D080E" w:rsidRDefault="004D080E" w:rsidP="0039247E">
            <w:pPr>
              <w:jc w:val="center"/>
              <w:rPr>
                <w:rFonts w:cs="Arial"/>
                <w:sz w:val="20"/>
                <w:szCs w:val="20"/>
              </w:rPr>
            </w:pPr>
            <w:r w:rsidRPr="004D080E">
              <w:rPr>
                <w:rFonts w:cs="Arial"/>
                <w:sz w:val="20"/>
                <w:szCs w:val="20"/>
              </w:rPr>
              <w:t>0</w:t>
            </w:r>
          </w:p>
        </w:tc>
      </w:tr>
    </w:tbl>
    <w:p w:rsidR="004D080E" w:rsidRDefault="004D080E" w:rsidP="00835FB9"/>
    <w:p w:rsidR="00B840F7" w:rsidRPr="004D080E" w:rsidRDefault="00B840F7" w:rsidP="00835FB9"/>
    <w:p w:rsidR="004D080E" w:rsidRPr="004D080E" w:rsidRDefault="004D080E" w:rsidP="00835FB9">
      <w:r w:rsidRPr="004D080E">
        <w:t xml:space="preserve">9. With the current amount of applications, it becomes infeasible to genotype the newly submitted applications using 44 markers in the short period (about one month) between receipt of seeds of applications and planting of first year trial. We tried using 28 SSR markers out of the 44 markers to genotype new candidate varieties before planting trials. Correlation analysis indicated that the genetic distances from using the two sets of markers were significantly correlated with a coefficient of 0.87. Comparison of the selection results showed that only varieties with low genetic similarity to the candidates more or less affected.  During </w:t>
      </w:r>
      <w:r w:rsidRPr="004D080E">
        <w:lastRenderedPageBreak/>
        <w:t xml:space="preserve">the 2016-2017 growing cycle, approximately 600 new candidate varieties were genotyped with the 28 markers and similar varieties were selected using the 80% threshold level.   </w:t>
      </w:r>
    </w:p>
    <w:p w:rsidR="004D080E" w:rsidRDefault="004D080E" w:rsidP="00835FB9"/>
    <w:p w:rsidR="00B840F7" w:rsidRDefault="00B840F7" w:rsidP="00835FB9"/>
    <w:p w:rsidR="004D080E" w:rsidRDefault="004D080E" w:rsidP="00835FB9">
      <w:pPr>
        <w:pStyle w:val="Heading1"/>
      </w:pPr>
      <w:r w:rsidRPr="004D080E">
        <w:t>DEVELOPMENT OF SOFTWARE FOR SIMILAR VARIETY SELECTION</w:t>
      </w:r>
    </w:p>
    <w:p w:rsidR="00835FB9" w:rsidRPr="00835FB9" w:rsidRDefault="00835FB9" w:rsidP="00835FB9"/>
    <w:p w:rsidR="004D080E" w:rsidRPr="004D080E" w:rsidRDefault="004D080E" w:rsidP="00835FB9">
      <w:r w:rsidRPr="004D080E">
        <w:t xml:space="preserve">10. We have started similar variety selection using genetic distance based approach since 2013. At the beginning, genetic distances were calculated using POWERMARKER3.25, and similar varieties were identified manually. In 2016, we developed software for more efficient distance calculation and similar variety selection one the basis of the DNA database of reference varieties. The software can be used to calculate the genetic similarity between a candidate variety and any other variety in the database, align the varieties in the order of the distance and display the similar varieties at any set threshold. Another feature of the database and the software is that the allele data collected according to the protocol can be used directly with no need of conversion. Both the 44 and 28 marker modes can be used with the software.  </w:t>
      </w:r>
    </w:p>
    <w:p w:rsidR="004D080E" w:rsidRDefault="004D080E" w:rsidP="00835FB9"/>
    <w:p w:rsidR="00835FB9" w:rsidRDefault="00835FB9" w:rsidP="00835FB9"/>
    <w:p w:rsidR="004D080E" w:rsidRDefault="004D080E" w:rsidP="00835FB9">
      <w:pPr>
        <w:pStyle w:val="Heading1"/>
      </w:pPr>
      <w:r w:rsidRPr="004D080E">
        <w:t>APPLICATION OF THE METHOD</w:t>
      </w:r>
    </w:p>
    <w:p w:rsidR="00835FB9" w:rsidRPr="00835FB9" w:rsidRDefault="00835FB9" w:rsidP="00835FB9"/>
    <w:p w:rsidR="004D080E" w:rsidRPr="004D080E" w:rsidRDefault="004D080E" w:rsidP="00835FB9">
      <w:r w:rsidRPr="004D080E">
        <w:t xml:space="preserve">11. In 2013, the genetic distance based approach was first used for candidate varieties tested at Jinan and Nanjing station (representing two ecological zones). During 2014-2015, candidate varieties from other 2 ecological zones were screened for similar varieties using the approach. Since 2017, almost all applications in the country were screened using they database.       </w:t>
      </w:r>
    </w:p>
    <w:p w:rsidR="004D080E" w:rsidRPr="004D080E" w:rsidRDefault="004D080E" w:rsidP="00835FB9"/>
    <w:p w:rsidR="004D080E" w:rsidRPr="004D080E" w:rsidRDefault="004D080E" w:rsidP="00835FB9">
      <w:r w:rsidRPr="004D080E">
        <w:t xml:space="preserve">12. The genetic distance based approach is also very efficient in term of the number of similar variety to be grown. At Jinan station, 110 candidate varieties were screened for similar varieties with the genetic similarity threshold of 80% in 2013. At this threshold, 66 applications had no similar varieties. </w:t>
      </w:r>
      <w:bookmarkStart w:id="4" w:name="OLE_LINK3"/>
      <w:bookmarkStart w:id="5" w:name="OLE_LINK4"/>
      <w:r w:rsidRPr="004D080E">
        <w:t xml:space="preserve">29 had 1 to 3 similar varieties. </w:t>
      </w:r>
      <w:bookmarkEnd w:id="4"/>
      <w:bookmarkEnd w:id="5"/>
      <w:r w:rsidRPr="004D080E">
        <w:t xml:space="preserve">6 had 4 to 6 similar varieties. 9 had more than 6 similar varieties. Similar results were obtained for applications of other years.    </w:t>
      </w:r>
    </w:p>
    <w:p w:rsidR="004D080E" w:rsidRPr="004D080E" w:rsidRDefault="004D080E" w:rsidP="00835FB9"/>
    <w:p w:rsidR="004D080E" w:rsidRPr="004D080E" w:rsidRDefault="004D080E" w:rsidP="00835FB9">
      <w:r w:rsidRPr="004D080E">
        <w:t xml:space="preserve">13. With the application of this approach, accuracy of similar variety selection has improved as well as the efficiency of DUS trials. Among the 110 applications from year 2012-2013 planted at Jinan Station, 18 were found not distinct after field trials. Another advantage of the approach is that some candidates can be found non-distinct only after one year’s field trial. For example, 2 VCU applications from 2016 were found not distinct after only one season’s DUS trial.    </w:t>
      </w:r>
    </w:p>
    <w:p w:rsidR="00835FB9" w:rsidRDefault="00835FB9" w:rsidP="00835FB9"/>
    <w:p w:rsidR="008B41FC" w:rsidRPr="004D080E" w:rsidRDefault="008B41FC" w:rsidP="00835FB9"/>
    <w:p w:rsidR="004D080E" w:rsidRDefault="004D080E" w:rsidP="00835FB9">
      <w:pPr>
        <w:pStyle w:val="Heading1"/>
      </w:pPr>
      <w:r w:rsidRPr="004D080E">
        <w:t>REFERENCES</w:t>
      </w:r>
    </w:p>
    <w:p w:rsidR="00835FB9" w:rsidRPr="00835FB9" w:rsidRDefault="00835FB9" w:rsidP="00835FB9"/>
    <w:p w:rsidR="004D080E" w:rsidRDefault="004D080E" w:rsidP="00835FB9">
      <w:proofErr w:type="gramStart"/>
      <w:r w:rsidRPr="004D080E">
        <w:t>Ministry of Agriculture (2013).</w:t>
      </w:r>
      <w:proofErr w:type="gramEnd"/>
      <w:r w:rsidRPr="004D080E">
        <w:t xml:space="preserve">  </w:t>
      </w:r>
      <w:proofErr w:type="gramStart"/>
      <w:r w:rsidRPr="004D080E">
        <w:t>NY/T 2470-2013 Protocol for common wheat variety identification - SSR marker method.</w:t>
      </w:r>
      <w:proofErr w:type="gramEnd"/>
    </w:p>
    <w:p w:rsidR="00835FB9" w:rsidRPr="004D080E" w:rsidRDefault="00835FB9" w:rsidP="00835FB9"/>
    <w:p w:rsidR="004D080E" w:rsidRDefault="004D080E" w:rsidP="00835FB9">
      <w:proofErr w:type="spellStart"/>
      <w:r w:rsidRPr="004D080E">
        <w:t>Rōder</w:t>
      </w:r>
      <w:proofErr w:type="spellEnd"/>
      <w:r w:rsidRPr="004D080E">
        <w:t xml:space="preserve"> MS, </w:t>
      </w:r>
      <w:proofErr w:type="spellStart"/>
      <w:r w:rsidRPr="004D080E">
        <w:t>Wendehake</w:t>
      </w:r>
      <w:proofErr w:type="spellEnd"/>
      <w:r w:rsidRPr="004D080E">
        <w:t xml:space="preserve"> K, </w:t>
      </w:r>
      <w:proofErr w:type="spellStart"/>
      <w:r w:rsidRPr="004D080E">
        <w:t>Korzun</w:t>
      </w:r>
      <w:proofErr w:type="spellEnd"/>
      <w:r w:rsidRPr="004D080E">
        <w:t xml:space="preserve"> V, </w:t>
      </w:r>
      <w:proofErr w:type="spellStart"/>
      <w:r w:rsidRPr="004D080E">
        <w:t>Bredemeijer</w:t>
      </w:r>
      <w:proofErr w:type="spellEnd"/>
      <w:r w:rsidRPr="004D080E">
        <w:t xml:space="preserve"> G, Laborie D, Bertrand L, Isaac P, Rendell S, Jackson J, Cooke R, </w:t>
      </w:r>
      <w:proofErr w:type="spellStart"/>
      <w:r w:rsidRPr="004D080E">
        <w:t>Vosman</w:t>
      </w:r>
      <w:proofErr w:type="spellEnd"/>
      <w:r w:rsidRPr="004D080E">
        <w:t xml:space="preserve"> B, </w:t>
      </w:r>
      <w:proofErr w:type="spellStart"/>
      <w:r w:rsidRPr="004D080E">
        <w:t>Ganal</w:t>
      </w:r>
      <w:proofErr w:type="spellEnd"/>
      <w:r w:rsidRPr="004D080E">
        <w:t xml:space="preserve"> M(2002). </w:t>
      </w:r>
      <w:proofErr w:type="gramStart"/>
      <w:r w:rsidRPr="004D080E">
        <w:t>Construction and analysis of a microsatellite-based database of European wheat varieties.</w:t>
      </w:r>
      <w:proofErr w:type="gramEnd"/>
      <w:r w:rsidRPr="004D080E">
        <w:t xml:space="preserve"> </w:t>
      </w:r>
      <w:proofErr w:type="spellStart"/>
      <w:r w:rsidRPr="004D080E">
        <w:t>Theor</w:t>
      </w:r>
      <w:proofErr w:type="spellEnd"/>
      <w:r w:rsidRPr="004D080E">
        <w:t xml:space="preserve"> </w:t>
      </w:r>
      <w:proofErr w:type="spellStart"/>
      <w:r w:rsidRPr="004D080E">
        <w:t>Appl</w:t>
      </w:r>
      <w:proofErr w:type="spellEnd"/>
      <w:r w:rsidRPr="004D080E">
        <w:t xml:space="preserve"> Genet, 106(1): 67-73.</w:t>
      </w:r>
    </w:p>
    <w:p w:rsidR="00835FB9" w:rsidRPr="004D080E" w:rsidRDefault="00835FB9" w:rsidP="00835FB9"/>
    <w:p w:rsidR="004D080E" w:rsidRDefault="004D080E" w:rsidP="00835FB9">
      <w:proofErr w:type="gramStart"/>
      <w:r w:rsidRPr="004D080E">
        <w:t>Somers DJ, Isaac P and Edwards K (2004).</w:t>
      </w:r>
      <w:proofErr w:type="gramEnd"/>
      <w:r w:rsidRPr="004D080E">
        <w:t xml:space="preserve"> </w:t>
      </w:r>
      <w:proofErr w:type="gramStart"/>
      <w:r w:rsidRPr="004D080E">
        <w:t>A high-density microsatellite consensus map for bread wheat (</w:t>
      </w:r>
      <w:proofErr w:type="spellStart"/>
      <w:r w:rsidRPr="004D080E">
        <w:t>Triticum</w:t>
      </w:r>
      <w:proofErr w:type="spellEnd"/>
      <w:r w:rsidRPr="004D080E">
        <w:t xml:space="preserve"> </w:t>
      </w:r>
      <w:proofErr w:type="spellStart"/>
      <w:r w:rsidRPr="004D080E">
        <w:t>aestivum</w:t>
      </w:r>
      <w:proofErr w:type="spellEnd"/>
      <w:r w:rsidRPr="004D080E">
        <w:t xml:space="preserve"> L.), </w:t>
      </w:r>
      <w:proofErr w:type="spellStart"/>
      <w:r w:rsidRPr="004D080E">
        <w:t>Theor</w:t>
      </w:r>
      <w:proofErr w:type="spellEnd"/>
      <w:r w:rsidRPr="004D080E">
        <w:t xml:space="preserve"> </w:t>
      </w:r>
      <w:proofErr w:type="spellStart"/>
      <w:r w:rsidRPr="004D080E">
        <w:t>Appl</w:t>
      </w:r>
      <w:proofErr w:type="spellEnd"/>
      <w:r w:rsidRPr="004D080E">
        <w:t xml:space="preserve"> Genet, 109: 1105–1114.</w:t>
      </w:r>
      <w:proofErr w:type="gramEnd"/>
    </w:p>
    <w:p w:rsidR="00835FB9" w:rsidRPr="004D080E" w:rsidRDefault="00835FB9" w:rsidP="00835FB9"/>
    <w:p w:rsidR="004D080E" w:rsidRDefault="004D080E" w:rsidP="00835FB9">
      <w:r w:rsidRPr="004D080E">
        <w:t>UPOV /INF/17/1 (2010) GUIDELINES FOR DNA-PROFILING: MOLECULAR MARKER SELECTION AND DATABASE CONSTRUCTION.</w:t>
      </w:r>
    </w:p>
    <w:p w:rsidR="00835FB9" w:rsidRPr="004D080E" w:rsidRDefault="00835FB9" w:rsidP="00835FB9"/>
    <w:p w:rsidR="004D080E" w:rsidRDefault="004D080E" w:rsidP="00835FB9">
      <w:proofErr w:type="gramStart"/>
      <w:r w:rsidRPr="004D080E">
        <w:t>UPOV/INF/18/1 (2011).</w:t>
      </w:r>
      <w:proofErr w:type="gramEnd"/>
      <w:r w:rsidRPr="004D080E">
        <w:t xml:space="preserve"> </w:t>
      </w:r>
      <w:proofErr w:type="gramStart"/>
      <w:r w:rsidRPr="004D080E">
        <w:t>POSSIBLE USE OF MOLECULAR MARKERS IN THE EXAMINATION OF DISTINCTNESS, UNIFORMITY AND STABILITY (DUS).</w:t>
      </w:r>
      <w:proofErr w:type="gramEnd"/>
    </w:p>
    <w:p w:rsidR="00835FB9" w:rsidRPr="004D080E" w:rsidRDefault="00835FB9" w:rsidP="00835FB9"/>
    <w:p w:rsidR="004D080E" w:rsidRDefault="004D080E" w:rsidP="00835FB9">
      <w:proofErr w:type="gramStart"/>
      <w:r w:rsidRPr="004D080E">
        <w:t>WANG Li-Xin</w:t>
      </w:r>
      <w:r w:rsidRPr="004D080E">
        <w:rPr>
          <w:rFonts w:ascii="MS Gothic" w:eastAsia="MS Gothic" w:hAnsi="MS Gothic" w:cs="MS Gothic" w:hint="eastAsia"/>
        </w:rPr>
        <w:t>，</w:t>
      </w:r>
      <w:r w:rsidRPr="004D080E">
        <w:t xml:space="preserve"> LI Hong-Bo</w:t>
      </w:r>
      <w:r w:rsidRPr="004D080E">
        <w:rPr>
          <w:rFonts w:ascii="MS Gothic" w:eastAsia="MS Gothic" w:hAnsi="MS Gothic" w:cs="MS Gothic" w:hint="eastAsia"/>
        </w:rPr>
        <w:t>，</w:t>
      </w:r>
      <w:r w:rsidRPr="004D080E">
        <w:t xml:space="preserve"> LIAO </w:t>
      </w:r>
      <w:proofErr w:type="spellStart"/>
      <w:r w:rsidRPr="004D080E">
        <w:t>Qin</w:t>
      </w:r>
      <w:r w:rsidRPr="004D080E">
        <w:rPr>
          <w:rFonts w:ascii="MS Gothic" w:eastAsia="MS Gothic" w:hAnsi="MS Gothic" w:cs="MS Gothic" w:hint="eastAsia"/>
        </w:rPr>
        <w:t>，</w:t>
      </w:r>
      <w:r w:rsidRPr="004D080E">
        <w:t>QIU</w:t>
      </w:r>
      <w:proofErr w:type="spellEnd"/>
      <w:r w:rsidRPr="004D080E">
        <w:t xml:space="preserve"> </w:t>
      </w:r>
      <w:proofErr w:type="spellStart"/>
      <w:r w:rsidRPr="004D080E">
        <w:t>Jun</w:t>
      </w:r>
      <w:r w:rsidRPr="004D080E">
        <w:rPr>
          <w:rFonts w:ascii="MS Gothic" w:eastAsia="MS Gothic" w:hAnsi="MS Gothic" w:cs="MS Gothic" w:hint="eastAsia"/>
        </w:rPr>
        <w:t>，</w:t>
      </w:r>
      <w:r w:rsidRPr="004D080E">
        <w:t>CHANG</w:t>
      </w:r>
      <w:proofErr w:type="spellEnd"/>
      <w:r w:rsidRPr="004D080E">
        <w:t xml:space="preserve"> </w:t>
      </w:r>
      <w:proofErr w:type="spellStart"/>
      <w:r w:rsidRPr="004D080E">
        <w:t>Li-Fang</w:t>
      </w:r>
      <w:r w:rsidRPr="004D080E">
        <w:rPr>
          <w:rFonts w:ascii="MS Gothic" w:eastAsia="MS Gothic" w:hAnsi="MS Gothic" w:cs="MS Gothic" w:hint="eastAsia"/>
        </w:rPr>
        <w:t>，</w:t>
      </w:r>
      <w:r w:rsidRPr="004D080E">
        <w:t>LIU</w:t>
      </w:r>
      <w:proofErr w:type="spellEnd"/>
      <w:r w:rsidRPr="004D080E">
        <w:t xml:space="preserve"> </w:t>
      </w:r>
      <w:proofErr w:type="spellStart"/>
      <w:r w:rsidRPr="004D080E">
        <w:t>Li-Hua</w:t>
      </w:r>
      <w:r w:rsidRPr="004D080E">
        <w:rPr>
          <w:rFonts w:ascii="MS Gothic" w:eastAsia="MS Gothic" w:hAnsi="MS Gothic" w:cs="MS Gothic" w:hint="eastAsia"/>
        </w:rPr>
        <w:t>，</w:t>
      </w:r>
      <w:r w:rsidRPr="004D080E">
        <w:t>REN</w:t>
      </w:r>
      <w:proofErr w:type="spellEnd"/>
      <w:r w:rsidRPr="004D080E">
        <w:t xml:space="preserve"> </w:t>
      </w:r>
      <w:proofErr w:type="spellStart"/>
      <w:r w:rsidRPr="004D080E">
        <w:t>Li-Ping</w:t>
      </w:r>
      <w:r w:rsidRPr="004D080E">
        <w:rPr>
          <w:rFonts w:ascii="MS Gothic" w:eastAsia="MS Gothic" w:hAnsi="MS Gothic" w:cs="MS Gothic" w:hint="eastAsia"/>
        </w:rPr>
        <w:t>，</w:t>
      </w:r>
      <w:r w:rsidRPr="004D080E">
        <w:t>GAO</w:t>
      </w:r>
      <w:proofErr w:type="spellEnd"/>
      <w:r w:rsidRPr="004D080E">
        <w:t xml:space="preserve"> </w:t>
      </w:r>
      <w:proofErr w:type="spellStart"/>
      <w:r w:rsidRPr="004D080E">
        <w:t>Xin-Huan</w:t>
      </w:r>
      <w:r w:rsidRPr="004D080E">
        <w:rPr>
          <w:rFonts w:ascii="MS Gothic" w:eastAsia="MS Gothic" w:hAnsi="MS Gothic" w:cs="MS Gothic" w:hint="eastAsia"/>
        </w:rPr>
        <w:t>，</w:t>
      </w:r>
      <w:r w:rsidRPr="004D080E">
        <w:t>and</w:t>
      </w:r>
      <w:proofErr w:type="spellEnd"/>
      <w:r w:rsidRPr="004D080E">
        <w:t xml:space="preserve"> ZHAO Chang-Ping (2010).</w:t>
      </w:r>
      <w:proofErr w:type="gramEnd"/>
      <w:r w:rsidRPr="004D080E">
        <w:t xml:space="preserve"> </w:t>
      </w:r>
      <w:proofErr w:type="gramStart"/>
      <w:r w:rsidRPr="004D080E">
        <w:t>Screening Wheat Varieties with Genetic Similarity Using Molecular Markers.</w:t>
      </w:r>
      <w:proofErr w:type="gramEnd"/>
      <w:r w:rsidRPr="004D080E">
        <w:t xml:space="preserve"> ACTA AGRONOMICA SINICA, 36(9): 1490−1497.</w:t>
      </w:r>
    </w:p>
    <w:p w:rsidR="00835FB9" w:rsidRPr="004D080E" w:rsidRDefault="00835FB9" w:rsidP="00835FB9"/>
    <w:p w:rsidR="004D080E" w:rsidRPr="004D080E" w:rsidRDefault="004D080E" w:rsidP="00835FB9">
      <w:r w:rsidRPr="004D080E">
        <w:t>ZHENG Yong-sheng, ZHANG Han, WANG Dong-</w:t>
      </w:r>
      <w:proofErr w:type="spellStart"/>
      <w:r w:rsidRPr="004D080E">
        <w:t>jian</w:t>
      </w:r>
      <w:proofErr w:type="spellEnd"/>
      <w:r w:rsidRPr="004D080E">
        <w:t xml:space="preserve">, SUN </w:t>
      </w:r>
      <w:proofErr w:type="spellStart"/>
      <w:r w:rsidRPr="004D080E">
        <w:t>Jia-mei</w:t>
      </w:r>
      <w:proofErr w:type="spellEnd"/>
      <w:r w:rsidRPr="004D080E">
        <w:t xml:space="preserve">, WANG </w:t>
      </w:r>
      <w:proofErr w:type="spellStart"/>
      <w:r w:rsidRPr="004D080E">
        <w:t>Xue-mei</w:t>
      </w:r>
      <w:proofErr w:type="spellEnd"/>
      <w:r w:rsidRPr="004D080E">
        <w:t xml:space="preserve">,  DUAN Li-li, LI Hua, WANG Wei, LI </w:t>
      </w:r>
      <w:proofErr w:type="spellStart"/>
      <w:r w:rsidRPr="004D080E">
        <w:t>Ruyu</w:t>
      </w:r>
      <w:proofErr w:type="spellEnd"/>
      <w:r w:rsidRPr="004D080E">
        <w:t xml:space="preserve"> (2014).</w:t>
      </w:r>
      <w:r w:rsidR="00835FB9">
        <w:t xml:space="preserve"> </w:t>
      </w:r>
      <w:r w:rsidRPr="004D080E">
        <w:t xml:space="preserve">Development of a Wheat Variety Identification System based on Fluorescent Dye Labeled SSR Markers. Scientia </w:t>
      </w:r>
      <w:proofErr w:type="spellStart"/>
      <w:r w:rsidRPr="004D080E">
        <w:t>Agricultura</w:t>
      </w:r>
      <w:proofErr w:type="spellEnd"/>
      <w:r w:rsidRPr="004D080E">
        <w:t xml:space="preserve"> </w:t>
      </w:r>
      <w:proofErr w:type="spellStart"/>
      <w:r w:rsidRPr="004D080E">
        <w:t>Sinica</w:t>
      </w:r>
      <w:proofErr w:type="spellEnd"/>
      <w:r w:rsidRPr="004D080E">
        <w:t>, 47(19):3725-3735.</w:t>
      </w:r>
    </w:p>
    <w:p w:rsidR="004D080E" w:rsidRDefault="004D080E" w:rsidP="00835FB9"/>
    <w:p w:rsidR="00D11C0E" w:rsidRDefault="004D080E" w:rsidP="00835FB9">
      <w:r>
        <w:lastRenderedPageBreak/>
        <w:t xml:space="preserve">14. </w:t>
      </w:r>
      <w:r w:rsidR="00D11C0E" w:rsidRPr="007C25BD">
        <w:t xml:space="preserve">The </w:t>
      </w:r>
      <w:r w:rsidR="00116664">
        <w:t xml:space="preserve">Annex to </w:t>
      </w:r>
      <w:r w:rsidR="00D11C0E" w:rsidRPr="007C25BD">
        <w:t xml:space="preserve">this document </w:t>
      </w:r>
      <w:r w:rsidR="00116664">
        <w:t xml:space="preserve">contains a copy of a presentation “Genetic Distance-based Selection of Similar Varieties for Wheat Distinctness Test” </w:t>
      </w:r>
      <w:r w:rsidR="00D11C0E" w:rsidRPr="007C25BD">
        <w:t xml:space="preserve">to </w:t>
      </w:r>
      <w:r w:rsidR="00116664">
        <w:t xml:space="preserve">be made at its sixteenth session of the </w:t>
      </w:r>
      <w:r w:rsidR="00116664" w:rsidRPr="007C25BD">
        <w:t>Working Group on Biochemical and Molecular Techniques, and DNA-Profiling</w:t>
      </w:r>
      <w:r w:rsidR="00116664">
        <w:t xml:space="preserve"> </w:t>
      </w:r>
      <w:r w:rsidR="00116664" w:rsidRPr="007C25BD">
        <w:t>in Particular</w:t>
      </w:r>
      <w:r w:rsidR="00116664">
        <w:t xml:space="preserve"> (BMT)</w:t>
      </w:r>
      <w:r w:rsidR="00D11C0E">
        <w:t>.</w:t>
      </w:r>
    </w:p>
    <w:p w:rsidR="00835FB9" w:rsidRDefault="00835FB9" w:rsidP="00835FB9"/>
    <w:p w:rsidR="007E68EB" w:rsidRPr="007C63D2" w:rsidRDefault="007E68EB" w:rsidP="00835FB9">
      <w:pPr>
        <w:rPr>
          <w:rFonts w:ascii="Times New Roman" w:hAnsi="Times New Roman"/>
          <w:sz w:val="28"/>
          <w:szCs w:val="28"/>
        </w:rPr>
      </w:pPr>
      <w:proofErr w:type="spellStart"/>
      <w:r w:rsidRPr="007E68EB">
        <w:rPr>
          <w:rFonts w:cs="Arial"/>
        </w:rPr>
        <w:t>Ruyu</w:t>
      </w:r>
      <w:proofErr w:type="spellEnd"/>
      <w:r>
        <w:rPr>
          <w:rFonts w:cs="Arial"/>
        </w:rPr>
        <w:t xml:space="preserve"> </w:t>
      </w:r>
      <w:r w:rsidRPr="007E68EB">
        <w:rPr>
          <w:rFonts w:cs="Arial"/>
        </w:rPr>
        <w:t>L</w:t>
      </w:r>
      <w:r>
        <w:rPr>
          <w:rFonts w:cs="Arial"/>
        </w:rPr>
        <w:t>i</w:t>
      </w:r>
      <w:r w:rsidRPr="007E68EB">
        <w:rPr>
          <w:rFonts w:cs="Arial"/>
        </w:rPr>
        <w:t>, Han</w:t>
      </w:r>
      <w:r>
        <w:rPr>
          <w:rFonts w:cs="Arial"/>
        </w:rPr>
        <w:t xml:space="preserve"> </w:t>
      </w:r>
      <w:r w:rsidRPr="007E68EB">
        <w:rPr>
          <w:rFonts w:cs="Arial"/>
        </w:rPr>
        <w:t>Z</w:t>
      </w:r>
      <w:r>
        <w:rPr>
          <w:rFonts w:cs="Arial"/>
        </w:rPr>
        <w:t>hang</w:t>
      </w:r>
      <w:r w:rsidRPr="007E68EB">
        <w:rPr>
          <w:rFonts w:cs="Arial"/>
        </w:rPr>
        <w:t xml:space="preserve">, </w:t>
      </w:r>
      <w:proofErr w:type="spellStart"/>
      <w:r w:rsidRPr="007E68EB">
        <w:rPr>
          <w:rFonts w:cs="Arial"/>
        </w:rPr>
        <w:t>Yongsheng</w:t>
      </w:r>
      <w:proofErr w:type="spellEnd"/>
      <w:r>
        <w:rPr>
          <w:rFonts w:cs="Arial"/>
        </w:rPr>
        <w:t xml:space="preserve"> </w:t>
      </w:r>
      <w:r w:rsidRPr="007E68EB">
        <w:rPr>
          <w:rFonts w:cs="Arial"/>
        </w:rPr>
        <w:t>Z</w:t>
      </w:r>
      <w:r>
        <w:rPr>
          <w:rFonts w:cs="Arial"/>
        </w:rPr>
        <w:t>heng</w:t>
      </w:r>
      <w:r w:rsidRPr="007E68EB">
        <w:rPr>
          <w:rFonts w:cs="Arial"/>
        </w:rPr>
        <w:t>, Lili</w:t>
      </w:r>
      <w:r>
        <w:rPr>
          <w:rFonts w:cs="Arial"/>
        </w:rPr>
        <w:t xml:space="preserve"> </w:t>
      </w:r>
      <w:proofErr w:type="spellStart"/>
      <w:r w:rsidRPr="007E68EB">
        <w:rPr>
          <w:rFonts w:cs="Arial"/>
        </w:rPr>
        <w:t>D</w:t>
      </w:r>
      <w:r>
        <w:rPr>
          <w:rFonts w:cs="Arial"/>
        </w:rPr>
        <w:t>uan</w:t>
      </w:r>
      <w:proofErr w:type="spellEnd"/>
      <w:r w:rsidRPr="007E68EB">
        <w:rPr>
          <w:rFonts w:cs="Arial"/>
        </w:rPr>
        <w:t>, Hua</w:t>
      </w:r>
      <w:r>
        <w:rPr>
          <w:rFonts w:cs="Arial"/>
        </w:rPr>
        <w:t xml:space="preserve"> </w:t>
      </w:r>
      <w:r w:rsidRPr="007E68EB">
        <w:rPr>
          <w:rFonts w:cs="Arial"/>
        </w:rPr>
        <w:t>L</w:t>
      </w:r>
      <w:r>
        <w:rPr>
          <w:rFonts w:cs="Arial"/>
        </w:rPr>
        <w:t>i</w:t>
      </w:r>
      <w:r w:rsidRPr="007E68EB">
        <w:rPr>
          <w:rFonts w:cs="Arial"/>
        </w:rPr>
        <w:t xml:space="preserve">, </w:t>
      </w:r>
      <w:proofErr w:type="spellStart"/>
      <w:r w:rsidRPr="007E68EB">
        <w:rPr>
          <w:rFonts w:cs="Arial"/>
        </w:rPr>
        <w:t>Xuemei</w:t>
      </w:r>
      <w:proofErr w:type="spellEnd"/>
      <w:r>
        <w:rPr>
          <w:rFonts w:cs="Arial"/>
        </w:rPr>
        <w:t xml:space="preserve"> </w:t>
      </w:r>
      <w:r w:rsidRPr="007E68EB">
        <w:rPr>
          <w:rFonts w:cs="Arial"/>
        </w:rPr>
        <w:t>W</w:t>
      </w:r>
      <w:r>
        <w:rPr>
          <w:rFonts w:cs="Arial"/>
        </w:rPr>
        <w:t xml:space="preserve">ang, </w:t>
      </w:r>
      <w:r w:rsidRPr="007E68EB">
        <w:rPr>
          <w:rFonts w:cs="Arial"/>
        </w:rPr>
        <w:t>Jinan DUS Testing Station, Ministry of Agriculture, China</w:t>
      </w:r>
    </w:p>
    <w:p w:rsidR="00D11C0E" w:rsidRDefault="00D11C0E" w:rsidP="00835FB9"/>
    <w:p w:rsidR="00B840F7" w:rsidRDefault="00B840F7" w:rsidP="00835FB9"/>
    <w:p w:rsidR="00116664" w:rsidRDefault="00116664" w:rsidP="00D11C0E"/>
    <w:p w:rsidR="0091607B" w:rsidRDefault="00E6209D" w:rsidP="00097DB9">
      <w:pPr>
        <w:jc w:val="right"/>
      </w:pPr>
      <w:r w:rsidRPr="000F7C86">
        <w:rPr>
          <w:rFonts w:hint="eastAsia"/>
        </w:rPr>
        <w:t xml:space="preserve"> </w:t>
      </w:r>
      <w:r w:rsidR="0091607B" w:rsidRPr="000F7C86">
        <w:rPr>
          <w:rFonts w:hint="eastAsia"/>
        </w:rPr>
        <w:t>[</w:t>
      </w:r>
      <w:r w:rsidR="0091607B">
        <w:t>A</w:t>
      </w:r>
      <w:r w:rsidR="0091607B" w:rsidRPr="000F7C86">
        <w:t>nnex follow</w:t>
      </w:r>
      <w:r w:rsidR="004D080E">
        <w:t>s</w:t>
      </w:r>
      <w:r w:rsidR="0091607B" w:rsidRPr="000F7C86">
        <w:t>]</w:t>
      </w:r>
    </w:p>
    <w:p w:rsidR="00097DB9" w:rsidRPr="007C25BD" w:rsidRDefault="00097DB9" w:rsidP="00097DB9">
      <w:pPr>
        <w:jc w:val="right"/>
        <w:sectPr w:rsidR="00097DB9" w:rsidRPr="007C25BD" w:rsidSect="00E71894">
          <w:headerReference w:type="default" r:id="rId9"/>
          <w:pgSz w:w="11907" w:h="16840" w:code="9"/>
          <w:pgMar w:top="510" w:right="1134" w:bottom="1134" w:left="1134" w:header="510" w:footer="680" w:gutter="0"/>
          <w:cols w:space="720"/>
          <w:titlePg/>
        </w:sectPr>
      </w:pPr>
    </w:p>
    <w:p w:rsidR="00097DB9" w:rsidRDefault="00097DB9" w:rsidP="00097DB9">
      <w:pPr>
        <w:spacing w:line="360" w:lineRule="auto"/>
      </w:pPr>
    </w:p>
    <w:p w:rsidR="00097DB9" w:rsidRDefault="009B592D" w:rsidP="00097DB9">
      <w:pPr>
        <w:spacing w:line="360" w:lineRule="auto"/>
        <w:jc w:val="center"/>
      </w:pPr>
      <w:r w:rsidRPr="009B592D">
        <w:drawing>
          <wp:inline distT="0" distB="0" distL="0" distR="0" wp14:anchorId="3344F561" wp14:editId="778653BD">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097DB9" w:rsidRDefault="00097DB9" w:rsidP="00097DB9">
      <w:pPr>
        <w:spacing w:line="360" w:lineRule="auto"/>
        <w:jc w:val="left"/>
      </w:pPr>
    </w:p>
    <w:p w:rsidR="00097DB9" w:rsidRDefault="009B592D" w:rsidP="00097DB9">
      <w:pPr>
        <w:spacing w:line="360" w:lineRule="auto"/>
        <w:jc w:val="center"/>
      </w:pPr>
      <w:r w:rsidRPr="009B592D">
        <w:drawing>
          <wp:inline distT="0" distB="0" distL="0" distR="0" wp14:anchorId="14F734A0" wp14:editId="6AAAACDF">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097DB9" w:rsidRDefault="00097DB9" w:rsidP="00097DB9">
      <w:pPr>
        <w:spacing w:line="360" w:lineRule="auto"/>
        <w:jc w:val="left"/>
      </w:pPr>
    </w:p>
    <w:p w:rsidR="00097DB9" w:rsidRDefault="00097DB9" w:rsidP="00097DB9">
      <w:pPr>
        <w:spacing w:line="360" w:lineRule="auto"/>
        <w:jc w:val="left"/>
      </w:pPr>
    </w:p>
    <w:p w:rsidR="003245F0" w:rsidRDefault="003245F0" w:rsidP="00097DB9">
      <w:pPr>
        <w:spacing w:line="360" w:lineRule="auto"/>
        <w:jc w:val="center"/>
      </w:pPr>
    </w:p>
    <w:p w:rsidR="003245F0" w:rsidRDefault="003245F0" w:rsidP="00097DB9">
      <w:pPr>
        <w:spacing w:line="360" w:lineRule="auto"/>
        <w:jc w:val="center"/>
      </w:pPr>
    </w:p>
    <w:p w:rsidR="00097DB9" w:rsidRDefault="009B592D" w:rsidP="00097DB9">
      <w:pPr>
        <w:spacing w:line="360" w:lineRule="auto"/>
        <w:jc w:val="center"/>
      </w:pPr>
      <w:r w:rsidRPr="009B592D">
        <w:drawing>
          <wp:inline distT="0" distB="0" distL="0" distR="0" wp14:anchorId="457F99FF" wp14:editId="4B439F1B">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097DB9" w:rsidRDefault="00097DB9" w:rsidP="00097DB9">
      <w:pPr>
        <w:spacing w:line="360" w:lineRule="auto"/>
        <w:jc w:val="left"/>
      </w:pPr>
    </w:p>
    <w:p w:rsidR="00097DB9" w:rsidRDefault="009B592D" w:rsidP="00097DB9">
      <w:pPr>
        <w:spacing w:line="360" w:lineRule="auto"/>
        <w:jc w:val="center"/>
      </w:pPr>
      <w:r w:rsidRPr="009B592D">
        <w:drawing>
          <wp:inline distT="0" distB="0" distL="0" distR="0" wp14:anchorId="1575FD0B" wp14:editId="6A7941B8">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097DB9" w:rsidRDefault="00097DB9" w:rsidP="00097DB9">
      <w:pPr>
        <w:spacing w:line="360" w:lineRule="auto"/>
        <w:jc w:val="left"/>
      </w:pPr>
    </w:p>
    <w:p w:rsidR="00097DB9" w:rsidRDefault="009B592D" w:rsidP="00097DB9">
      <w:pPr>
        <w:spacing w:line="360" w:lineRule="auto"/>
        <w:jc w:val="center"/>
      </w:pPr>
      <w:r w:rsidRPr="009B592D">
        <w:drawing>
          <wp:inline distT="0" distB="0" distL="0" distR="0" wp14:anchorId="7515CC93" wp14:editId="605609AE">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3245F0" w:rsidRDefault="003245F0" w:rsidP="00097DB9">
      <w:pPr>
        <w:spacing w:line="360" w:lineRule="auto"/>
        <w:jc w:val="left"/>
      </w:pPr>
    </w:p>
    <w:p w:rsidR="00097DB9" w:rsidRDefault="009B592D" w:rsidP="00097DB9">
      <w:pPr>
        <w:spacing w:line="360" w:lineRule="auto"/>
        <w:jc w:val="center"/>
      </w:pPr>
      <w:r w:rsidRPr="009B592D">
        <w:drawing>
          <wp:inline distT="0" distB="0" distL="0" distR="0" wp14:anchorId="3D855F98" wp14:editId="40B11F30">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097DB9" w:rsidRDefault="009B592D" w:rsidP="00097DB9">
      <w:pPr>
        <w:spacing w:line="360" w:lineRule="auto"/>
        <w:jc w:val="center"/>
      </w:pPr>
      <w:r w:rsidRPr="009B592D">
        <w:drawing>
          <wp:inline distT="0" distB="0" distL="0" distR="0" wp14:anchorId="49683D4D" wp14:editId="3F048FF6">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097DB9" w:rsidRDefault="00097DB9" w:rsidP="00097DB9">
      <w:pPr>
        <w:spacing w:line="360" w:lineRule="auto"/>
        <w:jc w:val="left"/>
      </w:pPr>
    </w:p>
    <w:p w:rsidR="00097DB9" w:rsidRDefault="009B592D" w:rsidP="00097DB9">
      <w:pPr>
        <w:spacing w:line="360" w:lineRule="auto"/>
        <w:jc w:val="center"/>
      </w:pPr>
      <w:r w:rsidRPr="009B592D">
        <w:drawing>
          <wp:inline distT="0" distB="0" distL="0" distR="0" wp14:anchorId="6EA241AC" wp14:editId="61BE5E37">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097DB9" w:rsidRDefault="00097DB9"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097DB9" w:rsidRDefault="009B592D" w:rsidP="00097DB9">
      <w:pPr>
        <w:spacing w:line="360" w:lineRule="auto"/>
        <w:jc w:val="center"/>
      </w:pPr>
      <w:r w:rsidRPr="009B592D">
        <w:drawing>
          <wp:inline distT="0" distB="0" distL="0" distR="0" wp14:anchorId="53FC5BEA" wp14:editId="135EFD99">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097DB9" w:rsidRDefault="00097DB9" w:rsidP="00097DB9">
      <w:pPr>
        <w:spacing w:line="360" w:lineRule="auto"/>
        <w:jc w:val="left"/>
      </w:pPr>
    </w:p>
    <w:p w:rsidR="00097DB9" w:rsidRDefault="009B592D" w:rsidP="00097DB9">
      <w:pPr>
        <w:spacing w:line="360" w:lineRule="auto"/>
        <w:jc w:val="center"/>
      </w:pPr>
      <w:r w:rsidRPr="009B592D">
        <w:drawing>
          <wp:inline distT="0" distB="0" distL="0" distR="0" wp14:anchorId="78D81B66" wp14:editId="15A02227">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097DB9" w:rsidRDefault="009B592D" w:rsidP="00097DB9">
      <w:pPr>
        <w:spacing w:line="360" w:lineRule="auto"/>
        <w:jc w:val="center"/>
      </w:pPr>
      <w:r w:rsidRPr="009B592D">
        <w:drawing>
          <wp:inline distT="0" distB="0" distL="0" distR="0" wp14:anchorId="530601A8" wp14:editId="287A6C90">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097DB9" w:rsidRDefault="00097DB9" w:rsidP="00097DB9">
      <w:pPr>
        <w:spacing w:line="360" w:lineRule="auto"/>
        <w:jc w:val="left"/>
      </w:pPr>
    </w:p>
    <w:p w:rsidR="00097DB9" w:rsidRDefault="009B592D" w:rsidP="00097DB9">
      <w:pPr>
        <w:spacing w:line="360" w:lineRule="auto"/>
        <w:jc w:val="center"/>
      </w:pPr>
      <w:r w:rsidRPr="009B592D">
        <w:drawing>
          <wp:inline distT="0" distB="0" distL="0" distR="0" wp14:anchorId="137D5FE1" wp14:editId="4BD3F050">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097DB9" w:rsidRDefault="009B592D" w:rsidP="00097DB9">
      <w:pPr>
        <w:spacing w:line="360" w:lineRule="auto"/>
        <w:jc w:val="center"/>
      </w:pPr>
      <w:r w:rsidRPr="009B592D">
        <w:drawing>
          <wp:inline distT="0" distB="0" distL="0" distR="0" wp14:anchorId="08F814BD" wp14:editId="304040C5">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3245F0" w:rsidRDefault="003245F0" w:rsidP="00097DB9">
      <w:pPr>
        <w:spacing w:line="360" w:lineRule="auto"/>
        <w:jc w:val="center"/>
      </w:pPr>
    </w:p>
    <w:p w:rsidR="00097DB9" w:rsidRDefault="00097DB9" w:rsidP="00097DB9">
      <w:pPr>
        <w:spacing w:line="360" w:lineRule="auto"/>
        <w:jc w:val="left"/>
      </w:pPr>
    </w:p>
    <w:p w:rsidR="00097DB9" w:rsidRDefault="009B592D" w:rsidP="00097DB9">
      <w:pPr>
        <w:spacing w:line="360" w:lineRule="auto"/>
        <w:jc w:val="center"/>
      </w:pPr>
      <w:r w:rsidRPr="009B592D">
        <w:drawing>
          <wp:inline distT="0" distB="0" distL="0" distR="0" wp14:anchorId="7BF85835" wp14:editId="015CE052">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097DB9" w:rsidRDefault="009B592D" w:rsidP="00097DB9">
      <w:pPr>
        <w:spacing w:line="360" w:lineRule="auto"/>
        <w:jc w:val="center"/>
      </w:pPr>
      <w:r w:rsidRPr="009B592D">
        <w:drawing>
          <wp:inline distT="0" distB="0" distL="0" distR="0" wp14:anchorId="40E5163C" wp14:editId="2F92D5C9">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097DB9" w:rsidRDefault="00097DB9" w:rsidP="00097DB9">
      <w:pPr>
        <w:spacing w:line="360" w:lineRule="auto"/>
        <w:jc w:val="left"/>
      </w:pPr>
    </w:p>
    <w:p w:rsidR="00097DB9" w:rsidRDefault="009B592D" w:rsidP="00097DB9">
      <w:pPr>
        <w:spacing w:line="360" w:lineRule="auto"/>
        <w:jc w:val="center"/>
      </w:pPr>
      <w:r w:rsidRPr="009B592D">
        <w:drawing>
          <wp:inline distT="0" distB="0" distL="0" distR="0" wp14:anchorId="12A20638" wp14:editId="6CD555B4">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097DB9" w:rsidRDefault="009B592D" w:rsidP="00097DB9">
      <w:pPr>
        <w:spacing w:line="360" w:lineRule="auto"/>
        <w:jc w:val="center"/>
      </w:pPr>
      <w:r w:rsidRPr="009B592D">
        <w:drawing>
          <wp:inline distT="0" distB="0" distL="0" distR="0" wp14:anchorId="3387DAE5" wp14:editId="7DE54978">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3245F0" w:rsidRDefault="003245F0" w:rsidP="00097DB9">
      <w:pPr>
        <w:spacing w:line="360" w:lineRule="auto"/>
        <w:jc w:val="center"/>
      </w:pPr>
    </w:p>
    <w:p w:rsidR="00097DB9" w:rsidRDefault="00097DB9" w:rsidP="00097DB9">
      <w:pPr>
        <w:spacing w:line="360" w:lineRule="auto"/>
        <w:jc w:val="left"/>
      </w:pPr>
    </w:p>
    <w:p w:rsidR="00097DB9" w:rsidRDefault="009B592D" w:rsidP="00097DB9">
      <w:pPr>
        <w:spacing w:line="360" w:lineRule="auto"/>
        <w:jc w:val="center"/>
      </w:pPr>
      <w:r w:rsidRPr="009B592D">
        <w:drawing>
          <wp:inline distT="0" distB="0" distL="0" distR="0" wp14:anchorId="1FA9B66D" wp14:editId="4CC84951">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097DB9" w:rsidRDefault="009B592D" w:rsidP="00097DB9">
      <w:pPr>
        <w:spacing w:line="360" w:lineRule="auto"/>
        <w:jc w:val="center"/>
      </w:pPr>
      <w:r w:rsidRPr="009B592D">
        <w:drawing>
          <wp:inline distT="0" distB="0" distL="0" distR="0" wp14:anchorId="3D809629" wp14:editId="090D8847">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3245F0" w:rsidRDefault="003245F0" w:rsidP="00097DB9">
      <w:pPr>
        <w:spacing w:line="360" w:lineRule="auto"/>
        <w:jc w:val="center"/>
      </w:pPr>
    </w:p>
    <w:p w:rsidR="00097DB9" w:rsidRDefault="00097DB9" w:rsidP="00097DB9">
      <w:pPr>
        <w:spacing w:line="360" w:lineRule="auto"/>
        <w:jc w:val="left"/>
      </w:pPr>
    </w:p>
    <w:p w:rsidR="00097DB9" w:rsidRDefault="009B592D" w:rsidP="00097DB9">
      <w:pPr>
        <w:spacing w:line="360" w:lineRule="auto"/>
        <w:jc w:val="center"/>
      </w:pPr>
      <w:r w:rsidRPr="009B592D">
        <w:drawing>
          <wp:inline distT="0" distB="0" distL="0" distR="0" wp14:anchorId="7310DDAF" wp14:editId="691572E4">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3245F0" w:rsidRDefault="003245F0" w:rsidP="00097DB9">
      <w:pPr>
        <w:spacing w:line="360" w:lineRule="auto"/>
        <w:jc w:val="left"/>
      </w:pPr>
    </w:p>
    <w:p w:rsidR="00097DB9" w:rsidRDefault="009B592D" w:rsidP="00097DB9">
      <w:pPr>
        <w:spacing w:line="360" w:lineRule="auto"/>
        <w:jc w:val="center"/>
      </w:pPr>
      <w:r w:rsidRPr="009B592D">
        <w:drawing>
          <wp:inline distT="0" distB="0" distL="0" distR="0" wp14:anchorId="0F3480FF" wp14:editId="6C45811D">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097DB9" w:rsidRDefault="00097DB9" w:rsidP="00097DB9">
      <w:pPr>
        <w:spacing w:line="360" w:lineRule="auto"/>
        <w:jc w:val="center"/>
      </w:pPr>
    </w:p>
    <w:p w:rsidR="00097DB9" w:rsidRDefault="00097DB9" w:rsidP="00097DB9">
      <w:pPr>
        <w:spacing w:line="360" w:lineRule="auto"/>
        <w:jc w:val="left"/>
      </w:pPr>
    </w:p>
    <w:p w:rsidR="003245F0" w:rsidRDefault="003245F0" w:rsidP="00097DB9">
      <w:pPr>
        <w:spacing w:line="360" w:lineRule="auto"/>
        <w:jc w:val="left"/>
      </w:pPr>
    </w:p>
    <w:p w:rsidR="00097DB9" w:rsidRDefault="009B592D" w:rsidP="00097DB9">
      <w:pPr>
        <w:spacing w:line="360" w:lineRule="auto"/>
        <w:jc w:val="center"/>
      </w:pPr>
      <w:r w:rsidRPr="009B592D">
        <w:drawing>
          <wp:inline distT="0" distB="0" distL="0" distR="0" wp14:anchorId="2F4A2E15" wp14:editId="4BD6B59E">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bookmarkStart w:id="10" w:name="_GoBack"/>
      <w:bookmarkEnd w:id="10"/>
    </w:p>
    <w:p w:rsidR="00097DB9" w:rsidRDefault="00097DB9" w:rsidP="00097DB9">
      <w:pPr>
        <w:spacing w:line="360" w:lineRule="auto"/>
        <w:jc w:val="center"/>
      </w:pPr>
    </w:p>
    <w:p w:rsidR="00097DB9" w:rsidRDefault="00097DB9" w:rsidP="00097DB9">
      <w:pPr>
        <w:spacing w:line="360" w:lineRule="auto"/>
        <w:jc w:val="left"/>
      </w:pPr>
    </w:p>
    <w:p w:rsidR="0091607B" w:rsidRDefault="0091607B" w:rsidP="0091607B">
      <w:pPr>
        <w:ind w:right="369"/>
        <w:jc w:val="left"/>
      </w:pPr>
    </w:p>
    <w:p w:rsidR="007E68EB" w:rsidRPr="007C25BD" w:rsidRDefault="004D080E" w:rsidP="007E68EB">
      <w:pPr>
        <w:jc w:val="right"/>
        <w:rPr>
          <w:bCs/>
          <w:snapToGrid w:val="0"/>
        </w:rPr>
      </w:pPr>
      <w:r w:rsidRPr="007C25BD">
        <w:rPr>
          <w:snapToGrid w:val="0"/>
        </w:rPr>
        <w:t xml:space="preserve"> </w:t>
      </w:r>
      <w:r w:rsidR="007E68EB" w:rsidRPr="007C25BD">
        <w:rPr>
          <w:snapToGrid w:val="0"/>
        </w:rPr>
        <w:t>[</w:t>
      </w:r>
      <w:r w:rsidR="007E68EB">
        <w:rPr>
          <w:snapToGrid w:val="0"/>
        </w:rPr>
        <w:t>End of Annex and of document</w:t>
      </w:r>
      <w:r w:rsidR="007E68EB" w:rsidRPr="007C25BD">
        <w:rPr>
          <w:snapToGrid w:val="0"/>
        </w:rPr>
        <w:t>]</w:t>
      </w:r>
    </w:p>
    <w:p w:rsidR="00050E16" w:rsidRPr="00C651CE" w:rsidRDefault="00050E16" w:rsidP="00050E16"/>
    <w:sectPr w:rsidR="00050E16" w:rsidRPr="00C651CE" w:rsidSect="00097DB9">
      <w:headerReference w:type="default" r:id="rId32"/>
      <w:headerReference w:type="first" r:id="rId33"/>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E1C" w:rsidRDefault="00FC7E1C" w:rsidP="006655D3">
      <w:r>
        <w:separator/>
      </w:r>
    </w:p>
    <w:p w:rsidR="00FC7E1C" w:rsidRDefault="00FC7E1C" w:rsidP="006655D3"/>
    <w:p w:rsidR="00FC7E1C" w:rsidRDefault="00FC7E1C" w:rsidP="006655D3"/>
  </w:endnote>
  <w:endnote w:type="continuationSeparator" w:id="0">
    <w:p w:rsidR="00FC7E1C" w:rsidRDefault="00FC7E1C" w:rsidP="006655D3">
      <w:r>
        <w:separator/>
      </w:r>
    </w:p>
    <w:p w:rsidR="00FC7E1C" w:rsidRPr="00294751" w:rsidRDefault="00FC7E1C">
      <w:pPr>
        <w:pStyle w:val="Footer"/>
        <w:spacing w:after="60"/>
        <w:rPr>
          <w:sz w:val="18"/>
          <w:lang w:val="fr-FR"/>
        </w:rPr>
      </w:pPr>
      <w:r w:rsidRPr="00294751">
        <w:rPr>
          <w:sz w:val="18"/>
          <w:lang w:val="fr-FR"/>
        </w:rPr>
        <w:t>[Suite de la note de la page précédente]</w:t>
      </w:r>
    </w:p>
    <w:p w:rsidR="00FC7E1C" w:rsidRPr="00294751" w:rsidRDefault="00FC7E1C" w:rsidP="006655D3">
      <w:pPr>
        <w:rPr>
          <w:lang w:val="fr-FR"/>
        </w:rPr>
      </w:pPr>
    </w:p>
    <w:p w:rsidR="00FC7E1C" w:rsidRPr="00294751" w:rsidRDefault="00FC7E1C" w:rsidP="006655D3">
      <w:pPr>
        <w:rPr>
          <w:lang w:val="fr-FR"/>
        </w:rPr>
      </w:pPr>
    </w:p>
  </w:endnote>
  <w:endnote w:type="continuationNotice" w:id="1">
    <w:p w:rsidR="00FC7E1C" w:rsidRPr="00294751" w:rsidRDefault="00FC7E1C" w:rsidP="006655D3">
      <w:pPr>
        <w:rPr>
          <w:lang w:val="fr-FR"/>
        </w:rPr>
      </w:pPr>
      <w:r w:rsidRPr="00294751">
        <w:rPr>
          <w:lang w:val="fr-FR"/>
        </w:rPr>
        <w:t>[Suite de la note page suivante]</w:t>
      </w:r>
    </w:p>
    <w:p w:rsidR="00FC7E1C" w:rsidRPr="00294751" w:rsidRDefault="00FC7E1C" w:rsidP="006655D3">
      <w:pPr>
        <w:rPr>
          <w:lang w:val="fr-FR"/>
        </w:rPr>
      </w:pPr>
    </w:p>
    <w:p w:rsidR="00FC7E1C" w:rsidRPr="00294751" w:rsidRDefault="00FC7E1C"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E1C" w:rsidRDefault="00FC7E1C" w:rsidP="006655D3">
      <w:r>
        <w:separator/>
      </w:r>
    </w:p>
  </w:footnote>
  <w:footnote w:type="continuationSeparator" w:id="0">
    <w:p w:rsidR="00FC7E1C" w:rsidRDefault="00FC7E1C" w:rsidP="006655D3">
      <w:r>
        <w:separator/>
      </w:r>
    </w:p>
  </w:footnote>
  <w:footnote w:type="continuationNotice" w:id="1">
    <w:p w:rsidR="00FC7E1C" w:rsidRPr="00AB530F" w:rsidRDefault="00FC7E1C"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07B" w:rsidRPr="00C5280D" w:rsidRDefault="0091607B" w:rsidP="00D73243">
    <w:pPr>
      <w:pStyle w:val="Header"/>
      <w:rPr>
        <w:rStyle w:val="PageNumber"/>
        <w:lang w:val="en-US"/>
      </w:rPr>
    </w:pPr>
    <w:r>
      <w:rPr>
        <w:rStyle w:val="PageNumber"/>
        <w:lang w:val="en-US"/>
      </w:rPr>
      <w:t>BMT/16/</w:t>
    </w:r>
    <w:r w:rsidR="004D080E">
      <w:rPr>
        <w:rStyle w:val="PageNumber"/>
        <w:lang w:val="en-US"/>
      </w:rPr>
      <w:t>6</w:t>
    </w:r>
  </w:p>
  <w:p w:rsidR="0091607B" w:rsidRPr="00C5280D" w:rsidRDefault="0091607B" w:rsidP="00EB048E">
    <w:pPr>
      <w:pStyle w:val="Header"/>
      <w:rPr>
        <w:lang w:val="en-US"/>
      </w:rPr>
    </w:pPr>
    <w:proofErr w:type="gramStart"/>
    <w:r w:rsidRPr="00C5280D">
      <w:rPr>
        <w:lang w:val="en-US"/>
      </w:rPr>
      <w:t>page</w:t>
    </w:r>
    <w:proofErr w:type="gramEnd"/>
    <w:r w:rsidRPr="00C5280D">
      <w:rPr>
        <w:lang w:val="en-US"/>
      </w:rPr>
      <w:t xml:space="preserve"> </w:t>
    </w:r>
    <w:bookmarkStart w:id="6" w:name="_Toc410822398"/>
    <w:bookmarkStart w:id="7" w:name="_Toc410822802"/>
    <w:r w:rsidR="00097DB9">
      <w:rPr>
        <w:rStyle w:val="PageNumber"/>
        <w:lang w:val="en-US"/>
      </w:rPr>
      <w:t>2</w:t>
    </w:r>
  </w:p>
  <w:p w:rsidR="0091607B" w:rsidRPr="00C5280D" w:rsidRDefault="0091607B" w:rsidP="006655D3">
    <w:bookmarkStart w:id="8" w:name="_Toc441145847"/>
    <w:bookmarkStart w:id="9" w:name="_Toc374716168"/>
    <w:bookmarkEnd w:id="6"/>
    <w:bookmarkEnd w:id="7"/>
    <w:bookmarkEnd w:id="8"/>
    <w:bookmarkEnd w:id="9"/>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DB9" w:rsidRPr="00C5280D" w:rsidRDefault="00097DB9" w:rsidP="00D73243">
    <w:pPr>
      <w:pStyle w:val="Header"/>
      <w:rPr>
        <w:rStyle w:val="PageNumber"/>
        <w:lang w:val="en-US"/>
      </w:rPr>
    </w:pPr>
    <w:r>
      <w:rPr>
        <w:rStyle w:val="PageNumber"/>
        <w:lang w:val="en-US"/>
      </w:rPr>
      <w:t>BMT/16/6</w:t>
    </w:r>
  </w:p>
  <w:p w:rsidR="00097DB9" w:rsidRPr="00C5280D" w:rsidRDefault="00097DB9" w:rsidP="00EB048E">
    <w:pPr>
      <w:pStyle w:val="Header"/>
      <w:rPr>
        <w:lang w:val="en-US"/>
      </w:rPr>
    </w:pPr>
    <w:r>
      <w:rPr>
        <w:lang w:val="en-US"/>
      </w:rPr>
      <w:t xml:space="preserve">Annex, </w:t>
    </w:r>
    <w:r w:rsidRPr="00C5280D">
      <w:rPr>
        <w:lang w:val="en-US"/>
      </w:rPr>
      <w:t xml:space="preserve">page </w:t>
    </w:r>
    <w:r w:rsidRPr="00097DB9">
      <w:rPr>
        <w:lang w:val="en-US"/>
      </w:rPr>
      <w:fldChar w:fldCharType="begin"/>
    </w:r>
    <w:r w:rsidRPr="00097DB9">
      <w:rPr>
        <w:lang w:val="en-US"/>
      </w:rPr>
      <w:instrText xml:space="preserve"> PAGE   \* MERGEFORMAT </w:instrText>
    </w:r>
    <w:r w:rsidRPr="00097DB9">
      <w:rPr>
        <w:lang w:val="en-US"/>
      </w:rPr>
      <w:fldChar w:fldCharType="separate"/>
    </w:r>
    <w:r w:rsidR="009B592D">
      <w:rPr>
        <w:noProof/>
        <w:lang w:val="en-US"/>
      </w:rPr>
      <w:t>11</w:t>
    </w:r>
    <w:r w:rsidRPr="00097DB9">
      <w:rPr>
        <w:noProof/>
        <w:lang w:val="en-US"/>
      </w:rPr>
      <w:fldChar w:fldCharType="end"/>
    </w:r>
  </w:p>
  <w:p w:rsidR="00097DB9" w:rsidRPr="00C5280D" w:rsidRDefault="00097DB9"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8EB" w:rsidRDefault="007E68EB">
    <w:pPr>
      <w:pStyle w:val="Header"/>
      <w:rPr>
        <w:lang w:eastAsia="ja-JP"/>
      </w:rPr>
    </w:pPr>
    <w:r>
      <w:t>BMT/16/6</w:t>
    </w:r>
  </w:p>
  <w:p w:rsidR="007E68EB" w:rsidRDefault="007E68EB" w:rsidP="00703BA4">
    <w:pPr>
      <w:pStyle w:val="Header"/>
    </w:pPr>
  </w:p>
  <w:p w:rsidR="007E68EB" w:rsidRPr="00C5280D" w:rsidRDefault="007E68EB" w:rsidP="00703BA4">
    <w:pPr>
      <w:pStyle w:val="Header"/>
    </w:pPr>
    <w:r>
      <w:t>ANNEX</w:t>
    </w:r>
  </w:p>
  <w:p w:rsidR="007E68EB" w:rsidRDefault="007E68EB" w:rsidP="00703BA4">
    <w:pPr>
      <w:pStyle w:val="Header"/>
      <w:rPr>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22EB8"/>
    <w:multiLevelType w:val="hybridMultilevel"/>
    <w:tmpl w:val="5B880656"/>
    <w:lvl w:ilvl="0" w:tplc="3FBED5E6">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2CD23DA3"/>
    <w:multiLevelType w:val="hybridMultilevel"/>
    <w:tmpl w:val="B33483A2"/>
    <w:lvl w:ilvl="0" w:tplc="8210023A">
      <w:start w:val="1"/>
      <w:numFmt w:val="lowerRoman"/>
      <w:lvlText w:val="(%1)"/>
      <w:lvlJc w:val="left"/>
      <w:pPr>
        <w:ind w:left="1410" w:hanging="72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
    <w:nsid w:val="7ED03910"/>
    <w:multiLevelType w:val="hybridMultilevel"/>
    <w:tmpl w:val="5B880656"/>
    <w:lvl w:ilvl="0" w:tplc="3FBED5E6">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F6C"/>
    <w:rsid w:val="00010CF3"/>
    <w:rsid w:val="00011E27"/>
    <w:rsid w:val="000148BC"/>
    <w:rsid w:val="00024AB8"/>
    <w:rsid w:val="00025F4E"/>
    <w:rsid w:val="00030854"/>
    <w:rsid w:val="00036028"/>
    <w:rsid w:val="00044642"/>
    <w:rsid w:val="000446B9"/>
    <w:rsid w:val="00047E21"/>
    <w:rsid w:val="00050E16"/>
    <w:rsid w:val="00085505"/>
    <w:rsid w:val="00097DB9"/>
    <w:rsid w:val="000B6A64"/>
    <w:rsid w:val="000C4E25"/>
    <w:rsid w:val="000C7021"/>
    <w:rsid w:val="000D6BBC"/>
    <w:rsid w:val="000D7780"/>
    <w:rsid w:val="000E636A"/>
    <w:rsid w:val="000F2F11"/>
    <w:rsid w:val="00105929"/>
    <w:rsid w:val="00110C36"/>
    <w:rsid w:val="001131D5"/>
    <w:rsid w:val="00116664"/>
    <w:rsid w:val="00141DB8"/>
    <w:rsid w:val="0015326B"/>
    <w:rsid w:val="00172084"/>
    <w:rsid w:val="0017474A"/>
    <w:rsid w:val="001758C6"/>
    <w:rsid w:val="00182B99"/>
    <w:rsid w:val="001D6303"/>
    <w:rsid w:val="00212A19"/>
    <w:rsid w:val="0021332C"/>
    <w:rsid w:val="00213982"/>
    <w:rsid w:val="0024416D"/>
    <w:rsid w:val="002506FF"/>
    <w:rsid w:val="00271911"/>
    <w:rsid w:val="002800A0"/>
    <w:rsid w:val="002801B3"/>
    <w:rsid w:val="00281060"/>
    <w:rsid w:val="00292B63"/>
    <w:rsid w:val="002940E8"/>
    <w:rsid w:val="00294751"/>
    <w:rsid w:val="002A6E50"/>
    <w:rsid w:val="002B4298"/>
    <w:rsid w:val="002C256A"/>
    <w:rsid w:val="00305A7F"/>
    <w:rsid w:val="003152FE"/>
    <w:rsid w:val="003245F0"/>
    <w:rsid w:val="00324DA7"/>
    <w:rsid w:val="00327436"/>
    <w:rsid w:val="00335389"/>
    <w:rsid w:val="00344BD6"/>
    <w:rsid w:val="0035528D"/>
    <w:rsid w:val="00361821"/>
    <w:rsid w:val="00361E9E"/>
    <w:rsid w:val="00365129"/>
    <w:rsid w:val="003A1D7E"/>
    <w:rsid w:val="003B4156"/>
    <w:rsid w:val="003C7FBE"/>
    <w:rsid w:val="003D227C"/>
    <w:rsid w:val="003D2B4D"/>
    <w:rsid w:val="00401F6C"/>
    <w:rsid w:val="00444A88"/>
    <w:rsid w:val="0047126E"/>
    <w:rsid w:val="00474DA4"/>
    <w:rsid w:val="00476B4D"/>
    <w:rsid w:val="004805FA"/>
    <w:rsid w:val="004935D2"/>
    <w:rsid w:val="00496DE7"/>
    <w:rsid w:val="0049744F"/>
    <w:rsid w:val="004B1215"/>
    <w:rsid w:val="004D047D"/>
    <w:rsid w:val="004D080E"/>
    <w:rsid w:val="004F1E9E"/>
    <w:rsid w:val="004F305A"/>
    <w:rsid w:val="00512164"/>
    <w:rsid w:val="00520297"/>
    <w:rsid w:val="005338F9"/>
    <w:rsid w:val="0054281C"/>
    <w:rsid w:val="00544581"/>
    <w:rsid w:val="0055268D"/>
    <w:rsid w:val="00576BE4"/>
    <w:rsid w:val="00586C2B"/>
    <w:rsid w:val="005A3CA2"/>
    <w:rsid w:val="005A400A"/>
    <w:rsid w:val="005F7B92"/>
    <w:rsid w:val="00612379"/>
    <w:rsid w:val="006153B6"/>
    <w:rsid w:val="0061555F"/>
    <w:rsid w:val="00621302"/>
    <w:rsid w:val="00632C8D"/>
    <w:rsid w:val="00636CA6"/>
    <w:rsid w:val="00641200"/>
    <w:rsid w:val="006655D3"/>
    <w:rsid w:val="00667404"/>
    <w:rsid w:val="00687EB4"/>
    <w:rsid w:val="00695C56"/>
    <w:rsid w:val="006A5CDE"/>
    <w:rsid w:val="006A644A"/>
    <w:rsid w:val="006B17D2"/>
    <w:rsid w:val="006C224E"/>
    <w:rsid w:val="006D780A"/>
    <w:rsid w:val="0071271E"/>
    <w:rsid w:val="00732DEC"/>
    <w:rsid w:val="00735BD5"/>
    <w:rsid w:val="00751613"/>
    <w:rsid w:val="007556F6"/>
    <w:rsid w:val="00760EEF"/>
    <w:rsid w:val="00777EE5"/>
    <w:rsid w:val="00784836"/>
    <w:rsid w:val="0079023E"/>
    <w:rsid w:val="007A2854"/>
    <w:rsid w:val="007C1D92"/>
    <w:rsid w:val="007C4CB9"/>
    <w:rsid w:val="007D0B9D"/>
    <w:rsid w:val="007D19B0"/>
    <w:rsid w:val="007E68EB"/>
    <w:rsid w:val="007F498F"/>
    <w:rsid w:val="0080679D"/>
    <w:rsid w:val="008108B0"/>
    <w:rsid w:val="00811B20"/>
    <w:rsid w:val="008211B5"/>
    <w:rsid w:val="0082296E"/>
    <w:rsid w:val="00824099"/>
    <w:rsid w:val="00835FB9"/>
    <w:rsid w:val="00846D7C"/>
    <w:rsid w:val="00855058"/>
    <w:rsid w:val="00860A1D"/>
    <w:rsid w:val="00867AC1"/>
    <w:rsid w:val="00890DF8"/>
    <w:rsid w:val="008A743F"/>
    <w:rsid w:val="008B41FC"/>
    <w:rsid w:val="008C0970"/>
    <w:rsid w:val="008D0BC5"/>
    <w:rsid w:val="008D2CF7"/>
    <w:rsid w:val="00900C26"/>
    <w:rsid w:val="0090197F"/>
    <w:rsid w:val="00906DDC"/>
    <w:rsid w:val="0091607B"/>
    <w:rsid w:val="00925E3D"/>
    <w:rsid w:val="00934E09"/>
    <w:rsid w:val="00936253"/>
    <w:rsid w:val="00940D46"/>
    <w:rsid w:val="00952DD4"/>
    <w:rsid w:val="00965AE7"/>
    <w:rsid w:val="00970FED"/>
    <w:rsid w:val="00992D82"/>
    <w:rsid w:val="00997029"/>
    <w:rsid w:val="009A7339"/>
    <w:rsid w:val="009B440E"/>
    <w:rsid w:val="009B592D"/>
    <w:rsid w:val="009D690D"/>
    <w:rsid w:val="009E65B6"/>
    <w:rsid w:val="009F7082"/>
    <w:rsid w:val="00A24C10"/>
    <w:rsid w:val="00A42AC3"/>
    <w:rsid w:val="00A430CF"/>
    <w:rsid w:val="00A54309"/>
    <w:rsid w:val="00AB2B93"/>
    <w:rsid w:val="00AB530F"/>
    <w:rsid w:val="00AB7E5B"/>
    <w:rsid w:val="00AC2883"/>
    <w:rsid w:val="00AE0EF1"/>
    <w:rsid w:val="00AE2937"/>
    <w:rsid w:val="00AF16C7"/>
    <w:rsid w:val="00B07301"/>
    <w:rsid w:val="00B11F3E"/>
    <w:rsid w:val="00B224DE"/>
    <w:rsid w:val="00B324D4"/>
    <w:rsid w:val="00B368A2"/>
    <w:rsid w:val="00B44E4C"/>
    <w:rsid w:val="00B46575"/>
    <w:rsid w:val="00B61777"/>
    <w:rsid w:val="00B840F7"/>
    <w:rsid w:val="00B84BBD"/>
    <w:rsid w:val="00BA43FB"/>
    <w:rsid w:val="00BC127D"/>
    <w:rsid w:val="00BC1FE6"/>
    <w:rsid w:val="00C061B6"/>
    <w:rsid w:val="00C2446C"/>
    <w:rsid w:val="00C36AE5"/>
    <w:rsid w:val="00C41F17"/>
    <w:rsid w:val="00C527FA"/>
    <w:rsid w:val="00C5280D"/>
    <w:rsid w:val="00C53EB3"/>
    <w:rsid w:val="00C5791C"/>
    <w:rsid w:val="00C6330E"/>
    <w:rsid w:val="00C64C6B"/>
    <w:rsid w:val="00C658B3"/>
    <w:rsid w:val="00C66290"/>
    <w:rsid w:val="00C72B7A"/>
    <w:rsid w:val="00C973F2"/>
    <w:rsid w:val="00CA304C"/>
    <w:rsid w:val="00CA774A"/>
    <w:rsid w:val="00CB213A"/>
    <w:rsid w:val="00CC11B0"/>
    <w:rsid w:val="00CC2841"/>
    <w:rsid w:val="00CC5B9F"/>
    <w:rsid w:val="00CF1330"/>
    <w:rsid w:val="00CF7E36"/>
    <w:rsid w:val="00D079B4"/>
    <w:rsid w:val="00D11C0E"/>
    <w:rsid w:val="00D3708D"/>
    <w:rsid w:val="00D40426"/>
    <w:rsid w:val="00D57C96"/>
    <w:rsid w:val="00D57D18"/>
    <w:rsid w:val="00D66D8C"/>
    <w:rsid w:val="00D8607D"/>
    <w:rsid w:val="00D91203"/>
    <w:rsid w:val="00D95174"/>
    <w:rsid w:val="00DA1712"/>
    <w:rsid w:val="00DA4499"/>
    <w:rsid w:val="00DA4973"/>
    <w:rsid w:val="00DA6F36"/>
    <w:rsid w:val="00DB596E"/>
    <w:rsid w:val="00DB7773"/>
    <w:rsid w:val="00DC00EA"/>
    <w:rsid w:val="00DC3802"/>
    <w:rsid w:val="00DD2D20"/>
    <w:rsid w:val="00E02914"/>
    <w:rsid w:val="00E07D87"/>
    <w:rsid w:val="00E32F7E"/>
    <w:rsid w:val="00E5267B"/>
    <w:rsid w:val="00E6209D"/>
    <w:rsid w:val="00E72D49"/>
    <w:rsid w:val="00E7593C"/>
    <w:rsid w:val="00E7678A"/>
    <w:rsid w:val="00E935F1"/>
    <w:rsid w:val="00E94A81"/>
    <w:rsid w:val="00EA1FFB"/>
    <w:rsid w:val="00EB048E"/>
    <w:rsid w:val="00EB4E9C"/>
    <w:rsid w:val="00EC481C"/>
    <w:rsid w:val="00EE1AFA"/>
    <w:rsid w:val="00EE34DF"/>
    <w:rsid w:val="00EF2F89"/>
    <w:rsid w:val="00F03E98"/>
    <w:rsid w:val="00F1237A"/>
    <w:rsid w:val="00F22CBD"/>
    <w:rsid w:val="00F272F1"/>
    <w:rsid w:val="00F34105"/>
    <w:rsid w:val="00F45372"/>
    <w:rsid w:val="00F560F7"/>
    <w:rsid w:val="00F6334D"/>
    <w:rsid w:val="00FA49AB"/>
    <w:rsid w:val="00FC7E1C"/>
    <w:rsid w:val="00FD52E3"/>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uiPriority w:val="99"/>
    <w:rsid w:val="00AB530F"/>
    <w:pPr>
      <w:tabs>
        <w:tab w:val="left" w:pos="5387"/>
      </w:tabs>
      <w:ind w:left="4820"/>
    </w:pPr>
    <w:rPr>
      <w:i/>
    </w:rPr>
  </w:style>
  <w:style w:type="paragraph" w:styleId="FootnoteText">
    <w:name w:val="footnote text"/>
    <w:link w:val="FootnoteTextChar"/>
    <w:autoRedefine/>
    <w:uiPriority w:val="99"/>
    <w:rsid w:val="009D690D"/>
    <w:pPr>
      <w:spacing w:before="60"/>
      <w:ind w:left="567" w:hanging="567"/>
      <w:jc w:val="both"/>
    </w:pPr>
    <w:rPr>
      <w:rFonts w:ascii="Arial" w:hAnsi="Arial"/>
      <w:sz w:val="16"/>
    </w:rPr>
  </w:style>
  <w:style w:type="character" w:styleId="FootnoteReference">
    <w:name w:val="footnote reference"/>
    <w:basedOn w:val="DefaultParagraphFont"/>
    <w:uiPriority w:val="99"/>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15326B"/>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15326B"/>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BodyTextIndent">
    <w:name w:val="Body Text Indent"/>
    <w:basedOn w:val="Normal"/>
    <w:link w:val="BodyTextIndentChar"/>
    <w:rsid w:val="00401F6C"/>
    <w:pPr>
      <w:spacing w:after="120"/>
      <w:ind w:left="360"/>
    </w:pPr>
    <w:rPr>
      <w:rFonts w:eastAsiaTheme="minorEastAsia"/>
    </w:rPr>
  </w:style>
  <w:style w:type="character" w:customStyle="1" w:styleId="BodyTextIndentChar">
    <w:name w:val="Body Text Indent Char"/>
    <w:basedOn w:val="DefaultParagraphFont"/>
    <w:link w:val="BodyTextIndent"/>
    <w:rsid w:val="00401F6C"/>
    <w:rPr>
      <w:rFonts w:ascii="Arial" w:eastAsiaTheme="minorEastAsia" w:hAnsi="Arial"/>
    </w:rPr>
  </w:style>
  <w:style w:type="character" w:customStyle="1" w:styleId="FootnoteTextChar">
    <w:name w:val="Footnote Text Char"/>
    <w:basedOn w:val="DefaultParagraphFont"/>
    <w:link w:val="FootnoteText"/>
    <w:uiPriority w:val="99"/>
    <w:rsid w:val="00AF16C7"/>
    <w:rPr>
      <w:rFonts w:ascii="Arial" w:hAnsi="Arial"/>
      <w:sz w:val="16"/>
    </w:rPr>
  </w:style>
  <w:style w:type="paragraph" w:customStyle="1" w:styleId="Sessiontwp">
    <w:name w:val="Session_twp"/>
    <w:basedOn w:val="Normal"/>
    <w:next w:val="Normal"/>
    <w:qFormat/>
    <w:rsid w:val="00D11C0E"/>
    <w:rPr>
      <w:b/>
    </w:rPr>
  </w:style>
  <w:style w:type="paragraph" w:customStyle="1" w:styleId="Sessiontwpplacedate">
    <w:name w:val="Session_twp_place_date"/>
    <w:basedOn w:val="Normal"/>
    <w:next w:val="Normal"/>
    <w:qFormat/>
    <w:rsid w:val="00D11C0E"/>
  </w:style>
  <w:style w:type="character" w:customStyle="1" w:styleId="Heading1Char">
    <w:name w:val="Heading 1 Char"/>
    <w:basedOn w:val="DefaultParagraphFont"/>
    <w:link w:val="Heading1"/>
    <w:rsid w:val="00D11C0E"/>
    <w:rPr>
      <w:rFonts w:ascii="Arial" w:hAnsi="Arial"/>
      <w:caps/>
    </w:rPr>
  </w:style>
  <w:style w:type="paragraph" w:styleId="ListParagraph">
    <w:name w:val="List Paragraph"/>
    <w:basedOn w:val="Normal"/>
    <w:uiPriority w:val="34"/>
    <w:qFormat/>
    <w:rsid w:val="00D11C0E"/>
    <w:pPr>
      <w:ind w:left="720"/>
      <w:contextualSpacing/>
    </w:pPr>
    <w:rPr>
      <w:rFonts w:eastAsiaTheme="minorEastAsia"/>
    </w:rPr>
  </w:style>
  <w:style w:type="character" w:customStyle="1" w:styleId="HeaderChar">
    <w:name w:val="Header Char"/>
    <w:basedOn w:val="DefaultParagraphFont"/>
    <w:link w:val="Header"/>
    <w:rsid w:val="00D11C0E"/>
    <w:rPr>
      <w:rFonts w:ascii="Arial" w:hAnsi="Arial"/>
      <w:lang w:val="fr-FR"/>
    </w:rPr>
  </w:style>
  <w:style w:type="paragraph" w:customStyle="1" w:styleId="Style1">
    <w:name w:val="Style1"/>
    <w:basedOn w:val="Normal"/>
    <w:rsid w:val="00D11C0E"/>
    <w:pPr>
      <w:tabs>
        <w:tab w:val="decimal" w:pos="907"/>
        <w:tab w:val="left" w:pos="1077"/>
      </w:tabs>
    </w:pPr>
    <w:rPr>
      <w:rFonts w:ascii="Times New Roman" w:eastAsiaTheme="minorEastAsia" w:hAnsi="Times New Roman"/>
      <w:sz w:val="24"/>
      <w:szCs w:val="24"/>
      <w:lang w:eastAsia="ja-JP"/>
    </w:rPr>
  </w:style>
  <w:style w:type="table" w:styleId="TableGrid">
    <w:name w:val="Table Grid"/>
    <w:basedOn w:val="TableNormal"/>
    <w:uiPriority w:val="59"/>
    <w:rsid w:val="004D080E"/>
    <w:rPr>
      <w:rFonts w:asciiTheme="minorHAnsi" w:eastAsiaTheme="minorEastAsia"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uiPriority w:val="99"/>
    <w:rsid w:val="00AB530F"/>
    <w:pPr>
      <w:tabs>
        <w:tab w:val="left" w:pos="5387"/>
      </w:tabs>
      <w:ind w:left="4820"/>
    </w:pPr>
    <w:rPr>
      <w:i/>
    </w:rPr>
  </w:style>
  <w:style w:type="paragraph" w:styleId="FootnoteText">
    <w:name w:val="footnote text"/>
    <w:link w:val="FootnoteTextChar"/>
    <w:autoRedefine/>
    <w:uiPriority w:val="99"/>
    <w:rsid w:val="009D690D"/>
    <w:pPr>
      <w:spacing w:before="60"/>
      <w:ind w:left="567" w:hanging="567"/>
      <w:jc w:val="both"/>
    </w:pPr>
    <w:rPr>
      <w:rFonts w:ascii="Arial" w:hAnsi="Arial"/>
      <w:sz w:val="16"/>
    </w:rPr>
  </w:style>
  <w:style w:type="character" w:styleId="FootnoteReference">
    <w:name w:val="footnote reference"/>
    <w:basedOn w:val="DefaultParagraphFont"/>
    <w:uiPriority w:val="99"/>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15326B"/>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15326B"/>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BodyTextIndent">
    <w:name w:val="Body Text Indent"/>
    <w:basedOn w:val="Normal"/>
    <w:link w:val="BodyTextIndentChar"/>
    <w:rsid w:val="00401F6C"/>
    <w:pPr>
      <w:spacing w:after="120"/>
      <w:ind w:left="360"/>
    </w:pPr>
    <w:rPr>
      <w:rFonts w:eastAsiaTheme="minorEastAsia"/>
    </w:rPr>
  </w:style>
  <w:style w:type="character" w:customStyle="1" w:styleId="BodyTextIndentChar">
    <w:name w:val="Body Text Indent Char"/>
    <w:basedOn w:val="DefaultParagraphFont"/>
    <w:link w:val="BodyTextIndent"/>
    <w:rsid w:val="00401F6C"/>
    <w:rPr>
      <w:rFonts w:ascii="Arial" w:eastAsiaTheme="minorEastAsia" w:hAnsi="Arial"/>
    </w:rPr>
  </w:style>
  <w:style w:type="character" w:customStyle="1" w:styleId="FootnoteTextChar">
    <w:name w:val="Footnote Text Char"/>
    <w:basedOn w:val="DefaultParagraphFont"/>
    <w:link w:val="FootnoteText"/>
    <w:uiPriority w:val="99"/>
    <w:rsid w:val="00AF16C7"/>
    <w:rPr>
      <w:rFonts w:ascii="Arial" w:hAnsi="Arial"/>
      <w:sz w:val="16"/>
    </w:rPr>
  </w:style>
  <w:style w:type="paragraph" w:customStyle="1" w:styleId="Sessiontwp">
    <w:name w:val="Session_twp"/>
    <w:basedOn w:val="Normal"/>
    <w:next w:val="Normal"/>
    <w:qFormat/>
    <w:rsid w:val="00D11C0E"/>
    <w:rPr>
      <w:b/>
    </w:rPr>
  </w:style>
  <w:style w:type="paragraph" w:customStyle="1" w:styleId="Sessiontwpplacedate">
    <w:name w:val="Session_twp_place_date"/>
    <w:basedOn w:val="Normal"/>
    <w:next w:val="Normal"/>
    <w:qFormat/>
    <w:rsid w:val="00D11C0E"/>
  </w:style>
  <w:style w:type="character" w:customStyle="1" w:styleId="Heading1Char">
    <w:name w:val="Heading 1 Char"/>
    <w:basedOn w:val="DefaultParagraphFont"/>
    <w:link w:val="Heading1"/>
    <w:rsid w:val="00D11C0E"/>
    <w:rPr>
      <w:rFonts w:ascii="Arial" w:hAnsi="Arial"/>
      <w:caps/>
    </w:rPr>
  </w:style>
  <w:style w:type="paragraph" w:styleId="ListParagraph">
    <w:name w:val="List Paragraph"/>
    <w:basedOn w:val="Normal"/>
    <w:uiPriority w:val="34"/>
    <w:qFormat/>
    <w:rsid w:val="00D11C0E"/>
    <w:pPr>
      <w:ind w:left="720"/>
      <w:contextualSpacing/>
    </w:pPr>
    <w:rPr>
      <w:rFonts w:eastAsiaTheme="minorEastAsia"/>
    </w:rPr>
  </w:style>
  <w:style w:type="character" w:customStyle="1" w:styleId="HeaderChar">
    <w:name w:val="Header Char"/>
    <w:basedOn w:val="DefaultParagraphFont"/>
    <w:link w:val="Header"/>
    <w:rsid w:val="00D11C0E"/>
    <w:rPr>
      <w:rFonts w:ascii="Arial" w:hAnsi="Arial"/>
      <w:lang w:val="fr-FR"/>
    </w:rPr>
  </w:style>
  <w:style w:type="paragraph" w:customStyle="1" w:styleId="Style1">
    <w:name w:val="Style1"/>
    <w:basedOn w:val="Normal"/>
    <w:rsid w:val="00D11C0E"/>
    <w:pPr>
      <w:tabs>
        <w:tab w:val="decimal" w:pos="907"/>
        <w:tab w:val="left" w:pos="1077"/>
      </w:tabs>
    </w:pPr>
    <w:rPr>
      <w:rFonts w:ascii="Times New Roman" w:eastAsiaTheme="minorEastAsia" w:hAnsi="Times New Roman"/>
      <w:sz w:val="24"/>
      <w:szCs w:val="24"/>
      <w:lang w:eastAsia="ja-JP"/>
    </w:rPr>
  </w:style>
  <w:style w:type="table" w:styleId="TableGrid">
    <w:name w:val="Table Grid"/>
    <w:basedOn w:val="TableNormal"/>
    <w:uiPriority w:val="59"/>
    <w:rsid w:val="004D080E"/>
    <w:rPr>
      <w:rFonts w:asciiTheme="minorHAnsi" w:eastAsiaTheme="minorEastAsia"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BMT\bmt_16\template\BMT_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BMT_16</Template>
  <TotalTime>64</TotalTime>
  <Pages>15</Pages>
  <Words>1902</Words>
  <Characters>10530</Characters>
  <Application>Microsoft Office Word</Application>
  <DocSecurity>0</DocSecurity>
  <Lines>329</Lines>
  <Paragraphs>135</Paragraphs>
  <ScaleCrop>false</ScaleCrop>
  <HeadingPairs>
    <vt:vector size="2" baseType="variant">
      <vt:variant>
        <vt:lpstr>Title</vt:lpstr>
      </vt:variant>
      <vt:variant>
        <vt:i4>1</vt:i4>
      </vt:variant>
    </vt:vector>
  </HeadingPairs>
  <TitlesOfParts>
    <vt:vector size="1" baseType="lpstr">
      <vt:lpstr>BMT/16</vt:lpstr>
    </vt:vector>
  </TitlesOfParts>
  <Company>UPOV</Company>
  <LinksUpToDate>false</LinksUpToDate>
  <CharactersWithSpaces>12297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BMT/16</dc:title>
  <dc:creator>MOTOMURA Tomochika</dc:creator>
  <cp:lastModifiedBy>MAY Jessica</cp:lastModifiedBy>
  <cp:revision>16</cp:revision>
  <cp:lastPrinted>2017-10-10T12:27:00Z</cp:lastPrinted>
  <dcterms:created xsi:type="dcterms:W3CDTF">2017-10-03T12:53:00Z</dcterms:created>
  <dcterms:modified xsi:type="dcterms:W3CDTF">2017-10-16T14:47:00Z</dcterms:modified>
</cp:coreProperties>
</file>