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F92796" w:rsidP="006655D3">
            <w:pPr>
              <w:pStyle w:val="LogoUPOV"/>
            </w:pPr>
            <w:r w:rsidRPr="0079538F">
              <w:rPr>
                <w:noProof/>
                <w:lang w:eastAsia="zh-CN"/>
              </w:rPr>
              <w:drawing>
                <wp:inline distT="0" distB="0" distL="0" distR="0" wp14:anchorId="6F9CA324" wp14:editId="672B9C81">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rPr>
                <w:lang w:eastAsia="ja-JP"/>
              </w:rPr>
            </w:pPr>
            <w:r>
              <w:t>BMT</w:t>
            </w:r>
            <w:r w:rsidR="00667404">
              <w:t>/</w:t>
            </w:r>
            <w:r>
              <w:t>1</w:t>
            </w:r>
            <w:r w:rsidR="00706B08">
              <w:rPr>
                <w:rFonts w:hint="eastAsia"/>
                <w:lang w:eastAsia="ja-JP"/>
              </w:rPr>
              <w:t>5</w:t>
            </w:r>
            <w:r w:rsidR="00667404">
              <w:t>/</w:t>
            </w:r>
            <w:bookmarkStart w:id="0" w:name="Code"/>
            <w:bookmarkEnd w:id="0"/>
            <w:r w:rsidR="00377017">
              <w:rPr>
                <w:rFonts w:hint="eastAsia"/>
                <w:lang w:eastAsia="ja-JP"/>
              </w:rPr>
              <w:t>14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765650">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4C501B">
              <w:rPr>
                <w:rStyle w:val="StyleDocoriginalNotBold1"/>
                <w:rFonts w:hint="eastAsia"/>
                <w:spacing w:val="0"/>
                <w:lang w:eastAsia="ja-JP"/>
              </w:rPr>
              <w:t>May 1</w:t>
            </w:r>
            <w:r w:rsidR="00765650">
              <w:rPr>
                <w:rStyle w:val="StyleDocoriginalNotBold1"/>
                <w:rFonts w:hint="eastAsia"/>
                <w:spacing w:val="0"/>
                <w:lang w:eastAsia="ja-JP"/>
              </w:rPr>
              <w:t>7</w:t>
            </w:r>
            <w:r w:rsidR="00FD4EE1">
              <w:rPr>
                <w:rStyle w:val="StyleDocoriginalNotBold1"/>
                <w:rFonts w:hint="eastAsia"/>
                <w:spacing w:val="0"/>
                <w:lang w:eastAsia="ja-JP"/>
              </w:rPr>
              <w:t>, 201</w:t>
            </w:r>
            <w:r w:rsidR="00706B08">
              <w:rPr>
                <w:rStyle w:val="StyleDocoriginalNotBold1"/>
                <w:rFonts w:hint="eastAsia"/>
                <w:spacing w:val="0"/>
                <w:lang w:eastAsia="ja-JP"/>
              </w:rPr>
              <w:t>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706B08" w:rsidRDefault="00706B08" w:rsidP="00706B08">
      <w:pPr>
        <w:pStyle w:val="Sessiontcplacedate"/>
      </w:pPr>
      <w:r>
        <w:rPr>
          <w:rFonts w:hint="eastAsia"/>
          <w:lang w:eastAsia="ja-JP"/>
        </w:rPr>
        <w:t>Fifteenth</w:t>
      </w:r>
      <w:r w:rsidRPr="00C5280D">
        <w:t xml:space="preserve"> Session</w:t>
      </w:r>
    </w:p>
    <w:p w:rsidR="0018780B" w:rsidRPr="00C5280D" w:rsidRDefault="00706B08" w:rsidP="00706B08">
      <w:pPr>
        <w:pStyle w:val="Sessiontcplacedate"/>
      </w:pPr>
      <w:r>
        <w:rPr>
          <w:rFonts w:hint="eastAsia"/>
          <w:lang w:eastAsia="ja-JP"/>
        </w:rPr>
        <w:t>Moscow</w:t>
      </w:r>
      <w:r w:rsidRPr="009B2506">
        <w:t xml:space="preserve">, </w:t>
      </w:r>
      <w:r>
        <w:rPr>
          <w:rFonts w:hint="eastAsia"/>
          <w:lang w:eastAsia="ja-JP"/>
        </w:rPr>
        <w:t>Russian Federation</w:t>
      </w:r>
      <w:r>
        <w:t xml:space="preserve">, </w:t>
      </w:r>
      <w:r>
        <w:rPr>
          <w:rFonts w:hint="eastAsia"/>
          <w:lang w:eastAsia="ja-JP"/>
        </w:rPr>
        <w:t>May 24</w:t>
      </w:r>
      <w:r>
        <w:t xml:space="preserve"> to </w:t>
      </w:r>
      <w:r>
        <w:rPr>
          <w:rFonts w:hint="eastAsia"/>
          <w:lang w:eastAsia="ja-JP"/>
        </w:rPr>
        <w:t>27</w:t>
      </w:r>
      <w:r w:rsidRPr="009B2506">
        <w:t>, 201</w:t>
      </w:r>
      <w:r>
        <w:rPr>
          <w:rFonts w:hint="eastAsia"/>
          <w:lang w:eastAsia="ja-JP"/>
        </w:rPr>
        <w:t>6</w:t>
      </w:r>
    </w:p>
    <w:p w:rsidR="000909D3" w:rsidRPr="009527F9" w:rsidRDefault="00377017" w:rsidP="00BC416D">
      <w:pPr>
        <w:pStyle w:val="Titleofdoc0"/>
        <w:rPr>
          <w:u w:val="single"/>
          <w:lang w:eastAsia="ja-JP"/>
        </w:rPr>
      </w:pPr>
      <w:bookmarkStart w:id="3" w:name="TitleOfDoc"/>
      <w:bookmarkStart w:id="4" w:name="Prepared"/>
      <w:bookmarkEnd w:id="3"/>
      <w:bookmarkEnd w:id="4"/>
      <w:r w:rsidRPr="00377017">
        <w:rPr>
          <w:rFonts w:eastAsia="Times New Roman"/>
        </w:rPr>
        <w:t xml:space="preserve">Comparison of Genotypic and Expression Data to Determine Distinctness among Inbred Lines of Maize for Granting </w:t>
      </w:r>
      <w:r w:rsidR="002234E1" w:rsidRPr="00765650">
        <w:rPr>
          <w:rFonts w:hint="eastAsia"/>
          <w:lang w:eastAsia="ja-JP"/>
        </w:rPr>
        <w:t>plant breeders</w:t>
      </w:r>
      <w:r w:rsidR="002234E1" w:rsidRPr="00765650">
        <w:rPr>
          <w:lang w:eastAsia="ja-JP"/>
        </w:rPr>
        <w:t>’</w:t>
      </w:r>
      <w:r w:rsidR="002234E1" w:rsidRPr="00765650">
        <w:rPr>
          <w:rFonts w:hint="eastAsia"/>
          <w:lang w:eastAsia="ja-JP"/>
        </w:rPr>
        <w:t xml:space="preserve"> rights</w:t>
      </w:r>
    </w:p>
    <w:p w:rsidR="000D7780" w:rsidRDefault="00AE0EF1" w:rsidP="000909D3">
      <w:pPr>
        <w:pStyle w:val="preparedby1"/>
        <w:spacing w:after="240"/>
        <w:rPr>
          <w:lang w:eastAsia="ja-JP"/>
        </w:rPr>
      </w:pPr>
      <w:r w:rsidRPr="0034055F">
        <w:t>Document</w:t>
      </w:r>
      <w:r w:rsidRPr="00C5280D">
        <w:t xml:space="preserve"> </w:t>
      </w:r>
      <w:r w:rsidR="0061555F" w:rsidRPr="00C5280D">
        <w:t xml:space="preserve">prepared by </w:t>
      </w:r>
      <w:r w:rsidR="003C62C9">
        <w:rPr>
          <w:rFonts w:hint="eastAsia"/>
          <w:lang w:eastAsia="ja-JP"/>
        </w:rPr>
        <w:t xml:space="preserve">experts from </w:t>
      </w:r>
      <w:r w:rsidR="002067FD">
        <w:rPr>
          <w:rFonts w:hint="eastAsia"/>
          <w:lang w:eastAsia="ja-JP"/>
        </w:rPr>
        <w:t xml:space="preserve">Seed Association of </w:t>
      </w:r>
      <w:r w:rsidR="00106E5B">
        <w:rPr>
          <w:rFonts w:hint="eastAsia"/>
          <w:lang w:eastAsia="ja-JP"/>
        </w:rPr>
        <w:t xml:space="preserve">the </w:t>
      </w:r>
      <w:r w:rsidR="002067FD">
        <w:rPr>
          <w:rFonts w:hint="eastAsia"/>
          <w:lang w:eastAsia="ja-JP"/>
        </w:rPr>
        <w:t>America</w:t>
      </w:r>
      <w:r w:rsidR="00106E5B">
        <w:rPr>
          <w:rFonts w:hint="eastAsia"/>
          <w:lang w:eastAsia="ja-JP"/>
        </w:rPr>
        <w:t>s</w:t>
      </w:r>
    </w:p>
    <w:p w:rsidR="003C62C9" w:rsidRDefault="003C62C9" w:rsidP="003C62C9">
      <w:pPr>
        <w:pStyle w:val="preparedby1"/>
        <w:rPr>
          <w:color w:val="A6A6A6" w:themeColor="background1" w:themeShade="A6"/>
        </w:rPr>
      </w:pPr>
      <w:r>
        <w:rPr>
          <w:color w:val="A6A6A6" w:themeColor="background1" w:themeShade="A6"/>
        </w:rPr>
        <w:t>Disclaimer:  this document does not represent UPOV policies or guidance</w:t>
      </w:r>
    </w:p>
    <w:p w:rsidR="00BC416D" w:rsidRPr="00DD6CED" w:rsidRDefault="00BC416D" w:rsidP="00BC416D">
      <w:pPr>
        <w:pStyle w:val="Heading1"/>
      </w:pPr>
      <w:r w:rsidRPr="00DD6CED">
        <w:t>Introduction</w:t>
      </w:r>
    </w:p>
    <w:p w:rsidR="00E238E3" w:rsidRPr="00935CD0" w:rsidRDefault="00E238E3" w:rsidP="00BC416D">
      <w:pPr>
        <w:rPr>
          <w:rFonts w:cs="Arial"/>
          <w:snapToGrid w:val="0"/>
          <w:lang w:eastAsia="ja-JP"/>
        </w:rPr>
      </w:pPr>
    </w:p>
    <w:p w:rsidR="00377017" w:rsidRDefault="00376240" w:rsidP="00377017">
      <w:r w:rsidRPr="00935CD0">
        <w:rPr>
          <w:rFonts w:cs="Arial"/>
          <w:snapToGrid w:val="0"/>
        </w:rPr>
        <w:fldChar w:fldCharType="begin"/>
      </w:r>
      <w:r w:rsidRPr="00935CD0">
        <w:rPr>
          <w:rFonts w:cs="Arial"/>
          <w:snapToGrid w:val="0"/>
        </w:rPr>
        <w:instrText xml:space="preserve"> AUTONUM  </w:instrText>
      </w:r>
      <w:r w:rsidRPr="00935CD0">
        <w:rPr>
          <w:rFonts w:cs="Arial"/>
          <w:snapToGrid w:val="0"/>
        </w:rPr>
        <w:fldChar w:fldCharType="end"/>
      </w:r>
      <w:r w:rsidRPr="00935CD0">
        <w:rPr>
          <w:rFonts w:cs="Arial"/>
          <w:snapToGrid w:val="0"/>
        </w:rPr>
        <w:tab/>
      </w:r>
      <w:r w:rsidR="004C501B">
        <w:rPr>
          <w:rFonts w:cs="Arial" w:hint="eastAsia"/>
          <w:snapToGrid w:val="0"/>
          <w:lang w:eastAsia="ja-JP"/>
        </w:rPr>
        <w:t xml:space="preserve">In </w:t>
      </w:r>
      <w:r w:rsidR="00377017" w:rsidRPr="00935CD0">
        <w:t>UPOV</w:t>
      </w:r>
      <w:r w:rsidR="004C501B">
        <w:rPr>
          <w:rFonts w:hint="eastAsia"/>
          <w:lang w:eastAsia="ja-JP"/>
        </w:rPr>
        <w:t xml:space="preserve">, the examination of distinctness, uniformity and stability (DUS) is based on morphological and </w:t>
      </w:r>
      <w:r w:rsidR="004C501B">
        <w:rPr>
          <w:lang w:eastAsia="ja-JP"/>
        </w:rPr>
        <w:t>physiological</w:t>
      </w:r>
      <w:r w:rsidR="00F92796">
        <w:rPr>
          <w:rFonts w:hint="eastAsia"/>
          <w:lang w:eastAsia="ja-JP"/>
        </w:rPr>
        <w:t xml:space="preserve"> characteristics</w:t>
      </w:r>
      <w:r w:rsidR="00377017" w:rsidRPr="00935CD0">
        <w:t>.</w:t>
      </w:r>
      <w:r w:rsidR="00935CD0">
        <w:rPr>
          <w:rFonts w:hint="eastAsia"/>
          <w:lang w:eastAsia="ja-JP"/>
        </w:rPr>
        <w:t xml:space="preserve">  </w:t>
      </w:r>
      <w:r w:rsidR="00377017" w:rsidRPr="00935CD0">
        <w:t xml:space="preserve">With the rapid evolution and increase in cost effective use of molecular markers, these data are increasingly playing a role in </w:t>
      </w:r>
      <w:r w:rsidR="00377017" w:rsidRPr="00A01236">
        <w:t>identifying varieties both</w:t>
      </w:r>
      <w:r w:rsidR="00377017" w:rsidRPr="004C501B">
        <w:t xml:space="preserve"> post their grant of protection,</w:t>
      </w:r>
      <w:r w:rsidR="004C501B" w:rsidRPr="004C501B">
        <w:rPr>
          <w:rFonts w:hint="eastAsia"/>
          <w:lang w:eastAsia="ja-JP"/>
        </w:rPr>
        <w:t xml:space="preserve"> a</w:t>
      </w:r>
      <w:r w:rsidR="00377017" w:rsidRPr="004C501B">
        <w:t>nd in the granting of protection</w:t>
      </w:r>
      <w:r w:rsidR="005E5B0F">
        <w:rPr>
          <w:rFonts w:hint="eastAsia"/>
          <w:lang w:eastAsia="ja-JP"/>
        </w:rPr>
        <w:t xml:space="preserve"> as a method of examining morphological and physiological DUS characteristics that satisfy the UPOV criteria for characteristics</w:t>
      </w:r>
      <w:r w:rsidR="00377017" w:rsidRPr="00935CD0">
        <w:t xml:space="preserve">.  Further, molecular markers are also being used to </w:t>
      </w:r>
      <w:r w:rsidR="00377017" w:rsidRPr="004C501B">
        <w:t xml:space="preserve">help manage </w:t>
      </w:r>
      <w:r w:rsidR="004C501B">
        <w:rPr>
          <w:rFonts w:hint="eastAsia"/>
          <w:lang w:eastAsia="ja-JP"/>
        </w:rPr>
        <w:t xml:space="preserve">variety </w:t>
      </w:r>
      <w:r w:rsidR="00377017" w:rsidRPr="004C501B">
        <w:t>collections</w:t>
      </w:r>
      <w:r w:rsidR="00377017" w:rsidRPr="00935CD0">
        <w:t xml:space="preserve"> that have become unmanageable due to sheer size which is taxing on resources (UPOV,</w:t>
      </w:r>
      <w:r w:rsidR="00F92796">
        <w:t xml:space="preserve"> </w:t>
      </w:r>
      <w:r w:rsidR="00377017" w:rsidRPr="00935CD0">
        <w:t xml:space="preserve">2011).  The interest in molecular markers goes beyond the fact that they exist, but rather they offer real advantages </w:t>
      </w:r>
      <w:r w:rsidR="00377017">
        <w:t>in DUS testing and the desire to harmonize systems.</w:t>
      </w:r>
    </w:p>
    <w:p w:rsidR="00377017" w:rsidRDefault="00377017" w:rsidP="00377017">
      <w:pPr>
        <w:rPr>
          <w:lang w:eastAsia="ja-JP"/>
        </w:rPr>
      </w:pPr>
    </w:p>
    <w:p w:rsidR="00C0432C" w:rsidRDefault="00377017" w:rsidP="00377017">
      <w:pPr>
        <w:rPr>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t>The</w:t>
      </w:r>
      <w:r w:rsidR="00F301E2">
        <w:rPr>
          <w:rFonts w:hint="eastAsia"/>
          <w:lang w:eastAsia="ja-JP"/>
        </w:rPr>
        <w:t xml:space="preserve"> </w:t>
      </w:r>
      <w:r w:rsidR="004C501B">
        <w:rPr>
          <w:rFonts w:hint="eastAsia"/>
          <w:lang w:eastAsia="ja-JP"/>
        </w:rPr>
        <w:t>Working Group on</w:t>
      </w:r>
      <w:r w:rsidR="00C0432C">
        <w:rPr>
          <w:rFonts w:hint="eastAsia"/>
          <w:lang w:eastAsia="ja-JP"/>
        </w:rPr>
        <w:t xml:space="preserve"> </w:t>
      </w:r>
      <w:r>
        <w:t>Biochemical and Molecular Techniques</w:t>
      </w:r>
      <w:r w:rsidR="004C501B" w:rsidRPr="004C501B">
        <w:t xml:space="preserve"> and DNA-Profiling in Particular</w:t>
      </w:r>
      <w:r w:rsidR="00926972">
        <w:rPr>
          <w:rFonts w:hint="eastAsia"/>
          <w:lang w:eastAsia="ja-JP"/>
        </w:rPr>
        <w:t xml:space="preserve"> </w:t>
      </w:r>
      <w:r>
        <w:t>(BMT) was specifically instituted to “study DNA profiling in connection with plant breeders’ rights and to coordinate the development and harmonization of DNA analysis in the UPOV member States” (U</w:t>
      </w:r>
      <w:r w:rsidR="00935CD0">
        <w:t>POV, 1993a).</w:t>
      </w:r>
      <w:r w:rsidR="00935CD0">
        <w:rPr>
          <w:rFonts w:hint="eastAsia"/>
          <w:lang w:eastAsia="ja-JP"/>
        </w:rPr>
        <w:t xml:space="preserve">  </w:t>
      </w:r>
      <w:r>
        <w:t>The use of DNA per se continues to be scrutinized and debated: “Some experts were of the view that proof of the presence of a certain DNA in itself was not enough and that it was important that there be an expression of that certain DNA.” …. “Others questioned why the presence of a mere morphological feature of a plant should be thought to be more useful for description/identification purposes than the presence of an apparently non-translated segment of DNA.”</w:t>
      </w:r>
      <w:r w:rsidR="00935CD0">
        <w:t xml:space="preserve"> </w:t>
      </w:r>
      <w:proofErr w:type="gramStart"/>
      <w:r w:rsidR="00935CD0">
        <w:t>(UPOV, 1993b).</w:t>
      </w:r>
      <w:proofErr w:type="gramEnd"/>
      <w:r w:rsidR="00935CD0">
        <w:rPr>
          <w:rFonts w:hint="eastAsia"/>
          <w:lang w:eastAsia="ja-JP"/>
        </w:rPr>
        <w:t xml:space="preserve">  </w:t>
      </w:r>
      <w:r>
        <w:t xml:space="preserve">Interestingly, in this regard </w:t>
      </w:r>
      <w:r w:rsidR="000E5D27">
        <w:rPr>
          <w:rFonts w:hint="eastAsia"/>
          <w:lang w:eastAsia="ja-JP"/>
        </w:rPr>
        <w:t xml:space="preserve">the definition of </w:t>
      </w:r>
      <w:r w:rsidR="000E5D27">
        <w:rPr>
          <w:lang w:eastAsia="ja-JP"/>
        </w:rPr>
        <w:t>“</w:t>
      </w:r>
      <w:r w:rsidR="000E5D27">
        <w:rPr>
          <w:rFonts w:hint="eastAsia"/>
          <w:lang w:eastAsia="ja-JP"/>
        </w:rPr>
        <w:t>variety</w:t>
      </w:r>
      <w:r w:rsidR="000E5D27">
        <w:rPr>
          <w:lang w:eastAsia="ja-JP"/>
        </w:rPr>
        <w:t>”</w:t>
      </w:r>
      <w:r w:rsidR="000E5D27">
        <w:rPr>
          <w:rFonts w:hint="eastAsia"/>
          <w:lang w:eastAsia="ja-JP"/>
        </w:rPr>
        <w:t xml:space="preserve"> in the 1991 Act of the </w:t>
      </w:r>
      <w:r>
        <w:t xml:space="preserve">UPOV </w:t>
      </w:r>
      <w:r w:rsidR="000E5D27">
        <w:rPr>
          <w:rFonts w:hint="eastAsia"/>
          <w:lang w:eastAsia="ja-JP"/>
        </w:rPr>
        <w:t>Convention refers</w:t>
      </w:r>
      <w:r>
        <w:t xml:space="preserve"> to the “…expression of characteristics resulting from a given genotype.” (UPOV, 1991</w:t>
      </w:r>
      <w:r w:rsidR="000E5D27">
        <w:rPr>
          <w:rFonts w:hint="eastAsia"/>
          <w:lang w:eastAsia="ja-JP"/>
        </w:rPr>
        <w:t>)</w:t>
      </w:r>
    </w:p>
    <w:p w:rsidR="000E5D27" w:rsidRDefault="000E5D27" w:rsidP="00377017">
      <w:pPr>
        <w:rPr>
          <w:lang w:eastAsia="ja-JP"/>
        </w:rPr>
      </w:pPr>
    </w:p>
    <w:p w:rsidR="00377017" w:rsidRPr="002026B6" w:rsidRDefault="00377017" w:rsidP="00377017">
      <w:pPr>
        <w:rPr>
          <w:color w:val="FF000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t>With the goal to help resolve these positions on use of characteristics and indeed to improve the quality of variety protection, we used 10 publicly available inbred lines of maize to evaluate and compare practically the relative potential of Single Nucleotide Polymorphism (SNP) profiles with data generated using each of three expression based characterization methods: 1. RNA transcription profiles, 2. metabolome product profiles, and 3. morphological traits. We also compared results in the context of the stated pedigrees of each inbred line. We used both the range of expression and robustness of each dataset to develop an index to allow for a comparison of the practical utility of each methodology for measuring distances among these maize lines.</w:t>
      </w:r>
    </w:p>
    <w:p w:rsidR="004120B8" w:rsidRDefault="004120B8" w:rsidP="00377017">
      <w:pPr>
        <w:rPr>
          <w:b/>
          <w:lang w:eastAsia="ja-JP"/>
        </w:rPr>
      </w:pPr>
    </w:p>
    <w:p w:rsidR="00C0432C" w:rsidRDefault="00C0432C" w:rsidP="00377017">
      <w:pPr>
        <w:rPr>
          <w:b/>
          <w:lang w:eastAsia="ja-JP"/>
        </w:rPr>
      </w:pPr>
    </w:p>
    <w:p w:rsidR="00765650" w:rsidRDefault="00765650" w:rsidP="00377017">
      <w:pPr>
        <w:rPr>
          <w:b/>
          <w:lang w:eastAsia="ja-JP"/>
        </w:rPr>
      </w:pPr>
    </w:p>
    <w:p w:rsidR="00377017" w:rsidRPr="0002107F" w:rsidRDefault="00377017" w:rsidP="00377017">
      <w:pPr>
        <w:pStyle w:val="Heading1"/>
      </w:pPr>
      <w:r w:rsidRPr="0002107F">
        <w:lastRenderedPageBreak/>
        <w:t>Materials</w:t>
      </w:r>
    </w:p>
    <w:p w:rsidR="00377017" w:rsidRDefault="00377017" w:rsidP="00377017">
      <w:pPr>
        <w:rPr>
          <w:lang w:eastAsia="ja-JP"/>
        </w:rPr>
      </w:pPr>
    </w:p>
    <w:p w:rsidR="00377017" w:rsidRDefault="00377017" w:rsidP="00377017">
      <w:pPr>
        <w:rPr>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t xml:space="preserve">Ten publicly available inbred lines developed in the United States </w:t>
      </w:r>
      <w:r w:rsidR="000E5D27" w:rsidRPr="000E5D27">
        <w:rPr>
          <w:rFonts w:hint="eastAsia"/>
          <w:lang w:eastAsia="ja-JP"/>
        </w:rPr>
        <w:t>of America</w:t>
      </w:r>
      <w:r w:rsidR="000E5D27">
        <w:rPr>
          <w:rFonts w:hint="eastAsia"/>
          <w:lang w:eastAsia="ja-JP"/>
        </w:rPr>
        <w:t xml:space="preserve"> </w:t>
      </w:r>
      <w:r>
        <w:t>were used in the study representing 3 important heterotic groups that are widely used in temperate maize (Table 1).</w:t>
      </w:r>
    </w:p>
    <w:p w:rsidR="00377017" w:rsidRDefault="00377017" w:rsidP="00377017">
      <w:pPr>
        <w:rPr>
          <w:lang w:eastAsia="ja-JP"/>
        </w:rPr>
      </w:pPr>
    </w:p>
    <w:tbl>
      <w:tblPr>
        <w:tblStyle w:val="TableGrid"/>
        <w:tblW w:w="0" w:type="auto"/>
        <w:tblLook w:val="04A0" w:firstRow="1" w:lastRow="0" w:firstColumn="1" w:lastColumn="0" w:noHBand="0" w:noVBand="1"/>
      </w:tblPr>
      <w:tblGrid>
        <w:gridCol w:w="1658"/>
        <w:gridCol w:w="1807"/>
        <w:gridCol w:w="1256"/>
        <w:gridCol w:w="2620"/>
        <w:gridCol w:w="2514"/>
      </w:tblGrid>
      <w:tr w:rsidR="00377017" w:rsidTr="008F7BBE">
        <w:tc>
          <w:tcPr>
            <w:tcW w:w="0" w:type="auto"/>
            <w:tcBorders>
              <w:top w:val="nil"/>
              <w:left w:val="nil"/>
              <w:right w:val="nil"/>
            </w:tcBorders>
          </w:tcPr>
          <w:p w:rsidR="00377017" w:rsidRPr="004120B8" w:rsidRDefault="00377017" w:rsidP="008F7BBE">
            <w:pPr>
              <w:rPr>
                <w:rFonts w:eastAsiaTheme="minorEastAsia"/>
                <w:bCs/>
                <w:lang w:eastAsia="ja-JP"/>
              </w:rPr>
            </w:pPr>
            <w:r w:rsidRPr="00EC13FC">
              <w:rPr>
                <w:bCs/>
              </w:rPr>
              <w:t>Table 1.</w:t>
            </w:r>
          </w:p>
        </w:tc>
        <w:tc>
          <w:tcPr>
            <w:tcW w:w="0" w:type="auto"/>
            <w:tcBorders>
              <w:top w:val="nil"/>
              <w:left w:val="nil"/>
              <w:right w:val="nil"/>
            </w:tcBorders>
          </w:tcPr>
          <w:p w:rsidR="00377017" w:rsidRPr="0053581E" w:rsidRDefault="00377017" w:rsidP="008F7BBE">
            <w:pPr>
              <w:rPr>
                <w:b/>
                <w:bCs/>
              </w:rPr>
            </w:pPr>
          </w:p>
        </w:tc>
        <w:tc>
          <w:tcPr>
            <w:tcW w:w="0" w:type="auto"/>
            <w:tcBorders>
              <w:top w:val="nil"/>
              <w:left w:val="nil"/>
              <w:right w:val="nil"/>
            </w:tcBorders>
          </w:tcPr>
          <w:p w:rsidR="00377017" w:rsidRPr="0053581E" w:rsidRDefault="00377017" w:rsidP="008F7BBE">
            <w:pPr>
              <w:rPr>
                <w:b/>
                <w:bCs/>
              </w:rPr>
            </w:pPr>
          </w:p>
        </w:tc>
        <w:tc>
          <w:tcPr>
            <w:tcW w:w="0" w:type="auto"/>
            <w:tcBorders>
              <w:top w:val="nil"/>
              <w:left w:val="nil"/>
              <w:right w:val="nil"/>
            </w:tcBorders>
          </w:tcPr>
          <w:p w:rsidR="00377017" w:rsidRPr="0053581E" w:rsidRDefault="00377017" w:rsidP="008F7BBE">
            <w:pPr>
              <w:rPr>
                <w:b/>
                <w:bCs/>
              </w:rPr>
            </w:pPr>
          </w:p>
        </w:tc>
        <w:tc>
          <w:tcPr>
            <w:tcW w:w="0" w:type="auto"/>
            <w:tcBorders>
              <w:top w:val="nil"/>
              <w:left w:val="nil"/>
              <w:right w:val="nil"/>
            </w:tcBorders>
          </w:tcPr>
          <w:p w:rsidR="00377017" w:rsidRPr="0053581E" w:rsidRDefault="00377017" w:rsidP="008F7BBE">
            <w:pPr>
              <w:rPr>
                <w:b/>
                <w:bCs/>
              </w:rPr>
            </w:pPr>
          </w:p>
        </w:tc>
      </w:tr>
      <w:tr w:rsidR="00377017" w:rsidTr="008F7BBE">
        <w:tc>
          <w:tcPr>
            <w:tcW w:w="0" w:type="auto"/>
          </w:tcPr>
          <w:p w:rsidR="00377017" w:rsidRPr="004120B8" w:rsidRDefault="00377017" w:rsidP="004120B8">
            <w:pPr>
              <w:jc w:val="center"/>
              <w:rPr>
                <w:bCs/>
              </w:rPr>
            </w:pPr>
            <w:r w:rsidRPr="004120B8">
              <w:rPr>
                <w:bCs/>
              </w:rPr>
              <w:t>Variety Name</w:t>
            </w:r>
          </w:p>
        </w:tc>
        <w:tc>
          <w:tcPr>
            <w:tcW w:w="0" w:type="auto"/>
          </w:tcPr>
          <w:p w:rsidR="00377017" w:rsidRPr="004120B8" w:rsidRDefault="00377017" w:rsidP="004120B8">
            <w:pPr>
              <w:jc w:val="center"/>
              <w:rPr>
                <w:bCs/>
              </w:rPr>
            </w:pPr>
            <w:r w:rsidRPr="004120B8">
              <w:rPr>
                <w:bCs/>
              </w:rPr>
              <w:t>PI Accession Number</w:t>
            </w:r>
          </w:p>
        </w:tc>
        <w:tc>
          <w:tcPr>
            <w:tcW w:w="0" w:type="auto"/>
          </w:tcPr>
          <w:p w:rsidR="00377017" w:rsidRPr="004120B8" w:rsidRDefault="00377017" w:rsidP="004120B8">
            <w:pPr>
              <w:jc w:val="center"/>
              <w:rPr>
                <w:bCs/>
              </w:rPr>
            </w:pPr>
            <w:r w:rsidRPr="004120B8">
              <w:rPr>
                <w:bCs/>
              </w:rPr>
              <w:t>PVP Number</w:t>
            </w:r>
          </w:p>
        </w:tc>
        <w:tc>
          <w:tcPr>
            <w:tcW w:w="0" w:type="auto"/>
          </w:tcPr>
          <w:p w:rsidR="00377017" w:rsidRPr="004120B8" w:rsidRDefault="00377017" w:rsidP="004120B8">
            <w:pPr>
              <w:jc w:val="center"/>
              <w:rPr>
                <w:bCs/>
              </w:rPr>
            </w:pPr>
            <w:r w:rsidRPr="004120B8">
              <w:rPr>
                <w:bCs/>
              </w:rPr>
              <w:t>PVP Applicant Name</w:t>
            </w:r>
          </w:p>
        </w:tc>
        <w:tc>
          <w:tcPr>
            <w:tcW w:w="0" w:type="auto"/>
          </w:tcPr>
          <w:p w:rsidR="00377017" w:rsidRPr="004120B8" w:rsidRDefault="00377017" w:rsidP="004120B8">
            <w:pPr>
              <w:jc w:val="center"/>
              <w:rPr>
                <w:bCs/>
              </w:rPr>
            </w:pPr>
            <w:r w:rsidRPr="004120B8">
              <w:rPr>
                <w:bCs/>
              </w:rPr>
              <w:t>Pedigree in PVP</w:t>
            </w:r>
          </w:p>
        </w:tc>
      </w:tr>
      <w:tr w:rsidR="00377017" w:rsidTr="008F7BBE">
        <w:tc>
          <w:tcPr>
            <w:tcW w:w="0" w:type="auto"/>
          </w:tcPr>
          <w:p w:rsidR="00377017" w:rsidRPr="0053581E" w:rsidRDefault="00377017" w:rsidP="008F7BBE">
            <w:r w:rsidRPr="0053581E">
              <w:t>Mo17</w:t>
            </w:r>
          </w:p>
        </w:tc>
        <w:tc>
          <w:tcPr>
            <w:tcW w:w="0" w:type="auto"/>
          </w:tcPr>
          <w:p w:rsidR="00377017" w:rsidRPr="0053581E" w:rsidRDefault="00377017" w:rsidP="008F7BBE">
            <w:r w:rsidRPr="0053581E">
              <w:t>PI 558532</w:t>
            </w:r>
          </w:p>
        </w:tc>
        <w:tc>
          <w:tcPr>
            <w:tcW w:w="0" w:type="auto"/>
          </w:tcPr>
          <w:p w:rsidR="00377017" w:rsidRPr="0053581E" w:rsidRDefault="00377017" w:rsidP="008F7BBE">
            <w:r w:rsidRPr="0053581E">
              <w:t>N/A</w:t>
            </w:r>
          </w:p>
        </w:tc>
        <w:tc>
          <w:tcPr>
            <w:tcW w:w="0" w:type="auto"/>
          </w:tcPr>
          <w:p w:rsidR="00377017" w:rsidRPr="0053581E" w:rsidRDefault="00377017" w:rsidP="008F7BBE">
            <w:r w:rsidRPr="0053581E">
              <w:t>Public</w:t>
            </w:r>
          </w:p>
        </w:tc>
        <w:tc>
          <w:tcPr>
            <w:tcW w:w="0" w:type="auto"/>
          </w:tcPr>
          <w:p w:rsidR="00377017" w:rsidRPr="0053581E" w:rsidRDefault="00377017" w:rsidP="008F7BBE">
            <w:r w:rsidRPr="0053581E">
              <w:t>CI187-2 x C103</w:t>
            </w:r>
          </w:p>
        </w:tc>
      </w:tr>
      <w:tr w:rsidR="00377017" w:rsidTr="008F7BBE">
        <w:tc>
          <w:tcPr>
            <w:tcW w:w="0" w:type="auto"/>
          </w:tcPr>
          <w:p w:rsidR="00377017" w:rsidRPr="0053581E" w:rsidRDefault="00377017" w:rsidP="008F7BBE">
            <w:r w:rsidRPr="0053581E">
              <w:t>Seagull Seventeen</w:t>
            </w:r>
          </w:p>
        </w:tc>
        <w:tc>
          <w:tcPr>
            <w:tcW w:w="0" w:type="auto"/>
          </w:tcPr>
          <w:p w:rsidR="00377017" w:rsidRPr="0053581E" w:rsidRDefault="00377017" w:rsidP="008F7BBE">
            <w:r w:rsidRPr="0053581E">
              <w:t xml:space="preserve">PI 600751 </w:t>
            </w:r>
          </w:p>
        </w:tc>
        <w:tc>
          <w:tcPr>
            <w:tcW w:w="0" w:type="auto"/>
          </w:tcPr>
          <w:p w:rsidR="00377017" w:rsidRPr="0053581E" w:rsidRDefault="00377017" w:rsidP="008F7BBE">
            <w:r w:rsidRPr="0053581E">
              <w:t>7900077</w:t>
            </w:r>
          </w:p>
        </w:tc>
        <w:tc>
          <w:tcPr>
            <w:tcW w:w="0" w:type="auto"/>
          </w:tcPr>
          <w:p w:rsidR="00377017" w:rsidRPr="0053581E" w:rsidRDefault="00377017" w:rsidP="008F7BBE">
            <w:proofErr w:type="spellStart"/>
            <w:r w:rsidRPr="0053581E">
              <w:t>Rothermel</w:t>
            </w:r>
            <w:proofErr w:type="spellEnd"/>
            <w:r w:rsidRPr="0053581E">
              <w:t xml:space="preserve"> Seed Company</w:t>
            </w:r>
          </w:p>
        </w:tc>
        <w:tc>
          <w:tcPr>
            <w:tcW w:w="0" w:type="auto"/>
          </w:tcPr>
          <w:p w:rsidR="00377017" w:rsidRPr="0053581E" w:rsidRDefault="00377017" w:rsidP="008F7BBE">
            <w:r w:rsidRPr="0053581E">
              <w:t>Mo17 x Unknown</w:t>
            </w:r>
          </w:p>
        </w:tc>
      </w:tr>
      <w:tr w:rsidR="00377017" w:rsidTr="008F7BBE">
        <w:tc>
          <w:tcPr>
            <w:tcW w:w="0" w:type="auto"/>
          </w:tcPr>
          <w:p w:rsidR="00377017" w:rsidRPr="0053581E" w:rsidRDefault="00377017" w:rsidP="008F7BBE">
            <w:r w:rsidRPr="0053581E">
              <w:t>LH51</w:t>
            </w:r>
          </w:p>
        </w:tc>
        <w:tc>
          <w:tcPr>
            <w:tcW w:w="0" w:type="auto"/>
          </w:tcPr>
          <w:p w:rsidR="00377017" w:rsidRPr="0053581E" w:rsidRDefault="00377017" w:rsidP="008F7BBE">
            <w:r w:rsidRPr="0053581E">
              <w:t xml:space="preserve">PI 600955 </w:t>
            </w:r>
          </w:p>
        </w:tc>
        <w:tc>
          <w:tcPr>
            <w:tcW w:w="0" w:type="auto"/>
          </w:tcPr>
          <w:p w:rsidR="00377017" w:rsidRPr="0053581E" w:rsidRDefault="00377017" w:rsidP="008F7BBE">
            <w:r w:rsidRPr="0053581E">
              <w:t>8200062</w:t>
            </w:r>
          </w:p>
        </w:tc>
        <w:tc>
          <w:tcPr>
            <w:tcW w:w="0" w:type="auto"/>
          </w:tcPr>
          <w:p w:rsidR="00377017" w:rsidRPr="0053581E" w:rsidRDefault="00377017" w:rsidP="008F7BBE">
            <w:r w:rsidRPr="0053581E">
              <w:t>Holden's Foundation Seeds, Inc.</w:t>
            </w:r>
          </w:p>
        </w:tc>
        <w:tc>
          <w:tcPr>
            <w:tcW w:w="0" w:type="auto"/>
          </w:tcPr>
          <w:p w:rsidR="00377017" w:rsidRPr="0053581E" w:rsidRDefault="00377017" w:rsidP="008F7BBE">
            <w:r w:rsidRPr="0053581E">
              <w:t>Mo17</w:t>
            </w:r>
          </w:p>
        </w:tc>
      </w:tr>
      <w:tr w:rsidR="00377017" w:rsidRPr="00F92796" w:rsidTr="008F7BBE">
        <w:tc>
          <w:tcPr>
            <w:tcW w:w="0" w:type="auto"/>
          </w:tcPr>
          <w:p w:rsidR="00377017" w:rsidRPr="0053581E" w:rsidRDefault="00377017" w:rsidP="008F7BBE">
            <w:r w:rsidRPr="0053581E">
              <w:t>740</w:t>
            </w:r>
          </w:p>
        </w:tc>
        <w:tc>
          <w:tcPr>
            <w:tcW w:w="0" w:type="auto"/>
          </w:tcPr>
          <w:p w:rsidR="00377017" w:rsidRPr="0053581E" w:rsidRDefault="00377017" w:rsidP="008F7BBE">
            <w:r w:rsidRPr="0053581E">
              <w:t xml:space="preserve">PI 601489 </w:t>
            </w:r>
          </w:p>
        </w:tc>
        <w:tc>
          <w:tcPr>
            <w:tcW w:w="0" w:type="auto"/>
          </w:tcPr>
          <w:p w:rsidR="00377017" w:rsidRPr="0053581E" w:rsidRDefault="00377017" w:rsidP="008F7BBE">
            <w:r w:rsidRPr="0053581E">
              <w:t>8800028</w:t>
            </w:r>
          </w:p>
        </w:tc>
        <w:tc>
          <w:tcPr>
            <w:tcW w:w="0" w:type="auto"/>
          </w:tcPr>
          <w:p w:rsidR="00377017" w:rsidRPr="0053581E" w:rsidRDefault="00377017" w:rsidP="008F7BBE">
            <w:r w:rsidRPr="0053581E">
              <w:t>Novartis Seeds, Inc.</w:t>
            </w:r>
          </w:p>
        </w:tc>
        <w:tc>
          <w:tcPr>
            <w:tcW w:w="0" w:type="auto"/>
          </w:tcPr>
          <w:p w:rsidR="00377017" w:rsidRPr="00377017" w:rsidRDefault="00377017" w:rsidP="008F7BBE">
            <w:pPr>
              <w:rPr>
                <w:lang w:val="es-ES_tradnl"/>
              </w:rPr>
            </w:pPr>
            <w:r w:rsidRPr="00377017">
              <w:rPr>
                <w:lang w:val="es-ES_tradnl"/>
              </w:rPr>
              <w:t xml:space="preserve">Mo17 x </w:t>
            </w:r>
            <w:proofErr w:type="spellStart"/>
            <w:r w:rsidRPr="00377017">
              <w:rPr>
                <w:lang w:val="es-ES_tradnl"/>
              </w:rPr>
              <w:t>Mexican</w:t>
            </w:r>
            <w:proofErr w:type="spellEnd"/>
            <w:r w:rsidRPr="00377017">
              <w:rPr>
                <w:lang w:val="es-ES_tradnl"/>
              </w:rPr>
              <w:t xml:space="preserve"> Deep </w:t>
            </w:r>
            <w:proofErr w:type="spellStart"/>
            <w:r w:rsidRPr="00377017">
              <w:rPr>
                <w:lang w:val="es-ES_tradnl"/>
              </w:rPr>
              <w:t>Kernel</w:t>
            </w:r>
            <w:proofErr w:type="spellEnd"/>
          </w:p>
        </w:tc>
      </w:tr>
      <w:tr w:rsidR="00377017" w:rsidTr="008F7BBE">
        <w:tc>
          <w:tcPr>
            <w:tcW w:w="0" w:type="auto"/>
          </w:tcPr>
          <w:p w:rsidR="00377017" w:rsidRPr="0053581E" w:rsidRDefault="00377017" w:rsidP="008F7BBE">
            <w:r w:rsidRPr="0053581E">
              <w:t>207</w:t>
            </w:r>
          </w:p>
        </w:tc>
        <w:tc>
          <w:tcPr>
            <w:tcW w:w="0" w:type="auto"/>
          </w:tcPr>
          <w:p w:rsidR="00377017" w:rsidRPr="0053581E" w:rsidRDefault="00377017" w:rsidP="008F7BBE">
            <w:r w:rsidRPr="0053581E">
              <w:t xml:space="preserve">PI 601005 </w:t>
            </w:r>
          </w:p>
        </w:tc>
        <w:tc>
          <w:tcPr>
            <w:tcW w:w="0" w:type="auto"/>
          </w:tcPr>
          <w:p w:rsidR="00377017" w:rsidRPr="0053581E" w:rsidRDefault="00377017" w:rsidP="008F7BBE">
            <w:r w:rsidRPr="0053581E">
              <w:t>8300144</w:t>
            </w:r>
          </w:p>
        </w:tc>
        <w:tc>
          <w:tcPr>
            <w:tcW w:w="0" w:type="auto"/>
          </w:tcPr>
          <w:p w:rsidR="00377017" w:rsidRPr="0053581E" w:rsidRDefault="00377017" w:rsidP="008F7BBE">
            <w:r w:rsidRPr="0053581E">
              <w:t>Pioneer Hi-Bred International, Inc.</w:t>
            </w:r>
          </w:p>
        </w:tc>
        <w:tc>
          <w:tcPr>
            <w:tcW w:w="0" w:type="auto"/>
          </w:tcPr>
          <w:p w:rsidR="00377017" w:rsidRPr="0053581E" w:rsidRDefault="00377017" w:rsidP="008F7BBE">
            <w:r w:rsidRPr="0053581E">
              <w:t>G3BD2 x G3RZ1</w:t>
            </w:r>
          </w:p>
        </w:tc>
      </w:tr>
      <w:tr w:rsidR="00377017" w:rsidTr="008F7BBE">
        <w:tc>
          <w:tcPr>
            <w:tcW w:w="0" w:type="auto"/>
          </w:tcPr>
          <w:p w:rsidR="00377017" w:rsidRPr="0053581E" w:rsidRDefault="00377017" w:rsidP="008F7BBE">
            <w:r w:rsidRPr="0053581E">
              <w:t>Q381</w:t>
            </w:r>
          </w:p>
        </w:tc>
        <w:tc>
          <w:tcPr>
            <w:tcW w:w="0" w:type="auto"/>
          </w:tcPr>
          <w:p w:rsidR="00377017" w:rsidRPr="0053581E" w:rsidRDefault="00377017" w:rsidP="008F7BBE">
            <w:r w:rsidRPr="0053581E">
              <w:t xml:space="preserve">PI 601190 </w:t>
            </w:r>
          </w:p>
        </w:tc>
        <w:tc>
          <w:tcPr>
            <w:tcW w:w="0" w:type="auto"/>
          </w:tcPr>
          <w:p w:rsidR="00377017" w:rsidRPr="0053581E" w:rsidRDefault="00377017" w:rsidP="008F7BBE">
            <w:r w:rsidRPr="0053581E">
              <w:t>8500098</w:t>
            </w:r>
          </w:p>
        </w:tc>
        <w:tc>
          <w:tcPr>
            <w:tcW w:w="0" w:type="auto"/>
          </w:tcPr>
          <w:p w:rsidR="00377017" w:rsidRPr="0053581E" w:rsidRDefault="00377017" w:rsidP="008F7BBE">
            <w:r w:rsidRPr="0053581E">
              <w:t>Quality Research Associates</w:t>
            </w:r>
          </w:p>
        </w:tc>
        <w:tc>
          <w:tcPr>
            <w:tcW w:w="0" w:type="auto"/>
          </w:tcPr>
          <w:p w:rsidR="00377017" w:rsidRPr="0053581E" w:rsidRDefault="00377017" w:rsidP="008F7BBE">
            <w:r w:rsidRPr="0053581E">
              <w:t xml:space="preserve">Off-type from Pioneer </w:t>
            </w:r>
            <w:r>
              <w:t xml:space="preserve">hybrid </w:t>
            </w:r>
            <w:r w:rsidRPr="0053581E">
              <w:t>3369</w:t>
            </w:r>
          </w:p>
        </w:tc>
      </w:tr>
      <w:tr w:rsidR="00377017" w:rsidTr="008F7BBE">
        <w:tc>
          <w:tcPr>
            <w:tcW w:w="0" w:type="auto"/>
          </w:tcPr>
          <w:p w:rsidR="00377017" w:rsidRPr="0053581E" w:rsidRDefault="00377017" w:rsidP="008F7BBE">
            <w:r w:rsidRPr="0053581E">
              <w:t>IBB15</w:t>
            </w:r>
          </w:p>
        </w:tc>
        <w:tc>
          <w:tcPr>
            <w:tcW w:w="0" w:type="auto"/>
          </w:tcPr>
          <w:p w:rsidR="00377017" w:rsidRPr="0053581E" w:rsidRDefault="00377017" w:rsidP="008F7BBE">
            <w:r w:rsidRPr="0053581E">
              <w:t xml:space="preserve">PI 601458 </w:t>
            </w:r>
          </w:p>
        </w:tc>
        <w:tc>
          <w:tcPr>
            <w:tcW w:w="0" w:type="auto"/>
          </w:tcPr>
          <w:p w:rsidR="00377017" w:rsidRPr="0053581E" w:rsidRDefault="00377017" w:rsidP="008F7BBE">
            <w:r w:rsidRPr="0053581E">
              <w:t>8700196</w:t>
            </w:r>
          </w:p>
        </w:tc>
        <w:tc>
          <w:tcPr>
            <w:tcW w:w="0" w:type="auto"/>
          </w:tcPr>
          <w:p w:rsidR="00377017" w:rsidRPr="0053581E" w:rsidRDefault="00377017" w:rsidP="008F7BBE">
            <w:r w:rsidRPr="0053581E">
              <w:t>DeKalb-Pfizer Genetics</w:t>
            </w:r>
          </w:p>
        </w:tc>
        <w:tc>
          <w:tcPr>
            <w:tcW w:w="0" w:type="auto"/>
          </w:tcPr>
          <w:p w:rsidR="00377017" w:rsidRPr="0053581E" w:rsidRDefault="00377017" w:rsidP="008F7BBE">
            <w:r w:rsidRPr="0053581E">
              <w:t>J6 x W70884</w:t>
            </w:r>
          </w:p>
        </w:tc>
      </w:tr>
      <w:tr w:rsidR="00377017" w:rsidTr="008F7BBE">
        <w:tc>
          <w:tcPr>
            <w:tcW w:w="0" w:type="auto"/>
          </w:tcPr>
          <w:p w:rsidR="00377017" w:rsidRPr="0053581E" w:rsidRDefault="00377017" w:rsidP="008F7BBE">
            <w:r w:rsidRPr="0053581E">
              <w:t>L 135</w:t>
            </w:r>
          </w:p>
        </w:tc>
        <w:tc>
          <w:tcPr>
            <w:tcW w:w="0" w:type="auto"/>
          </w:tcPr>
          <w:p w:rsidR="00377017" w:rsidRPr="0053581E" w:rsidRDefault="00377017" w:rsidP="008F7BBE">
            <w:r w:rsidRPr="0053581E">
              <w:t xml:space="preserve">PI 601727 </w:t>
            </w:r>
          </w:p>
        </w:tc>
        <w:tc>
          <w:tcPr>
            <w:tcW w:w="0" w:type="auto"/>
          </w:tcPr>
          <w:p w:rsidR="00377017" w:rsidRPr="0053581E" w:rsidRDefault="00377017" w:rsidP="008F7BBE">
            <w:r w:rsidRPr="0053581E">
              <w:t>8900202</w:t>
            </w:r>
          </w:p>
        </w:tc>
        <w:tc>
          <w:tcPr>
            <w:tcW w:w="0" w:type="auto"/>
          </w:tcPr>
          <w:p w:rsidR="00377017" w:rsidRPr="0053581E" w:rsidRDefault="00377017" w:rsidP="008F7BBE">
            <w:proofErr w:type="spellStart"/>
            <w:r w:rsidRPr="0053581E">
              <w:t>Lifaco</w:t>
            </w:r>
            <w:proofErr w:type="spellEnd"/>
            <w:r w:rsidRPr="0053581E">
              <w:t xml:space="preserve"> Seed Corporation</w:t>
            </w:r>
          </w:p>
        </w:tc>
        <w:tc>
          <w:tcPr>
            <w:tcW w:w="0" w:type="auto"/>
          </w:tcPr>
          <w:p w:rsidR="00377017" w:rsidRPr="0053581E" w:rsidRDefault="00377017" w:rsidP="008F7BBE">
            <w:r w:rsidRPr="0053581E">
              <w:t>P3901 x W117</w:t>
            </w:r>
          </w:p>
        </w:tc>
      </w:tr>
      <w:tr w:rsidR="00377017" w:rsidTr="008F7BBE">
        <w:tc>
          <w:tcPr>
            <w:tcW w:w="0" w:type="auto"/>
          </w:tcPr>
          <w:p w:rsidR="00377017" w:rsidRPr="0053581E" w:rsidRDefault="00377017" w:rsidP="008F7BBE">
            <w:r w:rsidRPr="0053581E">
              <w:t>B73</w:t>
            </w:r>
          </w:p>
        </w:tc>
        <w:tc>
          <w:tcPr>
            <w:tcW w:w="0" w:type="auto"/>
          </w:tcPr>
          <w:p w:rsidR="00377017" w:rsidRPr="0053581E" w:rsidRDefault="00377017" w:rsidP="008F7BBE">
            <w:r w:rsidRPr="0053581E">
              <w:t>PI 550473</w:t>
            </w:r>
          </w:p>
        </w:tc>
        <w:tc>
          <w:tcPr>
            <w:tcW w:w="0" w:type="auto"/>
          </w:tcPr>
          <w:p w:rsidR="00377017" w:rsidRPr="0053581E" w:rsidRDefault="00377017" w:rsidP="008F7BBE">
            <w:r w:rsidRPr="0053581E">
              <w:t>N/A</w:t>
            </w:r>
          </w:p>
        </w:tc>
        <w:tc>
          <w:tcPr>
            <w:tcW w:w="0" w:type="auto"/>
          </w:tcPr>
          <w:p w:rsidR="00377017" w:rsidRPr="0053581E" w:rsidRDefault="00377017" w:rsidP="008F7BBE">
            <w:r w:rsidRPr="0053581E">
              <w:t>Public</w:t>
            </w:r>
          </w:p>
        </w:tc>
        <w:tc>
          <w:tcPr>
            <w:tcW w:w="0" w:type="auto"/>
          </w:tcPr>
          <w:p w:rsidR="00377017" w:rsidRPr="0053581E" w:rsidRDefault="00377017" w:rsidP="008F7BBE">
            <w:r w:rsidRPr="0053581E">
              <w:t>Iowa SSS C5</w:t>
            </w:r>
          </w:p>
        </w:tc>
      </w:tr>
      <w:tr w:rsidR="00377017" w:rsidTr="008F7BBE">
        <w:tc>
          <w:tcPr>
            <w:tcW w:w="0" w:type="auto"/>
          </w:tcPr>
          <w:p w:rsidR="00377017" w:rsidRPr="0053581E" w:rsidRDefault="00377017" w:rsidP="008F7BBE">
            <w:r w:rsidRPr="0053581E">
              <w:t>DJ7</w:t>
            </w:r>
          </w:p>
        </w:tc>
        <w:tc>
          <w:tcPr>
            <w:tcW w:w="0" w:type="auto"/>
          </w:tcPr>
          <w:p w:rsidR="00377017" w:rsidRPr="0053581E" w:rsidRDefault="00377017" w:rsidP="008F7BBE">
            <w:r w:rsidRPr="0053581E">
              <w:t xml:space="preserve">PI 601191 </w:t>
            </w:r>
          </w:p>
        </w:tc>
        <w:tc>
          <w:tcPr>
            <w:tcW w:w="0" w:type="auto"/>
          </w:tcPr>
          <w:p w:rsidR="00377017" w:rsidRPr="0053581E" w:rsidRDefault="00377017" w:rsidP="008F7BBE">
            <w:r w:rsidRPr="0053581E">
              <w:t>8500086</w:t>
            </w:r>
          </w:p>
        </w:tc>
        <w:tc>
          <w:tcPr>
            <w:tcW w:w="0" w:type="auto"/>
          </w:tcPr>
          <w:p w:rsidR="00377017" w:rsidRPr="0053581E" w:rsidRDefault="00377017" w:rsidP="008F7BBE">
            <w:r w:rsidRPr="0053581E">
              <w:t>Edward J. Funk &amp; Sons, Inc.</w:t>
            </w:r>
          </w:p>
        </w:tc>
        <w:tc>
          <w:tcPr>
            <w:tcW w:w="0" w:type="auto"/>
          </w:tcPr>
          <w:p w:rsidR="00377017" w:rsidRPr="0053581E" w:rsidRDefault="00377017" w:rsidP="008F7BBE">
            <w:r w:rsidRPr="0053581E">
              <w:t>B73 x BS16</w:t>
            </w:r>
          </w:p>
        </w:tc>
      </w:tr>
    </w:tbl>
    <w:p w:rsidR="00377017" w:rsidRDefault="00377017" w:rsidP="00377017">
      <w:pPr>
        <w:rPr>
          <w:b/>
        </w:rPr>
      </w:pPr>
    </w:p>
    <w:p w:rsidR="004120B8" w:rsidRDefault="004120B8" w:rsidP="00377017">
      <w:pPr>
        <w:rPr>
          <w:b/>
          <w:lang w:eastAsia="ja-JP"/>
        </w:rPr>
      </w:pPr>
    </w:p>
    <w:p w:rsidR="00377017" w:rsidRDefault="00377017" w:rsidP="004120B8">
      <w:pPr>
        <w:pStyle w:val="Heading1"/>
      </w:pPr>
      <w:r w:rsidRPr="0002107F">
        <w:t>Methods</w:t>
      </w:r>
    </w:p>
    <w:p w:rsidR="004120B8" w:rsidRDefault="004120B8" w:rsidP="00377017">
      <w:pPr>
        <w:rPr>
          <w:u w:val="single"/>
          <w:lang w:eastAsia="ja-JP"/>
        </w:rPr>
      </w:pPr>
    </w:p>
    <w:p w:rsidR="00377017" w:rsidRDefault="00377017" w:rsidP="004120B8">
      <w:pPr>
        <w:pStyle w:val="Heading2"/>
      </w:pPr>
      <w:r w:rsidRPr="007904BA">
        <w:t>SNP Profiling</w:t>
      </w:r>
      <w:r>
        <w:t xml:space="preserve"> </w:t>
      </w:r>
    </w:p>
    <w:p w:rsidR="004120B8" w:rsidRDefault="004120B8" w:rsidP="00377017">
      <w:pPr>
        <w:rPr>
          <w:lang w:eastAsia="ja-JP"/>
        </w:rPr>
      </w:pPr>
    </w:p>
    <w:p w:rsidR="00377017" w:rsidRDefault="004120B8" w:rsidP="00377017">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377017">
        <w:t xml:space="preserve">Lyophilized leaf tissue from 4 individual plants from </w:t>
      </w:r>
      <w:r w:rsidR="00F92796">
        <w:t>each maize line was</w:t>
      </w:r>
      <w:r w:rsidR="00377017">
        <w:t xml:space="preserve"> bulked for DNA extraction.  The assay utilized the Maize SNP50 </w:t>
      </w:r>
      <w:proofErr w:type="spellStart"/>
      <w:r w:rsidR="00377017">
        <w:t>BeadChip</w:t>
      </w:r>
      <w:proofErr w:type="spellEnd"/>
      <w:r w:rsidR="00377017">
        <w:t xml:space="preserve"> (Illumina®) (Illumina, Inc., San Diego, CA, USA) to generate SNP profiles.  A quality control step was done where SNPs with &lt;10% heterozygotes and &gt;80% data present across the 10 </w:t>
      </w:r>
      <w:proofErr w:type="spellStart"/>
      <w:r w:rsidR="00377017">
        <w:t>inbreds</w:t>
      </w:r>
      <w:proofErr w:type="spellEnd"/>
      <w:r w:rsidR="00377017">
        <w:t xml:space="preserve"> were retained for analysis.  In all, 52,406 SNP markers were used in the study.</w:t>
      </w:r>
    </w:p>
    <w:p w:rsidR="00377017" w:rsidRDefault="00377017" w:rsidP="004120B8">
      <w:pPr>
        <w:pStyle w:val="Heading2"/>
      </w:pPr>
      <w:r w:rsidRPr="00114F30">
        <w:t>RNA Transcription Profiling</w:t>
      </w:r>
    </w:p>
    <w:p w:rsidR="004120B8" w:rsidRDefault="004120B8" w:rsidP="00377017">
      <w:pPr>
        <w:rPr>
          <w:lang w:eastAsia="ja-JP"/>
        </w:rPr>
      </w:pPr>
    </w:p>
    <w:p w:rsidR="00377017" w:rsidRDefault="004120B8" w:rsidP="00377017">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377017">
        <w:t xml:space="preserve">Two experiments were conducted in October, 2011 and February, 2012.  Plants were grown in a greenhouse and sampled at the 2 collared leaf </w:t>
      </w:r>
      <w:proofErr w:type="gramStart"/>
      <w:r w:rsidR="00377017">
        <w:t>stage</w:t>
      </w:r>
      <w:proofErr w:type="gramEnd"/>
      <w:r w:rsidR="00377017">
        <w:t>.  Samples were collected at two time points</w:t>
      </w:r>
      <w:proofErr w:type="gramStart"/>
      <w:r w:rsidR="00377017">
        <w:t>;  8</w:t>
      </w:r>
      <w:proofErr w:type="gramEnd"/>
      <w:r w:rsidR="00377017">
        <w:t xml:space="preserve"> a.m. and again at 2 p.m.  Sequences were generated on the Illumina </w:t>
      </w:r>
      <w:proofErr w:type="spellStart"/>
      <w:r w:rsidR="00377017">
        <w:t>HiSeq</w:t>
      </w:r>
      <w:proofErr w:type="spellEnd"/>
      <w:r w:rsidR="00377017">
        <w:t xml:space="preserve"> 2500 (Illumina®) (Illumina, Inc., San Diego, CA, USA) system with appropriate reagents and protocols.  Data quality was assessed by sample correlation and hierarchical clustering of replicates.</w:t>
      </w:r>
    </w:p>
    <w:p w:rsidR="004120B8" w:rsidRDefault="004120B8" w:rsidP="00377017">
      <w:pPr>
        <w:rPr>
          <w:u w:val="single"/>
          <w:lang w:eastAsia="ja-JP"/>
        </w:rPr>
      </w:pPr>
    </w:p>
    <w:p w:rsidR="00377017" w:rsidRPr="00EC31BF" w:rsidRDefault="00377017" w:rsidP="004120B8">
      <w:pPr>
        <w:pStyle w:val="Heading2"/>
      </w:pPr>
      <w:r w:rsidRPr="00EC31BF">
        <w:t>Metabolome Profiling</w:t>
      </w:r>
    </w:p>
    <w:p w:rsidR="004120B8" w:rsidRDefault="004120B8" w:rsidP="00377017">
      <w:pPr>
        <w:rPr>
          <w:lang w:eastAsia="ja-JP"/>
        </w:rPr>
      </w:pPr>
    </w:p>
    <w:p w:rsidR="00377017" w:rsidRDefault="004120B8" w:rsidP="00377017">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377017">
        <w:t>Nine individual plants were sampled for each respective inbred from 2 and 4 week old greenhouse plants.  Gas Chromatography Time of Flight – Mass Spectrometry was used to measure metabolites as described by (Asiago et al., 2012).</w:t>
      </w:r>
    </w:p>
    <w:p w:rsidR="004120B8" w:rsidRDefault="004120B8" w:rsidP="00377017">
      <w:pPr>
        <w:rPr>
          <w:u w:val="single"/>
          <w:lang w:eastAsia="ja-JP"/>
        </w:rPr>
      </w:pPr>
    </w:p>
    <w:p w:rsidR="00377017" w:rsidRDefault="00377017" w:rsidP="004120B8">
      <w:pPr>
        <w:pStyle w:val="Heading2"/>
      </w:pPr>
      <w:r w:rsidRPr="007A7BF3">
        <w:t>Morphological Traits</w:t>
      </w:r>
    </w:p>
    <w:p w:rsidR="004120B8" w:rsidRDefault="004120B8" w:rsidP="00377017">
      <w:pPr>
        <w:rPr>
          <w:lang w:eastAsia="ja-JP"/>
        </w:rPr>
      </w:pPr>
    </w:p>
    <w:p w:rsidR="00377017" w:rsidRDefault="004120B8" w:rsidP="00377017">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377017">
        <w:t xml:space="preserve">Each inbred was characterized using the morphological traits required </w:t>
      </w:r>
      <w:r w:rsidR="000E5D27">
        <w:t xml:space="preserve">by </w:t>
      </w:r>
      <w:r w:rsidR="000E5D27" w:rsidRPr="000E5D27">
        <w:t>the United States Plant Variety Protection Office (</w:t>
      </w:r>
      <w:r w:rsidR="000E5D27">
        <w:t>US PVP Office</w:t>
      </w:r>
      <w:r w:rsidR="000E5D27">
        <w:rPr>
          <w:rFonts w:hint="eastAsia"/>
          <w:lang w:eastAsia="ja-JP"/>
        </w:rPr>
        <w:t>)</w:t>
      </w:r>
      <w:r w:rsidR="004700D3" w:rsidRPr="000E5D27">
        <w:t xml:space="preserve"> </w:t>
      </w:r>
      <w:r w:rsidR="00377017" w:rsidRPr="000E5D27">
        <w:t xml:space="preserve">for DUS examination.  Traits were collected from 4 different environments for all 10 </w:t>
      </w:r>
      <w:proofErr w:type="spellStart"/>
      <w:r w:rsidR="00377017" w:rsidRPr="000E5D27">
        <w:t>inbreds</w:t>
      </w:r>
      <w:proofErr w:type="spellEnd"/>
      <w:r w:rsidR="00377017" w:rsidRPr="000E5D27">
        <w:t>.</w:t>
      </w:r>
    </w:p>
    <w:p w:rsidR="00377017" w:rsidRDefault="00377017" w:rsidP="00377017">
      <w:pPr>
        <w:rPr>
          <w:lang w:eastAsia="ja-JP"/>
        </w:rPr>
      </w:pPr>
    </w:p>
    <w:p w:rsidR="004700D3" w:rsidRDefault="004700D3" w:rsidP="00377017">
      <w:pPr>
        <w:rPr>
          <w:lang w:eastAsia="ja-JP"/>
        </w:rPr>
      </w:pPr>
    </w:p>
    <w:p w:rsidR="00377017" w:rsidRPr="007A7BF3" w:rsidRDefault="00377017" w:rsidP="004120B8">
      <w:pPr>
        <w:pStyle w:val="Heading1"/>
      </w:pPr>
      <w:r w:rsidRPr="007A7BF3">
        <w:t>Evaluation Indices</w:t>
      </w:r>
    </w:p>
    <w:p w:rsidR="004120B8" w:rsidRDefault="004120B8" w:rsidP="00377017">
      <w:pPr>
        <w:rPr>
          <w:lang w:eastAsia="ja-JP"/>
        </w:rPr>
      </w:pPr>
    </w:p>
    <w:p w:rsidR="00377017" w:rsidRDefault="004120B8" w:rsidP="00377017">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377017">
        <w:t xml:space="preserve">Range of Expression (variability) and robustness across environments (precision) were used as the test metrics to compare characterization methods based upon previous research by Law et al.  Range of expression is (maximum observed value of similarity) – (minus minimum observed value of similarity).  Robustness across environments was estimated by measuring the % of inbred lines for which 75% or more </w:t>
      </w:r>
      <w:r w:rsidR="00377017">
        <w:lastRenderedPageBreak/>
        <w:t>sample replicates clustered together in a hierarchical clade.  The product</w:t>
      </w:r>
      <w:r w:rsidR="00F92796">
        <w:t>s</w:t>
      </w:r>
      <w:r w:rsidR="00377017">
        <w:t xml:space="preserve"> of the two components are expressed as a discrimination index % to compare the different characterization methodologies, where a value of 0 is useless and a value of 100 is ideal.</w:t>
      </w:r>
    </w:p>
    <w:p w:rsidR="004120B8" w:rsidRDefault="004120B8" w:rsidP="00377017">
      <w:pPr>
        <w:rPr>
          <w:b/>
          <w:lang w:eastAsia="ja-JP"/>
        </w:rPr>
      </w:pPr>
    </w:p>
    <w:p w:rsidR="004700D3" w:rsidRDefault="004700D3" w:rsidP="00377017">
      <w:pPr>
        <w:rPr>
          <w:b/>
          <w:lang w:eastAsia="ja-JP"/>
        </w:rPr>
      </w:pPr>
    </w:p>
    <w:p w:rsidR="00377017" w:rsidRDefault="00377017" w:rsidP="004120B8">
      <w:pPr>
        <w:pStyle w:val="Heading1"/>
      </w:pPr>
      <w:r w:rsidRPr="00AF0155">
        <w:t>Results</w:t>
      </w:r>
      <w:r>
        <w:t xml:space="preserve"> and Discussion</w:t>
      </w:r>
    </w:p>
    <w:p w:rsidR="004120B8" w:rsidRDefault="004120B8" w:rsidP="00377017">
      <w:pPr>
        <w:rPr>
          <w:lang w:eastAsia="ja-JP"/>
        </w:rPr>
      </w:pPr>
    </w:p>
    <w:p w:rsidR="00377017" w:rsidRDefault="004120B8" w:rsidP="00377017">
      <w:pPr>
        <w:rPr>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377017">
        <w:t xml:space="preserve">The range of expression (variability), robustness across environments (precision), and discrimination index are presented in Table 2.  </w:t>
      </w:r>
    </w:p>
    <w:p w:rsidR="004120B8" w:rsidRPr="00B06D76" w:rsidRDefault="004120B8" w:rsidP="00377017">
      <w:pPr>
        <w:rPr>
          <w:lang w:eastAsia="ja-JP"/>
        </w:rPr>
      </w:pPr>
    </w:p>
    <w:tbl>
      <w:tblPr>
        <w:tblStyle w:val="TableGrid"/>
        <w:tblW w:w="0" w:type="auto"/>
        <w:tblLook w:val="04A0" w:firstRow="1" w:lastRow="0" w:firstColumn="1" w:lastColumn="0" w:noHBand="0" w:noVBand="1"/>
      </w:tblPr>
      <w:tblGrid>
        <w:gridCol w:w="1721"/>
        <w:gridCol w:w="1340"/>
        <w:gridCol w:w="1325"/>
        <w:gridCol w:w="1548"/>
      </w:tblGrid>
      <w:tr w:rsidR="00377017" w:rsidTr="008F7BBE">
        <w:tc>
          <w:tcPr>
            <w:tcW w:w="1721" w:type="dxa"/>
            <w:tcBorders>
              <w:top w:val="nil"/>
              <w:left w:val="nil"/>
              <w:right w:val="nil"/>
            </w:tcBorders>
          </w:tcPr>
          <w:p w:rsidR="00377017" w:rsidRPr="004120B8" w:rsidRDefault="00377017" w:rsidP="008F7BBE">
            <w:r w:rsidRPr="004120B8">
              <w:t>Table 2.</w:t>
            </w:r>
          </w:p>
        </w:tc>
        <w:tc>
          <w:tcPr>
            <w:tcW w:w="1340" w:type="dxa"/>
            <w:tcBorders>
              <w:top w:val="nil"/>
              <w:left w:val="nil"/>
              <w:right w:val="nil"/>
            </w:tcBorders>
          </w:tcPr>
          <w:p w:rsidR="00377017" w:rsidRPr="004120B8" w:rsidRDefault="00377017" w:rsidP="008F7BBE"/>
        </w:tc>
        <w:tc>
          <w:tcPr>
            <w:tcW w:w="1325" w:type="dxa"/>
            <w:tcBorders>
              <w:top w:val="nil"/>
              <w:left w:val="nil"/>
              <w:right w:val="nil"/>
            </w:tcBorders>
          </w:tcPr>
          <w:p w:rsidR="00377017" w:rsidRPr="004120B8" w:rsidRDefault="00377017" w:rsidP="008F7BBE"/>
        </w:tc>
        <w:tc>
          <w:tcPr>
            <w:tcW w:w="1548" w:type="dxa"/>
            <w:tcBorders>
              <w:top w:val="nil"/>
              <w:left w:val="nil"/>
              <w:right w:val="nil"/>
            </w:tcBorders>
          </w:tcPr>
          <w:p w:rsidR="00377017" w:rsidRPr="004120B8" w:rsidRDefault="00377017" w:rsidP="008F7BBE"/>
        </w:tc>
      </w:tr>
      <w:tr w:rsidR="00377017" w:rsidTr="008F7BBE">
        <w:tc>
          <w:tcPr>
            <w:tcW w:w="1721" w:type="dxa"/>
          </w:tcPr>
          <w:p w:rsidR="00377017" w:rsidRPr="004120B8" w:rsidRDefault="00377017" w:rsidP="008F7BBE">
            <w:r w:rsidRPr="004120B8">
              <w:t>Characterization Method</w:t>
            </w:r>
          </w:p>
        </w:tc>
        <w:tc>
          <w:tcPr>
            <w:tcW w:w="1340" w:type="dxa"/>
          </w:tcPr>
          <w:p w:rsidR="00377017" w:rsidRPr="004120B8" w:rsidRDefault="00377017" w:rsidP="008F7BBE">
            <w:r w:rsidRPr="004120B8">
              <w:t>Variability (%)</w:t>
            </w:r>
          </w:p>
        </w:tc>
        <w:tc>
          <w:tcPr>
            <w:tcW w:w="1325" w:type="dxa"/>
          </w:tcPr>
          <w:p w:rsidR="00377017" w:rsidRPr="004120B8" w:rsidRDefault="00377017" w:rsidP="008F7BBE">
            <w:r w:rsidRPr="004120B8">
              <w:t>Precision (%)</w:t>
            </w:r>
          </w:p>
        </w:tc>
        <w:tc>
          <w:tcPr>
            <w:tcW w:w="1548" w:type="dxa"/>
          </w:tcPr>
          <w:p w:rsidR="00377017" w:rsidRPr="004120B8" w:rsidRDefault="00377017" w:rsidP="008F7BBE">
            <w:r w:rsidRPr="004120B8">
              <w:t>Discrimination Index (%)</w:t>
            </w:r>
          </w:p>
        </w:tc>
      </w:tr>
      <w:tr w:rsidR="00377017" w:rsidTr="008F7BBE">
        <w:tc>
          <w:tcPr>
            <w:tcW w:w="1721" w:type="dxa"/>
          </w:tcPr>
          <w:p w:rsidR="00377017" w:rsidRDefault="00377017" w:rsidP="008F7BBE">
            <w:r>
              <w:t>SNPs</w:t>
            </w:r>
          </w:p>
        </w:tc>
        <w:tc>
          <w:tcPr>
            <w:tcW w:w="1340" w:type="dxa"/>
          </w:tcPr>
          <w:p w:rsidR="00377017" w:rsidRDefault="00377017" w:rsidP="008F7BBE">
            <w:r>
              <w:t>51</w:t>
            </w:r>
          </w:p>
        </w:tc>
        <w:tc>
          <w:tcPr>
            <w:tcW w:w="1325" w:type="dxa"/>
          </w:tcPr>
          <w:p w:rsidR="00377017" w:rsidRDefault="00377017" w:rsidP="008F7BBE">
            <w:r>
              <w:t>70</w:t>
            </w:r>
          </w:p>
        </w:tc>
        <w:tc>
          <w:tcPr>
            <w:tcW w:w="1548" w:type="dxa"/>
          </w:tcPr>
          <w:p w:rsidR="00377017" w:rsidRDefault="00377017" w:rsidP="008F7BBE">
            <w:r>
              <w:t>35.7</w:t>
            </w:r>
          </w:p>
        </w:tc>
      </w:tr>
      <w:tr w:rsidR="00377017" w:rsidTr="008F7BBE">
        <w:tc>
          <w:tcPr>
            <w:tcW w:w="1721" w:type="dxa"/>
          </w:tcPr>
          <w:p w:rsidR="00377017" w:rsidRDefault="00377017" w:rsidP="008F7BBE">
            <w:r>
              <w:t>RNA Transcription</w:t>
            </w:r>
          </w:p>
        </w:tc>
        <w:tc>
          <w:tcPr>
            <w:tcW w:w="1340" w:type="dxa"/>
          </w:tcPr>
          <w:p w:rsidR="00377017" w:rsidRDefault="00377017" w:rsidP="008F7BBE">
            <w:r>
              <w:t>26</w:t>
            </w:r>
          </w:p>
        </w:tc>
        <w:tc>
          <w:tcPr>
            <w:tcW w:w="1325" w:type="dxa"/>
          </w:tcPr>
          <w:p w:rsidR="00377017" w:rsidRDefault="00377017" w:rsidP="008F7BBE">
            <w:r>
              <w:t>70</w:t>
            </w:r>
          </w:p>
        </w:tc>
        <w:tc>
          <w:tcPr>
            <w:tcW w:w="1548" w:type="dxa"/>
          </w:tcPr>
          <w:p w:rsidR="00377017" w:rsidRDefault="00377017" w:rsidP="008F7BBE">
            <w:r>
              <w:t>18.2</w:t>
            </w:r>
          </w:p>
        </w:tc>
      </w:tr>
      <w:tr w:rsidR="00377017" w:rsidTr="008F7BBE">
        <w:tc>
          <w:tcPr>
            <w:tcW w:w="1721" w:type="dxa"/>
          </w:tcPr>
          <w:p w:rsidR="00377017" w:rsidRDefault="00377017" w:rsidP="008F7BBE">
            <w:r>
              <w:t>Metabolomics</w:t>
            </w:r>
          </w:p>
        </w:tc>
        <w:tc>
          <w:tcPr>
            <w:tcW w:w="1340" w:type="dxa"/>
          </w:tcPr>
          <w:p w:rsidR="00377017" w:rsidRDefault="00377017" w:rsidP="008F7BBE">
            <w:r>
              <w:t>51</w:t>
            </w:r>
          </w:p>
        </w:tc>
        <w:tc>
          <w:tcPr>
            <w:tcW w:w="1325" w:type="dxa"/>
          </w:tcPr>
          <w:p w:rsidR="00377017" w:rsidRDefault="00377017" w:rsidP="008F7BBE">
            <w:r>
              <w:t>0</w:t>
            </w:r>
          </w:p>
        </w:tc>
        <w:tc>
          <w:tcPr>
            <w:tcW w:w="1548" w:type="dxa"/>
          </w:tcPr>
          <w:p w:rsidR="00377017" w:rsidRDefault="00377017" w:rsidP="008F7BBE">
            <w:r>
              <w:t>0</w:t>
            </w:r>
          </w:p>
        </w:tc>
      </w:tr>
      <w:tr w:rsidR="00377017" w:rsidTr="008F7BBE">
        <w:tc>
          <w:tcPr>
            <w:tcW w:w="1721" w:type="dxa"/>
          </w:tcPr>
          <w:p w:rsidR="00377017" w:rsidRDefault="00377017" w:rsidP="008F7BBE">
            <w:r>
              <w:t>Morphology</w:t>
            </w:r>
          </w:p>
        </w:tc>
        <w:tc>
          <w:tcPr>
            <w:tcW w:w="1340" w:type="dxa"/>
          </w:tcPr>
          <w:p w:rsidR="00377017" w:rsidRDefault="00377017" w:rsidP="008F7BBE">
            <w:r>
              <w:t>98</w:t>
            </w:r>
          </w:p>
        </w:tc>
        <w:tc>
          <w:tcPr>
            <w:tcW w:w="1325" w:type="dxa"/>
          </w:tcPr>
          <w:p w:rsidR="00377017" w:rsidRDefault="00377017" w:rsidP="008F7BBE">
            <w:r>
              <w:t>20</w:t>
            </w:r>
          </w:p>
        </w:tc>
        <w:tc>
          <w:tcPr>
            <w:tcW w:w="1548" w:type="dxa"/>
          </w:tcPr>
          <w:p w:rsidR="00377017" w:rsidRDefault="00377017" w:rsidP="008F7BBE">
            <w:r>
              <w:t>19.6</w:t>
            </w:r>
          </w:p>
        </w:tc>
      </w:tr>
    </w:tbl>
    <w:p w:rsidR="00377017" w:rsidRDefault="00377017" w:rsidP="00377017"/>
    <w:p w:rsidR="00377017" w:rsidRDefault="004120B8" w:rsidP="00377017">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377017" w:rsidRPr="006755C2">
        <w:t xml:space="preserve">The central dogma of genetics </w:t>
      </w:r>
      <w:r w:rsidR="00377017">
        <w:t xml:space="preserve">represents the primary biological components and processes of the cell leading from </w:t>
      </w:r>
      <w:r w:rsidR="00377017" w:rsidRPr="006755C2">
        <w:t>DNA</w:t>
      </w:r>
      <w:r w:rsidR="00377017">
        <w:t xml:space="preserve"> to </w:t>
      </w:r>
      <w:r w:rsidR="00377017" w:rsidRPr="006755C2">
        <w:t>RNA</w:t>
      </w:r>
      <w:r w:rsidR="00377017">
        <w:t xml:space="preserve"> and from RNA to </w:t>
      </w:r>
      <w:r w:rsidR="00377017" w:rsidRPr="006755C2">
        <w:t>protein</w:t>
      </w:r>
      <w:r w:rsidR="00377017">
        <w:t>.</w:t>
      </w:r>
      <w:r w:rsidR="00377017" w:rsidRPr="006755C2">
        <w:t xml:space="preserve">  SNP </w:t>
      </w:r>
      <w:r w:rsidR="00377017">
        <w:t>data</w:t>
      </w:r>
      <w:r w:rsidR="00377017" w:rsidRPr="006755C2">
        <w:t xml:space="preserve"> represent </w:t>
      </w:r>
      <w:r w:rsidR="00377017">
        <w:t xml:space="preserve">the DNA or </w:t>
      </w:r>
      <w:r w:rsidR="00377017" w:rsidRPr="006755C2">
        <w:t>genotypic</w:t>
      </w:r>
      <w:r w:rsidR="00377017">
        <w:t>, RNA transcription represents the expression of genes within DNA, and metabolomics represents the many diverse proteins produced from the RNA.  Ultimately a plant’s morphology is derived from the metabolomics condition</w:t>
      </w:r>
      <w:r w:rsidR="00377017" w:rsidRPr="006755C2">
        <w:t xml:space="preserve">.  </w:t>
      </w:r>
    </w:p>
    <w:p w:rsidR="004120B8" w:rsidRDefault="004120B8" w:rsidP="00377017">
      <w:pPr>
        <w:rPr>
          <w:lang w:eastAsia="ja-JP"/>
        </w:rPr>
      </w:pPr>
    </w:p>
    <w:p w:rsidR="00377017" w:rsidRDefault="004120B8" w:rsidP="00377017">
      <w:pPr>
        <w:rPr>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377017" w:rsidRPr="006755C2">
        <w:t xml:space="preserve">Gene expression does not occur in a vacuum, but rather responds and interacts with the environment the organism lives in.  With this in mind, of the four characterization methods, SNPs had the greatest discrimination index nearly twice that of the next closest method.  </w:t>
      </w:r>
      <w:r w:rsidR="00377017">
        <w:t>T</w:t>
      </w:r>
      <w:r w:rsidR="00377017" w:rsidRPr="006755C2">
        <w:t xml:space="preserve">his </w:t>
      </w:r>
      <w:r w:rsidR="00377017">
        <w:t xml:space="preserve">high value </w:t>
      </w:r>
      <w:r w:rsidR="00377017" w:rsidRPr="006755C2">
        <w:t xml:space="preserve">is </w:t>
      </w:r>
      <w:r w:rsidR="00377017">
        <w:t xml:space="preserve">contributed by the combination of very high precision (Figure 1) and moderate variability.  Very high precision is </w:t>
      </w:r>
      <w:r w:rsidR="00377017" w:rsidRPr="006755C2">
        <w:t xml:space="preserve">due to the lack of </w:t>
      </w:r>
      <w:r w:rsidR="00377017">
        <w:t>e</w:t>
      </w:r>
      <w:r w:rsidR="00377017" w:rsidRPr="006755C2">
        <w:t>nvironmental interactions</w:t>
      </w:r>
      <w:r w:rsidR="00377017">
        <w:t xml:space="preserve">, including very low rates of laboratory error, </w:t>
      </w:r>
      <w:r w:rsidR="00377017" w:rsidRPr="006755C2">
        <w:t xml:space="preserve">since the DNA </w:t>
      </w:r>
      <w:r w:rsidR="00377017">
        <w:t xml:space="preserve">sequence itself is interrogated.  </w:t>
      </w:r>
      <w:r w:rsidR="00377017" w:rsidRPr="006755C2">
        <w:t>RNA transcription performed poorest in terms of variability</w:t>
      </w:r>
      <w:r w:rsidR="00377017">
        <w:t xml:space="preserve"> and shared with SNPs the highest value for precision (Figure 2) resulting in, at best a moderate discrimination index.  M</w:t>
      </w:r>
      <w:r w:rsidR="00377017" w:rsidRPr="006755C2">
        <w:t xml:space="preserve">etabolomics had a good range of variability, but proved </w:t>
      </w:r>
      <w:r w:rsidR="00377017">
        <w:t xml:space="preserve">to be completely unreliable for </w:t>
      </w:r>
      <w:r w:rsidR="00377017" w:rsidRPr="006755C2">
        <w:t>precision</w:t>
      </w:r>
      <w:r w:rsidR="00377017">
        <w:t xml:space="preserve"> (Figure 3)</w:t>
      </w:r>
      <w:r w:rsidR="00377017" w:rsidRPr="006755C2">
        <w:t xml:space="preserve">, </w:t>
      </w:r>
      <w:r w:rsidR="00377017">
        <w:t xml:space="preserve">and </w:t>
      </w:r>
      <w:r w:rsidR="00377017" w:rsidRPr="006755C2">
        <w:t xml:space="preserve">thus deemed useless to </w:t>
      </w:r>
      <w:r w:rsidR="00377017">
        <w:t xml:space="preserve">meaningfully and repeatedly </w:t>
      </w:r>
      <w:r w:rsidR="00377017" w:rsidRPr="006755C2">
        <w:t>discriminate varieties.</w:t>
      </w:r>
      <w:r w:rsidR="00377017">
        <w:t xml:space="preserve">  Lastly, m</w:t>
      </w:r>
      <w:r w:rsidR="00377017" w:rsidRPr="006755C2">
        <w:t>orphology</w:t>
      </w:r>
      <w:r w:rsidR="00377017">
        <w:t xml:space="preserve"> precision (Figure 4)</w:t>
      </w:r>
      <w:r w:rsidR="00377017" w:rsidRPr="006755C2">
        <w:t xml:space="preserve"> performed </w:t>
      </w:r>
      <w:r w:rsidR="00377017">
        <w:t>poorly leading to only a moderate discrimination value</w:t>
      </w:r>
      <w:r w:rsidR="00377017" w:rsidRPr="006755C2">
        <w:t xml:space="preserve">, </w:t>
      </w:r>
      <w:r w:rsidR="00377017">
        <w:t xml:space="preserve">however variability was very high which is </w:t>
      </w:r>
      <w:r w:rsidR="00377017" w:rsidRPr="006755C2">
        <w:t xml:space="preserve">driven in part by the effects of </w:t>
      </w:r>
      <w:r w:rsidR="00377017">
        <w:t xml:space="preserve">interactions with the </w:t>
      </w:r>
      <w:r w:rsidR="00377017" w:rsidRPr="006755C2">
        <w:t xml:space="preserve">environment, </w:t>
      </w:r>
      <w:r w:rsidR="00377017">
        <w:t xml:space="preserve">which would then cause this value of discrimination to be an over estimate.    </w:t>
      </w:r>
    </w:p>
    <w:p w:rsidR="004120B8" w:rsidRDefault="004120B8">
      <w:pPr>
        <w:jc w:val="left"/>
        <w:rPr>
          <w:lang w:eastAsia="ja-JP"/>
        </w:rPr>
      </w:pPr>
    </w:p>
    <w:p w:rsidR="004700D3" w:rsidRDefault="004700D3">
      <w:pPr>
        <w:jc w:val="left"/>
        <w:rPr>
          <w:lang w:eastAsia="ja-JP"/>
        </w:rPr>
      </w:pPr>
    </w:p>
    <w:p w:rsidR="004120B8" w:rsidRDefault="00377017" w:rsidP="00377017">
      <w:pPr>
        <w:rPr>
          <w:lang w:eastAsia="ja-JP"/>
        </w:rPr>
      </w:pPr>
      <w:proofErr w:type="gramStart"/>
      <w:r w:rsidRPr="008E62D0">
        <w:t>Figure 1.</w:t>
      </w:r>
      <w:proofErr w:type="gramEnd"/>
      <w:r w:rsidRPr="008E62D0">
        <w:t xml:space="preserve"> Associations among inbred lines on the basis of comparing SNP profiles using multivariate analysis of pair-wise distance data from 52,406 SNPs.</w:t>
      </w:r>
    </w:p>
    <w:p w:rsidR="00377017" w:rsidRDefault="00377017" w:rsidP="00377017">
      <w:r>
        <w:rPr>
          <w:noProof/>
          <w:lang w:eastAsia="zh-CN"/>
        </w:rPr>
        <w:lastRenderedPageBreak/>
        <w:drawing>
          <wp:inline distT="0" distB="0" distL="0" distR="0" wp14:anchorId="5CCDA076" wp14:editId="5791AF99">
            <wp:extent cx="6134986" cy="4380614"/>
            <wp:effectExtent l="0" t="0" r="0" b="1270"/>
            <wp:docPr id="6146" name="Picture 2" descr="N:\Barry Projects\MARKER ANALYSIS PROJECTS\2013\Off-PVP Brad H paper\Brad H 56k\PVP 56k 10 GEs ntsys sim tree.EMF"/>
            <wp:cNvGraphicFramePr/>
            <a:graphic xmlns:a="http://schemas.openxmlformats.org/drawingml/2006/main">
              <a:graphicData uri="http://schemas.openxmlformats.org/drawingml/2006/picture">
                <pic:pic xmlns:pic="http://schemas.openxmlformats.org/drawingml/2006/picture">
                  <pic:nvPicPr>
                    <pic:cNvPr id="6146" name="Picture 2" descr="N:\Barry Projects\MARKER ANALYSIS PROJECTS\2013\Off-PVP Brad H paper\Brad H 56k\PVP 56k 10 GEs ntsys sim tree.EMF"/>
                    <pic:cNvPicPr/>
                  </pic:nvPicPr>
                  <pic:blipFill>
                    <a:blip r:embed="rId10" cstate="print"/>
                    <a:srcRect/>
                    <a:stretch>
                      <a:fillRect/>
                    </a:stretch>
                  </pic:blipFill>
                  <pic:spPr bwMode="auto">
                    <a:xfrm>
                      <a:off x="0" y="0"/>
                      <a:ext cx="6135894" cy="4381262"/>
                    </a:xfrm>
                    <a:prstGeom prst="rect">
                      <a:avLst/>
                    </a:prstGeom>
                    <a:noFill/>
                  </pic:spPr>
                </pic:pic>
              </a:graphicData>
            </a:graphic>
          </wp:inline>
        </w:drawing>
      </w:r>
      <w:r>
        <w:br w:type="page"/>
      </w:r>
    </w:p>
    <w:p w:rsidR="00377017" w:rsidRDefault="00377017" w:rsidP="00377017">
      <w:proofErr w:type="gramStart"/>
      <w:r>
        <w:lastRenderedPageBreak/>
        <w:t>Figure 2.</w:t>
      </w:r>
      <w:proofErr w:type="gramEnd"/>
      <w:r>
        <w:t xml:space="preserve"> Associations of 4 replicate samples and 2 harvest times that preferentially clustered following multivariate analysis of 24,439 transcripts.</w:t>
      </w:r>
    </w:p>
    <w:p w:rsidR="00377017" w:rsidRDefault="00377017" w:rsidP="00377017">
      <w:r>
        <w:rPr>
          <w:noProof/>
          <w:lang w:eastAsia="zh-CN"/>
        </w:rPr>
        <w:drawing>
          <wp:inline distT="0" distB="0" distL="0" distR="0" wp14:anchorId="0B0A6D88" wp14:editId="2A18B1EE">
            <wp:extent cx="5858539" cy="8155172"/>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a:grayscl/>
                      <a:extLst>
                        <a:ext uri="{BEBA8EAE-BF5A-486C-A8C5-ECC9F3942E4B}">
                          <a14:imgProps xmlns:a14="http://schemas.microsoft.com/office/drawing/2010/main">
                            <a14:imgLayer r:embed="rId12">
                              <a14:imgEffect>
                                <a14:sharpenSoften amount="26000"/>
                              </a14:imgEffect>
                              <a14:imgEffect>
                                <a14:brightnessContrast contrast="-40000"/>
                              </a14:imgEffect>
                            </a14:imgLayer>
                          </a14:imgProps>
                        </a:ext>
                        <a:ext uri="{28A0092B-C50C-407E-A947-70E740481C1C}">
                          <a14:useLocalDpi xmlns:a14="http://schemas.microsoft.com/office/drawing/2010/main" val="0"/>
                        </a:ext>
                      </a:extLst>
                    </a:blip>
                    <a:srcRect l="4200" t="2902" b="1605"/>
                    <a:stretch/>
                  </pic:blipFill>
                  <pic:spPr bwMode="auto">
                    <a:xfrm>
                      <a:off x="0" y="0"/>
                      <a:ext cx="5858858" cy="8155616"/>
                    </a:xfrm>
                    <a:prstGeom prst="rect">
                      <a:avLst/>
                    </a:prstGeom>
                    <a:noFill/>
                    <a:ln>
                      <a:noFill/>
                    </a:ln>
                    <a:extLst>
                      <a:ext uri="{53640926-AAD7-44D8-BBD7-CCE9431645EC}">
                        <a14:shadowObscured xmlns:a14="http://schemas.microsoft.com/office/drawing/2010/main"/>
                      </a:ext>
                    </a:extLst>
                  </pic:spPr>
                </pic:pic>
              </a:graphicData>
            </a:graphic>
          </wp:inline>
        </w:drawing>
      </w:r>
    </w:p>
    <w:p w:rsidR="004120B8" w:rsidRDefault="004120B8" w:rsidP="00377017">
      <w:pPr>
        <w:rPr>
          <w:lang w:eastAsia="ja-JP"/>
        </w:rPr>
      </w:pPr>
    </w:p>
    <w:p w:rsidR="004120B8" w:rsidRDefault="004120B8" w:rsidP="00377017">
      <w:pPr>
        <w:rPr>
          <w:lang w:eastAsia="ja-JP"/>
        </w:rPr>
      </w:pPr>
    </w:p>
    <w:p w:rsidR="004120B8" w:rsidRDefault="004120B8" w:rsidP="00377017">
      <w:pPr>
        <w:rPr>
          <w:lang w:eastAsia="ja-JP"/>
        </w:rPr>
      </w:pPr>
    </w:p>
    <w:p w:rsidR="00377017" w:rsidRPr="00593FD3" w:rsidRDefault="00377017" w:rsidP="00377017">
      <w:proofErr w:type="gramStart"/>
      <w:r w:rsidRPr="00593FD3">
        <w:lastRenderedPageBreak/>
        <w:t>Figure 3.</w:t>
      </w:r>
      <w:proofErr w:type="gramEnd"/>
      <w:r w:rsidRPr="00593FD3">
        <w:t xml:space="preserve"> </w:t>
      </w:r>
      <w:proofErr w:type="gramStart"/>
      <w:r w:rsidRPr="00593FD3">
        <w:t xml:space="preserve">Associations among samples on the </w:t>
      </w:r>
      <w:bookmarkStart w:id="5" w:name="_GoBack"/>
      <w:bookmarkEnd w:id="5"/>
      <w:r w:rsidRPr="00593FD3">
        <w:t xml:space="preserve">basis of multivariate analysis of 9,424 metabolite features using metabolomics </w:t>
      </w:r>
      <w:r>
        <w:t>data from e</w:t>
      </w:r>
      <w:r w:rsidRPr="00593FD3">
        <w:t xml:space="preserve">xperiments on </w:t>
      </w:r>
      <w:r>
        <w:t>2 week</w:t>
      </w:r>
      <w:r w:rsidRPr="00593FD3">
        <w:t xml:space="preserve"> and </w:t>
      </w:r>
      <w:r>
        <w:t>4 week old plants</w:t>
      </w:r>
      <w:r w:rsidRPr="00593FD3">
        <w:t>.</w:t>
      </w:r>
      <w:proofErr w:type="gramEnd"/>
    </w:p>
    <w:p w:rsidR="00377017" w:rsidRDefault="00377017" w:rsidP="004700D3">
      <w:pPr>
        <w:jc w:val="center"/>
        <w:rPr>
          <w:noProof/>
        </w:rPr>
      </w:pPr>
      <w:r>
        <w:rPr>
          <w:noProof/>
          <w:lang w:eastAsia="zh-CN"/>
        </w:rPr>
        <mc:AlternateContent>
          <mc:Choice Requires="wps">
            <w:drawing>
              <wp:anchor distT="0" distB="0" distL="114300" distR="114300" simplePos="0" relativeHeight="251659264" behindDoc="0" locked="0" layoutInCell="1" allowOverlap="1" wp14:anchorId="106EC1CB" wp14:editId="040D436B">
                <wp:simplePos x="0" y="0"/>
                <wp:positionH relativeFrom="column">
                  <wp:posOffset>1005840</wp:posOffset>
                </wp:positionH>
                <wp:positionV relativeFrom="paragraph">
                  <wp:posOffset>3625584</wp:posOffset>
                </wp:positionV>
                <wp:extent cx="797560" cy="213360"/>
                <wp:effectExtent l="0" t="0" r="0" b="0"/>
                <wp:wrapNone/>
                <wp:docPr id="2" name="Text Box 2"/>
                <wp:cNvGraphicFramePr/>
                <a:graphic xmlns:a="http://schemas.openxmlformats.org/drawingml/2006/main">
                  <a:graphicData uri="http://schemas.microsoft.com/office/word/2010/wordprocessingShape">
                    <wps:wsp>
                      <wps:cNvSpPr txBox="1"/>
                      <wps:spPr>
                        <a:xfrm>
                          <a:off x="0" y="0"/>
                          <a:ext cx="79756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017" w:rsidRPr="00593FD3" w:rsidRDefault="00377017" w:rsidP="00377017">
                            <w:pPr>
                              <w:rPr>
                                <w:sz w:val="16"/>
                                <w:szCs w:val="16"/>
                              </w:rPr>
                            </w:pPr>
                            <w:r w:rsidRPr="00593FD3">
                              <w:rPr>
                                <w:sz w:val="16"/>
                                <w:szCs w:val="16"/>
                              </w:rPr>
                              <w:t>2 Week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2pt;margin-top:285.5pt;width:62.8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" filled="f" stroked="f" strokeweight=".5pt">
                <v:textbox>
                  <w:txbxContent>
                    <w:p w:rsidR="00377017" w:rsidRPr="00593FD3" w:rsidRDefault="00377017" w:rsidP="00377017">
                      <w:pPr>
                        <w:rPr>
                          <w:sz w:val="16"/>
                          <w:szCs w:val="16"/>
                        </w:rPr>
                      </w:pPr>
                      <w:r w:rsidRPr="00593FD3">
                        <w:rPr>
                          <w:sz w:val="16"/>
                          <w:szCs w:val="16"/>
                        </w:rPr>
                        <w:t>2 Week Plants</w:t>
                      </w:r>
                    </w:p>
                  </w:txbxContent>
                </v:textbox>
              </v:shape>
            </w:pict>
          </mc:Fallback>
        </mc:AlternateContent>
      </w:r>
      <w:r>
        <w:rPr>
          <w:noProof/>
          <w:lang w:eastAsia="zh-CN"/>
        </w:rPr>
        <w:drawing>
          <wp:inline distT="0" distB="0" distL="0" distR="0" wp14:anchorId="0BE01BF8" wp14:editId="2F9DA022">
            <wp:extent cx="4944140" cy="4380614"/>
            <wp:effectExtent l="0" t="0" r="0" b="0"/>
            <wp:docPr id="3076" name="Picture 4"/>
            <wp:cNvGraphicFramePr/>
            <a:graphic xmlns:a="http://schemas.openxmlformats.org/drawingml/2006/main">
              <a:graphicData uri="http://schemas.openxmlformats.org/drawingml/2006/picture">
                <pic:pic xmlns:pic="http://schemas.openxmlformats.org/drawingml/2006/picture">
                  <pic:nvPicPr>
                    <pic:cNvPr id="3076" name="Picture 4"/>
                    <pic:cNvPicPr/>
                  </pic:nvPicPr>
                  <pic:blipFill rotWithShape="1">
                    <a:blip r:embed="rId13" cstate="print">
                      <a:extLst>
                        <a:ext uri="{28A0092B-C50C-407E-A947-70E740481C1C}">
                          <a14:useLocalDpi xmlns:a14="http://schemas.microsoft.com/office/drawing/2010/main" val="0"/>
                        </a:ext>
                      </a:extLst>
                    </a:blip>
                    <a:srcRect l="7264" r="7110" b="3036"/>
                    <a:stretch/>
                  </pic:blipFill>
                  <pic:spPr bwMode="auto">
                    <a:xfrm>
                      <a:off x="0" y="0"/>
                      <a:ext cx="4947067" cy="4383208"/>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4120B8" w:rsidRDefault="004120B8" w:rsidP="00377017">
      <w:pPr>
        <w:rPr>
          <w:lang w:eastAsia="ja-JP"/>
        </w:rPr>
      </w:pPr>
    </w:p>
    <w:p w:rsidR="004700D3" w:rsidRDefault="004700D3" w:rsidP="004700D3">
      <w:pPr>
        <w:jc w:val="center"/>
        <w:rPr>
          <w:lang w:eastAsia="ja-JP"/>
        </w:rPr>
      </w:pPr>
      <w:r>
        <w:rPr>
          <w:noProof/>
          <w:lang w:eastAsia="zh-CN"/>
        </w:rPr>
        <mc:AlternateContent>
          <mc:Choice Requires="wps">
            <w:drawing>
              <wp:anchor distT="0" distB="0" distL="114300" distR="114300" simplePos="0" relativeHeight="251660288" behindDoc="0" locked="0" layoutInCell="1" allowOverlap="1" wp14:anchorId="4D15042E" wp14:editId="3A4E2BA8">
                <wp:simplePos x="0" y="0"/>
                <wp:positionH relativeFrom="column">
                  <wp:posOffset>1155065</wp:posOffset>
                </wp:positionH>
                <wp:positionV relativeFrom="paragraph">
                  <wp:posOffset>3406317</wp:posOffset>
                </wp:positionV>
                <wp:extent cx="797560" cy="213360"/>
                <wp:effectExtent l="0" t="0" r="0" b="0"/>
                <wp:wrapNone/>
                <wp:docPr id="3" name="Text Box 3"/>
                <wp:cNvGraphicFramePr/>
                <a:graphic xmlns:a="http://schemas.openxmlformats.org/drawingml/2006/main">
                  <a:graphicData uri="http://schemas.microsoft.com/office/word/2010/wordprocessingShape">
                    <wps:wsp>
                      <wps:cNvSpPr txBox="1"/>
                      <wps:spPr>
                        <a:xfrm>
                          <a:off x="0" y="0"/>
                          <a:ext cx="79756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017" w:rsidRPr="00593FD3" w:rsidRDefault="00377017" w:rsidP="00377017">
                            <w:pPr>
                              <w:rPr>
                                <w:sz w:val="16"/>
                                <w:szCs w:val="16"/>
                              </w:rPr>
                            </w:pPr>
                            <w:r>
                              <w:rPr>
                                <w:sz w:val="16"/>
                                <w:szCs w:val="16"/>
                              </w:rPr>
                              <w:t>4</w:t>
                            </w:r>
                            <w:r w:rsidRPr="00593FD3">
                              <w:rPr>
                                <w:sz w:val="16"/>
                                <w:szCs w:val="16"/>
                              </w:rPr>
                              <w:t xml:space="preserve"> Week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0.95pt;margin-top:268.2pt;width:62.8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" filled="f" stroked="f" strokeweight=".5pt">
                <v:textbox>
                  <w:txbxContent>
                    <w:p w:rsidR="00377017" w:rsidRPr="00593FD3" w:rsidRDefault="00377017" w:rsidP="00377017">
                      <w:pPr>
                        <w:rPr>
                          <w:sz w:val="16"/>
                          <w:szCs w:val="16"/>
                        </w:rPr>
                      </w:pPr>
                      <w:r>
                        <w:rPr>
                          <w:sz w:val="16"/>
                          <w:szCs w:val="16"/>
                        </w:rPr>
                        <w:t>4</w:t>
                      </w:r>
                      <w:r w:rsidRPr="00593FD3">
                        <w:rPr>
                          <w:sz w:val="16"/>
                          <w:szCs w:val="16"/>
                        </w:rPr>
                        <w:t xml:space="preserve"> Week Plants</w:t>
                      </w:r>
                    </w:p>
                  </w:txbxContent>
                </v:textbox>
              </v:shape>
            </w:pict>
          </mc:Fallback>
        </mc:AlternateContent>
      </w:r>
      <w:r>
        <w:rPr>
          <w:noProof/>
          <w:lang w:eastAsia="zh-CN"/>
        </w:rPr>
        <w:drawing>
          <wp:inline distT="0" distB="0" distL="0" distR="0" wp14:anchorId="63EDA8CA" wp14:editId="2F7148A4">
            <wp:extent cx="4976037" cy="4210492"/>
            <wp:effectExtent l="0" t="0" r="0" b="0"/>
            <wp:docPr id="4098" name="Picture 2"/>
            <wp:cNvGraphicFramePr/>
            <a:graphic xmlns:a="http://schemas.openxmlformats.org/drawingml/2006/main">
              <a:graphicData uri="http://schemas.openxmlformats.org/drawingml/2006/picture">
                <pic:pic xmlns:pic="http://schemas.openxmlformats.org/drawingml/2006/picture">
                  <pic:nvPicPr>
                    <pic:cNvPr id="4098" name="Picture 2"/>
                    <pic:cNvPicPr/>
                  </pic:nvPicPr>
                  <pic:blipFill rotWithShape="1">
                    <a:blip r:embed="rId14" cstate="print">
                      <a:extLst>
                        <a:ext uri="{28A0092B-C50C-407E-A947-70E740481C1C}">
                          <a14:useLocalDpi xmlns:a14="http://schemas.microsoft.com/office/drawing/2010/main" val="0"/>
                        </a:ext>
                      </a:extLst>
                    </a:blip>
                    <a:srcRect l="6467" r="6625" b="3546"/>
                    <a:stretch/>
                  </pic:blipFill>
                  <pic:spPr bwMode="auto">
                    <a:xfrm>
                      <a:off x="0" y="0"/>
                      <a:ext cx="4978985" cy="4212987"/>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4120B8" w:rsidRDefault="00377017" w:rsidP="00377017">
      <w:pPr>
        <w:rPr>
          <w:lang w:eastAsia="ja-JP"/>
        </w:rPr>
      </w:pPr>
      <w:proofErr w:type="gramStart"/>
      <w:r>
        <w:lastRenderedPageBreak/>
        <w:t>Figure 4.</w:t>
      </w:r>
      <w:proofErr w:type="gramEnd"/>
      <w:r>
        <w:t xml:space="preserve"> </w:t>
      </w:r>
      <w:proofErr w:type="gramStart"/>
      <w:r>
        <w:t>Associations among inbred lines according to multivariate analysis of morphological data obtained in each of 4 environments (A, B, C, and D).</w:t>
      </w:r>
      <w:proofErr w:type="gramEnd"/>
    </w:p>
    <w:p w:rsidR="004120B8" w:rsidRDefault="004120B8" w:rsidP="00377017">
      <w:pPr>
        <w:rPr>
          <w:lang w:eastAsia="ja-JP"/>
        </w:rPr>
      </w:pPr>
    </w:p>
    <w:p w:rsidR="00377017" w:rsidRDefault="00377017" w:rsidP="00377017">
      <w:r>
        <w:t xml:space="preserve"> </w:t>
      </w:r>
      <w:r>
        <w:rPr>
          <w:noProof/>
          <w:lang w:eastAsia="zh-CN"/>
        </w:rPr>
        <w:drawing>
          <wp:inline distT="0" distB="0" distL="0" distR="0" wp14:anchorId="27FC8DB4" wp14:editId="1ED4E8DE">
            <wp:extent cx="5999480" cy="3119120"/>
            <wp:effectExtent l="0" t="0" r="1270" b="5080"/>
            <wp:docPr id="5" name="Picture 5" descr="C:\Users\smithst\AppData\Local\Microsoft\Windows\Temporary Internet Files\Content.Word\ALL ENVS.EMF"/>
            <wp:cNvGraphicFramePr/>
            <a:graphic xmlns:a="http://schemas.openxmlformats.org/drawingml/2006/main">
              <a:graphicData uri="http://schemas.openxmlformats.org/drawingml/2006/picture">
                <pic:pic xmlns:pic="http://schemas.openxmlformats.org/drawingml/2006/picture">
                  <pic:nvPicPr>
                    <pic:cNvPr id="1" name="Picture 1" descr="C:\Users\smithst\AppData\Local\Microsoft\Windows\Temporary Internet Files\Content.Word\ALL ENVS.EMF"/>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7698" cy="3118194"/>
                    </a:xfrm>
                    <a:prstGeom prst="rect">
                      <a:avLst/>
                    </a:prstGeom>
                    <a:noFill/>
                    <a:ln>
                      <a:noFill/>
                    </a:ln>
                  </pic:spPr>
                </pic:pic>
              </a:graphicData>
            </a:graphic>
          </wp:inline>
        </w:drawing>
      </w:r>
    </w:p>
    <w:p w:rsidR="004120B8" w:rsidRDefault="004120B8" w:rsidP="00377017">
      <w:pPr>
        <w:rPr>
          <w:lang w:eastAsia="ja-JP"/>
        </w:rPr>
      </w:pPr>
    </w:p>
    <w:p w:rsidR="00377017" w:rsidRPr="006755C2" w:rsidRDefault="004120B8" w:rsidP="00377017">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377017" w:rsidRPr="006755C2">
        <w:t>SNPs</w:t>
      </w:r>
      <w:r w:rsidR="00377017">
        <w:t xml:space="preserve"> </w:t>
      </w:r>
      <w:r w:rsidR="00377017" w:rsidRPr="006755C2">
        <w:t>and RNA transcription</w:t>
      </w:r>
      <w:r w:rsidR="00377017">
        <w:t xml:space="preserve"> had </w:t>
      </w:r>
      <w:r w:rsidR="00377017" w:rsidRPr="006755C2">
        <w:t xml:space="preserve">the same </w:t>
      </w:r>
      <w:r w:rsidR="00377017">
        <w:t xml:space="preserve">degree of precision, but </w:t>
      </w:r>
      <w:r w:rsidR="00377017" w:rsidRPr="006755C2">
        <w:t xml:space="preserve">RNA transcription </w:t>
      </w:r>
      <w:r w:rsidR="00377017">
        <w:t>data had only 50% of the level of discrimination shown by SNPs.</w:t>
      </w:r>
      <w:r w:rsidR="00377017" w:rsidRPr="006755C2">
        <w:t xml:space="preserve"> </w:t>
      </w:r>
      <w:r w:rsidR="00377017">
        <w:t xml:space="preserve">However, </w:t>
      </w:r>
      <w:r w:rsidR="00377017" w:rsidRPr="006755C2">
        <w:t xml:space="preserve">in terms of </w:t>
      </w:r>
      <w:r w:rsidR="00377017">
        <w:t xml:space="preserve">both </w:t>
      </w:r>
      <w:r w:rsidR="00377017" w:rsidRPr="006755C2">
        <w:t>precision</w:t>
      </w:r>
      <w:r w:rsidR="00377017">
        <w:t xml:space="preserve"> and in showing associations among inbred lines</w:t>
      </w:r>
      <w:r w:rsidR="00377017" w:rsidRPr="006755C2">
        <w:t xml:space="preserve">, </w:t>
      </w:r>
      <w:r w:rsidR="00377017">
        <w:t xml:space="preserve">SNP data showed the same results as expressed </w:t>
      </w:r>
      <w:r w:rsidR="00377017" w:rsidRPr="006755C2">
        <w:t xml:space="preserve">RNA transcription data.  </w:t>
      </w:r>
      <w:r w:rsidR="00377017">
        <w:t>In practical terms therefore, SNP data are equally reliable as expressed RNA data yet more discriminative due to the range of variability SNPs are able to exhibit.  Furthermore, SNP data are far more cost effective and methods can be much more easily standardized than for RNA transcription data.</w:t>
      </w:r>
      <w:r w:rsidR="00377017" w:rsidRPr="006755C2">
        <w:t xml:space="preserve"> </w:t>
      </w:r>
    </w:p>
    <w:p w:rsidR="004120B8" w:rsidRDefault="004120B8" w:rsidP="00377017">
      <w:pPr>
        <w:rPr>
          <w:lang w:eastAsia="ja-JP"/>
        </w:rPr>
      </w:pPr>
    </w:p>
    <w:p w:rsidR="00377017" w:rsidRPr="006755C2" w:rsidRDefault="004120B8" w:rsidP="00377017">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4700D3">
        <w:rPr>
          <w:rFonts w:cs="Arial" w:hint="eastAsia"/>
          <w:snapToGrid w:val="0"/>
          <w:lang w:eastAsia="ja-JP"/>
        </w:rPr>
        <w:t xml:space="preserve">The definition of a variety in the 1991 Act of the </w:t>
      </w:r>
      <w:r w:rsidR="00377017" w:rsidRPr="006755C2">
        <w:t xml:space="preserve">UPOV </w:t>
      </w:r>
      <w:r w:rsidR="004700D3">
        <w:rPr>
          <w:rFonts w:hint="eastAsia"/>
          <w:lang w:eastAsia="ja-JP"/>
        </w:rPr>
        <w:t>Convention refers</w:t>
      </w:r>
      <w:r w:rsidR="00377017" w:rsidRPr="006755C2">
        <w:t xml:space="preserve"> to “expression of characteristics resulting from a given genotype” (UPOV, 1991)</w:t>
      </w:r>
      <w:r w:rsidR="00377017">
        <w:t>.  These data demonstrate that 1. Associations among inbred lines on the basis of SNP and RNA expression data are the same, at least for inbred lines that are 97.2% similar by SNPs, and 2. SNP genotyping is super</w:t>
      </w:r>
      <w:r w:rsidR="00377017" w:rsidRPr="006755C2">
        <w:t xml:space="preserve">ior </w:t>
      </w:r>
      <w:r w:rsidR="00377017">
        <w:t xml:space="preserve">to RNA, protein, and morphological </w:t>
      </w:r>
      <w:r w:rsidR="00377017" w:rsidRPr="006755C2">
        <w:t>expression</w:t>
      </w:r>
      <w:r w:rsidR="00377017">
        <w:t>-</w:t>
      </w:r>
      <w:r w:rsidR="00377017" w:rsidRPr="006755C2">
        <w:t xml:space="preserve">based characterization methods to discriminate </w:t>
      </w:r>
      <w:proofErr w:type="spellStart"/>
      <w:r w:rsidR="00377017" w:rsidRPr="006755C2">
        <w:t>inbreds</w:t>
      </w:r>
      <w:proofErr w:type="spellEnd"/>
      <w:r w:rsidR="00377017" w:rsidRPr="006755C2">
        <w:t xml:space="preserve">, </w:t>
      </w:r>
      <w:r w:rsidR="00377017">
        <w:t>due to high precision (shared with RNA expression data) coupled with an ability to reveal a high degree of variability due to freedom from the hind</w:t>
      </w:r>
      <w:r w:rsidR="00377017" w:rsidRPr="006755C2">
        <w:t>r</w:t>
      </w:r>
      <w:r w:rsidR="00377017">
        <w:t xml:space="preserve">ances of </w:t>
      </w:r>
      <w:r w:rsidR="00377017" w:rsidRPr="006755C2">
        <w:t>Genotype X Environment interactions and Environment effects.</w:t>
      </w:r>
      <w:r w:rsidR="00377017">
        <w:t xml:space="preserve">  No other methodology we evaluated exhibited high scores for both the degree to reveal variability among inbred lines and the degree of precision.</w:t>
      </w:r>
    </w:p>
    <w:p w:rsidR="004120B8" w:rsidRDefault="004120B8" w:rsidP="00377017">
      <w:pPr>
        <w:rPr>
          <w:b/>
          <w:lang w:eastAsia="ja-JP"/>
        </w:rPr>
      </w:pPr>
    </w:p>
    <w:p w:rsidR="004120B8" w:rsidRDefault="004120B8" w:rsidP="00377017">
      <w:pPr>
        <w:rPr>
          <w:b/>
          <w:lang w:eastAsia="ja-JP"/>
        </w:rPr>
      </w:pPr>
    </w:p>
    <w:p w:rsidR="00377017" w:rsidRDefault="00377017" w:rsidP="004120B8">
      <w:pPr>
        <w:pStyle w:val="Heading1"/>
      </w:pPr>
      <w:r w:rsidRPr="00FD38FC">
        <w:t>References</w:t>
      </w:r>
    </w:p>
    <w:p w:rsidR="004120B8" w:rsidRDefault="004120B8" w:rsidP="00377017">
      <w:pPr>
        <w:autoSpaceDE w:val="0"/>
        <w:autoSpaceDN w:val="0"/>
        <w:adjustRightInd w:val="0"/>
        <w:rPr>
          <w:rFonts w:cs="TimesNewRoman"/>
          <w:lang w:eastAsia="ja-JP"/>
        </w:rPr>
      </w:pPr>
    </w:p>
    <w:p w:rsidR="00377017" w:rsidRPr="00BB3E4A" w:rsidRDefault="00377017" w:rsidP="00377017">
      <w:pPr>
        <w:autoSpaceDE w:val="0"/>
        <w:autoSpaceDN w:val="0"/>
        <w:adjustRightInd w:val="0"/>
        <w:rPr>
          <w:rFonts w:cs="TimesNewRoman"/>
        </w:rPr>
      </w:pPr>
      <w:proofErr w:type="gramStart"/>
      <w:r w:rsidRPr="00BB3E4A">
        <w:rPr>
          <w:rFonts w:cs="TimesNewRoman"/>
        </w:rPr>
        <w:t xml:space="preserve">Asiago, V.M., J. </w:t>
      </w:r>
      <w:proofErr w:type="spellStart"/>
      <w:r w:rsidRPr="00BB3E4A">
        <w:rPr>
          <w:rFonts w:cs="TimesNewRoman"/>
        </w:rPr>
        <w:t>Hazebroek</w:t>
      </w:r>
      <w:proofErr w:type="spellEnd"/>
      <w:r w:rsidRPr="00BB3E4A">
        <w:rPr>
          <w:rFonts w:cs="TimesNewRoman"/>
        </w:rPr>
        <w:t xml:space="preserve">, T. Harp, and C. </w:t>
      </w:r>
      <w:proofErr w:type="spellStart"/>
      <w:r w:rsidRPr="00BB3E4A">
        <w:rPr>
          <w:rFonts w:cs="TimesNewRoman"/>
        </w:rPr>
        <w:t>Zhong</w:t>
      </w:r>
      <w:proofErr w:type="spellEnd"/>
      <w:r w:rsidRPr="00BB3E4A">
        <w:rPr>
          <w:rFonts w:cs="TimesNewRoman"/>
        </w:rPr>
        <w:t>.</w:t>
      </w:r>
      <w:proofErr w:type="gramEnd"/>
      <w:r w:rsidRPr="00BB3E4A">
        <w:rPr>
          <w:rFonts w:cs="TimesNewRoman"/>
        </w:rPr>
        <w:t xml:space="preserve"> 2012. Effects of Genetics and Environment on the Metabolome of Commercial Maize Hybrids: A Multisite Study. </w:t>
      </w:r>
      <w:r w:rsidRPr="00BB3E4A">
        <w:rPr>
          <w:rFonts w:cs="TimesNewRoman,Italic"/>
          <w:i/>
          <w:iCs/>
        </w:rPr>
        <w:t>J. Agric. Food</w:t>
      </w:r>
      <w:r w:rsidRPr="00BB3E4A">
        <w:rPr>
          <w:rFonts w:cs="TimesNewRoman"/>
        </w:rPr>
        <w:t xml:space="preserve"> </w:t>
      </w:r>
      <w:r w:rsidRPr="00BB3E4A">
        <w:rPr>
          <w:rFonts w:cs="TimesNewRoman,Italic"/>
          <w:i/>
          <w:iCs/>
        </w:rPr>
        <w:t>Chem.</w:t>
      </w:r>
      <w:r w:rsidRPr="00BB3E4A">
        <w:rPr>
          <w:rFonts w:cs="TimesNewRoman"/>
        </w:rPr>
        <w:t xml:space="preserve">, 2012, </w:t>
      </w:r>
      <w:r w:rsidRPr="00BB3E4A">
        <w:rPr>
          <w:rFonts w:cs="TimesNewRoman,Italic"/>
          <w:i/>
          <w:iCs/>
        </w:rPr>
        <w:t>60</w:t>
      </w:r>
      <w:r w:rsidRPr="00BB3E4A">
        <w:rPr>
          <w:rFonts w:cs="TimesNewRoman"/>
        </w:rPr>
        <w:t>:11498–11508.</w:t>
      </w:r>
    </w:p>
    <w:p w:rsidR="00377017" w:rsidRPr="00BB3E4A" w:rsidRDefault="00377017" w:rsidP="00377017">
      <w:pPr>
        <w:autoSpaceDE w:val="0"/>
        <w:autoSpaceDN w:val="0"/>
        <w:adjustRightInd w:val="0"/>
        <w:rPr>
          <w:rFonts w:ascii="TimesNewRoman" w:hAnsi="TimesNewRoman" w:cs="TimesNewRoman"/>
          <w:sz w:val="24"/>
          <w:szCs w:val="24"/>
        </w:rPr>
      </w:pPr>
    </w:p>
    <w:p w:rsidR="00377017" w:rsidRPr="00EC13FC" w:rsidRDefault="00377017" w:rsidP="00377017">
      <w:pPr>
        <w:autoSpaceDE w:val="0"/>
        <w:autoSpaceDN w:val="0"/>
        <w:adjustRightInd w:val="0"/>
        <w:rPr>
          <w:rFonts w:cs="TimesNewRoman"/>
        </w:rPr>
      </w:pPr>
      <w:r w:rsidRPr="00EC13FC">
        <w:rPr>
          <w:rFonts w:cs="TimesNewRoman"/>
        </w:rPr>
        <w:t xml:space="preserve">Law, J.R., S.R. Anderson, E.S. Jones, B. Nelson, E. </w:t>
      </w:r>
      <w:proofErr w:type="spellStart"/>
      <w:r w:rsidRPr="00EC13FC">
        <w:rPr>
          <w:rFonts w:cs="TimesNewRoman"/>
        </w:rPr>
        <w:t>Mulaosmanovic</w:t>
      </w:r>
      <w:proofErr w:type="spellEnd"/>
      <w:r w:rsidRPr="00EC13FC">
        <w:rPr>
          <w:rFonts w:cs="TimesNewRoman"/>
        </w:rPr>
        <w:t>, B. Hall, and J. S.C. Smith. 2011. Approaches to improve the determination of eligibility for plant variety protection:</w:t>
      </w:r>
      <w:r>
        <w:rPr>
          <w:rFonts w:cs="TimesNewRoman"/>
        </w:rPr>
        <w:t xml:space="preserve"> </w:t>
      </w:r>
      <w:r w:rsidRPr="00EC13FC">
        <w:rPr>
          <w:rFonts w:cs="TimesNewRoman"/>
        </w:rPr>
        <w:t xml:space="preserve">I. Evaluation of morphological characteristics. </w:t>
      </w:r>
      <w:proofErr w:type="spellStart"/>
      <w:r w:rsidRPr="00EC13FC">
        <w:rPr>
          <w:rFonts w:cs="TimesNewRoman"/>
        </w:rPr>
        <w:t>Maydica</w:t>
      </w:r>
      <w:proofErr w:type="spellEnd"/>
      <w:r w:rsidRPr="00EC13FC">
        <w:rPr>
          <w:rFonts w:cs="TimesNewRoman"/>
        </w:rPr>
        <w:t xml:space="preserve"> 56-1713.</w:t>
      </w:r>
    </w:p>
    <w:p w:rsidR="00377017" w:rsidRDefault="00377017" w:rsidP="00377017">
      <w:pPr>
        <w:autoSpaceDE w:val="0"/>
        <w:autoSpaceDN w:val="0"/>
        <w:adjustRightInd w:val="0"/>
        <w:rPr>
          <w:rFonts w:cs="TimesNewRoman"/>
        </w:rPr>
      </w:pPr>
    </w:p>
    <w:p w:rsidR="00F301E2" w:rsidRDefault="00377017">
      <w:pPr>
        <w:autoSpaceDE w:val="0"/>
        <w:autoSpaceDN w:val="0"/>
        <w:adjustRightInd w:val="0"/>
        <w:rPr>
          <w:rFonts w:cs="TimesNewRoman"/>
          <w:lang w:eastAsia="ja-JP"/>
        </w:rPr>
      </w:pPr>
      <w:proofErr w:type="gramStart"/>
      <w:r w:rsidRPr="00EC13FC">
        <w:rPr>
          <w:rFonts w:cs="TimesNewRoman"/>
        </w:rPr>
        <w:t>UPOV, 1993a.</w:t>
      </w:r>
      <w:proofErr w:type="gramEnd"/>
      <w:r w:rsidRPr="00EC13FC">
        <w:rPr>
          <w:rFonts w:cs="TimesNewRoman"/>
        </w:rPr>
        <w:t xml:space="preserve"> Report adopted by the technical committee from the 28th session, October 21-23</w:t>
      </w:r>
      <w:proofErr w:type="gramStart"/>
      <w:r w:rsidRPr="00EC13FC">
        <w:rPr>
          <w:rFonts w:cs="TimesNewRoman"/>
        </w:rPr>
        <w:t>,1992</w:t>
      </w:r>
      <w:proofErr w:type="gramEnd"/>
      <w:r w:rsidRPr="00EC13FC">
        <w:rPr>
          <w:rFonts w:cs="TimesNewRoman"/>
        </w:rPr>
        <w:t xml:space="preserve"> in Geneva. </w:t>
      </w:r>
      <w:proofErr w:type="gramStart"/>
      <w:r w:rsidRPr="00EC13FC">
        <w:rPr>
          <w:rFonts w:cs="TimesNewRoman"/>
        </w:rPr>
        <w:t>TC/28/6.</w:t>
      </w:r>
      <w:proofErr w:type="gramEnd"/>
      <w:r w:rsidRPr="00EC13FC">
        <w:rPr>
          <w:rFonts w:cs="TimesNewRoman"/>
        </w:rPr>
        <w:t xml:space="preserve"> </w:t>
      </w:r>
      <w:proofErr w:type="gramStart"/>
      <w:r w:rsidRPr="00EC13FC">
        <w:rPr>
          <w:rFonts w:cs="TimesNewRoman"/>
        </w:rPr>
        <w:t>UPOV, Geneva, Switzerland.</w:t>
      </w:r>
      <w:proofErr w:type="gramEnd"/>
      <w:r w:rsidRPr="00EC13FC">
        <w:rPr>
          <w:rFonts w:cs="TimesNewRoman"/>
        </w:rPr>
        <w:t xml:space="preserve"> </w:t>
      </w:r>
    </w:p>
    <w:p w:rsidR="00377017" w:rsidRPr="00EC13FC" w:rsidRDefault="00377017" w:rsidP="00377017">
      <w:pPr>
        <w:autoSpaceDE w:val="0"/>
        <w:autoSpaceDN w:val="0"/>
        <w:adjustRightInd w:val="0"/>
        <w:rPr>
          <w:rFonts w:cs="TimesNewRoman"/>
        </w:rPr>
      </w:pPr>
    </w:p>
    <w:p w:rsidR="00377017" w:rsidRPr="00EC13FC" w:rsidRDefault="00377017" w:rsidP="00377017">
      <w:pPr>
        <w:autoSpaceDE w:val="0"/>
        <w:autoSpaceDN w:val="0"/>
        <w:adjustRightInd w:val="0"/>
        <w:rPr>
          <w:rFonts w:cs="TimesNewRoman"/>
        </w:rPr>
      </w:pPr>
      <w:proofErr w:type="gramStart"/>
      <w:r w:rsidRPr="00EC13FC">
        <w:rPr>
          <w:rFonts w:cs="TimesNewRoman"/>
        </w:rPr>
        <w:t>UPOV, 1993b.</w:t>
      </w:r>
      <w:proofErr w:type="gramEnd"/>
      <w:r w:rsidRPr="00EC13FC">
        <w:rPr>
          <w:rFonts w:cs="TimesNewRoman"/>
        </w:rPr>
        <w:t xml:space="preserve"> Report adopted by the Working Group on Biochemical and Molecular Techniques and DNA-profiling in particular. </w:t>
      </w:r>
      <w:proofErr w:type="gramStart"/>
      <w:r w:rsidRPr="00EC13FC">
        <w:rPr>
          <w:rFonts w:cs="TimesNewRoman"/>
        </w:rPr>
        <w:t>BMT/1/4.</w:t>
      </w:r>
      <w:proofErr w:type="gramEnd"/>
      <w:r w:rsidRPr="00EC13FC">
        <w:rPr>
          <w:rFonts w:cs="TimesNewRoman"/>
        </w:rPr>
        <w:t xml:space="preserve"> </w:t>
      </w:r>
      <w:proofErr w:type="gramStart"/>
      <w:r w:rsidRPr="00EC13FC">
        <w:rPr>
          <w:rFonts w:cs="TimesNewRoman"/>
        </w:rPr>
        <w:t>UPOV, Geneva, Switzerland.</w:t>
      </w:r>
      <w:proofErr w:type="gramEnd"/>
    </w:p>
    <w:p w:rsidR="00377017" w:rsidRPr="00EC13FC" w:rsidRDefault="00377017" w:rsidP="00377017">
      <w:pPr>
        <w:autoSpaceDE w:val="0"/>
        <w:autoSpaceDN w:val="0"/>
        <w:adjustRightInd w:val="0"/>
        <w:rPr>
          <w:rFonts w:cs="TimesNewRoman"/>
        </w:rPr>
      </w:pPr>
    </w:p>
    <w:p w:rsidR="00377017" w:rsidRDefault="00377017" w:rsidP="00377017">
      <w:pPr>
        <w:autoSpaceDE w:val="0"/>
        <w:autoSpaceDN w:val="0"/>
        <w:adjustRightInd w:val="0"/>
        <w:rPr>
          <w:rFonts w:cs="TimesNewRoman"/>
        </w:rPr>
      </w:pPr>
      <w:proofErr w:type="gramStart"/>
      <w:r w:rsidRPr="00EC13FC">
        <w:rPr>
          <w:rFonts w:cs="TimesNewRoman"/>
        </w:rPr>
        <w:t>UPOV.</w:t>
      </w:r>
      <w:proofErr w:type="gramEnd"/>
      <w:r w:rsidRPr="00EC13FC">
        <w:rPr>
          <w:rFonts w:cs="TimesNewRoman"/>
        </w:rPr>
        <w:t xml:space="preserve"> 1991. International convention for the protection of new varieties of plants of December 2, 1961, as revised at Geneva on November 10, 1972, on October 23, 1978, and on March 19, 1991. UPOV, Geneva.</w:t>
      </w:r>
    </w:p>
    <w:p w:rsidR="00377017" w:rsidRDefault="00377017" w:rsidP="00377017">
      <w:pPr>
        <w:autoSpaceDE w:val="0"/>
        <w:autoSpaceDN w:val="0"/>
        <w:adjustRightInd w:val="0"/>
        <w:rPr>
          <w:rFonts w:cs="TimesNewRoman"/>
        </w:rPr>
      </w:pPr>
    </w:p>
    <w:p w:rsidR="00377017" w:rsidRPr="008C2FC0" w:rsidRDefault="00377017" w:rsidP="00377017">
      <w:pPr>
        <w:autoSpaceDE w:val="0"/>
        <w:autoSpaceDN w:val="0"/>
        <w:adjustRightInd w:val="0"/>
        <w:rPr>
          <w:rFonts w:cs="TimesNewRoman"/>
        </w:rPr>
      </w:pPr>
      <w:proofErr w:type="gramStart"/>
      <w:r w:rsidRPr="008C2FC0">
        <w:rPr>
          <w:rFonts w:cs="TimesNewRoman"/>
        </w:rPr>
        <w:lastRenderedPageBreak/>
        <w:t>UPOV.</w:t>
      </w:r>
      <w:proofErr w:type="gramEnd"/>
      <w:r w:rsidRPr="008C2FC0">
        <w:rPr>
          <w:rFonts w:cs="TimesNewRoman"/>
        </w:rPr>
        <w:t xml:space="preserve"> 2011. Possible use of molecular markers in the examination of Distinctness, Uniformity, and Stability (DUS). </w:t>
      </w:r>
      <w:proofErr w:type="gramStart"/>
      <w:r w:rsidRPr="008C2FC0">
        <w:rPr>
          <w:rFonts w:cs="TimesNewRoman"/>
        </w:rPr>
        <w:t>UPOV/INF/18//1 with 4 annexes.</w:t>
      </w:r>
      <w:proofErr w:type="gramEnd"/>
      <w:r w:rsidRPr="008C2FC0">
        <w:rPr>
          <w:rFonts w:cs="TimesNewRoman"/>
        </w:rPr>
        <w:t xml:space="preserve"> </w:t>
      </w:r>
      <w:proofErr w:type="gramStart"/>
      <w:r w:rsidRPr="008C2FC0">
        <w:rPr>
          <w:rFonts w:cs="TimesNewRoman"/>
        </w:rPr>
        <w:t>UPOV, Geneva, Switzerland.</w:t>
      </w:r>
      <w:proofErr w:type="gramEnd"/>
      <w:r w:rsidRPr="008C2FC0">
        <w:rPr>
          <w:rFonts w:cs="TimesNewRoman"/>
        </w:rPr>
        <w:t xml:space="preserve"> </w:t>
      </w:r>
      <w:proofErr w:type="gramStart"/>
      <w:r w:rsidRPr="008C2FC0">
        <w:rPr>
          <w:rFonts w:cs="TimesNewRoman"/>
        </w:rPr>
        <w:t>p. 26.</w:t>
      </w:r>
      <w:proofErr w:type="gramEnd"/>
    </w:p>
    <w:p w:rsidR="00377017" w:rsidRDefault="00377017" w:rsidP="00BC416D">
      <w:pPr>
        <w:rPr>
          <w:rFonts w:cs="Arial"/>
          <w:snapToGrid w:val="0"/>
          <w:lang w:eastAsia="ja-JP"/>
        </w:rPr>
      </w:pPr>
    </w:p>
    <w:p w:rsidR="00BC416D" w:rsidRDefault="00BC416D" w:rsidP="002067FD">
      <w:pPr>
        <w:rPr>
          <w:rFonts w:cs="Arial"/>
          <w:snapToGrid w:val="0"/>
          <w:lang w:eastAsia="ja-JP"/>
        </w:rPr>
      </w:pPr>
    </w:p>
    <w:p w:rsidR="00BC416D" w:rsidRDefault="00BC416D" w:rsidP="002067FD">
      <w:pPr>
        <w:rPr>
          <w:rFonts w:cs="Arial"/>
          <w:snapToGrid w:val="0"/>
          <w:lang w:eastAsia="ja-JP"/>
        </w:rPr>
      </w:pPr>
    </w:p>
    <w:p w:rsidR="00377017" w:rsidRDefault="00377017" w:rsidP="00377017">
      <w:proofErr w:type="gramStart"/>
      <w:r>
        <w:t>Barry Nelson</w:t>
      </w:r>
      <w:r w:rsidRPr="004B7314">
        <w:rPr>
          <w:vertAlign w:val="superscript"/>
        </w:rPr>
        <w:t>1</w:t>
      </w:r>
      <w:r>
        <w:t>, Stephen Smith</w:t>
      </w:r>
      <w:r w:rsidRPr="004B7314">
        <w:rPr>
          <w:vertAlign w:val="superscript"/>
        </w:rPr>
        <w:t>2</w:t>
      </w:r>
      <w:r>
        <w:t xml:space="preserve"> et al.</w:t>
      </w:r>
      <w:proofErr w:type="gramEnd"/>
    </w:p>
    <w:p w:rsidR="00377017" w:rsidRDefault="00377017" w:rsidP="00377017"/>
    <w:p w:rsidR="00377017" w:rsidRDefault="00377017" w:rsidP="00377017">
      <w:proofErr w:type="gramStart"/>
      <w:r w:rsidRPr="004B7314">
        <w:rPr>
          <w:vertAlign w:val="superscript"/>
        </w:rPr>
        <w:t>1</w:t>
      </w:r>
      <w:r>
        <w:t>DuPont Pioneer, Johnston, IA.</w:t>
      </w:r>
      <w:proofErr w:type="gramEnd"/>
      <w:r>
        <w:t xml:space="preserve"> USA</w:t>
      </w:r>
    </w:p>
    <w:p w:rsidR="00377017" w:rsidRDefault="00377017" w:rsidP="00377017">
      <w:proofErr w:type="gramStart"/>
      <w:r w:rsidRPr="004B7314">
        <w:rPr>
          <w:vertAlign w:val="superscript"/>
        </w:rPr>
        <w:t>2</w:t>
      </w:r>
      <w:r>
        <w:t>Seed Science Center, Iowa State University, Ames, IA.</w:t>
      </w:r>
      <w:proofErr w:type="gramEnd"/>
      <w:r>
        <w:t xml:space="preserve"> USA</w:t>
      </w:r>
    </w:p>
    <w:p w:rsidR="002067FD" w:rsidRDefault="002067FD" w:rsidP="002F6782">
      <w:pPr>
        <w:rPr>
          <w:rFonts w:cs="Arial"/>
          <w:lang w:eastAsia="ja-JP"/>
        </w:rPr>
      </w:pPr>
    </w:p>
    <w:p w:rsidR="002F6782" w:rsidRDefault="0060588D" w:rsidP="0060588D">
      <w:pPr>
        <w:jc w:val="right"/>
        <w:rPr>
          <w:rFonts w:cs="Arial"/>
          <w:lang w:eastAsia="ja-JP"/>
        </w:rPr>
      </w:pPr>
      <w:r>
        <w:rPr>
          <w:rFonts w:cs="Arial" w:hint="eastAsia"/>
          <w:lang w:eastAsia="ja-JP"/>
        </w:rPr>
        <w:t>[End of document]</w:t>
      </w:r>
    </w:p>
    <w:sectPr w:rsidR="002F6782" w:rsidSect="0060588D">
      <w:headerReference w:type="default" r:id="rId16"/>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FD" w:rsidRDefault="002067FD" w:rsidP="006655D3">
      <w:r>
        <w:separator/>
      </w:r>
    </w:p>
    <w:p w:rsidR="002067FD" w:rsidRDefault="002067FD" w:rsidP="006655D3"/>
    <w:p w:rsidR="002067FD" w:rsidRDefault="002067FD" w:rsidP="006655D3"/>
  </w:endnote>
  <w:endnote w:type="continuationSeparator" w:id="0">
    <w:p w:rsidR="002067FD" w:rsidRDefault="002067FD" w:rsidP="006655D3">
      <w:r>
        <w:separator/>
      </w:r>
    </w:p>
    <w:p w:rsidR="002067FD" w:rsidRPr="008B409A" w:rsidRDefault="002067FD">
      <w:pPr>
        <w:pStyle w:val="Footer"/>
        <w:spacing w:after="60"/>
        <w:rPr>
          <w:sz w:val="18"/>
          <w:lang w:val="fr-CH"/>
        </w:rPr>
      </w:pPr>
      <w:r w:rsidRPr="008B409A">
        <w:rPr>
          <w:sz w:val="18"/>
          <w:lang w:val="fr-CH"/>
        </w:rPr>
        <w:t>[Suite de la note de la page précédente]</w:t>
      </w:r>
    </w:p>
    <w:p w:rsidR="002067FD" w:rsidRPr="008B409A" w:rsidRDefault="002067FD" w:rsidP="006655D3">
      <w:pPr>
        <w:rPr>
          <w:lang w:val="fr-CH"/>
        </w:rPr>
      </w:pPr>
    </w:p>
    <w:p w:rsidR="002067FD" w:rsidRPr="008B409A" w:rsidRDefault="002067FD" w:rsidP="006655D3">
      <w:pPr>
        <w:rPr>
          <w:lang w:val="fr-CH"/>
        </w:rPr>
      </w:pPr>
    </w:p>
  </w:endnote>
  <w:endnote w:type="continuationNotice" w:id="1">
    <w:p w:rsidR="002067FD" w:rsidRPr="008B409A" w:rsidRDefault="002067FD" w:rsidP="006655D3">
      <w:pPr>
        <w:rPr>
          <w:lang w:val="fr-CH"/>
        </w:rPr>
      </w:pPr>
      <w:r w:rsidRPr="008B409A">
        <w:rPr>
          <w:lang w:val="fr-CH"/>
        </w:rPr>
        <w:t>[Suite de la note page suivante]</w:t>
      </w:r>
    </w:p>
    <w:p w:rsidR="002067FD" w:rsidRPr="008B409A" w:rsidRDefault="002067FD" w:rsidP="006655D3">
      <w:pPr>
        <w:rPr>
          <w:lang w:val="fr-CH"/>
        </w:rPr>
      </w:pPr>
    </w:p>
    <w:p w:rsidR="002067FD" w:rsidRPr="008B409A" w:rsidRDefault="002067F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FD" w:rsidRDefault="002067FD" w:rsidP="006655D3">
      <w:r>
        <w:separator/>
      </w:r>
    </w:p>
  </w:footnote>
  <w:footnote w:type="continuationSeparator" w:id="0">
    <w:p w:rsidR="002067FD" w:rsidRDefault="002067FD" w:rsidP="006655D3">
      <w:r>
        <w:separator/>
      </w:r>
    </w:p>
  </w:footnote>
  <w:footnote w:type="continuationNotice" w:id="1">
    <w:p w:rsidR="002067FD" w:rsidRPr="00AB530F" w:rsidRDefault="002067F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FD" w:rsidRPr="00832298" w:rsidRDefault="002067FD" w:rsidP="00832298">
    <w:pPr>
      <w:pStyle w:val="Header"/>
      <w:rPr>
        <w:lang w:eastAsia="ja-JP"/>
      </w:rPr>
    </w:pPr>
    <w:r>
      <w:t>BMT/1</w:t>
    </w:r>
    <w:r>
      <w:rPr>
        <w:rFonts w:hint="eastAsia"/>
        <w:lang w:eastAsia="ja-JP"/>
      </w:rPr>
      <w:t>5</w:t>
    </w:r>
    <w:r w:rsidRPr="00832298">
      <w:t>/</w:t>
    </w:r>
    <w:r w:rsidR="00BC416D">
      <w:rPr>
        <w:rFonts w:hint="eastAsia"/>
        <w:lang w:eastAsia="ja-JP"/>
      </w:rPr>
      <w:t>1</w:t>
    </w:r>
    <w:r w:rsidR="004120B8">
      <w:rPr>
        <w:rFonts w:hint="eastAsia"/>
        <w:lang w:eastAsia="ja-JP"/>
      </w:rPr>
      <w:t>4</w:t>
    </w:r>
  </w:p>
  <w:p w:rsidR="002067FD" w:rsidRPr="00C5280D" w:rsidRDefault="002067FD"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92796">
      <w:rPr>
        <w:noProof/>
      </w:rPr>
      <w:t>2</w:t>
    </w:r>
    <w:r w:rsidRPr="00832298">
      <w:fldChar w:fldCharType="end"/>
    </w:r>
  </w:p>
  <w:p w:rsidR="002067FD" w:rsidRPr="00C5280D" w:rsidRDefault="002067FD" w:rsidP="00832298">
    <w:pPr>
      <w:pStyle w:val="Header"/>
    </w:pPr>
  </w:p>
  <w:p w:rsidR="002067FD" w:rsidRDefault="002067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62C27FF"/>
    <w:multiLevelType w:val="hybridMultilevel"/>
    <w:tmpl w:val="5686DCA4"/>
    <w:lvl w:ilvl="0" w:tplc="90BAC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C561C"/>
    <w:multiLevelType w:val="hybridMultilevel"/>
    <w:tmpl w:val="6F9C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2248A"/>
    <w:multiLevelType w:val="hybridMultilevel"/>
    <w:tmpl w:val="61F45FF0"/>
    <w:lvl w:ilvl="0" w:tplc="D99E4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3420D8"/>
    <w:multiLevelType w:val="hybridMultilevel"/>
    <w:tmpl w:val="EE14009E"/>
    <w:lvl w:ilvl="0" w:tplc="E488C0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851C7"/>
    <w:multiLevelType w:val="hybridMultilevel"/>
    <w:tmpl w:val="EBBA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50F85"/>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25D88"/>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475B93"/>
    <w:multiLevelType w:val="hybridMultilevel"/>
    <w:tmpl w:val="A9800C10"/>
    <w:lvl w:ilvl="0" w:tplc="B862F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7"/>
  </w:num>
  <w:num w:numId="14">
    <w:abstractNumId w:val="15"/>
  </w:num>
  <w:num w:numId="15">
    <w:abstractNumId w:val="10"/>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C9"/>
    <w:rsid w:val="00010CF3"/>
    <w:rsid w:val="00011E27"/>
    <w:rsid w:val="000148BC"/>
    <w:rsid w:val="00024AB8"/>
    <w:rsid w:val="00030854"/>
    <w:rsid w:val="00036028"/>
    <w:rsid w:val="00044642"/>
    <w:rsid w:val="000446B9"/>
    <w:rsid w:val="00047E21"/>
    <w:rsid w:val="000720DA"/>
    <w:rsid w:val="00085505"/>
    <w:rsid w:val="000909D3"/>
    <w:rsid w:val="00091A90"/>
    <w:rsid w:val="000A73BF"/>
    <w:rsid w:val="000C4C93"/>
    <w:rsid w:val="000C7021"/>
    <w:rsid w:val="000D6BBC"/>
    <w:rsid w:val="000D7780"/>
    <w:rsid w:val="000E5D27"/>
    <w:rsid w:val="00105929"/>
    <w:rsid w:val="00106E5B"/>
    <w:rsid w:val="001131D5"/>
    <w:rsid w:val="001322D2"/>
    <w:rsid w:val="00141DB8"/>
    <w:rsid w:val="001421C9"/>
    <w:rsid w:val="0017474A"/>
    <w:rsid w:val="001758C6"/>
    <w:rsid w:val="00182B99"/>
    <w:rsid w:val="0018780B"/>
    <w:rsid w:val="00195F91"/>
    <w:rsid w:val="001D0675"/>
    <w:rsid w:val="002067FD"/>
    <w:rsid w:val="0021332C"/>
    <w:rsid w:val="00213982"/>
    <w:rsid w:val="002234E1"/>
    <w:rsid w:val="0024416D"/>
    <w:rsid w:val="00244CD5"/>
    <w:rsid w:val="002800A0"/>
    <w:rsid w:val="002801B3"/>
    <w:rsid w:val="00281060"/>
    <w:rsid w:val="002940E8"/>
    <w:rsid w:val="002A6E50"/>
    <w:rsid w:val="002C256A"/>
    <w:rsid w:val="002F6782"/>
    <w:rsid w:val="00305A7F"/>
    <w:rsid w:val="00305C81"/>
    <w:rsid w:val="003152FE"/>
    <w:rsid w:val="0032500D"/>
    <w:rsid w:val="00327436"/>
    <w:rsid w:val="00330F82"/>
    <w:rsid w:val="0034055F"/>
    <w:rsid w:val="00344BD6"/>
    <w:rsid w:val="0035528D"/>
    <w:rsid w:val="00361821"/>
    <w:rsid w:val="00376240"/>
    <w:rsid w:val="00377017"/>
    <w:rsid w:val="003B3894"/>
    <w:rsid w:val="003C62C9"/>
    <w:rsid w:val="003D227C"/>
    <w:rsid w:val="003D2B4D"/>
    <w:rsid w:val="003E798B"/>
    <w:rsid w:val="004120B8"/>
    <w:rsid w:val="00444A88"/>
    <w:rsid w:val="004700D3"/>
    <w:rsid w:val="00474DA4"/>
    <w:rsid w:val="00476B4D"/>
    <w:rsid w:val="004805FA"/>
    <w:rsid w:val="00493C74"/>
    <w:rsid w:val="004A57EB"/>
    <w:rsid w:val="004C4135"/>
    <w:rsid w:val="004C501B"/>
    <w:rsid w:val="004D047D"/>
    <w:rsid w:val="004F305A"/>
    <w:rsid w:val="00512164"/>
    <w:rsid w:val="00520297"/>
    <w:rsid w:val="00522B83"/>
    <w:rsid w:val="005338F9"/>
    <w:rsid w:val="0054281C"/>
    <w:rsid w:val="0055268D"/>
    <w:rsid w:val="00576BE4"/>
    <w:rsid w:val="0057736E"/>
    <w:rsid w:val="005A400A"/>
    <w:rsid w:val="005E33EF"/>
    <w:rsid w:val="005E5B0F"/>
    <w:rsid w:val="00600871"/>
    <w:rsid w:val="006038D1"/>
    <w:rsid w:val="0060588D"/>
    <w:rsid w:val="00607497"/>
    <w:rsid w:val="00612379"/>
    <w:rsid w:val="0061555F"/>
    <w:rsid w:val="0062421C"/>
    <w:rsid w:val="00624A6C"/>
    <w:rsid w:val="00641200"/>
    <w:rsid w:val="006655D3"/>
    <w:rsid w:val="00667404"/>
    <w:rsid w:val="00673406"/>
    <w:rsid w:val="00677F7B"/>
    <w:rsid w:val="00685222"/>
    <w:rsid w:val="00685E8B"/>
    <w:rsid w:val="00687EB4"/>
    <w:rsid w:val="006B17D2"/>
    <w:rsid w:val="006C224E"/>
    <w:rsid w:val="006D780A"/>
    <w:rsid w:val="006E1436"/>
    <w:rsid w:val="006E1CF5"/>
    <w:rsid w:val="00706B08"/>
    <w:rsid w:val="00732DEC"/>
    <w:rsid w:val="00735BD5"/>
    <w:rsid w:val="007556F6"/>
    <w:rsid w:val="00760EEF"/>
    <w:rsid w:val="00765650"/>
    <w:rsid w:val="0076709A"/>
    <w:rsid w:val="00776F76"/>
    <w:rsid w:val="00777EE5"/>
    <w:rsid w:val="00784836"/>
    <w:rsid w:val="0079023E"/>
    <w:rsid w:val="007A2854"/>
    <w:rsid w:val="007B2F0F"/>
    <w:rsid w:val="007B7A8F"/>
    <w:rsid w:val="007D04BA"/>
    <w:rsid w:val="007D0B9D"/>
    <w:rsid w:val="007D19B0"/>
    <w:rsid w:val="007F498F"/>
    <w:rsid w:val="0080679D"/>
    <w:rsid w:val="008108B0"/>
    <w:rsid w:val="00811B20"/>
    <w:rsid w:val="0082296E"/>
    <w:rsid w:val="00824099"/>
    <w:rsid w:val="00832298"/>
    <w:rsid w:val="00850DC5"/>
    <w:rsid w:val="00867AC1"/>
    <w:rsid w:val="00876C58"/>
    <w:rsid w:val="008A743F"/>
    <w:rsid w:val="008B409A"/>
    <w:rsid w:val="008C0970"/>
    <w:rsid w:val="008D2CF7"/>
    <w:rsid w:val="008F3E4B"/>
    <w:rsid w:val="00900C26"/>
    <w:rsid w:val="0090197F"/>
    <w:rsid w:val="00903656"/>
    <w:rsid w:val="00906DDC"/>
    <w:rsid w:val="00913D5A"/>
    <w:rsid w:val="00926972"/>
    <w:rsid w:val="00932BD9"/>
    <w:rsid w:val="00934E09"/>
    <w:rsid w:val="00935CD0"/>
    <w:rsid w:val="00936253"/>
    <w:rsid w:val="00941721"/>
    <w:rsid w:val="0095010A"/>
    <w:rsid w:val="009527F9"/>
    <w:rsid w:val="00952DD4"/>
    <w:rsid w:val="009537B8"/>
    <w:rsid w:val="00970FED"/>
    <w:rsid w:val="00997029"/>
    <w:rsid w:val="009D690D"/>
    <w:rsid w:val="009E65B6"/>
    <w:rsid w:val="00A01236"/>
    <w:rsid w:val="00A20080"/>
    <w:rsid w:val="00A24C10"/>
    <w:rsid w:val="00A42AC3"/>
    <w:rsid w:val="00A430CF"/>
    <w:rsid w:val="00A54309"/>
    <w:rsid w:val="00AB2B93"/>
    <w:rsid w:val="00AB530F"/>
    <w:rsid w:val="00AB7E5B"/>
    <w:rsid w:val="00AE0EF1"/>
    <w:rsid w:val="00AE2937"/>
    <w:rsid w:val="00AE5B25"/>
    <w:rsid w:val="00B07301"/>
    <w:rsid w:val="00B12358"/>
    <w:rsid w:val="00B224DE"/>
    <w:rsid w:val="00B46575"/>
    <w:rsid w:val="00B71046"/>
    <w:rsid w:val="00B71144"/>
    <w:rsid w:val="00B84BBD"/>
    <w:rsid w:val="00BA43FB"/>
    <w:rsid w:val="00BB0967"/>
    <w:rsid w:val="00BC127D"/>
    <w:rsid w:val="00BC1FE6"/>
    <w:rsid w:val="00BC416D"/>
    <w:rsid w:val="00BD4150"/>
    <w:rsid w:val="00C0432C"/>
    <w:rsid w:val="00C061B6"/>
    <w:rsid w:val="00C2446C"/>
    <w:rsid w:val="00C36AE5"/>
    <w:rsid w:val="00C41F17"/>
    <w:rsid w:val="00C5280D"/>
    <w:rsid w:val="00C5791C"/>
    <w:rsid w:val="00C66290"/>
    <w:rsid w:val="00C72B7A"/>
    <w:rsid w:val="00C973F2"/>
    <w:rsid w:val="00CA304C"/>
    <w:rsid w:val="00CA3B33"/>
    <w:rsid w:val="00CA774A"/>
    <w:rsid w:val="00CC11B0"/>
    <w:rsid w:val="00CE0447"/>
    <w:rsid w:val="00CE05C2"/>
    <w:rsid w:val="00CF3A11"/>
    <w:rsid w:val="00CF7E36"/>
    <w:rsid w:val="00D3708D"/>
    <w:rsid w:val="00D37A4C"/>
    <w:rsid w:val="00D40426"/>
    <w:rsid w:val="00D53216"/>
    <w:rsid w:val="00D57C96"/>
    <w:rsid w:val="00D72B5F"/>
    <w:rsid w:val="00D81BAA"/>
    <w:rsid w:val="00D82D2E"/>
    <w:rsid w:val="00D91203"/>
    <w:rsid w:val="00D95174"/>
    <w:rsid w:val="00DA6F36"/>
    <w:rsid w:val="00DB596E"/>
    <w:rsid w:val="00DB7773"/>
    <w:rsid w:val="00DC00EA"/>
    <w:rsid w:val="00DF377B"/>
    <w:rsid w:val="00DF474C"/>
    <w:rsid w:val="00E238E3"/>
    <w:rsid w:val="00E32F7E"/>
    <w:rsid w:val="00E72D49"/>
    <w:rsid w:val="00E7593C"/>
    <w:rsid w:val="00E7678A"/>
    <w:rsid w:val="00E863E5"/>
    <w:rsid w:val="00E935F1"/>
    <w:rsid w:val="00E94A81"/>
    <w:rsid w:val="00EA1FFB"/>
    <w:rsid w:val="00EB048E"/>
    <w:rsid w:val="00EC2566"/>
    <w:rsid w:val="00EE34DF"/>
    <w:rsid w:val="00EE4A5A"/>
    <w:rsid w:val="00EF2F89"/>
    <w:rsid w:val="00F1237A"/>
    <w:rsid w:val="00F22CBD"/>
    <w:rsid w:val="00F301E2"/>
    <w:rsid w:val="00F42BBA"/>
    <w:rsid w:val="00F45372"/>
    <w:rsid w:val="00F560F7"/>
    <w:rsid w:val="00F6334D"/>
    <w:rsid w:val="00F92796"/>
    <w:rsid w:val="00FA49AB"/>
    <w:rsid w:val="00FD4EE1"/>
    <w:rsid w:val="00FD54E2"/>
    <w:rsid w:val="00FE39C7"/>
    <w:rsid w:val="00FE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uiPriority w:val="99"/>
    <w:rsid w:val="008B409A"/>
    <w:rPr>
      <w:rFonts w:ascii="Tahoma" w:hAnsi="Tahoma" w:cs="Tahoma"/>
      <w:sz w:val="16"/>
      <w:szCs w:val="16"/>
    </w:rPr>
  </w:style>
  <w:style w:type="character" w:customStyle="1" w:styleId="BalloonTextChar">
    <w:name w:val="Balloon Text Char"/>
    <w:basedOn w:val="DefaultParagraphFont"/>
    <w:link w:val="BalloonText"/>
    <w:uiPriority w:val="99"/>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CA3B33"/>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paragraph" w:customStyle="1" w:styleId="Default">
    <w:name w:val="Default"/>
    <w:rsid w:val="006038D1"/>
    <w:pPr>
      <w:autoSpaceDE w:val="0"/>
      <w:autoSpaceDN w:val="0"/>
      <w:adjustRightInd w:val="0"/>
    </w:pPr>
    <w:rPr>
      <w:rFonts w:ascii="Arial" w:eastAsia="Times New Roman" w:hAnsi="Arial" w:cs="Arial"/>
      <w:color w:val="000000"/>
      <w:sz w:val="24"/>
      <w:szCs w:val="24"/>
      <w:lang w:bidi="fa-IR"/>
    </w:rPr>
  </w:style>
  <w:style w:type="character" w:customStyle="1" w:styleId="apple-converted-space">
    <w:name w:val="apple-converted-space"/>
    <w:basedOn w:val="DefaultParagraphFont"/>
    <w:rsid w:val="006038D1"/>
  </w:style>
  <w:style w:type="character" w:styleId="Strong">
    <w:name w:val="Strong"/>
    <w:basedOn w:val="DefaultParagraphFont"/>
    <w:uiPriority w:val="22"/>
    <w:qFormat/>
    <w:rsid w:val="00BC41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uiPriority w:val="99"/>
    <w:rsid w:val="008B409A"/>
    <w:rPr>
      <w:rFonts w:ascii="Tahoma" w:hAnsi="Tahoma" w:cs="Tahoma"/>
      <w:sz w:val="16"/>
      <w:szCs w:val="16"/>
    </w:rPr>
  </w:style>
  <w:style w:type="character" w:customStyle="1" w:styleId="BalloonTextChar">
    <w:name w:val="Balloon Text Char"/>
    <w:basedOn w:val="DefaultParagraphFont"/>
    <w:link w:val="BalloonText"/>
    <w:uiPriority w:val="99"/>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CA3B33"/>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paragraph" w:customStyle="1" w:styleId="Default">
    <w:name w:val="Default"/>
    <w:rsid w:val="006038D1"/>
    <w:pPr>
      <w:autoSpaceDE w:val="0"/>
      <w:autoSpaceDN w:val="0"/>
      <w:adjustRightInd w:val="0"/>
    </w:pPr>
    <w:rPr>
      <w:rFonts w:ascii="Arial" w:eastAsia="Times New Roman" w:hAnsi="Arial" w:cs="Arial"/>
      <w:color w:val="000000"/>
      <w:sz w:val="24"/>
      <w:szCs w:val="24"/>
      <w:lang w:bidi="fa-IR"/>
    </w:rPr>
  </w:style>
  <w:style w:type="character" w:customStyle="1" w:styleId="apple-converted-space">
    <w:name w:val="apple-converted-space"/>
    <w:basedOn w:val="DefaultParagraphFont"/>
    <w:rsid w:val="006038D1"/>
  </w:style>
  <w:style w:type="character" w:styleId="Strong">
    <w:name w:val="Strong"/>
    <w:basedOn w:val="DefaultParagraphFont"/>
    <w:uiPriority w:val="22"/>
    <w:qFormat/>
    <w:rsid w:val="00BC4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8829-6BB5-45A7-A42D-05E52E3B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bmt_14</Template>
  <TotalTime>9</TotalTime>
  <Pages>8</Pages>
  <Words>1768</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BERGER Fanny</cp:lastModifiedBy>
  <cp:revision>3</cp:revision>
  <cp:lastPrinted>2016-05-18T06:40:00Z</cp:lastPrinted>
  <dcterms:created xsi:type="dcterms:W3CDTF">2016-05-17T10:40:00Z</dcterms:created>
  <dcterms:modified xsi:type="dcterms:W3CDTF">2016-05-18T06:48:00Z</dcterms:modified>
</cp:coreProperties>
</file>