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C25BD" w:rsidTr="00E67C40">
        <w:trPr>
          <w:trHeight w:val="1760"/>
        </w:trPr>
        <w:tc>
          <w:tcPr>
            <w:tcW w:w="4243" w:type="dxa"/>
          </w:tcPr>
          <w:p w:rsidR="000D7780" w:rsidRPr="007C25BD" w:rsidRDefault="000D7780" w:rsidP="006655D3"/>
        </w:tc>
        <w:tc>
          <w:tcPr>
            <w:tcW w:w="1646" w:type="dxa"/>
            <w:vAlign w:val="center"/>
          </w:tcPr>
          <w:p w:rsidR="000D7780" w:rsidRPr="007C25BD" w:rsidRDefault="00A03648" w:rsidP="006655D3">
            <w:pPr>
              <w:pStyle w:val="LogoUPOV"/>
            </w:pPr>
            <w:r>
              <w:rPr>
                <w:noProof/>
              </w:rPr>
              <w:drawing>
                <wp:inline distT="0" distB="0" distL="0" distR="0" wp14:anchorId="2AAF30FF" wp14:editId="1DF7694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C25BD" w:rsidRDefault="0024416D" w:rsidP="006655D3">
            <w:pPr>
              <w:pStyle w:val="Lettrine"/>
            </w:pPr>
            <w:r w:rsidRPr="007C25BD">
              <w:t>E</w:t>
            </w:r>
          </w:p>
          <w:p w:rsidR="000D7780" w:rsidRPr="007C25BD" w:rsidRDefault="005B680C" w:rsidP="006655D3">
            <w:pPr>
              <w:pStyle w:val="Docoriginal"/>
            </w:pPr>
            <w:r>
              <w:rPr>
                <w:rFonts w:hint="eastAsia"/>
                <w:lang w:eastAsia="ja-JP"/>
              </w:rPr>
              <w:t>BMT</w:t>
            </w:r>
            <w:r>
              <w:t>/</w:t>
            </w:r>
            <w:r>
              <w:rPr>
                <w:rFonts w:hint="eastAsia"/>
                <w:lang w:eastAsia="ja-JP"/>
              </w:rPr>
              <w:t>14</w:t>
            </w:r>
            <w:r w:rsidR="00667404" w:rsidRPr="007C25BD">
              <w:t>/</w:t>
            </w:r>
            <w:bookmarkStart w:id="0" w:name="Code"/>
            <w:bookmarkEnd w:id="0"/>
            <w:r w:rsidR="00E67C40">
              <w:t>2</w:t>
            </w:r>
          </w:p>
          <w:p w:rsidR="000D7780" w:rsidRPr="007C25BD" w:rsidRDefault="0061555F" w:rsidP="006655D3">
            <w:pPr>
              <w:pStyle w:val="Docoriginal"/>
              <w:rPr>
                <w:b w:val="0"/>
                <w:spacing w:val="0"/>
              </w:rPr>
            </w:pPr>
            <w:r w:rsidRPr="007C25BD">
              <w:rPr>
                <w:rStyle w:val="StyleDoclangBold"/>
                <w:b/>
                <w:bCs/>
                <w:spacing w:val="0"/>
              </w:rPr>
              <w:t>ORIGINAL</w:t>
            </w:r>
            <w:r w:rsidR="000D7780" w:rsidRPr="007C25BD">
              <w:rPr>
                <w:rStyle w:val="StyleDoclangBold"/>
                <w:b/>
                <w:bCs/>
                <w:spacing w:val="0"/>
              </w:rPr>
              <w:t>:</w:t>
            </w:r>
            <w:r w:rsidRPr="007C25BD">
              <w:rPr>
                <w:rStyle w:val="StyleDocoriginalNotBold1"/>
                <w:spacing w:val="0"/>
              </w:rPr>
              <w:t xml:space="preserve"> </w:t>
            </w:r>
            <w:r w:rsidR="000D7780" w:rsidRPr="007C25BD">
              <w:rPr>
                <w:spacing w:val="0"/>
              </w:rPr>
              <w:t xml:space="preserve"> </w:t>
            </w:r>
            <w:bookmarkStart w:id="1" w:name="Original"/>
            <w:bookmarkEnd w:id="1"/>
            <w:r w:rsidR="0024416D" w:rsidRPr="007C25BD">
              <w:rPr>
                <w:b w:val="0"/>
                <w:spacing w:val="0"/>
              </w:rPr>
              <w:t>English</w:t>
            </w:r>
          </w:p>
          <w:p w:rsidR="000D7780" w:rsidRPr="007C25BD" w:rsidRDefault="000D7780" w:rsidP="00374A83">
            <w:pPr>
              <w:pStyle w:val="Docoriginal"/>
            </w:pPr>
            <w:r w:rsidRPr="007C25BD">
              <w:rPr>
                <w:spacing w:val="0"/>
              </w:rPr>
              <w:t>DATE:</w:t>
            </w:r>
            <w:r w:rsidR="0061555F" w:rsidRPr="007C25BD">
              <w:rPr>
                <w:spacing w:val="0"/>
              </w:rPr>
              <w:t xml:space="preserve"> </w:t>
            </w:r>
            <w:bookmarkStart w:id="2" w:name="Date"/>
            <w:bookmarkEnd w:id="2"/>
            <w:r w:rsidR="001A7767">
              <w:rPr>
                <w:rStyle w:val="StyleDocoriginalNotBold1"/>
                <w:rFonts w:hint="eastAsia"/>
                <w:spacing w:val="0"/>
                <w:lang w:eastAsia="ja-JP"/>
              </w:rPr>
              <w:t>September</w:t>
            </w:r>
            <w:r w:rsidR="005C5272" w:rsidRPr="00166F0F">
              <w:rPr>
                <w:b w:val="0"/>
                <w:spacing w:val="0"/>
              </w:rPr>
              <w:t xml:space="preserve"> </w:t>
            </w:r>
            <w:r w:rsidR="00374A83">
              <w:rPr>
                <w:b w:val="0"/>
                <w:spacing w:val="0"/>
                <w:lang w:eastAsia="ja-JP"/>
              </w:rPr>
              <w:t>28</w:t>
            </w:r>
            <w:r w:rsidR="0024416D" w:rsidRPr="00166F0F">
              <w:rPr>
                <w:b w:val="0"/>
                <w:spacing w:val="0"/>
              </w:rPr>
              <w:t xml:space="preserve">, </w:t>
            </w:r>
            <w:r w:rsidR="001131D5" w:rsidRPr="00166F0F">
              <w:rPr>
                <w:b w:val="0"/>
                <w:spacing w:val="0"/>
              </w:rPr>
              <w:t>201</w:t>
            </w:r>
            <w:r w:rsidR="00050E16" w:rsidRPr="00166F0F">
              <w:rPr>
                <w:b w:val="0"/>
                <w:spacing w:val="0"/>
              </w:rPr>
              <w:t>4</w:t>
            </w:r>
          </w:p>
        </w:tc>
      </w:tr>
      <w:tr w:rsidR="000D7780" w:rsidRPr="007C25BD" w:rsidTr="00E67C40">
        <w:tc>
          <w:tcPr>
            <w:tcW w:w="10131" w:type="dxa"/>
            <w:gridSpan w:val="3"/>
          </w:tcPr>
          <w:p w:rsidR="000D7780" w:rsidRPr="007C25BD" w:rsidRDefault="0024416D" w:rsidP="006655D3">
            <w:pPr>
              <w:pStyle w:val="upove"/>
              <w:rPr>
                <w:sz w:val="28"/>
              </w:rPr>
            </w:pPr>
            <w:r w:rsidRPr="007C25BD">
              <w:rPr>
                <w:snapToGrid w:val="0"/>
              </w:rPr>
              <w:t xml:space="preserve">INTERNATIONAL UNION FOR THE PROTECTION OF NEW VARIETIES OF PLANTS </w:t>
            </w:r>
          </w:p>
        </w:tc>
      </w:tr>
      <w:tr w:rsidR="000D7780" w:rsidRPr="007C25BD" w:rsidTr="00E67C40">
        <w:tc>
          <w:tcPr>
            <w:tcW w:w="10131" w:type="dxa"/>
            <w:gridSpan w:val="3"/>
          </w:tcPr>
          <w:p w:rsidR="000D7780" w:rsidRPr="007C25BD" w:rsidRDefault="00867AC1" w:rsidP="006655D3">
            <w:pPr>
              <w:pStyle w:val="Country"/>
            </w:pPr>
            <w:r w:rsidRPr="007C25BD">
              <w:t>Gen</w:t>
            </w:r>
            <w:r w:rsidR="0061555F" w:rsidRPr="007C25BD">
              <w:t>e</w:t>
            </w:r>
            <w:r w:rsidRPr="007C25BD">
              <w:t>v</w:t>
            </w:r>
            <w:r w:rsidR="0061555F" w:rsidRPr="007C25BD">
              <w:t>a</w:t>
            </w:r>
          </w:p>
        </w:tc>
      </w:tr>
    </w:tbl>
    <w:p w:rsidR="005B680C" w:rsidRDefault="00071060" w:rsidP="005B680C">
      <w:pPr>
        <w:pStyle w:val="Sessiontcplacedate"/>
        <w:rPr>
          <w:lang w:eastAsia="ja-JP"/>
        </w:rPr>
      </w:pPr>
      <w:bookmarkStart w:id="3" w:name="TitleOfDoc"/>
      <w:bookmarkEnd w:id="3"/>
      <w:r>
        <w:t xml:space="preserve">WORKING </w:t>
      </w:r>
      <w:r w:rsidR="005B680C">
        <w:rPr>
          <w:rFonts w:hint="eastAsia"/>
          <w:lang w:eastAsia="ja-JP"/>
        </w:rPr>
        <w:t>GROUP ON BIOCHEMICAL AND MOLECULAR</w:t>
      </w:r>
    </w:p>
    <w:p w:rsidR="001537DF" w:rsidRDefault="005B680C" w:rsidP="005B680C">
      <w:pPr>
        <w:pStyle w:val="Sessiontcplacedate"/>
        <w:spacing w:before="0"/>
      </w:pPr>
      <w:r>
        <w:rPr>
          <w:rFonts w:hint="eastAsia"/>
          <w:lang w:eastAsia="ja-JP"/>
        </w:rPr>
        <w:t>TECHNIQUES AND DNA PROFILING IN PARTICULAR</w:t>
      </w:r>
    </w:p>
    <w:p w:rsidR="00E67C40" w:rsidRDefault="005B680C" w:rsidP="00E67C40">
      <w:pPr>
        <w:pStyle w:val="Sessiontcplacedate"/>
      </w:pPr>
      <w:r>
        <w:rPr>
          <w:rFonts w:hint="eastAsia"/>
          <w:lang w:eastAsia="ja-JP"/>
        </w:rPr>
        <w:t>Fourteenth</w:t>
      </w:r>
      <w:r w:rsidR="00E67C40" w:rsidRPr="00C5280D">
        <w:t xml:space="preserve"> Session</w:t>
      </w:r>
    </w:p>
    <w:p w:rsidR="00E67C40" w:rsidRPr="00C5280D" w:rsidRDefault="005B680C" w:rsidP="00E67C40">
      <w:pPr>
        <w:pStyle w:val="Sessiontcplacedate"/>
      </w:pPr>
      <w:r>
        <w:rPr>
          <w:rFonts w:hint="eastAsia"/>
          <w:lang w:eastAsia="ja-JP"/>
        </w:rPr>
        <w:t>Seoul</w:t>
      </w:r>
      <w:r w:rsidR="00E67C40" w:rsidRPr="009B2506">
        <w:t xml:space="preserve">, </w:t>
      </w:r>
      <w:r>
        <w:rPr>
          <w:rFonts w:hint="eastAsia"/>
          <w:lang w:eastAsia="ja-JP"/>
        </w:rPr>
        <w:t>Republic of Korea</w:t>
      </w:r>
      <w:r w:rsidR="001A7767">
        <w:t xml:space="preserve">, </w:t>
      </w:r>
      <w:r>
        <w:rPr>
          <w:rFonts w:hint="eastAsia"/>
          <w:lang w:eastAsia="ja-JP"/>
        </w:rPr>
        <w:t>November</w:t>
      </w:r>
      <w:r w:rsidR="00C314EA">
        <w:t xml:space="preserve"> </w:t>
      </w:r>
      <w:r w:rsidR="00524762">
        <w:rPr>
          <w:rFonts w:hint="eastAsia"/>
          <w:lang w:eastAsia="ja-JP"/>
        </w:rPr>
        <w:t>10</w:t>
      </w:r>
      <w:r w:rsidR="00524762">
        <w:t xml:space="preserve"> to </w:t>
      </w:r>
      <w:r w:rsidR="00524762">
        <w:rPr>
          <w:rFonts w:hint="eastAsia"/>
          <w:lang w:eastAsia="ja-JP"/>
        </w:rPr>
        <w:t>13</w:t>
      </w:r>
      <w:r w:rsidR="00E67C40" w:rsidRPr="009B2506">
        <w:t>, 2014</w:t>
      </w:r>
    </w:p>
    <w:p w:rsidR="00524762" w:rsidRPr="004E4887" w:rsidRDefault="00524762" w:rsidP="00524762">
      <w:pPr>
        <w:pStyle w:val="TitleofDoc"/>
        <w:spacing w:before="600"/>
      </w:pPr>
      <w:r w:rsidRPr="004E4887">
        <w:t>Reports on developments in UPOV concerning biochemical and molecular techniques</w:t>
      </w:r>
    </w:p>
    <w:p w:rsidR="00524762" w:rsidRDefault="00524762" w:rsidP="00524762">
      <w:pPr>
        <w:pStyle w:val="preparedby1"/>
        <w:spacing w:before="0" w:after="360"/>
        <w:rPr>
          <w:lang w:eastAsia="ja-JP"/>
        </w:rPr>
      </w:pPr>
      <w:bookmarkStart w:id="4" w:name="Prepared"/>
      <w:bookmarkEnd w:id="4"/>
    </w:p>
    <w:p w:rsidR="00050E16" w:rsidRPr="007C25BD" w:rsidRDefault="00AE0EF1" w:rsidP="00524762">
      <w:pPr>
        <w:pStyle w:val="preparedby1"/>
        <w:spacing w:before="0" w:after="480"/>
      </w:pPr>
      <w:r w:rsidRPr="007C25BD">
        <w:t xml:space="preserve">Document </w:t>
      </w:r>
      <w:r w:rsidR="0061555F" w:rsidRPr="007C25BD">
        <w:t>prepared by the Office of the Union</w:t>
      </w:r>
      <w:r w:rsidR="00050E16" w:rsidRPr="007C25BD">
        <w:br/>
      </w:r>
      <w:r w:rsidR="00050E16" w:rsidRPr="007C25BD">
        <w:br/>
      </w:r>
      <w:r w:rsidR="00050E16" w:rsidRPr="007C25BD">
        <w:rPr>
          <w:color w:val="A6A6A6" w:themeColor="background1" w:themeShade="A6"/>
        </w:rPr>
        <w:t>Disclaimer:  this document does not represent UPOV policies or guidance</w:t>
      </w:r>
    </w:p>
    <w:bookmarkStart w:id="5" w:name="_Toc374716168"/>
    <w:p w:rsidR="000F7E6A" w:rsidRDefault="000F7E6A" w:rsidP="000F7E6A">
      <w:pPr>
        <w:rPr>
          <w:lang w:eastAsia="ja-JP"/>
        </w:rPr>
      </w:pPr>
      <w:r w:rsidRPr="007C25BD">
        <w:fldChar w:fldCharType="begin"/>
      </w:r>
      <w:r w:rsidRPr="007C25BD">
        <w:instrText xml:space="preserve"> AUTONUM  </w:instrText>
      </w:r>
      <w:r w:rsidRPr="007C25BD">
        <w:fldChar w:fldCharType="end"/>
      </w:r>
      <w:r w:rsidRPr="007C25BD">
        <w:tab/>
        <w:t xml:space="preserve">The purpose of this document is to report on developments concerning the: </w:t>
      </w:r>
    </w:p>
    <w:p w:rsidR="00524762" w:rsidRDefault="00524762" w:rsidP="000F7E6A">
      <w:pPr>
        <w:rPr>
          <w:lang w:eastAsia="ja-JP"/>
        </w:rPr>
      </w:pPr>
    </w:p>
    <w:p w:rsidR="00A756FB" w:rsidRDefault="001167A0" w:rsidP="00334714">
      <w:pPr>
        <w:pStyle w:val="Heading2"/>
      </w:pPr>
      <w:r>
        <w:rPr>
          <w:rFonts w:hint="eastAsia"/>
          <w:lang w:eastAsia="ja-JP"/>
        </w:rPr>
        <w:t>(a)</w:t>
      </w:r>
      <w:r>
        <w:rPr>
          <w:rFonts w:hint="eastAsia"/>
          <w:lang w:eastAsia="ja-JP"/>
        </w:rPr>
        <w:tab/>
      </w:r>
      <w:r w:rsidR="00334714">
        <w:t>Use of biochemical and molecular markers in the examination of Distinctness, Uniformity and Stability (DUS</w:t>
      </w:r>
      <w:r w:rsidR="0098554C">
        <w:t>)</w:t>
      </w:r>
    </w:p>
    <w:p w:rsidR="0098554C" w:rsidRPr="0098554C" w:rsidRDefault="0098554C" w:rsidP="0098554C"/>
    <w:p w:rsidR="00663A71" w:rsidRPr="004E4E6B" w:rsidRDefault="001167A0" w:rsidP="00663A71">
      <w:pPr>
        <w:ind w:firstLine="567"/>
        <w:rPr>
          <w:snapToGrid w:val="0"/>
        </w:rPr>
      </w:pPr>
      <w:r>
        <w:rPr>
          <w:snapToGrid w:val="0"/>
        </w:rPr>
        <w:t>(</w:t>
      </w:r>
      <w:r>
        <w:rPr>
          <w:rFonts w:hint="eastAsia"/>
          <w:snapToGrid w:val="0"/>
          <w:lang w:eastAsia="ja-JP"/>
        </w:rPr>
        <w:t>b</w:t>
      </w:r>
      <w:r w:rsidR="00663A71" w:rsidRPr="004E4E6B">
        <w:rPr>
          <w:snapToGrid w:val="0"/>
        </w:rPr>
        <w:t>)</w:t>
      </w:r>
      <w:r w:rsidR="00663A71" w:rsidRPr="004E4E6B">
        <w:rPr>
          <w:snapToGrid w:val="0"/>
        </w:rPr>
        <w:tab/>
      </w:r>
      <w:r w:rsidR="00663A71" w:rsidRPr="004E4E6B">
        <w:rPr>
          <w:i/>
          <w:iCs/>
          <w:snapToGrid w:val="0"/>
        </w:rPr>
        <w:t>Ad Hoc</w:t>
      </w:r>
      <w:r w:rsidR="00663A71" w:rsidRPr="004E4E6B">
        <w:rPr>
          <w:snapToGrid w:val="0"/>
        </w:rPr>
        <w:t xml:space="preserve"> Crop Subgroups on Molecular Techniques (Crop Subgroups); and</w:t>
      </w:r>
    </w:p>
    <w:p w:rsidR="00663A71" w:rsidRPr="004E4E6B" w:rsidRDefault="00663A71" w:rsidP="00663A71">
      <w:pPr>
        <w:ind w:firstLine="567"/>
      </w:pPr>
    </w:p>
    <w:p w:rsidR="001167A0" w:rsidRPr="00B076BF" w:rsidRDefault="001167A0" w:rsidP="001167A0">
      <w:pPr>
        <w:ind w:left="1134" w:hanging="567"/>
      </w:pPr>
      <w:r w:rsidRPr="00B076BF">
        <w:t>(c)</w:t>
      </w:r>
      <w:r w:rsidRPr="00B076BF">
        <w:tab/>
      </w:r>
      <w:proofErr w:type="gramStart"/>
      <w:r w:rsidRPr="00B076BF">
        <w:t>presentation</w:t>
      </w:r>
      <w:proofErr w:type="gramEnd"/>
      <w:r w:rsidRPr="00B076BF">
        <w:t xml:space="preserve"> of information on the situation in UPOV with regard to the use of molecular</w:t>
      </w:r>
      <w:r w:rsidRPr="00B076BF">
        <w:br/>
        <w:t>techniques to a wider audience, including breeders and the public in general.</w:t>
      </w:r>
    </w:p>
    <w:p w:rsidR="000F7E6A" w:rsidRPr="00B076BF" w:rsidRDefault="000F7E6A" w:rsidP="000F7E6A">
      <w:pPr>
        <w:ind w:left="1134" w:hanging="567"/>
      </w:pPr>
    </w:p>
    <w:bookmarkEnd w:id="5"/>
    <w:p w:rsidR="00362C4E" w:rsidRPr="00B076BF" w:rsidRDefault="00C65728" w:rsidP="00362C4E">
      <w:pPr>
        <w:keepNext/>
      </w:pPr>
      <w:r w:rsidRPr="00B076BF">
        <w:fldChar w:fldCharType="begin"/>
      </w:r>
      <w:r w:rsidRPr="00B076BF">
        <w:instrText xml:space="preserve"> AUTONUM  </w:instrText>
      </w:r>
      <w:r w:rsidRPr="00B076BF">
        <w:fldChar w:fldCharType="end"/>
      </w:r>
      <w:r w:rsidR="00195A44" w:rsidRPr="00B076BF">
        <w:tab/>
      </w:r>
      <w:r w:rsidR="00362C4E" w:rsidRPr="00B076BF">
        <w:t>The following abbreviations are used in this document:</w:t>
      </w:r>
    </w:p>
    <w:p w:rsidR="00362C4E" w:rsidRPr="00B076BF" w:rsidRDefault="00362C4E" w:rsidP="00362C4E">
      <w:pPr>
        <w:keepNext/>
        <w:ind w:left="1692" w:hanging="1125"/>
        <w:jc w:val="left"/>
      </w:pPr>
    </w:p>
    <w:p w:rsidR="002F749F" w:rsidRPr="00B076BF" w:rsidRDefault="00362C4E" w:rsidP="002F749F">
      <w:pPr>
        <w:keepNext/>
        <w:tabs>
          <w:tab w:val="left" w:pos="567"/>
          <w:tab w:val="left" w:pos="1701"/>
        </w:tabs>
        <w:ind w:left="1701" w:hanging="1134"/>
      </w:pPr>
      <w:r w:rsidRPr="00B076BF">
        <w:t>BMT:</w:t>
      </w:r>
      <w:r w:rsidRPr="00B076BF">
        <w:tab/>
      </w:r>
      <w:r w:rsidR="002F749F" w:rsidRPr="00B076BF">
        <w:t>Working Group on Biochemical and Molecular Techniques, and DNA-Profiling</w:t>
      </w:r>
      <w:r w:rsidR="00195A44" w:rsidRPr="00B076BF">
        <w:br/>
      </w:r>
      <w:r w:rsidR="002F749F" w:rsidRPr="00B076BF">
        <w:t xml:space="preserve">in Particular </w:t>
      </w:r>
    </w:p>
    <w:p w:rsidR="00362C4E" w:rsidRPr="00B076BF" w:rsidRDefault="00362C4E" w:rsidP="00362C4E">
      <w:pPr>
        <w:keepNext/>
        <w:tabs>
          <w:tab w:val="left" w:pos="567"/>
          <w:tab w:val="left" w:pos="1701"/>
        </w:tabs>
        <w:ind w:firstLine="567"/>
      </w:pPr>
      <w:r w:rsidRPr="00B076BF">
        <w:t>CAJ:</w:t>
      </w:r>
      <w:r w:rsidR="00195A44" w:rsidRPr="00B076BF">
        <w:tab/>
      </w:r>
      <w:r w:rsidRPr="00B076BF">
        <w:t>Administrative and Legal Committee</w:t>
      </w:r>
    </w:p>
    <w:p w:rsidR="00C45724" w:rsidRPr="00B076BF" w:rsidRDefault="00362C4E" w:rsidP="00C45724">
      <w:pPr>
        <w:keepNext/>
        <w:tabs>
          <w:tab w:val="left" w:pos="567"/>
          <w:tab w:val="left" w:pos="1701"/>
        </w:tabs>
        <w:ind w:firstLine="567"/>
      </w:pPr>
      <w:r w:rsidRPr="00B076BF">
        <w:t>TC:</w:t>
      </w:r>
      <w:r w:rsidRPr="00B076BF">
        <w:tab/>
        <w:t>Technical Committee</w:t>
      </w:r>
    </w:p>
    <w:p w:rsidR="008C198F" w:rsidRDefault="00C45724" w:rsidP="00701F9F">
      <w:pPr>
        <w:keepNext/>
        <w:tabs>
          <w:tab w:val="left" w:pos="567"/>
          <w:tab w:val="left" w:pos="1701"/>
        </w:tabs>
        <w:ind w:firstLine="567"/>
      </w:pPr>
      <w:r w:rsidRPr="00B076BF">
        <w:t>TC-EDC:</w:t>
      </w:r>
      <w:r w:rsidR="00195A44" w:rsidRPr="00B076BF">
        <w:tab/>
      </w:r>
      <w:r w:rsidRPr="00B076BF">
        <w:t>The Enlarged Editorial Committee</w:t>
      </w:r>
    </w:p>
    <w:p w:rsidR="008C198F" w:rsidRPr="00B076BF" w:rsidRDefault="008C198F" w:rsidP="001D5E40"/>
    <w:p w:rsidR="00334714" w:rsidRPr="00334714" w:rsidRDefault="00334714" w:rsidP="00334714">
      <w:pPr>
        <w:pStyle w:val="Heading1"/>
        <w:rPr>
          <w:lang w:eastAsia="ja-JP"/>
        </w:rPr>
      </w:pPr>
      <w:r w:rsidRPr="00334714">
        <w:lastRenderedPageBreak/>
        <w:t>Use of biochemical and molecular markers in the examination of Distinctness, Uniformity and Stability (DUS</w:t>
      </w:r>
      <w:r w:rsidR="00287838">
        <w:rPr>
          <w:rFonts w:hint="eastAsia"/>
          <w:lang w:eastAsia="ja-JP"/>
        </w:rPr>
        <w:t>)</w:t>
      </w:r>
    </w:p>
    <w:p w:rsidR="00765973" w:rsidRDefault="00765973" w:rsidP="00765973">
      <w:pPr>
        <w:keepNext/>
        <w:rPr>
          <w:rFonts w:cs="Arial"/>
          <w:lang w:eastAsia="ja-JP"/>
        </w:rPr>
      </w:pPr>
    </w:p>
    <w:p w:rsidR="00642A73" w:rsidRDefault="006A2716" w:rsidP="00765973">
      <w:pPr>
        <w:keepNext/>
        <w:rPr>
          <w:rFonts w:cs="Arial"/>
          <w:lang w:eastAsia="ja-JP"/>
        </w:rPr>
      </w:pPr>
      <w:r w:rsidRPr="00B076BF">
        <w:fldChar w:fldCharType="begin"/>
      </w:r>
      <w:r w:rsidRPr="00B076BF">
        <w:instrText xml:space="preserve"> AUTONUM  </w:instrText>
      </w:r>
      <w:r w:rsidRPr="00B076BF">
        <w:fldChar w:fldCharType="end"/>
      </w:r>
      <w:r w:rsidRPr="00B076BF">
        <w:tab/>
      </w:r>
      <w:r w:rsidR="00642A73">
        <w:rPr>
          <w:rFonts w:cs="Arial"/>
          <w:lang w:eastAsia="ja-JP"/>
        </w:rPr>
        <w:t>The situation with regards to the use of biochemical and molecular markers is set out in the following documents</w:t>
      </w:r>
      <w:r w:rsidR="00701F9F">
        <w:rPr>
          <w:rFonts w:cs="Arial" w:hint="eastAsia"/>
          <w:lang w:eastAsia="ja-JP"/>
        </w:rPr>
        <w:t>, which have been adopted by the Council of UPOV</w:t>
      </w:r>
      <w:r w:rsidR="00642A73">
        <w:rPr>
          <w:rFonts w:cs="Arial"/>
          <w:lang w:eastAsia="ja-JP"/>
        </w:rPr>
        <w:t>;</w:t>
      </w:r>
    </w:p>
    <w:p w:rsidR="00642A73" w:rsidRDefault="00642A73" w:rsidP="00765973">
      <w:pPr>
        <w:keepNext/>
        <w:rPr>
          <w:rFonts w:cs="Arial"/>
          <w:lang w:eastAsia="ja-JP"/>
        </w:rPr>
      </w:pPr>
    </w:p>
    <w:p w:rsidR="00642A73" w:rsidRDefault="00642A73" w:rsidP="00701F9F">
      <w:pPr>
        <w:pStyle w:val="Heading3"/>
        <w:rPr>
          <w:lang w:eastAsia="ja-JP"/>
        </w:rPr>
      </w:pPr>
      <w:r w:rsidRPr="00A756FB">
        <w:rPr>
          <w:lang w:eastAsia="ja-JP"/>
        </w:rPr>
        <w:t>UPOV/INF/18/1</w:t>
      </w:r>
      <w:r>
        <w:rPr>
          <w:lang w:eastAsia="ja-JP"/>
        </w:rPr>
        <w:t xml:space="preserve"> “Possible use of Molecular Markers i</w:t>
      </w:r>
      <w:r w:rsidRPr="00A756FB">
        <w:rPr>
          <w:lang w:eastAsia="ja-JP"/>
        </w:rPr>
        <w:t xml:space="preserve">n </w:t>
      </w:r>
      <w:r>
        <w:rPr>
          <w:lang w:eastAsia="ja-JP"/>
        </w:rPr>
        <w:t>t</w:t>
      </w:r>
      <w:r w:rsidRPr="00A756FB">
        <w:rPr>
          <w:lang w:eastAsia="ja-JP"/>
        </w:rPr>
        <w:t xml:space="preserve">he Examination </w:t>
      </w:r>
      <w:r>
        <w:rPr>
          <w:lang w:eastAsia="ja-JP"/>
        </w:rPr>
        <w:t>o</w:t>
      </w:r>
      <w:r w:rsidRPr="00A756FB">
        <w:rPr>
          <w:lang w:eastAsia="ja-JP"/>
        </w:rPr>
        <w:t>f</w:t>
      </w:r>
      <w:r>
        <w:rPr>
          <w:lang w:eastAsia="ja-JP"/>
        </w:rPr>
        <w:t xml:space="preserve"> Distinctness, Uniformity a</w:t>
      </w:r>
      <w:r w:rsidRPr="00A756FB">
        <w:rPr>
          <w:lang w:eastAsia="ja-JP"/>
        </w:rPr>
        <w:t>nd Stability (DUS)</w:t>
      </w:r>
    </w:p>
    <w:p w:rsidR="00642A73" w:rsidRDefault="00642A73" w:rsidP="00765973">
      <w:pPr>
        <w:keepNext/>
        <w:rPr>
          <w:rFonts w:cs="Arial"/>
          <w:lang w:eastAsia="ja-JP"/>
        </w:rPr>
      </w:pPr>
    </w:p>
    <w:p w:rsidR="00701F9F" w:rsidRDefault="00937891" w:rsidP="00937891">
      <w:pPr>
        <w:keepNext/>
        <w:rPr>
          <w:rFonts w:cs="Arial"/>
          <w:lang w:eastAsia="ja-JP"/>
        </w:rPr>
      </w:pPr>
      <w:r w:rsidRPr="00B076BF">
        <w:fldChar w:fldCharType="begin"/>
      </w:r>
      <w:r w:rsidRPr="00B076BF">
        <w:instrText xml:space="preserve"> AUTONUM  </w:instrText>
      </w:r>
      <w:r w:rsidRPr="00B076BF">
        <w:fldChar w:fldCharType="end"/>
      </w:r>
      <w:r w:rsidRPr="00B076BF">
        <w:tab/>
      </w:r>
      <w:r w:rsidR="00A756FB" w:rsidRPr="00A756FB">
        <w:rPr>
          <w:rFonts w:cs="Arial"/>
          <w:lang w:eastAsia="ja-JP"/>
        </w:rPr>
        <w:t xml:space="preserve">The purpose of document </w:t>
      </w:r>
      <w:r w:rsidR="00701F9F">
        <w:rPr>
          <w:rFonts w:cs="Arial" w:hint="eastAsia"/>
          <w:lang w:eastAsia="ja-JP"/>
        </w:rPr>
        <w:t xml:space="preserve">UPOV/INF/18 </w:t>
      </w:r>
      <w:r w:rsidR="00A756FB" w:rsidRPr="00A756FB">
        <w:rPr>
          <w:rFonts w:cs="Arial"/>
          <w:lang w:eastAsia="ja-JP"/>
        </w:rPr>
        <w:t>is to provide guidance on the possible use of</w:t>
      </w:r>
      <w:r w:rsidR="00A756FB">
        <w:rPr>
          <w:rFonts w:cs="Arial"/>
          <w:lang w:eastAsia="ja-JP"/>
        </w:rPr>
        <w:t xml:space="preserve"> </w:t>
      </w:r>
      <w:r w:rsidR="00A756FB" w:rsidRPr="00A756FB">
        <w:rPr>
          <w:rFonts w:cs="Arial"/>
          <w:lang w:eastAsia="ja-JP"/>
        </w:rPr>
        <w:t>biochemical and molecular markers in the examination of Distinctness, Uniformity and</w:t>
      </w:r>
      <w:r w:rsidR="00A756FB">
        <w:rPr>
          <w:rFonts w:cs="Arial"/>
          <w:lang w:eastAsia="ja-JP"/>
        </w:rPr>
        <w:t xml:space="preserve"> </w:t>
      </w:r>
      <w:r w:rsidR="00A756FB" w:rsidRPr="00A756FB">
        <w:rPr>
          <w:rFonts w:cs="Arial"/>
          <w:lang w:eastAsia="ja-JP"/>
        </w:rPr>
        <w:t>Stability (DUS).</w:t>
      </w:r>
    </w:p>
    <w:p w:rsidR="00A756FB" w:rsidRDefault="00A756FB" w:rsidP="00A756FB">
      <w:pPr>
        <w:keepNext/>
        <w:rPr>
          <w:rFonts w:cs="Arial"/>
          <w:lang w:eastAsia="ja-JP"/>
        </w:rPr>
      </w:pPr>
    </w:p>
    <w:p w:rsidR="00642A73" w:rsidRDefault="00642A73" w:rsidP="00701F9F">
      <w:pPr>
        <w:pStyle w:val="Heading3"/>
        <w:rPr>
          <w:lang w:eastAsia="ja-JP"/>
        </w:rPr>
      </w:pPr>
      <w:r w:rsidRPr="00A756FB">
        <w:rPr>
          <w:lang w:eastAsia="ja-JP"/>
        </w:rPr>
        <w:t>TGP/15/1</w:t>
      </w:r>
      <w:r>
        <w:rPr>
          <w:lang w:eastAsia="ja-JP"/>
        </w:rPr>
        <w:t xml:space="preserve"> </w:t>
      </w:r>
      <w:r w:rsidR="006A2716">
        <w:rPr>
          <w:lang w:eastAsia="ja-JP"/>
        </w:rPr>
        <w:t>“Guidance o</w:t>
      </w:r>
      <w:r w:rsidRPr="00A756FB">
        <w:rPr>
          <w:lang w:eastAsia="ja-JP"/>
        </w:rPr>
        <w:t xml:space="preserve">n </w:t>
      </w:r>
      <w:r w:rsidR="006A2716">
        <w:rPr>
          <w:lang w:eastAsia="ja-JP"/>
        </w:rPr>
        <w:t>t</w:t>
      </w:r>
      <w:r w:rsidRPr="00A756FB">
        <w:rPr>
          <w:lang w:eastAsia="ja-JP"/>
        </w:rPr>
        <w:t xml:space="preserve">he </w:t>
      </w:r>
      <w:r w:rsidR="006A2716">
        <w:rPr>
          <w:lang w:eastAsia="ja-JP"/>
        </w:rPr>
        <w:t>U</w:t>
      </w:r>
      <w:r w:rsidRPr="00A756FB">
        <w:rPr>
          <w:lang w:eastAsia="ja-JP"/>
        </w:rPr>
        <w:t xml:space="preserve">se </w:t>
      </w:r>
      <w:r w:rsidR="006A2716">
        <w:rPr>
          <w:lang w:eastAsia="ja-JP"/>
        </w:rPr>
        <w:t>of Biochemical a</w:t>
      </w:r>
      <w:r w:rsidRPr="00A756FB">
        <w:rPr>
          <w:lang w:eastAsia="ja-JP"/>
        </w:rPr>
        <w:t>nd Molecular Markers</w:t>
      </w:r>
      <w:r>
        <w:rPr>
          <w:lang w:eastAsia="ja-JP"/>
        </w:rPr>
        <w:t xml:space="preserve"> </w:t>
      </w:r>
      <w:r w:rsidR="006A2716">
        <w:rPr>
          <w:lang w:eastAsia="ja-JP"/>
        </w:rPr>
        <w:t>i</w:t>
      </w:r>
      <w:r w:rsidRPr="00A756FB">
        <w:rPr>
          <w:lang w:eastAsia="ja-JP"/>
        </w:rPr>
        <w:t>n</w:t>
      </w:r>
      <w:r w:rsidR="006A2716">
        <w:rPr>
          <w:lang w:eastAsia="ja-JP"/>
        </w:rPr>
        <w:t xml:space="preserve"> the Examination of Distinctness, Uniformity a</w:t>
      </w:r>
      <w:r w:rsidRPr="00A756FB">
        <w:rPr>
          <w:lang w:eastAsia="ja-JP"/>
        </w:rPr>
        <w:t>nd Stability (DUS)</w:t>
      </w:r>
      <w:r w:rsidR="006A2716">
        <w:rPr>
          <w:lang w:eastAsia="ja-JP"/>
        </w:rPr>
        <w:t>”</w:t>
      </w:r>
    </w:p>
    <w:p w:rsidR="006A2716" w:rsidRDefault="006A2716" w:rsidP="00642A73">
      <w:pPr>
        <w:keepNext/>
        <w:rPr>
          <w:rFonts w:cs="Arial"/>
          <w:lang w:eastAsia="ja-JP"/>
        </w:rPr>
      </w:pPr>
    </w:p>
    <w:p w:rsidR="00642A73" w:rsidRPr="00A756FB" w:rsidRDefault="00937891" w:rsidP="00937891">
      <w:pPr>
        <w:keepNext/>
        <w:rPr>
          <w:rFonts w:cs="Arial"/>
          <w:lang w:eastAsia="ja-JP"/>
        </w:rPr>
      </w:pPr>
      <w:r w:rsidRPr="00B076BF">
        <w:fldChar w:fldCharType="begin"/>
      </w:r>
      <w:r w:rsidRPr="00B076BF">
        <w:instrText xml:space="preserve"> AUTONUM  </w:instrText>
      </w:r>
      <w:r w:rsidRPr="00B076BF">
        <w:fldChar w:fldCharType="end"/>
      </w:r>
      <w:r w:rsidRPr="00B076BF">
        <w:tab/>
      </w:r>
      <w:r w:rsidR="00642A73" w:rsidRPr="00A756FB">
        <w:rPr>
          <w:rFonts w:cs="Arial"/>
          <w:lang w:eastAsia="ja-JP"/>
        </w:rPr>
        <w:t>Document UPOV/INF/18 “Possible Use of Molecular Markers in the Examination of Distinctness,</w:t>
      </w:r>
      <w:r w:rsidR="00642A73">
        <w:rPr>
          <w:rFonts w:cs="Arial"/>
          <w:lang w:eastAsia="ja-JP"/>
        </w:rPr>
        <w:t xml:space="preserve"> </w:t>
      </w:r>
      <w:r w:rsidR="00642A73" w:rsidRPr="00A756FB">
        <w:rPr>
          <w:rFonts w:cs="Arial"/>
          <w:lang w:eastAsia="ja-JP"/>
        </w:rPr>
        <w:t>Uniformity and Stability (DUS)” considers possible application models for the use of biochemical and</w:t>
      </w:r>
      <w:r w:rsidR="00642A73">
        <w:rPr>
          <w:rFonts w:cs="Arial"/>
          <w:lang w:eastAsia="ja-JP"/>
        </w:rPr>
        <w:t xml:space="preserve"> </w:t>
      </w:r>
      <w:r w:rsidR="00642A73" w:rsidRPr="00A756FB">
        <w:rPr>
          <w:rFonts w:cs="Arial"/>
          <w:lang w:eastAsia="ja-JP"/>
        </w:rPr>
        <w:t>molecular markers in the examination of DUS that were proposed to the Ad hoc Subgroup of Technical and</w:t>
      </w:r>
      <w:r w:rsidR="00642A73">
        <w:rPr>
          <w:rFonts w:cs="Arial"/>
          <w:lang w:eastAsia="ja-JP"/>
        </w:rPr>
        <w:t xml:space="preserve"> </w:t>
      </w:r>
      <w:r w:rsidR="00642A73" w:rsidRPr="00A756FB">
        <w:rPr>
          <w:rFonts w:cs="Arial"/>
          <w:lang w:eastAsia="ja-JP"/>
        </w:rPr>
        <w:t>Legal Experts of Biochemical and Molecular Techniques (BMT Review Group) by the Technical Committee,</w:t>
      </w:r>
      <w:r w:rsidR="00642A73">
        <w:rPr>
          <w:rFonts w:cs="Arial"/>
          <w:lang w:eastAsia="ja-JP"/>
        </w:rPr>
        <w:t xml:space="preserve"> </w:t>
      </w:r>
      <w:r w:rsidR="00642A73" w:rsidRPr="00A756FB">
        <w:rPr>
          <w:rFonts w:cs="Arial"/>
          <w:lang w:eastAsia="ja-JP"/>
        </w:rPr>
        <w:t>on the basis of the work of the Working Group on Biochemical and Molecular Techniques, and DNA-Profiling</w:t>
      </w:r>
      <w:r w:rsidR="00642A73">
        <w:rPr>
          <w:rFonts w:cs="Arial"/>
          <w:lang w:eastAsia="ja-JP"/>
        </w:rPr>
        <w:t xml:space="preserve"> </w:t>
      </w:r>
      <w:r w:rsidR="00642A73" w:rsidRPr="00A756FB">
        <w:rPr>
          <w:rFonts w:cs="Arial"/>
          <w:lang w:eastAsia="ja-JP"/>
        </w:rPr>
        <w:t>in Particular (BMT) and Ad Hoc Crop Subgroups on Molecular Techniques (Crop Subgroups) (see</w:t>
      </w:r>
      <w:r w:rsidR="00642A73">
        <w:rPr>
          <w:rFonts w:cs="Arial"/>
          <w:lang w:eastAsia="ja-JP"/>
        </w:rPr>
        <w:t xml:space="preserve"> </w:t>
      </w:r>
      <w:r w:rsidR="00642A73" w:rsidRPr="00A756FB">
        <w:rPr>
          <w:rFonts w:cs="Arial"/>
          <w:lang w:eastAsia="ja-JP"/>
        </w:rPr>
        <w:t>http://www.upov.int/about/en/organigram.html). The assessment of the BMT Review Group and the views of</w:t>
      </w:r>
      <w:r w:rsidR="00642A73">
        <w:rPr>
          <w:rFonts w:cs="Arial"/>
          <w:lang w:eastAsia="ja-JP"/>
        </w:rPr>
        <w:t xml:space="preserve"> </w:t>
      </w:r>
      <w:r w:rsidR="00642A73" w:rsidRPr="00A756FB">
        <w:rPr>
          <w:rFonts w:cs="Arial"/>
          <w:lang w:eastAsia="ja-JP"/>
        </w:rPr>
        <w:t>the Technical Committee, the Administrative and Legal Committee (CAJ) on those models are presented in</w:t>
      </w:r>
      <w:r w:rsidR="00642A73">
        <w:rPr>
          <w:rFonts w:cs="Arial"/>
          <w:lang w:eastAsia="ja-JP"/>
        </w:rPr>
        <w:t xml:space="preserve"> </w:t>
      </w:r>
      <w:r w:rsidR="00642A73" w:rsidRPr="00A756FB">
        <w:rPr>
          <w:rFonts w:cs="Arial"/>
          <w:lang w:eastAsia="ja-JP"/>
        </w:rPr>
        <w:t>document UPOV/INF/18.</w:t>
      </w:r>
    </w:p>
    <w:p w:rsidR="006A2716" w:rsidRDefault="006A2716" w:rsidP="00642A73">
      <w:pPr>
        <w:keepNext/>
        <w:rPr>
          <w:rFonts w:cs="Arial"/>
          <w:lang w:eastAsia="ja-JP"/>
        </w:rPr>
      </w:pPr>
    </w:p>
    <w:p w:rsidR="00642A73" w:rsidRDefault="00937891" w:rsidP="00937891">
      <w:pPr>
        <w:keepNext/>
        <w:rPr>
          <w:rFonts w:cs="Arial"/>
          <w:lang w:eastAsia="ja-JP"/>
        </w:rPr>
      </w:pPr>
      <w:r w:rsidRPr="00B076BF">
        <w:fldChar w:fldCharType="begin"/>
      </w:r>
      <w:r w:rsidRPr="00B076BF">
        <w:instrText xml:space="preserve"> AUTONUM  </w:instrText>
      </w:r>
      <w:r w:rsidRPr="00B076BF">
        <w:fldChar w:fldCharType="end"/>
      </w:r>
      <w:r w:rsidRPr="00B076BF">
        <w:tab/>
      </w:r>
      <w:r w:rsidR="00701F9F">
        <w:rPr>
          <w:rFonts w:cs="Arial"/>
          <w:lang w:eastAsia="ja-JP"/>
        </w:rPr>
        <w:t xml:space="preserve">The purpose of </w:t>
      </w:r>
      <w:r w:rsidR="00642A73" w:rsidRPr="00A756FB">
        <w:rPr>
          <w:rFonts w:cs="Arial"/>
          <w:lang w:eastAsia="ja-JP"/>
        </w:rPr>
        <w:t xml:space="preserve">document </w:t>
      </w:r>
      <w:r w:rsidR="00701F9F">
        <w:rPr>
          <w:rFonts w:cs="Arial" w:hint="eastAsia"/>
          <w:lang w:eastAsia="ja-JP"/>
        </w:rPr>
        <w:t xml:space="preserve">TGP/15 </w:t>
      </w:r>
      <w:r w:rsidR="00642A73" w:rsidRPr="00A756FB">
        <w:rPr>
          <w:rFonts w:cs="Arial"/>
          <w:lang w:eastAsia="ja-JP"/>
        </w:rPr>
        <w:t>is to provide guidance on the use of biochemical and molecular markers</w:t>
      </w:r>
      <w:r w:rsidR="00642A73">
        <w:rPr>
          <w:rFonts w:cs="Arial"/>
          <w:lang w:eastAsia="ja-JP"/>
        </w:rPr>
        <w:t xml:space="preserve"> </w:t>
      </w:r>
      <w:r w:rsidR="00642A73" w:rsidRPr="00A756FB">
        <w:rPr>
          <w:rFonts w:cs="Arial"/>
          <w:lang w:eastAsia="ja-JP"/>
        </w:rPr>
        <w:t>in the examination of Distinctness, Uniformity and Stability (DUS) on the basis of the models in</w:t>
      </w:r>
      <w:r w:rsidR="00642A73">
        <w:rPr>
          <w:rFonts w:cs="Arial"/>
          <w:lang w:eastAsia="ja-JP"/>
        </w:rPr>
        <w:t xml:space="preserve"> </w:t>
      </w:r>
      <w:r w:rsidR="00642A73" w:rsidRPr="00A756FB">
        <w:rPr>
          <w:rFonts w:cs="Arial"/>
          <w:lang w:eastAsia="ja-JP"/>
        </w:rPr>
        <w:t>document UPOV/INF/18 that have received a positive assessment and for which accepted examples have</w:t>
      </w:r>
      <w:r w:rsidR="00642A73">
        <w:rPr>
          <w:rFonts w:cs="Arial"/>
          <w:lang w:eastAsia="ja-JP"/>
        </w:rPr>
        <w:t xml:space="preserve"> </w:t>
      </w:r>
      <w:r w:rsidR="00642A73" w:rsidRPr="00A756FB">
        <w:rPr>
          <w:rFonts w:cs="Arial"/>
          <w:lang w:eastAsia="ja-JP"/>
        </w:rPr>
        <w:t>been provided.</w:t>
      </w:r>
    </w:p>
    <w:p w:rsidR="00642A73" w:rsidRDefault="00642A73" w:rsidP="00A756FB">
      <w:pPr>
        <w:keepNext/>
        <w:rPr>
          <w:rFonts w:cs="Arial"/>
          <w:lang w:eastAsia="ja-JP"/>
        </w:rPr>
      </w:pPr>
    </w:p>
    <w:p w:rsidR="00A756FB" w:rsidRDefault="00A756FB" w:rsidP="00701F9F">
      <w:pPr>
        <w:pStyle w:val="Heading3"/>
        <w:rPr>
          <w:lang w:eastAsia="ja-JP"/>
        </w:rPr>
      </w:pPr>
      <w:r w:rsidRPr="00A756FB">
        <w:rPr>
          <w:lang w:eastAsia="ja-JP"/>
        </w:rPr>
        <w:t>UPOV/INF/17/1</w:t>
      </w:r>
      <w:r w:rsidR="006A2716">
        <w:rPr>
          <w:lang w:eastAsia="ja-JP"/>
        </w:rPr>
        <w:t xml:space="preserve"> “Guidelines f</w:t>
      </w:r>
      <w:r w:rsidR="006A2716" w:rsidRPr="00A756FB">
        <w:rPr>
          <w:lang w:eastAsia="ja-JP"/>
        </w:rPr>
        <w:t>or D</w:t>
      </w:r>
      <w:r w:rsidR="006A2716">
        <w:rPr>
          <w:lang w:eastAsia="ja-JP"/>
        </w:rPr>
        <w:t>NA</w:t>
      </w:r>
      <w:r w:rsidR="006A2716" w:rsidRPr="00A756FB">
        <w:rPr>
          <w:lang w:eastAsia="ja-JP"/>
        </w:rPr>
        <w:t>-Profiling:</w:t>
      </w:r>
      <w:r w:rsidR="006A2716">
        <w:rPr>
          <w:lang w:eastAsia="ja-JP"/>
        </w:rPr>
        <w:t xml:space="preserve"> </w:t>
      </w:r>
      <w:r w:rsidR="006A2716" w:rsidRPr="00A756FB">
        <w:rPr>
          <w:lang w:eastAsia="ja-JP"/>
        </w:rPr>
        <w:t>Molecular Marker Selection</w:t>
      </w:r>
      <w:r w:rsidR="006A2716">
        <w:rPr>
          <w:lang w:eastAsia="ja-JP"/>
        </w:rPr>
        <w:t xml:space="preserve"> a</w:t>
      </w:r>
      <w:r w:rsidR="006A2716" w:rsidRPr="00A756FB">
        <w:rPr>
          <w:lang w:eastAsia="ja-JP"/>
        </w:rPr>
        <w:t>nd</w:t>
      </w:r>
      <w:r w:rsidR="006A2716">
        <w:rPr>
          <w:lang w:eastAsia="ja-JP"/>
        </w:rPr>
        <w:t xml:space="preserve"> </w:t>
      </w:r>
      <w:r w:rsidR="006A2716" w:rsidRPr="00A756FB">
        <w:rPr>
          <w:lang w:eastAsia="ja-JP"/>
        </w:rPr>
        <w:t>Database Construction</w:t>
      </w:r>
      <w:r w:rsidR="006A2716">
        <w:rPr>
          <w:lang w:eastAsia="ja-JP"/>
        </w:rPr>
        <w:t xml:space="preserve"> </w:t>
      </w:r>
      <w:r w:rsidR="006A2716" w:rsidRPr="00A756FB">
        <w:rPr>
          <w:lang w:eastAsia="ja-JP"/>
        </w:rPr>
        <w:t>(“B</w:t>
      </w:r>
      <w:r w:rsidR="006A2716">
        <w:rPr>
          <w:lang w:eastAsia="ja-JP"/>
        </w:rPr>
        <w:t>MT</w:t>
      </w:r>
      <w:r w:rsidR="006A2716" w:rsidRPr="00A756FB">
        <w:rPr>
          <w:lang w:eastAsia="ja-JP"/>
        </w:rPr>
        <w:t xml:space="preserve"> Guidelines”)</w:t>
      </w:r>
      <w:r w:rsidR="006A2716">
        <w:rPr>
          <w:lang w:eastAsia="ja-JP"/>
        </w:rPr>
        <w:t>”</w:t>
      </w:r>
    </w:p>
    <w:p w:rsidR="006A2716" w:rsidRDefault="006A2716" w:rsidP="00A756FB">
      <w:pPr>
        <w:keepNext/>
        <w:rPr>
          <w:rFonts w:cs="Arial"/>
          <w:lang w:eastAsia="ja-JP"/>
        </w:rPr>
      </w:pPr>
    </w:p>
    <w:p w:rsidR="00A756FB" w:rsidRDefault="00937891" w:rsidP="00937891">
      <w:pPr>
        <w:keepNext/>
        <w:rPr>
          <w:rFonts w:cs="Arial"/>
          <w:lang w:eastAsia="ja-JP"/>
        </w:rPr>
      </w:pPr>
      <w:r w:rsidRPr="00B076BF">
        <w:fldChar w:fldCharType="begin"/>
      </w:r>
      <w:r w:rsidRPr="00B076BF">
        <w:instrText xml:space="preserve"> AUTONUM  </w:instrText>
      </w:r>
      <w:r w:rsidRPr="00B076BF">
        <w:fldChar w:fldCharType="end"/>
      </w:r>
      <w:r w:rsidRPr="00B076BF">
        <w:tab/>
      </w:r>
      <w:r w:rsidR="00A756FB" w:rsidRPr="00A756FB">
        <w:rPr>
          <w:rFonts w:cs="Arial"/>
          <w:lang w:eastAsia="ja-JP"/>
        </w:rPr>
        <w:t>The purpose of the BMT Guidelines is to provide guidance for developing</w:t>
      </w:r>
      <w:r w:rsidR="00A756FB">
        <w:rPr>
          <w:rFonts w:cs="Arial"/>
          <w:lang w:eastAsia="ja-JP"/>
        </w:rPr>
        <w:t xml:space="preserve"> </w:t>
      </w:r>
      <w:r w:rsidR="00A756FB" w:rsidRPr="00A756FB">
        <w:rPr>
          <w:rFonts w:cs="Arial"/>
          <w:lang w:eastAsia="ja-JP"/>
        </w:rPr>
        <w:t>harmonized methodologies with the aim of generating high quality molecular data for a range</w:t>
      </w:r>
      <w:r w:rsidR="00A756FB">
        <w:rPr>
          <w:rFonts w:cs="Arial"/>
          <w:lang w:eastAsia="ja-JP"/>
        </w:rPr>
        <w:t xml:space="preserve"> </w:t>
      </w:r>
      <w:r w:rsidR="00A756FB" w:rsidRPr="00A756FB">
        <w:rPr>
          <w:rFonts w:cs="Arial"/>
          <w:lang w:eastAsia="ja-JP"/>
        </w:rPr>
        <w:t>of applications. The BMT Guidelines are also intended to address the construction of</w:t>
      </w:r>
      <w:r w:rsidR="00A756FB">
        <w:rPr>
          <w:rFonts w:cs="Arial"/>
          <w:lang w:eastAsia="ja-JP"/>
        </w:rPr>
        <w:t xml:space="preserve"> </w:t>
      </w:r>
      <w:r w:rsidR="00A756FB" w:rsidRPr="00A756FB">
        <w:rPr>
          <w:rFonts w:cs="Arial"/>
          <w:lang w:eastAsia="ja-JP"/>
        </w:rPr>
        <w:t>databases containing molecular profiles of plant varieties, possibly produced in different</w:t>
      </w:r>
      <w:r w:rsidR="00A756FB">
        <w:rPr>
          <w:rFonts w:cs="Arial"/>
          <w:lang w:eastAsia="ja-JP"/>
        </w:rPr>
        <w:t xml:space="preserve"> </w:t>
      </w:r>
      <w:r w:rsidR="00A756FB" w:rsidRPr="00A756FB">
        <w:rPr>
          <w:rFonts w:cs="Arial"/>
          <w:lang w:eastAsia="ja-JP"/>
        </w:rPr>
        <w:t>laboratories using different technologies. In addition, the aim is to set high demands on the</w:t>
      </w:r>
      <w:r w:rsidR="00A756FB">
        <w:rPr>
          <w:rFonts w:cs="Arial"/>
          <w:lang w:eastAsia="ja-JP"/>
        </w:rPr>
        <w:t xml:space="preserve"> </w:t>
      </w:r>
      <w:r w:rsidR="00A756FB" w:rsidRPr="00A756FB">
        <w:rPr>
          <w:rFonts w:cs="Arial"/>
          <w:lang w:eastAsia="ja-JP"/>
        </w:rPr>
        <w:t>quality of the markers and on the desire for generating reproducible data using these markers</w:t>
      </w:r>
      <w:r w:rsidR="00A756FB">
        <w:rPr>
          <w:rFonts w:cs="Arial"/>
          <w:lang w:eastAsia="ja-JP"/>
        </w:rPr>
        <w:t xml:space="preserve"> </w:t>
      </w:r>
      <w:r w:rsidR="00A756FB" w:rsidRPr="00A756FB">
        <w:rPr>
          <w:rFonts w:cs="Arial"/>
          <w:lang w:eastAsia="ja-JP"/>
        </w:rPr>
        <w:t>in situations where equipment and/or reaction chemicals might change. Specific precautions</w:t>
      </w:r>
      <w:r w:rsidR="00A756FB">
        <w:rPr>
          <w:rFonts w:cs="Arial"/>
          <w:lang w:eastAsia="ja-JP"/>
        </w:rPr>
        <w:t xml:space="preserve"> </w:t>
      </w:r>
      <w:r w:rsidR="00A756FB" w:rsidRPr="00A756FB">
        <w:rPr>
          <w:rFonts w:cs="Arial"/>
          <w:lang w:eastAsia="ja-JP"/>
        </w:rPr>
        <w:t>need to be taken to ensure quality entry into a database.</w:t>
      </w:r>
    </w:p>
    <w:p w:rsidR="006A2716" w:rsidRDefault="006A2716" w:rsidP="004B665E">
      <w:pPr>
        <w:keepNext/>
        <w:rPr>
          <w:rFonts w:cs="Arial"/>
          <w:lang w:eastAsia="ja-JP"/>
        </w:rPr>
      </w:pPr>
    </w:p>
    <w:p w:rsidR="004B665E" w:rsidRDefault="004B665E" w:rsidP="004B665E">
      <w:pPr>
        <w:pStyle w:val="Heading3"/>
        <w:rPr>
          <w:lang w:eastAsia="ja-JP"/>
        </w:rPr>
      </w:pPr>
      <w:r>
        <w:rPr>
          <w:rFonts w:hint="eastAsia"/>
          <w:lang w:eastAsia="ja-JP"/>
        </w:rPr>
        <w:t>Joint Workshop on DUS Testing and Molecular Techniques</w:t>
      </w:r>
    </w:p>
    <w:p w:rsidR="004B665E" w:rsidRDefault="004B665E" w:rsidP="004B665E">
      <w:pPr>
        <w:keepNext/>
        <w:rPr>
          <w:rFonts w:cs="Arial"/>
          <w:lang w:eastAsia="ja-JP"/>
        </w:rPr>
      </w:pPr>
    </w:p>
    <w:p w:rsidR="004B665E" w:rsidRPr="007C25BD" w:rsidRDefault="004B665E" w:rsidP="004B665E">
      <w:pPr>
        <w:rPr>
          <w:rFonts w:eastAsia="MS Mincho" w:cs="Arial"/>
          <w:snapToGrid w:val="0"/>
          <w:color w:val="000000"/>
        </w:rPr>
      </w:pPr>
      <w:r w:rsidRPr="007C25BD">
        <w:rPr>
          <w:rFonts w:eastAsia="MS Mincho" w:cs="Arial"/>
          <w:snapToGrid w:val="0"/>
          <w:color w:val="000000"/>
        </w:rPr>
        <w:fldChar w:fldCharType="begin"/>
      </w:r>
      <w:r w:rsidRPr="007C25BD">
        <w:rPr>
          <w:rFonts w:eastAsia="MS Mincho" w:cs="Arial"/>
          <w:snapToGrid w:val="0"/>
          <w:color w:val="000000"/>
        </w:rPr>
        <w:instrText xml:space="preserve"> AUTONUM  </w:instrText>
      </w:r>
      <w:r w:rsidRPr="007C25BD">
        <w:rPr>
          <w:rFonts w:eastAsia="MS Mincho" w:cs="Arial"/>
          <w:snapToGrid w:val="0"/>
          <w:color w:val="000000"/>
        </w:rPr>
        <w:fldChar w:fldCharType="end"/>
      </w:r>
      <w:r w:rsidRPr="007C25BD">
        <w:rPr>
          <w:rFonts w:eastAsia="MS Mincho" w:cs="Arial"/>
          <w:snapToGrid w:val="0"/>
          <w:color w:val="000000"/>
        </w:rPr>
        <w:tab/>
        <w:t>On September 23 and 24, 2013, a Joint Workshop on DUS Testing and Molecular Techniques (Workshop) was held in Beijing, China, organized by the State Forestry Administration, China, in cooperation with the Ministry of Agriculture, China, and the Office of the Union. A copy of the program is attached as Annex I to this document.</w:t>
      </w:r>
    </w:p>
    <w:p w:rsidR="004B665E" w:rsidRPr="007C25BD" w:rsidRDefault="004B665E" w:rsidP="004B665E">
      <w:pPr>
        <w:rPr>
          <w:rFonts w:eastAsia="MS Mincho" w:cs="Arial"/>
          <w:snapToGrid w:val="0"/>
          <w:color w:val="000000"/>
        </w:rPr>
      </w:pPr>
    </w:p>
    <w:p w:rsidR="004B665E" w:rsidRPr="007C25BD" w:rsidRDefault="004B665E" w:rsidP="004B665E">
      <w:pPr>
        <w:rPr>
          <w:rFonts w:eastAsia="MS Mincho" w:cs="Arial"/>
          <w:snapToGrid w:val="0"/>
          <w:color w:val="000000"/>
        </w:rPr>
      </w:pPr>
      <w:r w:rsidRPr="007C25BD">
        <w:rPr>
          <w:rFonts w:eastAsia="MS Mincho" w:cs="Arial"/>
          <w:snapToGrid w:val="0"/>
          <w:color w:val="000000"/>
        </w:rPr>
        <w:fldChar w:fldCharType="begin"/>
      </w:r>
      <w:r w:rsidRPr="007C25BD">
        <w:rPr>
          <w:rFonts w:eastAsia="MS Mincho" w:cs="Arial"/>
          <w:snapToGrid w:val="0"/>
          <w:color w:val="000000"/>
        </w:rPr>
        <w:instrText xml:space="preserve"> AUTONUM  </w:instrText>
      </w:r>
      <w:r w:rsidRPr="007C25BD">
        <w:rPr>
          <w:rFonts w:eastAsia="MS Mincho" w:cs="Arial"/>
          <w:snapToGrid w:val="0"/>
          <w:color w:val="000000"/>
        </w:rPr>
        <w:fldChar w:fldCharType="end"/>
      </w:r>
      <w:r w:rsidRPr="007C25BD">
        <w:rPr>
          <w:rFonts w:eastAsia="MS Mincho" w:cs="Arial"/>
          <w:snapToGrid w:val="0"/>
          <w:color w:val="000000"/>
        </w:rPr>
        <w:tab/>
        <w:t>At the Workshop, experts from China and the Republic of Korea reported on their use of molecular techniques to supplement the selection of varieties to be included in the DUS field trial on the basis of descriptions based on morphological characteristics</w:t>
      </w:r>
      <w:r>
        <w:rPr>
          <w:rFonts w:eastAsia="MS Mincho" w:cs="Arial" w:hint="eastAsia"/>
          <w:snapToGrid w:val="0"/>
          <w:color w:val="000000"/>
          <w:lang w:eastAsia="ja-JP"/>
        </w:rPr>
        <w:t xml:space="preserve"> (see document TC/50/13 </w:t>
      </w:r>
      <w:r>
        <w:rPr>
          <w:rFonts w:eastAsia="MS Mincho" w:cs="Arial"/>
          <w:snapToGrid w:val="0"/>
          <w:color w:val="000000"/>
          <w:lang w:eastAsia="ja-JP"/>
        </w:rPr>
        <w:t>“</w:t>
      </w:r>
      <w:r>
        <w:rPr>
          <w:rFonts w:eastAsia="MS Mincho" w:cs="Arial" w:hint="eastAsia"/>
          <w:snapToGrid w:val="0"/>
          <w:color w:val="000000"/>
          <w:lang w:eastAsia="ja-JP"/>
        </w:rPr>
        <w:t>Molecular Techniques</w:t>
      </w:r>
      <w:r>
        <w:rPr>
          <w:rFonts w:eastAsia="MS Mincho" w:cs="Arial"/>
          <w:snapToGrid w:val="0"/>
          <w:color w:val="000000"/>
          <w:lang w:eastAsia="ja-JP"/>
        </w:rPr>
        <w:t>”</w:t>
      </w:r>
      <w:r>
        <w:rPr>
          <w:rFonts w:eastAsia="MS Mincho" w:cs="Arial" w:hint="eastAsia"/>
          <w:snapToGrid w:val="0"/>
          <w:color w:val="000000"/>
          <w:lang w:eastAsia="ja-JP"/>
        </w:rPr>
        <w:t>, paragraph 4 and 5)</w:t>
      </w:r>
      <w:r w:rsidRPr="007C25BD">
        <w:rPr>
          <w:rFonts w:eastAsia="MS Mincho" w:cs="Arial"/>
          <w:snapToGrid w:val="0"/>
          <w:color w:val="000000"/>
        </w:rPr>
        <w:t>.</w:t>
      </w:r>
    </w:p>
    <w:p w:rsidR="004B665E" w:rsidRDefault="004B665E" w:rsidP="004B665E">
      <w:pPr>
        <w:keepNext/>
        <w:rPr>
          <w:rFonts w:cs="Arial"/>
          <w:lang w:eastAsia="ja-JP"/>
        </w:rPr>
      </w:pPr>
    </w:p>
    <w:p w:rsidR="004B665E" w:rsidRPr="007C25BD" w:rsidRDefault="004B665E" w:rsidP="004B665E">
      <w:pPr>
        <w:rPr>
          <w:rFonts w:eastAsia="MS Mincho"/>
          <w:snapToGrid w:val="0"/>
        </w:rPr>
      </w:pPr>
      <w:r w:rsidRPr="007C25BD">
        <w:fldChar w:fldCharType="begin"/>
      </w:r>
      <w:r w:rsidRPr="007C25BD">
        <w:instrText xml:space="preserve"> AUTONUM  </w:instrText>
      </w:r>
      <w:r w:rsidRPr="007C25BD">
        <w:fldChar w:fldCharType="end"/>
      </w:r>
      <w:r w:rsidRPr="007C25BD">
        <w:tab/>
      </w:r>
      <w:r>
        <w:rPr>
          <w:rFonts w:hint="eastAsia"/>
          <w:lang w:eastAsia="ja-JP"/>
        </w:rPr>
        <w:t>At its fiftieth session, held in Geneva, from April 7 to 9, 2014, t</w:t>
      </w:r>
      <w:r w:rsidRPr="007C25BD">
        <w:rPr>
          <w:rFonts w:eastAsia="MS Mincho"/>
          <w:snapToGrid w:val="0"/>
        </w:rPr>
        <w:t>he TC encourage</w:t>
      </w:r>
      <w:r>
        <w:rPr>
          <w:rFonts w:eastAsia="MS Mincho"/>
          <w:snapToGrid w:val="0"/>
        </w:rPr>
        <w:t>d</w:t>
      </w:r>
      <w:r w:rsidRPr="007C25BD">
        <w:rPr>
          <w:rFonts w:eastAsia="MS Mincho"/>
          <w:snapToGrid w:val="0"/>
        </w:rPr>
        <w:t xml:space="preserve"> experts from China, the Republic of Korea and other members of the Union to make presentations at the fourteenth session of the BMT, on the use of molecular techniques to supplement the selection of similar varieties for inclusion in the growing trial, as set out in document</w:t>
      </w:r>
      <w:r>
        <w:rPr>
          <w:rFonts w:eastAsia="MS Mincho"/>
          <w:snapToGrid w:val="0"/>
        </w:rPr>
        <w:t xml:space="preserve"> TC/50/13, paragraph 6</w:t>
      </w:r>
      <w:r>
        <w:rPr>
          <w:rFonts w:eastAsia="MS Mincho" w:hint="eastAsia"/>
          <w:snapToGrid w:val="0"/>
          <w:lang w:eastAsia="ja-JP"/>
        </w:rPr>
        <w:t xml:space="preserve"> (see document TC/50/36 </w:t>
      </w:r>
      <w:r>
        <w:rPr>
          <w:rFonts w:eastAsia="MS Mincho"/>
          <w:snapToGrid w:val="0"/>
          <w:lang w:eastAsia="ja-JP"/>
        </w:rPr>
        <w:t>“</w:t>
      </w:r>
      <w:r>
        <w:rPr>
          <w:rFonts w:eastAsia="MS Mincho" w:hint="eastAsia"/>
          <w:snapToGrid w:val="0"/>
          <w:lang w:eastAsia="ja-JP"/>
        </w:rPr>
        <w:t>Report on the Conclusion</w:t>
      </w:r>
      <w:r>
        <w:rPr>
          <w:rFonts w:eastAsia="MS Mincho"/>
          <w:snapToGrid w:val="0"/>
          <w:lang w:eastAsia="ja-JP"/>
        </w:rPr>
        <w:t>”</w:t>
      </w:r>
      <w:r>
        <w:rPr>
          <w:rFonts w:eastAsia="MS Mincho" w:hint="eastAsia"/>
          <w:snapToGrid w:val="0"/>
          <w:lang w:eastAsia="ja-JP"/>
        </w:rPr>
        <w:t>, paragraph 77)</w:t>
      </w:r>
      <w:r w:rsidRPr="007C25BD">
        <w:rPr>
          <w:rFonts w:eastAsia="MS Mincho"/>
          <w:snapToGrid w:val="0"/>
        </w:rPr>
        <w:t>.</w:t>
      </w:r>
    </w:p>
    <w:p w:rsidR="004B665E" w:rsidRDefault="004B665E" w:rsidP="004B665E">
      <w:pPr>
        <w:keepNext/>
        <w:rPr>
          <w:rFonts w:cs="Arial"/>
          <w:lang w:eastAsia="ja-JP"/>
        </w:rPr>
      </w:pPr>
    </w:p>
    <w:p w:rsidR="00505459" w:rsidRPr="00B076BF" w:rsidRDefault="00505459" w:rsidP="001D5E40">
      <w:pPr>
        <w:ind w:left="1134" w:hanging="567"/>
        <w:rPr>
          <w:snapToGrid w:val="0"/>
        </w:rPr>
      </w:pPr>
    </w:p>
    <w:p w:rsidR="004B665E" w:rsidRDefault="004B665E">
      <w:pPr>
        <w:jc w:val="left"/>
        <w:rPr>
          <w:i/>
          <w:caps/>
          <w:snapToGrid w:val="0"/>
        </w:rPr>
      </w:pPr>
      <w:bookmarkStart w:id="6" w:name="_Toc285981292"/>
      <w:bookmarkStart w:id="7" w:name="_Toc315105630"/>
      <w:bookmarkStart w:id="8" w:name="_Toc323025302"/>
      <w:r>
        <w:rPr>
          <w:i/>
          <w:snapToGrid w:val="0"/>
        </w:rPr>
        <w:br w:type="page"/>
      </w:r>
    </w:p>
    <w:p w:rsidR="00765973" w:rsidRPr="00B076BF" w:rsidRDefault="00A663EC" w:rsidP="00334714">
      <w:pPr>
        <w:pStyle w:val="Heading1"/>
        <w:rPr>
          <w:snapToGrid w:val="0"/>
        </w:rPr>
      </w:pPr>
      <w:r>
        <w:rPr>
          <w:rFonts w:hint="eastAsia"/>
          <w:i/>
          <w:snapToGrid w:val="0"/>
          <w:lang w:eastAsia="ja-JP"/>
        </w:rPr>
        <w:lastRenderedPageBreak/>
        <w:t xml:space="preserve"> </w:t>
      </w:r>
      <w:r w:rsidR="00765973" w:rsidRPr="00B076BF">
        <w:rPr>
          <w:i/>
          <w:snapToGrid w:val="0"/>
        </w:rPr>
        <w:t>AD HOC</w:t>
      </w:r>
      <w:r w:rsidR="00765973" w:rsidRPr="00B076BF">
        <w:rPr>
          <w:snapToGrid w:val="0"/>
        </w:rPr>
        <w:t xml:space="preserve"> CROP SUBGROUPS ON MOLECULAR TECHNIQUES (CROP SUBGROUPS)</w:t>
      </w:r>
      <w:bookmarkEnd w:id="6"/>
      <w:bookmarkEnd w:id="7"/>
      <w:bookmarkEnd w:id="8"/>
    </w:p>
    <w:p w:rsidR="00765973" w:rsidRPr="00B076BF" w:rsidRDefault="00765973" w:rsidP="00765973">
      <w:pPr>
        <w:keepNext/>
        <w:rPr>
          <w:lang w:eastAsia="ja-JP"/>
        </w:rPr>
      </w:pPr>
    </w:p>
    <w:p w:rsidR="00765973" w:rsidRPr="00B076BF" w:rsidRDefault="00765973" w:rsidP="00765973">
      <w:r w:rsidRPr="00B076BF">
        <w:fldChar w:fldCharType="begin"/>
      </w:r>
      <w:r w:rsidRPr="00B076BF">
        <w:instrText xml:space="preserve"> AUTONUM  </w:instrText>
      </w:r>
      <w:r w:rsidRPr="00B076BF">
        <w:fldChar w:fldCharType="end"/>
      </w:r>
      <w:r w:rsidRPr="00B076BF">
        <w:tab/>
        <w:t xml:space="preserve">There have been no meetings of the Crop Subgroups since the </w:t>
      </w:r>
      <w:r w:rsidRPr="00B076BF">
        <w:rPr>
          <w:rFonts w:hint="eastAsia"/>
          <w:lang w:eastAsia="ja-JP"/>
        </w:rPr>
        <w:t>twelfth</w:t>
      </w:r>
      <w:r w:rsidRPr="00B076BF">
        <w:t xml:space="preserve"> session of the </w:t>
      </w:r>
      <w:r w:rsidRPr="00B076BF">
        <w:rPr>
          <w:rFonts w:hint="eastAsia"/>
          <w:lang w:eastAsia="ja-JP"/>
        </w:rPr>
        <w:t>BMT</w:t>
      </w:r>
      <w:r w:rsidRPr="00B076BF">
        <w:t>.</w:t>
      </w:r>
    </w:p>
    <w:p w:rsidR="00765973" w:rsidRPr="00B076BF" w:rsidRDefault="00765973" w:rsidP="00765973"/>
    <w:p w:rsidR="00765973" w:rsidRPr="00B076BF" w:rsidRDefault="00765973" w:rsidP="00765973">
      <w:r w:rsidRPr="00B076BF">
        <w:fldChar w:fldCharType="begin"/>
      </w:r>
      <w:r w:rsidRPr="00B076BF">
        <w:instrText xml:space="preserve"> AUTONUM  </w:instrText>
      </w:r>
      <w:r w:rsidRPr="00B076BF">
        <w:fldChar w:fldCharType="end"/>
      </w:r>
      <w:r w:rsidRPr="00B076BF">
        <w:tab/>
        <w:t xml:space="preserve">At its thirteenth session, </w:t>
      </w:r>
      <w:r w:rsidRPr="00B076BF">
        <w:rPr>
          <w:iCs/>
        </w:rPr>
        <w:t xml:space="preserve">held in Brasilia, Brazil, from November 22 to 24, 2011, </w:t>
      </w:r>
      <w:r w:rsidRPr="00B076BF">
        <w:t xml:space="preserve">the BMT did not make any recommendation on the establishment of new crop specific subgroups.  The BMT proposed to the TC to consider the possibility of the discontinuation of the meeting of the </w:t>
      </w:r>
      <w:r w:rsidRPr="00B076BF">
        <w:rPr>
          <w:i/>
        </w:rPr>
        <w:t>Ad</w:t>
      </w:r>
      <w:r w:rsidRPr="00B076BF">
        <w:rPr>
          <w:i/>
        </w:rPr>
        <w:noBreakHyphen/>
        <w:t>hoc</w:t>
      </w:r>
      <w:r w:rsidRPr="00B076BF">
        <w:t xml:space="preserve"> Crop Subgroups and to include the individual species discussion within the BMT sessions (see document BMT/13/36 “Report”, paragraph 69).</w:t>
      </w:r>
    </w:p>
    <w:p w:rsidR="00765973" w:rsidRPr="00B076BF" w:rsidRDefault="00765973" w:rsidP="00765973"/>
    <w:p w:rsidR="00937891" w:rsidRDefault="00765973" w:rsidP="004B665E">
      <w:pPr>
        <w:rPr>
          <w:snapToGrid w:val="0"/>
          <w:lang w:eastAsia="ja-JP"/>
        </w:rPr>
      </w:pPr>
      <w:r w:rsidRPr="00B076BF">
        <w:fldChar w:fldCharType="begin"/>
      </w:r>
      <w:r w:rsidRPr="00B076BF">
        <w:instrText xml:space="preserve"> AUTONUM  </w:instrText>
      </w:r>
      <w:r w:rsidRPr="00B076BF">
        <w:fldChar w:fldCharType="end"/>
      </w:r>
      <w:r w:rsidRPr="00B076BF">
        <w:tab/>
        <w:t>The TC, at its forty-eighth session</w:t>
      </w:r>
      <w:r w:rsidR="00642A73">
        <w:t xml:space="preserve">, held in Geneva, from </w:t>
      </w:r>
      <w:r w:rsidR="00642A73" w:rsidRPr="00642A73">
        <w:t>March 26 to March 28, 2012</w:t>
      </w:r>
      <w:r w:rsidR="00642A73">
        <w:t>,</w:t>
      </w:r>
      <w:r w:rsidRPr="00B076BF">
        <w:t xml:space="preserve"> agreed to discontinue separate </w:t>
      </w:r>
      <w:r w:rsidRPr="00B076BF">
        <w:rPr>
          <w:rFonts w:cs="Arial"/>
        </w:rPr>
        <w:t xml:space="preserve">meetings of the </w:t>
      </w:r>
      <w:r w:rsidRPr="00B076BF">
        <w:rPr>
          <w:rFonts w:cs="Arial"/>
          <w:i/>
        </w:rPr>
        <w:t>Ad-hoc</w:t>
      </w:r>
      <w:r w:rsidRPr="00B076BF">
        <w:rPr>
          <w:rFonts w:cs="Arial"/>
        </w:rPr>
        <w:t xml:space="preserve"> Crop </w:t>
      </w:r>
      <w:r w:rsidRPr="00B076BF">
        <w:t>Subgroups</w:t>
      </w:r>
      <w:r w:rsidRPr="00B076BF">
        <w:rPr>
          <w:rFonts w:cs="Arial"/>
        </w:rPr>
        <w:t xml:space="preserve"> and to include the discussions within the BMT sessions </w:t>
      </w:r>
      <w:r w:rsidRPr="00B076BF">
        <w:t>(</w:t>
      </w:r>
      <w:r w:rsidRPr="00B076BF">
        <w:rPr>
          <w:snapToGrid w:val="0"/>
        </w:rPr>
        <w:t>see document TC/48/22 “Report on the Conclusions”, paragraph 83).</w:t>
      </w:r>
    </w:p>
    <w:p w:rsidR="004B665E" w:rsidRDefault="004B665E" w:rsidP="004B665E">
      <w:pPr>
        <w:rPr>
          <w:snapToGrid w:val="0"/>
          <w:lang w:eastAsia="ja-JP"/>
        </w:rPr>
      </w:pPr>
    </w:p>
    <w:p w:rsidR="004B665E" w:rsidRDefault="004B665E" w:rsidP="004B665E">
      <w:pPr>
        <w:rPr>
          <w:caps/>
          <w:lang w:eastAsia="ja-JP"/>
        </w:rPr>
      </w:pPr>
    </w:p>
    <w:p w:rsidR="001D5E40" w:rsidRPr="00B076BF" w:rsidRDefault="00E339A6" w:rsidP="00334714">
      <w:pPr>
        <w:pStyle w:val="Heading1"/>
      </w:pPr>
      <w:r w:rsidRPr="00B076BF">
        <w:t xml:space="preserve">Presentation of </w:t>
      </w:r>
      <w:r w:rsidR="001D5E40" w:rsidRPr="00B076BF">
        <w:t>information on the situation in UPOV with regard to the use of molecular techniques to a wider audience, including breeders and the public in general</w:t>
      </w:r>
    </w:p>
    <w:p w:rsidR="001D5E40" w:rsidRPr="00B076BF" w:rsidRDefault="001D5E40" w:rsidP="001D5E40">
      <w:pPr>
        <w:rPr>
          <w:lang w:eastAsia="ja-JP"/>
        </w:rPr>
      </w:pPr>
    </w:p>
    <w:p w:rsidR="001D5E40" w:rsidRPr="00B076BF" w:rsidRDefault="001D5E40" w:rsidP="001D5E40">
      <w:r w:rsidRPr="00B076BF">
        <w:fldChar w:fldCharType="begin"/>
      </w:r>
      <w:r w:rsidRPr="00B076BF">
        <w:instrText xml:space="preserve"> AUTONUM  </w:instrText>
      </w:r>
      <w:r w:rsidRPr="00B076BF">
        <w:fldChar w:fldCharType="end"/>
      </w:r>
      <w:r w:rsidR="00F74FDE" w:rsidRPr="00B076BF">
        <w:tab/>
      </w:r>
      <w:r w:rsidR="00477345" w:rsidRPr="00B076BF">
        <w:t xml:space="preserve">The </w:t>
      </w:r>
      <w:r w:rsidR="000B7B9A" w:rsidRPr="00B076BF">
        <w:t>T</w:t>
      </w:r>
      <w:r w:rsidR="00477345" w:rsidRPr="00B076BF">
        <w:t>C, at its forty-ninth session, held in Geneva from March 18 to 20, 2013,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(see document TC/49/41 “Report on the Conclusions”, paragraph 136).</w:t>
      </w:r>
    </w:p>
    <w:p w:rsidR="001D5E40" w:rsidRPr="00B076BF" w:rsidRDefault="001D5E40" w:rsidP="001D5E40"/>
    <w:p w:rsidR="001D5E40" w:rsidRPr="00B076BF" w:rsidRDefault="001D5E40" w:rsidP="001D5E40">
      <w:r w:rsidRPr="00B076BF">
        <w:fldChar w:fldCharType="begin"/>
      </w:r>
      <w:r w:rsidRPr="00B076BF">
        <w:instrText xml:space="preserve"> AUTONUM  </w:instrText>
      </w:r>
      <w:r w:rsidRPr="00B076BF">
        <w:fldChar w:fldCharType="end"/>
      </w:r>
      <w:r w:rsidR="00F74FDE" w:rsidRPr="00B076BF">
        <w:tab/>
      </w:r>
      <w:r w:rsidR="00477345" w:rsidRPr="00B076BF">
        <w:t xml:space="preserve">The Consultative Committee, at its eighty-sixth session, held in Geneva on October 23 and 24, 2013, considered a series of answers to frequently asked questions. </w:t>
      </w:r>
      <w:r w:rsidR="0045470D" w:rsidRPr="00B076BF">
        <w:t xml:space="preserve"> </w:t>
      </w:r>
      <w:r w:rsidR="00477345" w:rsidRPr="00B076BF">
        <w:t>One of the questions included was “does UPOV allow molecular techniques (DNA profiles) in the DUS examination?”</w:t>
      </w:r>
      <w:r w:rsidR="0045470D" w:rsidRPr="00B076BF">
        <w:t xml:space="preserve"> </w:t>
      </w:r>
      <w:r w:rsidR="00477345" w:rsidRPr="00B076BF">
        <w:t xml:space="preserve"> In that regard the Consultative Committee agreed that the answer should be developed via </w:t>
      </w:r>
      <w:r w:rsidR="00D00149" w:rsidRPr="00B076BF">
        <w:t>the Technical Committee.</w:t>
      </w:r>
    </w:p>
    <w:p w:rsidR="001D5E40" w:rsidRPr="00B076BF" w:rsidRDefault="001D5E40" w:rsidP="001D5E40"/>
    <w:p w:rsidR="00E555DD" w:rsidRPr="00B076BF" w:rsidRDefault="002A4DC8" w:rsidP="001D5E40">
      <w:pPr>
        <w:rPr>
          <w:rFonts w:cs="Arial"/>
        </w:rPr>
      </w:pPr>
      <w:r w:rsidRPr="00B076BF">
        <w:fldChar w:fldCharType="begin"/>
      </w:r>
      <w:r w:rsidRPr="00B076BF">
        <w:instrText xml:space="preserve"> AUTONUM  </w:instrText>
      </w:r>
      <w:r w:rsidRPr="00B076BF">
        <w:fldChar w:fldCharType="end"/>
      </w:r>
      <w:r w:rsidRPr="00B076BF">
        <w:tab/>
      </w:r>
      <w:r w:rsidRPr="00B076BF">
        <w:rPr>
          <w:rFonts w:eastAsia="MS Mincho" w:cs="Arial"/>
          <w:snapToGrid w:val="0"/>
        </w:rPr>
        <w:t>The TC, at its fiftieth session, held in Geneva on April 7 to 9, 2014 and the CAJ, at its sixty-ninth session, held in Geneva on April 10, 2014</w:t>
      </w:r>
      <w:r w:rsidR="00E555DD" w:rsidRPr="00B076BF">
        <w:rPr>
          <w:rFonts w:eastAsia="MS Mincho" w:cs="Arial"/>
          <w:snapToGrid w:val="0"/>
        </w:rPr>
        <w:t>,</w:t>
      </w:r>
      <w:r w:rsidRPr="00B076BF">
        <w:rPr>
          <w:rFonts w:eastAsia="MS Mincho" w:cs="Arial"/>
          <w:snapToGrid w:val="0"/>
        </w:rPr>
        <w:t xml:space="preserve"> agreed</w:t>
      </w:r>
      <w:r w:rsidRPr="00B076BF">
        <w:t xml:space="preserve"> the proposed explanation of </w:t>
      </w:r>
      <w:r w:rsidRPr="00B076BF">
        <w:rPr>
          <w:rFonts w:cs="Arial"/>
        </w:rPr>
        <w:t xml:space="preserve">the situation in UPOV with regard to the use of molecular techniques, as set out </w:t>
      </w:r>
      <w:r w:rsidR="00E555DD" w:rsidRPr="00B076BF">
        <w:rPr>
          <w:rFonts w:cs="Arial"/>
        </w:rPr>
        <w:t>below:</w:t>
      </w:r>
    </w:p>
    <w:p w:rsidR="003D6C70" w:rsidRPr="00B076BF" w:rsidRDefault="003D6C70" w:rsidP="00477345">
      <w:pPr>
        <w:rPr>
          <w:rFonts w:cs="Arial"/>
        </w:rPr>
      </w:pPr>
    </w:p>
    <w:p w:rsidR="002A4DC8" w:rsidRPr="00B076BF" w:rsidRDefault="002A4DC8" w:rsidP="002A4DC8">
      <w:pPr>
        <w:ind w:left="567" w:right="567"/>
      </w:pPr>
      <w:r w:rsidRPr="00B076BF">
        <w:rPr>
          <w:rFonts w:cs="Arial"/>
        </w:rPr>
        <w:t>Question:  Does UPOV allow molecular techniques (DNA profiles) in the DUS examination?</w:t>
      </w:r>
    </w:p>
    <w:p w:rsidR="002A4DC8" w:rsidRPr="00B076BF" w:rsidRDefault="002A4DC8" w:rsidP="002A4DC8">
      <w:pPr>
        <w:ind w:left="567" w:right="567"/>
      </w:pPr>
    </w:p>
    <w:p w:rsidR="002A4DC8" w:rsidRPr="00B076BF" w:rsidRDefault="002A4DC8" w:rsidP="002A4DC8">
      <w:pPr>
        <w:ind w:left="567" w:right="567"/>
        <w:rPr>
          <w:snapToGrid w:val="0"/>
        </w:rPr>
      </w:pPr>
      <w:r w:rsidRPr="00B076BF">
        <w:t>Answer:  “I</w:t>
      </w:r>
      <w:r w:rsidRPr="00B076BF">
        <w:rPr>
          <w:snapToGrid w:val="0"/>
        </w:rPr>
        <w:t>t is important to note that, in some cases, varieties may have a different DNA profile but be phenotypically</w:t>
      </w:r>
      <w:r w:rsidRPr="00B076BF" w:rsidDel="00A76B44">
        <w:rPr>
          <w:snapToGrid w:val="0"/>
        </w:rPr>
        <w:t xml:space="preserve"> </w:t>
      </w:r>
      <w:r w:rsidRPr="00B076BF">
        <w:rPr>
          <w:snapToGrid w:val="0"/>
        </w:rPr>
        <w:t>identical, whilst, in other cases, varieties which have a large phenotypic difference may have the same DNA profile for a particular set of molecular markers (e.g. some mutations).</w:t>
      </w:r>
    </w:p>
    <w:p w:rsidR="002A4DC8" w:rsidRPr="00B076BF" w:rsidRDefault="002A4DC8" w:rsidP="002A4DC8">
      <w:pPr>
        <w:ind w:left="567" w:right="567"/>
        <w:rPr>
          <w:snapToGrid w:val="0"/>
        </w:rPr>
      </w:pPr>
    </w:p>
    <w:p w:rsidR="002A4DC8" w:rsidRPr="00B076BF" w:rsidRDefault="002A4DC8" w:rsidP="002A4DC8">
      <w:pPr>
        <w:ind w:left="567" w:right="567"/>
        <w:rPr>
          <w:snapToGrid w:val="0"/>
        </w:rPr>
      </w:pPr>
      <w:r w:rsidRPr="00B076BF">
        <w:rPr>
          <w:snapToGrid w:val="0"/>
        </w:rPr>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2A4DC8" w:rsidRPr="00B076BF" w:rsidRDefault="002A4DC8" w:rsidP="002A4DC8">
      <w:pPr>
        <w:ind w:left="567" w:right="567"/>
        <w:rPr>
          <w:snapToGrid w:val="0"/>
        </w:rPr>
      </w:pPr>
    </w:p>
    <w:p w:rsidR="002A4DC8" w:rsidRPr="00B076BF" w:rsidRDefault="002A4DC8" w:rsidP="002A4DC8">
      <w:pPr>
        <w:ind w:left="567" w:right="567"/>
        <w:rPr>
          <w:snapToGrid w:val="0"/>
        </w:rPr>
      </w:pPr>
      <w:r w:rsidRPr="00B076BF">
        <w:rPr>
          <w:snapToGrid w:val="0"/>
        </w:rPr>
        <w:t xml:space="preserve">“On the above basis, UPOV has agreed the following uses of molecular markers in relation to DUS examination: </w:t>
      </w:r>
    </w:p>
    <w:p w:rsidR="002A4DC8" w:rsidRPr="00B076BF" w:rsidRDefault="002A4DC8" w:rsidP="002A4DC8">
      <w:pPr>
        <w:ind w:left="567" w:right="567"/>
        <w:rPr>
          <w:snapToGrid w:val="0"/>
        </w:rPr>
      </w:pPr>
    </w:p>
    <w:p w:rsidR="002A4DC8" w:rsidRPr="00B076BF" w:rsidRDefault="002A4DC8" w:rsidP="002A4DC8">
      <w:pPr>
        <w:ind w:left="567" w:right="567"/>
        <w:rPr>
          <w:snapToGrid w:val="0"/>
        </w:rPr>
      </w:pPr>
      <w:r w:rsidRPr="00B076BF">
        <w:rPr>
          <w:snapToGrid w:val="0"/>
        </w:rPr>
        <w:t>“(</w:t>
      </w:r>
      <w:proofErr w:type="gramStart"/>
      <w:r w:rsidRPr="00B076BF">
        <w:rPr>
          <w:snapToGrid w:val="0"/>
        </w:rPr>
        <w:t>a</w:t>
      </w:r>
      <w:proofErr w:type="gramEnd"/>
      <w:r w:rsidRPr="00B076BF">
        <w:rPr>
          <w:snapToGrid w:val="0"/>
        </w:rPr>
        <w:t>)</w:t>
      </w:r>
      <w:r w:rsidRPr="00B076BF">
        <w:rPr>
          <w:snapToGrid w:val="0"/>
        </w:rPr>
        <w:tab/>
        <w:t xml:space="preserve">Molecular markers can be used as a method of examining DUS characteristics that satisfy the criteria for characteristics set out in the General Introduction if there is a reliable link between the marker and the characteristic. </w:t>
      </w:r>
    </w:p>
    <w:p w:rsidR="002A4DC8" w:rsidRPr="00B076BF" w:rsidRDefault="002A4DC8" w:rsidP="002A4DC8">
      <w:pPr>
        <w:ind w:left="567" w:right="567"/>
        <w:rPr>
          <w:snapToGrid w:val="0"/>
        </w:rPr>
      </w:pPr>
    </w:p>
    <w:p w:rsidR="002A4DC8" w:rsidRPr="00B076BF" w:rsidRDefault="002A4DC8" w:rsidP="002A4DC8">
      <w:pPr>
        <w:ind w:left="567" w:right="567"/>
        <w:rPr>
          <w:snapToGrid w:val="0"/>
        </w:rPr>
      </w:pPr>
      <w:r w:rsidRPr="00B076BF">
        <w:rPr>
          <w:snapToGrid w:val="0"/>
        </w:rPr>
        <w:t>“(b)</w:t>
      </w:r>
      <w:r w:rsidRPr="00B076BF">
        <w:rPr>
          <w:snapToGrid w:val="0"/>
        </w:rPr>
        <w:tab/>
        <w:t>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477345" w:rsidRPr="00B076BF" w:rsidRDefault="00477345" w:rsidP="00477345">
      <w:pPr>
        <w:ind w:left="567" w:right="567"/>
        <w:rPr>
          <w:snapToGrid w:val="0"/>
        </w:rPr>
      </w:pPr>
    </w:p>
    <w:p w:rsidR="00477345" w:rsidRPr="00B076BF" w:rsidRDefault="00477345" w:rsidP="00477345">
      <w:pPr>
        <w:ind w:left="567" w:right="567"/>
        <w:rPr>
          <w:snapToGrid w:val="0"/>
        </w:rPr>
      </w:pPr>
      <w:r w:rsidRPr="00B076BF">
        <w:rPr>
          <w:snapToGrid w:val="0"/>
        </w:rPr>
        <w:t xml:space="preserve">“The situation in UPOV is explained in documents </w:t>
      </w:r>
      <w:r w:rsidRPr="00B076BF">
        <w:rPr>
          <w:rFonts w:cs="Arial"/>
        </w:rPr>
        <w:t xml:space="preserve">TGP/15 </w:t>
      </w:r>
      <w:r w:rsidR="007C25BD" w:rsidRPr="00B076BF">
        <w:rPr>
          <w:rFonts w:cs="Arial"/>
        </w:rPr>
        <w:t>‘</w:t>
      </w:r>
      <w:r w:rsidRPr="00B076BF">
        <w:t>Guidance on the Use of Biochemical and Molecular Markers in the Examination of Distinctness,</w:t>
      </w:r>
      <w:r w:rsidR="007C25BD" w:rsidRPr="00B076BF">
        <w:t xml:space="preserve"> Uniformity and Stability (DUS)’</w:t>
      </w:r>
      <w:r w:rsidR="00B62A42" w:rsidRPr="00B076BF">
        <w:t xml:space="preserve"> and UPOV/INF/18 </w:t>
      </w:r>
      <w:r w:rsidR="007C25BD" w:rsidRPr="00B076BF">
        <w:t>‘</w:t>
      </w:r>
      <w:r w:rsidR="00B62A42" w:rsidRPr="00B076BF">
        <w:t>Possible use of Molecular Markers in the Examination of Distinctness,</w:t>
      </w:r>
      <w:r w:rsidR="007C25BD" w:rsidRPr="00B076BF">
        <w:t xml:space="preserve"> Uniformity and Stability (DUS)’”</w:t>
      </w:r>
      <w:r w:rsidRPr="00B076BF">
        <w:t>.</w:t>
      </w:r>
      <w:r w:rsidRPr="00B076BF">
        <w:rPr>
          <w:rFonts w:cs="Arial"/>
        </w:rPr>
        <w:t xml:space="preserve"> </w:t>
      </w:r>
    </w:p>
    <w:p w:rsidR="003D6C70" w:rsidRPr="00B076BF" w:rsidRDefault="003D6C70" w:rsidP="003D6C70"/>
    <w:p w:rsidR="00D00149" w:rsidRPr="00B076BF" w:rsidRDefault="00D00149" w:rsidP="00D00149">
      <w:r w:rsidRPr="00B076BF">
        <w:fldChar w:fldCharType="begin"/>
      </w:r>
      <w:r w:rsidRPr="00B076BF">
        <w:instrText xml:space="preserve"> AUTONUM  </w:instrText>
      </w:r>
      <w:r w:rsidRPr="00B076BF">
        <w:fldChar w:fldCharType="end"/>
      </w:r>
      <w:r w:rsidRPr="00B076BF">
        <w:tab/>
        <w:t>With regard to a wider audience, the TC agreed that the question was not framed in an appropriate way and, therefore, it would not be appropriate to seek to develop an answer to that question. The TC agreed that the question should be rephrased after clarification of the issues of interest to a wider audience.</w:t>
      </w:r>
    </w:p>
    <w:p w:rsidR="00D00149" w:rsidRPr="00B076BF" w:rsidRDefault="00D00149" w:rsidP="003D6C70"/>
    <w:p w:rsidR="00E555DD" w:rsidRDefault="003D58ED" w:rsidP="003D58ED">
      <w:pPr>
        <w:rPr>
          <w:lang w:eastAsia="ja-JP"/>
        </w:rPr>
      </w:pPr>
      <w:r w:rsidRPr="00B076BF">
        <w:fldChar w:fldCharType="begin"/>
      </w:r>
      <w:r w:rsidRPr="00B076BF">
        <w:instrText xml:space="preserve"> AUTONUM  </w:instrText>
      </w:r>
      <w:r w:rsidRPr="00B076BF">
        <w:fldChar w:fldCharType="end"/>
      </w:r>
      <w:r w:rsidRPr="00B076BF">
        <w:tab/>
        <w:t xml:space="preserve">The Council, at its thirty-first extraordinary session, held in Geneva, April 12, 2014, adopted the answers to the frequently asked questions (see document </w:t>
      </w:r>
      <w:proofErr w:type="gramStart"/>
      <w:r w:rsidRPr="00B076BF">
        <w:t>C(</w:t>
      </w:r>
      <w:proofErr w:type="spellStart"/>
      <w:proofErr w:type="gramEnd"/>
      <w:r w:rsidRPr="00B076BF">
        <w:t>Extr</w:t>
      </w:r>
      <w:proofErr w:type="spellEnd"/>
      <w:r w:rsidRPr="00B076BF">
        <w:t>.)/31/5 “Report on the Decisions”, paragraph 15</w:t>
      </w:r>
      <w:r w:rsidR="004241D6">
        <w:rPr>
          <w:rFonts w:hint="eastAsia"/>
          <w:lang w:eastAsia="ja-JP"/>
        </w:rPr>
        <w:t>) including the FAQ as set out in paragraph 13 above.</w:t>
      </w:r>
    </w:p>
    <w:p w:rsidR="004241D6" w:rsidRPr="00B076BF" w:rsidRDefault="004241D6" w:rsidP="003D58ED">
      <w:pPr>
        <w:rPr>
          <w:snapToGrid w:val="0"/>
          <w:lang w:eastAsia="ja-JP"/>
        </w:rPr>
      </w:pPr>
    </w:p>
    <w:p w:rsidR="00E555DD" w:rsidRPr="00B076BF" w:rsidRDefault="00E555DD" w:rsidP="00E555DD">
      <w:r w:rsidRPr="00B076BF">
        <w:fldChar w:fldCharType="begin"/>
      </w:r>
      <w:r w:rsidRPr="00B076BF">
        <w:instrText xml:space="preserve"> AUTONUM  </w:instrText>
      </w:r>
      <w:r w:rsidRPr="00B076BF">
        <w:fldChar w:fldCharType="end"/>
      </w:r>
      <w:r w:rsidRPr="00B076BF">
        <w:tab/>
        <w:t xml:space="preserve">The answers to Frequently Asked Questions are published on the website at </w:t>
      </w:r>
      <w:hyperlink r:id="rId10" w:history="1">
        <w:r w:rsidRPr="00B076BF">
          <w:rPr>
            <w:rStyle w:val="Hyperlink"/>
            <w:color w:val="auto"/>
          </w:rPr>
          <w:t>http://www.upov.int/about/en/faq/</w:t>
        </w:r>
      </w:hyperlink>
      <w:r w:rsidR="001A7767">
        <w:rPr>
          <w:rStyle w:val="Hyperlink"/>
          <w:rFonts w:hint="eastAsia"/>
          <w:color w:val="auto"/>
          <w:lang w:eastAsia="ja-JP"/>
        </w:rPr>
        <w:t>.</w:t>
      </w:r>
      <w:r w:rsidRPr="00B076BF">
        <w:t xml:space="preserve">  </w:t>
      </w:r>
    </w:p>
    <w:p w:rsidR="00701F9F" w:rsidRDefault="00701F9F">
      <w:pPr>
        <w:jc w:val="left"/>
        <w:rPr>
          <w:i/>
          <w:lang w:eastAsia="ja-JP"/>
        </w:rPr>
      </w:pPr>
    </w:p>
    <w:p w:rsidR="004B665E" w:rsidRDefault="004B665E">
      <w:pPr>
        <w:jc w:val="left"/>
        <w:rPr>
          <w:i/>
          <w:lang w:eastAsia="ja-JP"/>
        </w:rPr>
      </w:pPr>
    </w:p>
    <w:p w:rsidR="003D58ED" w:rsidRPr="00DB06BD" w:rsidRDefault="003D58ED" w:rsidP="003D58ED">
      <w:pPr>
        <w:pStyle w:val="DecisionInvitingPara"/>
        <w:tabs>
          <w:tab w:val="left" w:pos="5954"/>
        </w:tabs>
        <w:ind w:left="5387" w:hanging="567"/>
        <w:rPr>
          <w:lang w:val="en-US"/>
        </w:rPr>
      </w:pPr>
      <w:r w:rsidRPr="00DB06BD">
        <w:rPr>
          <w:lang w:val="en-US"/>
        </w:rPr>
        <w:fldChar w:fldCharType="begin"/>
      </w:r>
      <w:r w:rsidRPr="00DB06BD">
        <w:rPr>
          <w:lang w:val="en-US"/>
        </w:rPr>
        <w:instrText xml:space="preserve"> AUTONUM  </w:instrText>
      </w:r>
      <w:r w:rsidRPr="00DB06BD">
        <w:rPr>
          <w:lang w:val="en-US"/>
        </w:rPr>
        <w:fldChar w:fldCharType="end"/>
      </w:r>
      <w:r w:rsidR="00701F9F">
        <w:rPr>
          <w:lang w:val="en-US"/>
        </w:rPr>
        <w:tab/>
        <w:t xml:space="preserve">The </w:t>
      </w:r>
      <w:r w:rsidR="00701F9F">
        <w:rPr>
          <w:rFonts w:hint="eastAsia"/>
          <w:lang w:val="en-US" w:eastAsia="ja-JP"/>
        </w:rPr>
        <w:t>BMT</w:t>
      </w:r>
      <w:r w:rsidRPr="00DB06BD">
        <w:rPr>
          <w:lang w:val="en-US"/>
        </w:rPr>
        <w:t xml:space="preserve"> is invited to note the report on developments concerning:</w:t>
      </w:r>
    </w:p>
    <w:p w:rsidR="003D58ED" w:rsidRPr="00DB06BD" w:rsidRDefault="003D58ED" w:rsidP="003D58ED">
      <w:pPr>
        <w:pStyle w:val="DecisionInvitingPara"/>
        <w:tabs>
          <w:tab w:val="left" w:pos="5954"/>
        </w:tabs>
        <w:ind w:left="5387" w:hanging="567"/>
        <w:rPr>
          <w:lang w:val="en-US"/>
        </w:rPr>
      </w:pPr>
    </w:p>
    <w:p w:rsidR="003D58ED" w:rsidRPr="00DB06BD" w:rsidRDefault="003D58ED" w:rsidP="003D58ED">
      <w:pPr>
        <w:pStyle w:val="DecisionInvitingPara"/>
        <w:tabs>
          <w:tab w:val="left" w:pos="5954"/>
        </w:tabs>
        <w:ind w:left="4820" w:firstLine="567"/>
        <w:rPr>
          <w:lang w:val="en-US"/>
        </w:rPr>
      </w:pPr>
      <w:r w:rsidRPr="00DB06BD">
        <w:rPr>
          <w:lang w:val="en-US"/>
        </w:rPr>
        <w:t>(a)</w:t>
      </w:r>
      <w:r w:rsidRPr="00DB06BD">
        <w:rPr>
          <w:lang w:val="en-US"/>
        </w:rPr>
        <w:tab/>
      </w:r>
      <w:r w:rsidR="00712FD5">
        <w:rPr>
          <w:lang w:val="en-US"/>
        </w:rPr>
        <w:t xml:space="preserve">documents </w:t>
      </w:r>
      <w:r w:rsidR="008C198F" w:rsidRPr="008C198F">
        <w:rPr>
          <w:lang w:val="en-US"/>
        </w:rPr>
        <w:t>UPOV/INF/18/1</w:t>
      </w:r>
      <w:r w:rsidR="00712FD5">
        <w:rPr>
          <w:lang w:val="en-US"/>
        </w:rPr>
        <w:t xml:space="preserve"> “</w:t>
      </w:r>
      <w:r w:rsidR="00712FD5" w:rsidRPr="00712FD5">
        <w:rPr>
          <w:lang w:val="en-US"/>
        </w:rPr>
        <w:t>Possible use of Molecular Markers in the Examination of Distinctness, Uniformity and Stability (DUS)</w:t>
      </w:r>
      <w:r w:rsidR="00712FD5">
        <w:rPr>
          <w:lang w:val="en-US"/>
        </w:rPr>
        <w:t>”</w:t>
      </w:r>
      <w:r w:rsidR="008C198F" w:rsidRPr="008C198F">
        <w:rPr>
          <w:lang w:val="en-US"/>
        </w:rPr>
        <w:t>,  TGP/15/1</w:t>
      </w:r>
      <w:r w:rsidR="00712FD5">
        <w:rPr>
          <w:lang w:val="en-US"/>
        </w:rPr>
        <w:t xml:space="preserve"> “</w:t>
      </w:r>
      <w:r w:rsidR="00712FD5" w:rsidRPr="00712FD5">
        <w:rPr>
          <w:lang w:val="en-US"/>
        </w:rPr>
        <w:t>Guidance for Members of UPOV on Ongoing Obligations and Related Notifications and on the Provision of Information to Facilitate Cooperation</w:t>
      </w:r>
      <w:r w:rsidR="00712FD5">
        <w:rPr>
          <w:lang w:val="en-US"/>
        </w:rPr>
        <w:t>”</w:t>
      </w:r>
      <w:r w:rsidR="008C198F" w:rsidRPr="008C198F">
        <w:rPr>
          <w:lang w:val="en-US"/>
        </w:rPr>
        <w:t xml:space="preserve"> and  UPOV/INF/17/1</w:t>
      </w:r>
      <w:r w:rsidR="00712FD5">
        <w:rPr>
          <w:lang w:val="en-US"/>
        </w:rPr>
        <w:t xml:space="preserve"> “</w:t>
      </w:r>
      <w:r w:rsidR="00712FD5" w:rsidRPr="00712FD5">
        <w:rPr>
          <w:lang w:val="en-US"/>
        </w:rPr>
        <w:t>Guidelines for DNA-Profiling: Molecular Marker Selection and Database Construction ("BMT Guidelines")</w:t>
      </w:r>
      <w:r w:rsidR="00712FD5">
        <w:rPr>
          <w:lang w:val="en-US"/>
        </w:rPr>
        <w:t>”</w:t>
      </w:r>
      <w:r w:rsidRPr="00DB06BD">
        <w:rPr>
          <w:lang w:val="en-US"/>
        </w:rPr>
        <w:t>;</w:t>
      </w:r>
    </w:p>
    <w:p w:rsidR="003D58ED" w:rsidRPr="00DB06BD" w:rsidRDefault="003D58ED" w:rsidP="003D58ED">
      <w:pPr>
        <w:pStyle w:val="DecisionInvitingPara"/>
        <w:tabs>
          <w:tab w:val="left" w:pos="5954"/>
        </w:tabs>
        <w:ind w:left="0" w:firstLine="4820"/>
        <w:rPr>
          <w:lang w:val="en-US"/>
        </w:rPr>
      </w:pPr>
    </w:p>
    <w:p w:rsidR="003D58ED" w:rsidRPr="00DB06BD" w:rsidRDefault="003D58ED" w:rsidP="003D58ED">
      <w:pPr>
        <w:pStyle w:val="DecisionInvitingPara"/>
        <w:tabs>
          <w:tab w:val="left" w:pos="5954"/>
        </w:tabs>
        <w:ind w:left="4820" w:firstLine="567"/>
        <w:rPr>
          <w:lang w:val="en-US"/>
        </w:rPr>
      </w:pPr>
      <w:r w:rsidRPr="00DB06BD">
        <w:rPr>
          <w:lang w:val="en-US"/>
        </w:rPr>
        <w:t>(b)</w:t>
      </w:r>
      <w:r w:rsidRPr="00DB06BD">
        <w:rPr>
          <w:lang w:val="en-US"/>
        </w:rPr>
        <w:tab/>
      </w:r>
      <w:r w:rsidR="008C198F">
        <w:rPr>
          <w:lang w:val="en-US"/>
        </w:rPr>
        <w:t>disco</w:t>
      </w:r>
      <w:bookmarkStart w:id="9" w:name="_GoBack"/>
      <w:bookmarkEnd w:id="9"/>
      <w:r w:rsidR="008C198F">
        <w:rPr>
          <w:lang w:val="en-US"/>
        </w:rPr>
        <w:t xml:space="preserve">ntinuation of </w:t>
      </w:r>
      <w:r w:rsidR="00712FD5">
        <w:rPr>
          <w:lang w:val="en-US"/>
        </w:rPr>
        <w:t xml:space="preserve">the </w:t>
      </w:r>
      <w:r w:rsidR="00B076BF" w:rsidRPr="00712FD5">
        <w:rPr>
          <w:i w:val="0"/>
          <w:lang w:val="en-US" w:eastAsia="ja-JP"/>
        </w:rPr>
        <w:t>Ad Hoc</w:t>
      </w:r>
      <w:r w:rsidR="00B076BF" w:rsidRPr="00DB06BD">
        <w:rPr>
          <w:lang w:val="en-US" w:eastAsia="ja-JP"/>
        </w:rPr>
        <w:t xml:space="preserve"> Subg</w:t>
      </w:r>
      <w:r w:rsidRPr="00DB06BD">
        <w:rPr>
          <w:lang w:val="en-US"/>
        </w:rPr>
        <w:t>roup</w:t>
      </w:r>
      <w:r w:rsidR="00B076BF" w:rsidRPr="00DB06BD">
        <w:rPr>
          <w:lang w:val="en-US" w:eastAsia="ja-JP"/>
        </w:rPr>
        <w:t>s</w:t>
      </w:r>
      <w:r w:rsidRPr="00DB06BD">
        <w:rPr>
          <w:lang w:val="en-US"/>
        </w:rPr>
        <w:t xml:space="preserve"> on Biochemical and Molecular Techniques</w:t>
      </w:r>
      <w:r w:rsidR="00B076BF" w:rsidRPr="00DB06BD">
        <w:rPr>
          <w:lang w:val="en-US" w:eastAsia="ja-JP"/>
        </w:rPr>
        <w:t xml:space="preserve"> (Crop subgroups)</w:t>
      </w:r>
      <w:r w:rsidR="008C198F">
        <w:rPr>
          <w:lang w:val="en-US"/>
        </w:rPr>
        <w:t xml:space="preserve">; </w:t>
      </w:r>
      <w:r w:rsidRPr="00DB06BD">
        <w:rPr>
          <w:lang w:val="en-US"/>
        </w:rPr>
        <w:t>and</w:t>
      </w:r>
    </w:p>
    <w:p w:rsidR="003D58ED" w:rsidRPr="00DB06BD" w:rsidRDefault="003D58ED" w:rsidP="003D58ED">
      <w:pPr>
        <w:pStyle w:val="DecisionInvitingPara"/>
        <w:tabs>
          <w:tab w:val="left" w:pos="5954"/>
        </w:tabs>
        <w:ind w:left="4820" w:firstLine="567"/>
        <w:rPr>
          <w:lang w:val="en-US"/>
        </w:rPr>
      </w:pPr>
    </w:p>
    <w:p w:rsidR="003D58ED" w:rsidRPr="00DB06BD" w:rsidRDefault="00CE6D05" w:rsidP="003D58ED">
      <w:pPr>
        <w:pStyle w:val="DecisionInvitingPara"/>
        <w:tabs>
          <w:tab w:val="left" w:pos="5954"/>
        </w:tabs>
        <w:ind w:left="4820" w:firstLine="567"/>
        <w:rPr>
          <w:lang w:val="en-US"/>
        </w:rPr>
      </w:pPr>
      <w:r w:rsidRPr="00DB06BD">
        <w:rPr>
          <w:lang w:val="en-US"/>
        </w:rPr>
        <w:t>(c</w:t>
      </w:r>
      <w:r w:rsidR="003D58ED" w:rsidRPr="00DB06BD">
        <w:rPr>
          <w:lang w:val="en-US"/>
        </w:rPr>
        <w:t>)</w:t>
      </w:r>
      <w:r w:rsidR="003D58ED" w:rsidRPr="00DB06BD">
        <w:rPr>
          <w:lang w:val="en-US"/>
        </w:rPr>
        <w:tab/>
      </w:r>
      <w:r w:rsidR="00712FD5">
        <w:rPr>
          <w:lang w:val="en-US"/>
        </w:rPr>
        <w:t>development of an FAQ concerning the use of molecular techniques in the DUS examination</w:t>
      </w:r>
      <w:r w:rsidRPr="00DB06BD">
        <w:rPr>
          <w:lang w:val="en-US"/>
        </w:rPr>
        <w:t>.</w:t>
      </w:r>
    </w:p>
    <w:p w:rsidR="00050E16" w:rsidRPr="00B076BF" w:rsidRDefault="001D5E40" w:rsidP="00477345">
      <w:pPr>
        <w:pStyle w:val="endofdoc"/>
        <w:rPr>
          <w:rFonts w:cs="Arial"/>
        </w:rPr>
      </w:pPr>
      <w:r w:rsidRPr="00B076BF">
        <w:rPr>
          <w:rFonts w:cs="Arial"/>
        </w:rPr>
        <w:t>[</w:t>
      </w:r>
      <w:r w:rsidR="003F34A5">
        <w:rPr>
          <w:rFonts w:cs="Arial" w:hint="eastAsia"/>
          <w:lang w:eastAsia="ja-JP"/>
        </w:rPr>
        <w:t>End of document</w:t>
      </w:r>
      <w:r w:rsidR="00477345" w:rsidRPr="00B076BF">
        <w:rPr>
          <w:rFonts w:cs="Arial"/>
        </w:rPr>
        <w:t>]</w:t>
      </w:r>
    </w:p>
    <w:p w:rsidR="00B24E19" w:rsidRDefault="00B24E19" w:rsidP="00093F0C">
      <w:pPr>
        <w:ind w:right="400"/>
        <w:rPr>
          <w:snapToGrid w:val="0"/>
          <w:lang w:eastAsia="ja-JP"/>
        </w:rPr>
      </w:pPr>
    </w:p>
    <w:p w:rsidR="003F34A5" w:rsidRDefault="003F34A5" w:rsidP="00093F0C">
      <w:pPr>
        <w:ind w:right="400"/>
        <w:rPr>
          <w:snapToGrid w:val="0"/>
          <w:lang w:eastAsia="ja-JP"/>
        </w:rPr>
      </w:pPr>
    </w:p>
    <w:p w:rsidR="003F34A5" w:rsidRDefault="003F34A5" w:rsidP="00093F0C">
      <w:pPr>
        <w:ind w:right="400"/>
        <w:rPr>
          <w:snapToGrid w:val="0"/>
          <w:lang w:eastAsia="ja-JP"/>
        </w:rPr>
      </w:pPr>
    </w:p>
    <w:sectPr w:rsidR="003F34A5" w:rsidSect="003F34A5">
      <w:headerReference w:type="default" r:id="rId11"/>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C8" w:rsidRDefault="002A4DC8" w:rsidP="006655D3">
      <w:r>
        <w:separator/>
      </w:r>
    </w:p>
    <w:p w:rsidR="002A4DC8" w:rsidRDefault="002A4DC8" w:rsidP="006655D3"/>
    <w:p w:rsidR="002A4DC8" w:rsidRDefault="002A4DC8" w:rsidP="006655D3"/>
  </w:endnote>
  <w:endnote w:type="continuationSeparator" w:id="0">
    <w:p w:rsidR="002A4DC8" w:rsidRDefault="002A4DC8" w:rsidP="006655D3">
      <w:r>
        <w:separator/>
      </w:r>
    </w:p>
    <w:p w:rsidR="002A4DC8" w:rsidRPr="00477345" w:rsidRDefault="002A4DC8">
      <w:pPr>
        <w:pStyle w:val="Footer"/>
        <w:spacing w:after="60"/>
        <w:rPr>
          <w:sz w:val="18"/>
          <w:lang w:val="fr-FR"/>
        </w:rPr>
      </w:pPr>
      <w:r w:rsidRPr="00477345">
        <w:rPr>
          <w:sz w:val="18"/>
          <w:lang w:val="fr-FR"/>
        </w:rPr>
        <w:t>[Suite de la note de la page précédente]</w:t>
      </w:r>
    </w:p>
    <w:p w:rsidR="002A4DC8" w:rsidRPr="00477345" w:rsidRDefault="002A4DC8" w:rsidP="006655D3">
      <w:pPr>
        <w:rPr>
          <w:lang w:val="fr-FR"/>
        </w:rPr>
      </w:pPr>
    </w:p>
    <w:p w:rsidR="002A4DC8" w:rsidRPr="00477345" w:rsidRDefault="002A4DC8" w:rsidP="006655D3">
      <w:pPr>
        <w:rPr>
          <w:lang w:val="fr-FR"/>
        </w:rPr>
      </w:pPr>
    </w:p>
  </w:endnote>
  <w:endnote w:type="continuationNotice" w:id="1">
    <w:p w:rsidR="002A4DC8" w:rsidRPr="00477345" w:rsidRDefault="002A4DC8" w:rsidP="006655D3">
      <w:pPr>
        <w:rPr>
          <w:lang w:val="fr-FR"/>
        </w:rPr>
      </w:pPr>
      <w:r w:rsidRPr="00477345">
        <w:rPr>
          <w:lang w:val="fr-FR"/>
        </w:rPr>
        <w:t>[Suite de la note page suivante]</w:t>
      </w:r>
    </w:p>
    <w:p w:rsidR="002A4DC8" w:rsidRPr="00477345" w:rsidRDefault="002A4DC8" w:rsidP="006655D3">
      <w:pPr>
        <w:rPr>
          <w:lang w:val="fr-FR"/>
        </w:rPr>
      </w:pPr>
    </w:p>
    <w:p w:rsidR="002A4DC8" w:rsidRPr="00477345" w:rsidRDefault="002A4D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C8" w:rsidRDefault="002A4DC8" w:rsidP="006655D3">
      <w:r>
        <w:separator/>
      </w:r>
    </w:p>
  </w:footnote>
  <w:footnote w:type="continuationSeparator" w:id="0">
    <w:p w:rsidR="002A4DC8" w:rsidRDefault="002A4DC8" w:rsidP="006655D3">
      <w:r>
        <w:separator/>
      </w:r>
    </w:p>
  </w:footnote>
  <w:footnote w:type="continuationNotice" w:id="1">
    <w:p w:rsidR="002A4DC8" w:rsidRPr="00AB530F" w:rsidRDefault="002A4DC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6B" w:rsidRDefault="00F3606B">
    <w:pPr>
      <w:pStyle w:val="Header"/>
    </w:pPr>
    <w:r>
      <w:t>BMT/14/2</w:t>
    </w:r>
  </w:p>
  <w:p w:rsidR="00F3606B" w:rsidRDefault="00F3606B">
    <w:pPr>
      <w:pStyle w:val="Header"/>
    </w:pPr>
    <w:proofErr w:type="gramStart"/>
    <w:r>
      <w:t>page</w:t>
    </w:r>
    <w:proofErr w:type="gramEnd"/>
    <w:r>
      <w:t xml:space="preserve"> </w:t>
    </w:r>
    <w:sdt>
      <w:sdtPr>
        <w:id w:val="-78912656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140B4">
          <w:rPr>
            <w:noProof/>
          </w:rPr>
          <w:t>2</w:t>
        </w:r>
        <w:r>
          <w:rPr>
            <w:noProof/>
          </w:rPr>
          <w:fldChar w:fldCharType="end"/>
        </w:r>
      </w:sdtContent>
    </w:sdt>
  </w:p>
  <w:p w:rsidR="00F3606B" w:rsidRDefault="00F36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5D0"/>
    <w:multiLevelType w:val="hybridMultilevel"/>
    <w:tmpl w:val="3D02CE42"/>
    <w:lvl w:ilvl="0" w:tplc="241E1A5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0">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D34756"/>
    <w:multiLevelType w:val="hybridMultilevel"/>
    <w:tmpl w:val="C784B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5"/>
  </w:num>
  <w:num w:numId="2">
    <w:abstractNumId w:val="1"/>
  </w:num>
  <w:num w:numId="3">
    <w:abstractNumId w:val="12"/>
  </w:num>
  <w:num w:numId="4">
    <w:abstractNumId w:val="9"/>
  </w:num>
  <w:num w:numId="5">
    <w:abstractNumId w:val="3"/>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0"/>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6028"/>
    <w:rsid w:val="00044642"/>
    <w:rsid w:val="000446B9"/>
    <w:rsid w:val="00047E21"/>
    <w:rsid w:val="00050E16"/>
    <w:rsid w:val="00071060"/>
    <w:rsid w:val="000825CD"/>
    <w:rsid w:val="00085505"/>
    <w:rsid w:val="00093F0C"/>
    <w:rsid w:val="000A4E4F"/>
    <w:rsid w:val="000B7B9A"/>
    <w:rsid w:val="000C7021"/>
    <w:rsid w:val="000D6BBC"/>
    <w:rsid w:val="000D7780"/>
    <w:rsid w:val="000F1D05"/>
    <w:rsid w:val="000F2F11"/>
    <w:rsid w:val="000F7E6A"/>
    <w:rsid w:val="00105929"/>
    <w:rsid w:val="001131D5"/>
    <w:rsid w:val="001167A0"/>
    <w:rsid w:val="00137D62"/>
    <w:rsid w:val="00141DB8"/>
    <w:rsid w:val="001537DF"/>
    <w:rsid w:val="00157DF4"/>
    <w:rsid w:val="00166F0F"/>
    <w:rsid w:val="0017474A"/>
    <w:rsid w:val="001758C6"/>
    <w:rsid w:val="00182701"/>
    <w:rsid w:val="00182B99"/>
    <w:rsid w:val="00182CF6"/>
    <w:rsid w:val="00195A44"/>
    <w:rsid w:val="001A7767"/>
    <w:rsid w:val="001B036B"/>
    <w:rsid w:val="001B12AB"/>
    <w:rsid w:val="001D3B2E"/>
    <w:rsid w:val="001D5E40"/>
    <w:rsid w:val="001E32F0"/>
    <w:rsid w:val="001E6801"/>
    <w:rsid w:val="001F0CA4"/>
    <w:rsid w:val="001F1E4C"/>
    <w:rsid w:val="0021332C"/>
    <w:rsid w:val="00213982"/>
    <w:rsid w:val="00220FEE"/>
    <w:rsid w:val="00226590"/>
    <w:rsid w:val="00233C64"/>
    <w:rsid w:val="0024416D"/>
    <w:rsid w:val="002714FE"/>
    <w:rsid w:val="00271911"/>
    <w:rsid w:val="00275B4D"/>
    <w:rsid w:val="002800A0"/>
    <w:rsid w:val="002801B3"/>
    <w:rsid w:val="00281060"/>
    <w:rsid w:val="00287838"/>
    <w:rsid w:val="0029409E"/>
    <w:rsid w:val="002940E8"/>
    <w:rsid w:val="002A4DC8"/>
    <w:rsid w:val="002A6E50"/>
    <w:rsid w:val="002C256A"/>
    <w:rsid w:val="002D7F83"/>
    <w:rsid w:val="002F1823"/>
    <w:rsid w:val="002F749F"/>
    <w:rsid w:val="00305A7F"/>
    <w:rsid w:val="00310440"/>
    <w:rsid w:val="003152FE"/>
    <w:rsid w:val="00327436"/>
    <w:rsid w:val="00334714"/>
    <w:rsid w:val="00341943"/>
    <w:rsid w:val="00344BD6"/>
    <w:rsid w:val="0035528D"/>
    <w:rsid w:val="00361821"/>
    <w:rsid w:val="00362C4E"/>
    <w:rsid w:val="00374A83"/>
    <w:rsid w:val="003D227C"/>
    <w:rsid w:val="003D2B4D"/>
    <w:rsid w:val="003D3BC8"/>
    <w:rsid w:val="003D58ED"/>
    <w:rsid w:val="003D6C70"/>
    <w:rsid w:val="003F34A5"/>
    <w:rsid w:val="0041245D"/>
    <w:rsid w:val="00416A53"/>
    <w:rsid w:val="00417C69"/>
    <w:rsid w:val="004241D6"/>
    <w:rsid w:val="00444A88"/>
    <w:rsid w:val="004512FF"/>
    <w:rsid w:val="0045470D"/>
    <w:rsid w:val="00474386"/>
    <w:rsid w:val="00474DA4"/>
    <w:rsid w:val="00476B4D"/>
    <w:rsid w:val="00477345"/>
    <w:rsid w:val="004805FA"/>
    <w:rsid w:val="004977E9"/>
    <w:rsid w:val="004B665E"/>
    <w:rsid w:val="004C7C85"/>
    <w:rsid w:val="004D047D"/>
    <w:rsid w:val="004F305A"/>
    <w:rsid w:val="00502EAC"/>
    <w:rsid w:val="00505459"/>
    <w:rsid w:val="00512164"/>
    <w:rsid w:val="00520297"/>
    <w:rsid w:val="005245AD"/>
    <w:rsid w:val="00524762"/>
    <w:rsid w:val="005338F9"/>
    <w:rsid w:val="00535D58"/>
    <w:rsid w:val="0054281C"/>
    <w:rsid w:val="0054520C"/>
    <w:rsid w:val="0055268D"/>
    <w:rsid w:val="00576BE4"/>
    <w:rsid w:val="00582380"/>
    <w:rsid w:val="005A400A"/>
    <w:rsid w:val="005B680C"/>
    <w:rsid w:val="005C5272"/>
    <w:rsid w:val="005C5B75"/>
    <w:rsid w:val="005E590E"/>
    <w:rsid w:val="005F39AC"/>
    <w:rsid w:val="00604DCD"/>
    <w:rsid w:val="00612379"/>
    <w:rsid w:val="00612C69"/>
    <w:rsid w:val="0061555F"/>
    <w:rsid w:val="00621527"/>
    <w:rsid w:val="00624E83"/>
    <w:rsid w:val="0063139E"/>
    <w:rsid w:val="0063243A"/>
    <w:rsid w:val="00633EA9"/>
    <w:rsid w:val="00641200"/>
    <w:rsid w:val="00642A73"/>
    <w:rsid w:val="006445EE"/>
    <w:rsid w:val="00663A71"/>
    <w:rsid w:val="006655D3"/>
    <w:rsid w:val="00667404"/>
    <w:rsid w:val="00676DFD"/>
    <w:rsid w:val="00684AF0"/>
    <w:rsid w:val="00687EB4"/>
    <w:rsid w:val="006914F1"/>
    <w:rsid w:val="006A2716"/>
    <w:rsid w:val="006A561F"/>
    <w:rsid w:val="006B17D2"/>
    <w:rsid w:val="006B3AEF"/>
    <w:rsid w:val="006C19F9"/>
    <w:rsid w:val="006C224E"/>
    <w:rsid w:val="006D780A"/>
    <w:rsid w:val="006E737F"/>
    <w:rsid w:val="006F22E1"/>
    <w:rsid w:val="006F551D"/>
    <w:rsid w:val="00701F9F"/>
    <w:rsid w:val="00712FD5"/>
    <w:rsid w:val="00732DEC"/>
    <w:rsid w:val="00735BD5"/>
    <w:rsid w:val="007473D2"/>
    <w:rsid w:val="007556F6"/>
    <w:rsid w:val="00760EEF"/>
    <w:rsid w:val="00765973"/>
    <w:rsid w:val="00776750"/>
    <w:rsid w:val="00777EE5"/>
    <w:rsid w:val="00784836"/>
    <w:rsid w:val="00787DEF"/>
    <w:rsid w:val="0079023E"/>
    <w:rsid w:val="0079128B"/>
    <w:rsid w:val="007A2854"/>
    <w:rsid w:val="007C25BD"/>
    <w:rsid w:val="007D0B9D"/>
    <w:rsid w:val="007D19B0"/>
    <w:rsid w:val="007F2F9C"/>
    <w:rsid w:val="007F498F"/>
    <w:rsid w:val="0080482B"/>
    <w:rsid w:val="0080679D"/>
    <w:rsid w:val="008108B0"/>
    <w:rsid w:val="0081106E"/>
    <w:rsid w:val="00811B20"/>
    <w:rsid w:val="00813850"/>
    <w:rsid w:val="008140B4"/>
    <w:rsid w:val="008161A5"/>
    <w:rsid w:val="00816776"/>
    <w:rsid w:val="0082296E"/>
    <w:rsid w:val="00824099"/>
    <w:rsid w:val="00834411"/>
    <w:rsid w:val="00835D65"/>
    <w:rsid w:val="00837FBC"/>
    <w:rsid w:val="00854C32"/>
    <w:rsid w:val="00863113"/>
    <w:rsid w:val="00864FB2"/>
    <w:rsid w:val="00867AC1"/>
    <w:rsid w:val="00876B8F"/>
    <w:rsid w:val="00881F2A"/>
    <w:rsid w:val="008841D9"/>
    <w:rsid w:val="008929D6"/>
    <w:rsid w:val="00895F99"/>
    <w:rsid w:val="008A743F"/>
    <w:rsid w:val="008A75D6"/>
    <w:rsid w:val="008C0970"/>
    <w:rsid w:val="008C198F"/>
    <w:rsid w:val="008C2044"/>
    <w:rsid w:val="008D2CF7"/>
    <w:rsid w:val="008E5807"/>
    <w:rsid w:val="00900C26"/>
    <w:rsid w:val="0090197F"/>
    <w:rsid w:val="00903FAE"/>
    <w:rsid w:val="00906DDC"/>
    <w:rsid w:val="00934E09"/>
    <w:rsid w:val="00936253"/>
    <w:rsid w:val="00937891"/>
    <w:rsid w:val="00944D1B"/>
    <w:rsid w:val="00952DD4"/>
    <w:rsid w:val="00954973"/>
    <w:rsid w:val="00970FED"/>
    <w:rsid w:val="009739C6"/>
    <w:rsid w:val="0098554C"/>
    <w:rsid w:val="00992D82"/>
    <w:rsid w:val="00997029"/>
    <w:rsid w:val="009A4635"/>
    <w:rsid w:val="009C1286"/>
    <w:rsid w:val="009C51B2"/>
    <w:rsid w:val="009D690D"/>
    <w:rsid w:val="009E65B6"/>
    <w:rsid w:val="009F60CA"/>
    <w:rsid w:val="00A03296"/>
    <w:rsid w:val="00A03648"/>
    <w:rsid w:val="00A05D8B"/>
    <w:rsid w:val="00A24C10"/>
    <w:rsid w:val="00A42AC3"/>
    <w:rsid w:val="00A430CF"/>
    <w:rsid w:val="00A45FFC"/>
    <w:rsid w:val="00A53CDD"/>
    <w:rsid w:val="00A54309"/>
    <w:rsid w:val="00A6084F"/>
    <w:rsid w:val="00A637AE"/>
    <w:rsid w:val="00A663EC"/>
    <w:rsid w:val="00A756FB"/>
    <w:rsid w:val="00A8342C"/>
    <w:rsid w:val="00A920F6"/>
    <w:rsid w:val="00AB2812"/>
    <w:rsid w:val="00AB2B93"/>
    <w:rsid w:val="00AB530F"/>
    <w:rsid w:val="00AB6523"/>
    <w:rsid w:val="00AB7E5B"/>
    <w:rsid w:val="00AD54CD"/>
    <w:rsid w:val="00AE09DF"/>
    <w:rsid w:val="00AE0EF1"/>
    <w:rsid w:val="00AE2937"/>
    <w:rsid w:val="00AE48EB"/>
    <w:rsid w:val="00AF2367"/>
    <w:rsid w:val="00B07301"/>
    <w:rsid w:val="00B076BF"/>
    <w:rsid w:val="00B20E48"/>
    <w:rsid w:val="00B21DDB"/>
    <w:rsid w:val="00B224DE"/>
    <w:rsid w:val="00B24E19"/>
    <w:rsid w:val="00B46575"/>
    <w:rsid w:val="00B62A42"/>
    <w:rsid w:val="00B64447"/>
    <w:rsid w:val="00B84BBD"/>
    <w:rsid w:val="00BA07CF"/>
    <w:rsid w:val="00BA43FB"/>
    <w:rsid w:val="00BC127D"/>
    <w:rsid w:val="00BC1FE6"/>
    <w:rsid w:val="00BD72F8"/>
    <w:rsid w:val="00C061B6"/>
    <w:rsid w:val="00C10E05"/>
    <w:rsid w:val="00C22F5D"/>
    <w:rsid w:val="00C2446C"/>
    <w:rsid w:val="00C314EA"/>
    <w:rsid w:val="00C36AE5"/>
    <w:rsid w:val="00C41F17"/>
    <w:rsid w:val="00C45724"/>
    <w:rsid w:val="00C46C3A"/>
    <w:rsid w:val="00C5280D"/>
    <w:rsid w:val="00C5791C"/>
    <w:rsid w:val="00C65728"/>
    <w:rsid w:val="00C66290"/>
    <w:rsid w:val="00C72B7A"/>
    <w:rsid w:val="00C75835"/>
    <w:rsid w:val="00C973F2"/>
    <w:rsid w:val="00CA304C"/>
    <w:rsid w:val="00CA774A"/>
    <w:rsid w:val="00CB7125"/>
    <w:rsid w:val="00CC11B0"/>
    <w:rsid w:val="00CC5C93"/>
    <w:rsid w:val="00CE6D05"/>
    <w:rsid w:val="00CF7E36"/>
    <w:rsid w:val="00D00149"/>
    <w:rsid w:val="00D13F23"/>
    <w:rsid w:val="00D1712A"/>
    <w:rsid w:val="00D3708D"/>
    <w:rsid w:val="00D40426"/>
    <w:rsid w:val="00D41FEC"/>
    <w:rsid w:val="00D57C96"/>
    <w:rsid w:val="00D731EA"/>
    <w:rsid w:val="00D87251"/>
    <w:rsid w:val="00D91203"/>
    <w:rsid w:val="00D94D3A"/>
    <w:rsid w:val="00D95174"/>
    <w:rsid w:val="00DA6F36"/>
    <w:rsid w:val="00DB06BD"/>
    <w:rsid w:val="00DB596E"/>
    <w:rsid w:val="00DB7773"/>
    <w:rsid w:val="00DC00EA"/>
    <w:rsid w:val="00DC04F7"/>
    <w:rsid w:val="00DC2279"/>
    <w:rsid w:val="00DC38A1"/>
    <w:rsid w:val="00DE0B36"/>
    <w:rsid w:val="00E0335A"/>
    <w:rsid w:val="00E32F7E"/>
    <w:rsid w:val="00E339A6"/>
    <w:rsid w:val="00E34B8A"/>
    <w:rsid w:val="00E555DD"/>
    <w:rsid w:val="00E60CE4"/>
    <w:rsid w:val="00E67C40"/>
    <w:rsid w:val="00E71894"/>
    <w:rsid w:val="00E72D49"/>
    <w:rsid w:val="00E7593C"/>
    <w:rsid w:val="00E7678A"/>
    <w:rsid w:val="00E82F50"/>
    <w:rsid w:val="00E935F1"/>
    <w:rsid w:val="00E93A83"/>
    <w:rsid w:val="00E94A81"/>
    <w:rsid w:val="00EA1FFB"/>
    <w:rsid w:val="00EB048E"/>
    <w:rsid w:val="00EB7BF9"/>
    <w:rsid w:val="00ED0912"/>
    <w:rsid w:val="00ED37DA"/>
    <w:rsid w:val="00EE3495"/>
    <w:rsid w:val="00EE34DF"/>
    <w:rsid w:val="00EF2F89"/>
    <w:rsid w:val="00F00F8C"/>
    <w:rsid w:val="00F042A5"/>
    <w:rsid w:val="00F1237A"/>
    <w:rsid w:val="00F221FB"/>
    <w:rsid w:val="00F22CBD"/>
    <w:rsid w:val="00F25CDB"/>
    <w:rsid w:val="00F3606B"/>
    <w:rsid w:val="00F40673"/>
    <w:rsid w:val="00F45372"/>
    <w:rsid w:val="00F5330E"/>
    <w:rsid w:val="00F53D1D"/>
    <w:rsid w:val="00F551DC"/>
    <w:rsid w:val="00F560F7"/>
    <w:rsid w:val="00F6334D"/>
    <w:rsid w:val="00F74FDE"/>
    <w:rsid w:val="00F9175E"/>
    <w:rsid w:val="00FA49AB"/>
    <w:rsid w:val="00FC0DD4"/>
    <w:rsid w:val="00FD7B1A"/>
    <w:rsid w:val="00FE1DDE"/>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334714"/>
    <w:pPr>
      <w:keepNext/>
      <w:jc w:val="both"/>
      <w:outlineLvl w:val="0"/>
    </w:pPr>
    <w:rPr>
      <w:rFonts w:ascii="Arial" w:hAnsi="Arial"/>
      <w:caps/>
    </w:rPr>
  </w:style>
  <w:style w:type="paragraph" w:styleId="Heading2">
    <w:name w:val="heading 2"/>
    <w:next w:val="Normal"/>
    <w:autoRedefine/>
    <w:qFormat/>
    <w:rsid w:val="003F34A5"/>
    <w:pPr>
      <w:ind w:left="1170" w:hanging="630"/>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334714"/>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HeaderChar">
    <w:name w:val="Header Char"/>
    <w:basedOn w:val="DefaultParagraphFont"/>
    <w:link w:val="Header"/>
    <w:uiPriority w:val="99"/>
    <w:rsid w:val="002A4DC8"/>
    <w:rPr>
      <w:rFonts w:ascii="Arial" w:hAnsi="Arial"/>
      <w:lang w:val="fr-FR"/>
    </w:rPr>
  </w:style>
  <w:style w:type="paragraph" w:customStyle="1" w:styleId="DecisionInvitingPara">
    <w:name w:val="Decision Inviting Para."/>
    <w:basedOn w:val="Normal"/>
    <w:rsid w:val="003D58ED"/>
    <w:pPr>
      <w:ind w:left="4536"/>
    </w:pPr>
    <w:rPr>
      <w:i/>
      <w:lang w:val="es-ES_tradnl"/>
    </w:rPr>
  </w:style>
  <w:style w:type="paragraph" w:customStyle="1" w:styleId="ZchnZchn1">
    <w:name w:val="Zchn Zchn1"/>
    <w:basedOn w:val="Normal"/>
    <w:rsid w:val="00524762"/>
    <w:pPr>
      <w:spacing w:after="160" w:line="240" w:lineRule="exact"/>
      <w:jc w:val="left"/>
    </w:pPr>
    <w:rPr>
      <w:rFonts w:ascii="Verdana" w:eastAsia="PMingLiU" w:hAnsi="Verdana"/>
    </w:rPr>
  </w:style>
  <w:style w:type="character" w:styleId="Strong">
    <w:name w:val="Strong"/>
    <w:basedOn w:val="DefaultParagraphFont"/>
    <w:qFormat/>
    <w:rsid w:val="007659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334714"/>
    <w:pPr>
      <w:keepNext/>
      <w:jc w:val="both"/>
      <w:outlineLvl w:val="0"/>
    </w:pPr>
    <w:rPr>
      <w:rFonts w:ascii="Arial" w:hAnsi="Arial"/>
      <w:caps/>
    </w:rPr>
  </w:style>
  <w:style w:type="paragraph" w:styleId="Heading2">
    <w:name w:val="heading 2"/>
    <w:next w:val="Normal"/>
    <w:autoRedefine/>
    <w:qFormat/>
    <w:rsid w:val="003F34A5"/>
    <w:pPr>
      <w:ind w:left="1170" w:hanging="630"/>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334714"/>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HeaderChar">
    <w:name w:val="Header Char"/>
    <w:basedOn w:val="DefaultParagraphFont"/>
    <w:link w:val="Header"/>
    <w:uiPriority w:val="99"/>
    <w:rsid w:val="002A4DC8"/>
    <w:rPr>
      <w:rFonts w:ascii="Arial" w:hAnsi="Arial"/>
      <w:lang w:val="fr-FR"/>
    </w:rPr>
  </w:style>
  <w:style w:type="paragraph" w:customStyle="1" w:styleId="DecisionInvitingPara">
    <w:name w:val="Decision Inviting Para."/>
    <w:basedOn w:val="Normal"/>
    <w:rsid w:val="003D58ED"/>
    <w:pPr>
      <w:ind w:left="4536"/>
    </w:pPr>
    <w:rPr>
      <w:i/>
      <w:lang w:val="es-ES_tradnl"/>
    </w:rPr>
  </w:style>
  <w:style w:type="paragraph" w:customStyle="1" w:styleId="ZchnZchn1">
    <w:name w:val="Zchn Zchn1"/>
    <w:basedOn w:val="Normal"/>
    <w:rsid w:val="00524762"/>
    <w:pPr>
      <w:spacing w:after="160" w:line="240" w:lineRule="exact"/>
      <w:jc w:val="left"/>
    </w:pPr>
    <w:rPr>
      <w:rFonts w:ascii="Verdana" w:eastAsia="PMingLiU" w:hAnsi="Verdana"/>
    </w:rPr>
  </w:style>
  <w:style w:type="character" w:styleId="Strong">
    <w:name w:val="Strong"/>
    <w:basedOn w:val="DefaultParagraphFont"/>
    <w:qFormat/>
    <w:rsid w:val="00765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pov.int/about/en/faq/"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C5E3-42B0-4A95-8CD5-85741103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108</TotalTime>
  <Pages>4</Pages>
  <Words>1591</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18</cp:revision>
  <cp:lastPrinted>2014-09-25T18:30:00Z</cp:lastPrinted>
  <dcterms:created xsi:type="dcterms:W3CDTF">2014-09-04T13:27:00Z</dcterms:created>
  <dcterms:modified xsi:type="dcterms:W3CDTF">2014-09-30T09:41:00Z</dcterms:modified>
</cp:coreProperties>
</file>