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8B409A" w:rsidP="006655D3">
            <w:pPr>
              <w:pStyle w:val="LogoUPOV"/>
            </w:pPr>
            <w:r>
              <w:rPr>
                <w:noProof/>
              </w:rPr>
              <w:drawing>
                <wp:inline distT="0" distB="0" distL="0" distR="0" wp14:anchorId="2BFA9B33" wp14:editId="4820BDD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4C4135" w:rsidP="006655D3">
            <w:pPr>
              <w:pStyle w:val="Docoriginal"/>
              <w:rPr>
                <w:lang w:eastAsia="ja-JP"/>
              </w:rPr>
            </w:pPr>
            <w:r>
              <w:t>BMT</w:t>
            </w:r>
            <w:r w:rsidR="00667404">
              <w:t>/</w:t>
            </w:r>
            <w:r>
              <w:t>14</w:t>
            </w:r>
            <w:r w:rsidR="00667404">
              <w:t>/</w:t>
            </w:r>
            <w:bookmarkStart w:id="0" w:name="Code"/>
            <w:bookmarkEnd w:id="0"/>
            <w:r w:rsidR="00915E66">
              <w:rPr>
                <w:rFonts w:hint="eastAsia"/>
                <w:lang w:eastAsia="ja-JP"/>
              </w:rPr>
              <w:t>15</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915E66">
            <w:pPr>
              <w:pStyle w:val="Docoriginal"/>
              <w:rPr>
                <w:lang w:eastAsia="ja-JP"/>
              </w:rPr>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721DBE">
              <w:rPr>
                <w:rStyle w:val="StyleDocoriginalNotBold1"/>
                <w:rFonts w:hint="eastAsia"/>
                <w:spacing w:val="0"/>
                <w:lang w:eastAsia="ja-JP"/>
              </w:rPr>
              <w:t xml:space="preserve">December </w:t>
            </w:r>
            <w:r w:rsidR="00721DBE">
              <w:rPr>
                <w:rStyle w:val="StyleDocoriginalNotBold1"/>
                <w:spacing w:val="0"/>
                <w:lang w:eastAsia="ja-JP"/>
              </w:rPr>
              <w:t>5</w:t>
            </w:r>
            <w:r w:rsidR="00915E66">
              <w:rPr>
                <w:rStyle w:val="StyleDocoriginalNotBold1"/>
                <w:rFonts w:hint="eastAsia"/>
                <w:spacing w:val="0"/>
                <w:lang w:eastAsia="ja-JP"/>
              </w:rPr>
              <w:t>, 2014</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4C4135" w:rsidP="004C4135">
      <w:pPr>
        <w:pStyle w:val="Sessiontc"/>
      </w:pPr>
      <w:r>
        <w:t>WORKING GROUP ON BIOCHEMICAL AND MOLECULAR TECHNIQUES</w:t>
      </w:r>
      <w:r>
        <w:br/>
        <w:t>AND DNA-PROFILING IN PARTICULAR</w:t>
      </w:r>
    </w:p>
    <w:p w:rsidR="0018780B" w:rsidRPr="00C5280D" w:rsidRDefault="004C4135" w:rsidP="0018780B">
      <w:pPr>
        <w:pStyle w:val="Sessiontcplacedate"/>
      </w:pPr>
      <w:r w:rsidRPr="004C4135">
        <w:t>Fourteenth Session</w:t>
      </w:r>
      <w:r w:rsidR="00361821" w:rsidRPr="00C5280D">
        <w:br/>
      </w:r>
      <w:r w:rsidRPr="004C4135">
        <w:rPr>
          <w:rFonts w:cs="Arial"/>
        </w:rPr>
        <w:t>Seoul, Republic of Korea, November 10 to 13, 2014</w:t>
      </w:r>
    </w:p>
    <w:p w:rsidR="000D7780" w:rsidRPr="00C5280D" w:rsidRDefault="00915E66" w:rsidP="00915E66">
      <w:pPr>
        <w:pStyle w:val="Titleofdoc0"/>
        <w:tabs>
          <w:tab w:val="left" w:pos="567"/>
        </w:tabs>
      </w:pPr>
      <w:bookmarkStart w:id="3" w:name="TitleOfDoc"/>
      <w:bookmarkEnd w:id="3"/>
      <w:r w:rsidRPr="00F134CE">
        <w:rPr>
          <w:rFonts w:cs="Arial"/>
        </w:rPr>
        <w:t xml:space="preserve">Reports on development in plant variety protection </w:t>
      </w:r>
      <w:bookmarkStart w:id="4" w:name="_GoBack"/>
      <w:bookmarkEnd w:id="4"/>
      <w:r w:rsidRPr="00F134CE">
        <w:rPr>
          <w:rFonts w:cs="Arial"/>
        </w:rPr>
        <w:br/>
        <w:t>from members and observers</w:t>
      </w:r>
    </w:p>
    <w:p w:rsidR="00A47CBD" w:rsidRPr="00997029" w:rsidRDefault="00A47CBD" w:rsidP="00A47CBD">
      <w:pPr>
        <w:pStyle w:val="preparedby1"/>
      </w:pPr>
      <w:bookmarkStart w:id="5" w:name="Prepared"/>
      <w:bookmarkEnd w:id="5"/>
      <w:r w:rsidRPr="006F1277">
        <w:t>Document</w:t>
      </w:r>
      <w:r w:rsidRPr="00997029">
        <w:t xml:space="preserve"> prepared by the Office of the Union</w:t>
      </w:r>
      <w:r>
        <w:br/>
      </w:r>
      <w:r>
        <w:br/>
      </w:r>
      <w:r w:rsidRPr="00B62F85">
        <w:rPr>
          <w:color w:val="A6A6A6" w:themeColor="background1" w:themeShade="A6"/>
        </w:rPr>
        <w:t>Disclaimer:  this document does not repr</w:t>
      </w:r>
      <w:r>
        <w:rPr>
          <w:color w:val="A6A6A6" w:themeColor="background1" w:themeShade="A6"/>
        </w:rPr>
        <w:t>esent UPOV policies or guidance</w:t>
      </w:r>
    </w:p>
    <w:p w:rsidR="00915E66" w:rsidRPr="00F134CE" w:rsidRDefault="00915E66" w:rsidP="00915E66">
      <w:pPr>
        <w:tabs>
          <w:tab w:val="left" w:pos="567"/>
        </w:tabs>
        <w:rPr>
          <w:rFonts w:cs="Arial"/>
          <w:snapToGrid w:val="0"/>
        </w:rPr>
      </w:pPr>
      <w:r w:rsidRPr="00F134CE">
        <w:rPr>
          <w:rFonts w:cs="Arial"/>
        </w:rPr>
        <w:fldChar w:fldCharType="begin"/>
      </w:r>
      <w:r w:rsidRPr="00F134CE">
        <w:rPr>
          <w:rFonts w:cs="Arial"/>
        </w:rPr>
        <w:instrText xml:space="preserve"> AUTONUM  </w:instrText>
      </w:r>
      <w:r w:rsidRPr="00F134CE">
        <w:rPr>
          <w:rFonts w:cs="Arial"/>
        </w:rPr>
        <w:fldChar w:fldCharType="end"/>
      </w:r>
      <w:r w:rsidRPr="00F134CE">
        <w:rPr>
          <w:rFonts w:cs="Arial"/>
        </w:rPr>
        <w:tab/>
        <w:t xml:space="preserve">The Technical Committee (TC), at its </w:t>
      </w:r>
      <w:r w:rsidRPr="00F134CE">
        <w:rPr>
          <w:rFonts w:cs="Arial"/>
          <w:snapToGrid w:val="0"/>
        </w:rPr>
        <w:t>forty-</w:t>
      </w:r>
      <w:r>
        <w:rPr>
          <w:rFonts w:cs="Arial"/>
          <w:snapToGrid w:val="0"/>
        </w:rPr>
        <w:t>seventh</w:t>
      </w:r>
      <w:r w:rsidRPr="00F134CE">
        <w:rPr>
          <w:rFonts w:cs="Arial"/>
          <w:snapToGrid w:val="0"/>
        </w:rPr>
        <w:t xml:space="preserve"> session held in Geneva, from </w:t>
      </w:r>
      <w:r>
        <w:rPr>
          <w:rFonts w:cs="Arial"/>
          <w:snapToGrid w:val="0"/>
        </w:rPr>
        <w:t>April 4 to 6, 2011</w:t>
      </w:r>
      <w:r w:rsidRPr="00F134CE">
        <w:rPr>
          <w:rFonts w:cs="Arial"/>
          <w:snapToGrid w:val="0"/>
        </w:rPr>
        <w:t xml:space="preserve">,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w:t>
      </w:r>
      <w:r>
        <w:rPr>
          <w:rFonts w:cs="Arial"/>
          <w:snapToGrid w:val="0"/>
        </w:rPr>
        <w:t>(see document</w:t>
      </w:r>
      <w:r w:rsidR="002C3688">
        <w:rPr>
          <w:rFonts w:cs="Arial"/>
          <w:snapToGrid w:val="0"/>
        </w:rPr>
        <w:t> </w:t>
      </w:r>
      <w:r w:rsidRPr="00863F21">
        <w:rPr>
          <w:rFonts w:cs="Arial"/>
          <w:snapToGrid w:val="0"/>
        </w:rPr>
        <w:t>TC/47/26 “Report on the Conclusions”, paragraphs 9 and 10).</w:t>
      </w:r>
    </w:p>
    <w:p w:rsidR="00915E66" w:rsidRPr="00F134CE" w:rsidRDefault="00915E66" w:rsidP="00915E66">
      <w:pPr>
        <w:tabs>
          <w:tab w:val="left" w:pos="567"/>
        </w:tabs>
        <w:rPr>
          <w:rFonts w:cs="Arial"/>
          <w:snapToGrid w:val="0"/>
        </w:rPr>
      </w:pPr>
    </w:p>
    <w:p w:rsidR="00915E66" w:rsidRPr="00F134CE" w:rsidRDefault="00915E66" w:rsidP="00915E66">
      <w:pPr>
        <w:tabs>
          <w:tab w:val="left" w:pos="567"/>
        </w:tabs>
        <w:rPr>
          <w:rFonts w:cs="Arial"/>
          <w:snapToGrid w:val="0"/>
        </w:rPr>
      </w:pPr>
      <w:r w:rsidRPr="00863F21">
        <w:rPr>
          <w:rFonts w:cs="Arial"/>
          <w:snapToGrid w:val="0"/>
        </w:rPr>
        <w:fldChar w:fldCharType="begin"/>
      </w:r>
      <w:r w:rsidRPr="00863F21">
        <w:rPr>
          <w:rFonts w:cs="Arial"/>
          <w:snapToGrid w:val="0"/>
        </w:rPr>
        <w:instrText xml:space="preserve"> AUTONUM  \* Arabic </w:instrText>
      </w:r>
      <w:r w:rsidRPr="00863F21">
        <w:rPr>
          <w:rFonts w:cs="Arial"/>
          <w:snapToGrid w:val="0"/>
        </w:rPr>
        <w:fldChar w:fldCharType="end"/>
      </w:r>
      <w:r w:rsidRPr="00863F21">
        <w:rPr>
          <w:rFonts w:cs="Arial"/>
          <w:snapToGrid w:val="0"/>
        </w:rPr>
        <w:tab/>
        <w:t xml:space="preserve">Written reports were requested by the Office of the Union in </w:t>
      </w:r>
      <w:r w:rsidRPr="00915E66">
        <w:rPr>
          <w:rFonts w:cs="Arial"/>
          <w:snapToGrid w:val="0"/>
        </w:rPr>
        <w:t>Circular E-14/278</w:t>
      </w:r>
      <w:r w:rsidRPr="00863F21">
        <w:rPr>
          <w:rFonts w:cs="Arial"/>
          <w:snapToGrid w:val="0"/>
        </w:rPr>
        <w:t>. The following report w</w:t>
      </w:r>
      <w:r w:rsidR="00211B56">
        <w:rPr>
          <w:rFonts w:cs="Arial" w:hint="eastAsia"/>
          <w:snapToGrid w:val="0"/>
          <w:lang w:eastAsia="ja-JP"/>
        </w:rPr>
        <w:t>as</w:t>
      </w:r>
      <w:r w:rsidRPr="00863F21">
        <w:rPr>
          <w:rFonts w:cs="Arial"/>
          <w:snapToGrid w:val="0"/>
        </w:rPr>
        <w:t xml:space="preserve"> </w:t>
      </w:r>
      <w:r w:rsidRPr="008E08D0">
        <w:rPr>
          <w:rFonts w:cs="Arial"/>
          <w:snapToGrid w:val="0"/>
        </w:rPr>
        <w:t>received:</w:t>
      </w:r>
    </w:p>
    <w:p w:rsidR="00085505" w:rsidRDefault="00085505" w:rsidP="006655D3">
      <w:pPr>
        <w:rPr>
          <w:snapToGrid w:val="0"/>
          <w:lang w:eastAsia="ja-JP"/>
        </w:rPr>
      </w:pPr>
    </w:p>
    <w:p w:rsidR="00173EA2" w:rsidRDefault="00173EA2" w:rsidP="006655D3">
      <w:pPr>
        <w:rPr>
          <w:snapToGrid w:val="0"/>
          <w:lang w:eastAsia="ja-JP"/>
        </w:rPr>
      </w:pPr>
      <w:r w:rsidRPr="00173EA2">
        <w:rPr>
          <w:rFonts w:hint="eastAsia"/>
          <w:snapToGrid w:val="0"/>
          <w:u w:val="single"/>
          <w:lang w:eastAsia="ja-JP"/>
        </w:rPr>
        <w:t>Member</w:t>
      </w:r>
      <w:r>
        <w:rPr>
          <w:rFonts w:hint="eastAsia"/>
          <w:snapToGrid w:val="0"/>
          <w:u w:val="single"/>
          <w:lang w:eastAsia="ja-JP"/>
        </w:rPr>
        <w:t xml:space="preserve"> of the Union</w:t>
      </w:r>
      <w:r w:rsidRPr="00173EA2">
        <w:rPr>
          <w:rFonts w:hint="eastAsia"/>
          <w:snapToGrid w:val="0"/>
          <w:u w:val="single"/>
          <w:lang w:eastAsia="ja-JP"/>
        </w:rPr>
        <w:t>:</w:t>
      </w:r>
      <w:r>
        <w:rPr>
          <w:rFonts w:hint="eastAsia"/>
          <w:snapToGrid w:val="0"/>
          <w:lang w:eastAsia="ja-JP"/>
        </w:rPr>
        <w:t xml:space="preserve"> </w:t>
      </w:r>
      <w:r w:rsidR="00FF7ED9">
        <w:rPr>
          <w:rFonts w:hint="eastAsia"/>
          <w:snapToGrid w:val="0"/>
          <w:lang w:eastAsia="ja-JP"/>
        </w:rPr>
        <w:tab/>
      </w:r>
      <w:r>
        <w:rPr>
          <w:rFonts w:hint="eastAsia"/>
          <w:snapToGrid w:val="0"/>
          <w:lang w:eastAsia="ja-JP"/>
        </w:rPr>
        <w:t>Annex I: France</w:t>
      </w:r>
    </w:p>
    <w:p w:rsidR="00FF7ED9" w:rsidRDefault="00FF7ED9" w:rsidP="006655D3">
      <w:pPr>
        <w:rPr>
          <w:snapToGrid w:val="0"/>
          <w:lang w:eastAsia="ja-JP"/>
        </w:rPr>
      </w:pPr>
      <w:r>
        <w:rPr>
          <w:rFonts w:hint="eastAsia"/>
          <w:snapToGrid w:val="0"/>
          <w:lang w:eastAsia="ja-JP"/>
        </w:rPr>
        <w:tab/>
      </w:r>
      <w:r>
        <w:rPr>
          <w:rFonts w:hint="eastAsia"/>
          <w:snapToGrid w:val="0"/>
          <w:lang w:eastAsia="ja-JP"/>
        </w:rPr>
        <w:tab/>
      </w:r>
      <w:r>
        <w:rPr>
          <w:rFonts w:hint="eastAsia"/>
          <w:snapToGrid w:val="0"/>
          <w:lang w:eastAsia="ja-JP"/>
        </w:rPr>
        <w:tab/>
      </w:r>
      <w:r>
        <w:rPr>
          <w:rFonts w:hint="eastAsia"/>
          <w:snapToGrid w:val="0"/>
          <w:lang w:eastAsia="ja-JP"/>
        </w:rPr>
        <w:tab/>
        <w:t>Annex II</w:t>
      </w:r>
      <w:r>
        <w:rPr>
          <w:snapToGrid w:val="0"/>
          <w:lang w:eastAsia="ja-JP"/>
        </w:rPr>
        <w:t>: United States</w:t>
      </w:r>
      <w:r w:rsidR="00073FE2">
        <w:rPr>
          <w:rFonts w:hint="eastAsia"/>
          <w:snapToGrid w:val="0"/>
          <w:lang w:eastAsia="ja-JP"/>
        </w:rPr>
        <w:t xml:space="preserve"> of America</w:t>
      </w:r>
    </w:p>
    <w:p w:rsidR="00173EA2" w:rsidRDefault="00173EA2" w:rsidP="006655D3">
      <w:pPr>
        <w:rPr>
          <w:snapToGrid w:val="0"/>
          <w:lang w:eastAsia="ja-JP"/>
        </w:rPr>
      </w:pPr>
    </w:p>
    <w:p w:rsidR="00915E66" w:rsidRDefault="00211B56" w:rsidP="006655D3">
      <w:pPr>
        <w:rPr>
          <w:snapToGrid w:val="0"/>
          <w:lang w:eastAsia="ja-JP"/>
        </w:rPr>
      </w:pPr>
      <w:r>
        <w:rPr>
          <w:rFonts w:hint="eastAsia"/>
          <w:snapToGrid w:val="0"/>
          <w:u w:val="single"/>
          <w:lang w:eastAsia="ja-JP"/>
        </w:rPr>
        <w:t>Observer</w:t>
      </w:r>
      <w:r w:rsidR="00480AAB">
        <w:rPr>
          <w:rFonts w:hint="eastAsia"/>
          <w:snapToGrid w:val="0"/>
          <w:u w:val="single"/>
          <w:lang w:eastAsia="ja-JP"/>
        </w:rPr>
        <w:t xml:space="preserve"> to the Council</w:t>
      </w:r>
      <w:r w:rsidR="00915E66" w:rsidRPr="00D15B20">
        <w:rPr>
          <w:rFonts w:hint="eastAsia"/>
          <w:snapToGrid w:val="0"/>
          <w:u w:val="single"/>
          <w:lang w:eastAsia="ja-JP"/>
        </w:rPr>
        <w:t>:</w:t>
      </w:r>
      <w:r w:rsidR="00915E66" w:rsidRPr="006F1277">
        <w:rPr>
          <w:rFonts w:hint="eastAsia"/>
          <w:snapToGrid w:val="0"/>
          <w:lang w:eastAsia="ja-JP"/>
        </w:rPr>
        <w:t xml:space="preserve"> </w:t>
      </w:r>
      <w:r w:rsidR="00B76869">
        <w:rPr>
          <w:rFonts w:hint="eastAsia"/>
          <w:snapToGrid w:val="0"/>
          <w:lang w:eastAsia="ja-JP"/>
        </w:rPr>
        <w:tab/>
      </w:r>
      <w:r w:rsidR="00915E66" w:rsidRPr="006F1277">
        <w:rPr>
          <w:rFonts w:hint="eastAsia"/>
          <w:snapToGrid w:val="0"/>
          <w:lang w:eastAsia="ja-JP"/>
        </w:rPr>
        <w:t>Annex</w:t>
      </w:r>
      <w:r w:rsidR="00173EA2">
        <w:rPr>
          <w:rFonts w:hint="eastAsia"/>
          <w:snapToGrid w:val="0"/>
          <w:lang w:eastAsia="ja-JP"/>
        </w:rPr>
        <w:t xml:space="preserve"> I</w:t>
      </w:r>
      <w:r w:rsidR="00FF7ED9">
        <w:rPr>
          <w:rFonts w:hint="eastAsia"/>
          <w:snapToGrid w:val="0"/>
          <w:lang w:eastAsia="ja-JP"/>
        </w:rPr>
        <w:t>I</w:t>
      </w:r>
      <w:r w:rsidR="00173EA2">
        <w:rPr>
          <w:rFonts w:hint="eastAsia"/>
          <w:snapToGrid w:val="0"/>
          <w:lang w:eastAsia="ja-JP"/>
        </w:rPr>
        <w:t>I</w:t>
      </w:r>
      <w:r w:rsidR="00915E66">
        <w:rPr>
          <w:rFonts w:hint="eastAsia"/>
          <w:snapToGrid w:val="0"/>
          <w:lang w:eastAsia="ja-JP"/>
        </w:rPr>
        <w:t xml:space="preserve">:  </w:t>
      </w:r>
      <w:r w:rsidR="00ED58A1">
        <w:rPr>
          <w:rFonts w:hint="eastAsia"/>
          <w:snapToGrid w:val="0"/>
          <w:lang w:eastAsia="ja-JP"/>
        </w:rPr>
        <w:t>Iran (</w:t>
      </w:r>
      <w:r w:rsidR="00915E66" w:rsidRPr="00915E66">
        <w:rPr>
          <w:snapToGrid w:val="0"/>
          <w:lang w:eastAsia="ja-JP"/>
        </w:rPr>
        <w:t>Islamic Republic of</w:t>
      </w:r>
      <w:r w:rsidR="00ED58A1">
        <w:rPr>
          <w:rFonts w:hint="eastAsia"/>
          <w:snapToGrid w:val="0"/>
          <w:lang w:eastAsia="ja-JP"/>
        </w:rPr>
        <w:t>)</w:t>
      </w:r>
    </w:p>
    <w:p w:rsidR="00915E66" w:rsidRDefault="00915E66" w:rsidP="006655D3">
      <w:pPr>
        <w:rPr>
          <w:snapToGrid w:val="0"/>
          <w:lang w:eastAsia="ja-JP"/>
        </w:rPr>
      </w:pPr>
    </w:p>
    <w:p w:rsidR="00D15B20" w:rsidRDefault="00D15B20" w:rsidP="006655D3">
      <w:pPr>
        <w:rPr>
          <w:snapToGrid w:val="0"/>
          <w:lang w:eastAsia="ja-JP"/>
        </w:rPr>
      </w:pPr>
    </w:p>
    <w:p w:rsidR="00D15B20" w:rsidRDefault="00D15B20" w:rsidP="00D15B20">
      <w:pPr>
        <w:pStyle w:val="endofdoc"/>
        <w:tabs>
          <w:tab w:val="left" w:pos="567"/>
        </w:tabs>
        <w:spacing w:before="0"/>
        <w:ind w:left="0" w:firstLine="0"/>
        <w:rPr>
          <w:rFonts w:cs="Arial"/>
          <w:snapToGrid w:val="0"/>
        </w:rPr>
      </w:pPr>
      <w:r w:rsidRPr="00F134CE">
        <w:rPr>
          <w:rFonts w:cs="Arial"/>
          <w:snapToGrid w:val="0"/>
        </w:rPr>
        <w:t>[Annex</w:t>
      </w:r>
      <w:r w:rsidR="00173EA2">
        <w:rPr>
          <w:rFonts w:cs="Arial" w:hint="eastAsia"/>
          <w:snapToGrid w:val="0"/>
          <w:lang w:eastAsia="ja-JP"/>
        </w:rPr>
        <w:t>es</w:t>
      </w:r>
      <w:r w:rsidRPr="00F134CE">
        <w:rPr>
          <w:rFonts w:cs="Arial"/>
          <w:snapToGrid w:val="0"/>
        </w:rPr>
        <w:t xml:space="preserve"> follow]</w:t>
      </w:r>
    </w:p>
    <w:p w:rsidR="00D15B20" w:rsidRDefault="00D15B20" w:rsidP="00D15B20">
      <w:pPr>
        <w:pStyle w:val="Header"/>
        <w:jc w:val="left"/>
        <w:rPr>
          <w:lang w:eastAsia="ja-JP"/>
        </w:rPr>
      </w:pPr>
    </w:p>
    <w:p w:rsidR="00D15B20" w:rsidRDefault="00D15B20" w:rsidP="00D15B20">
      <w:pPr>
        <w:pStyle w:val="Header"/>
        <w:jc w:val="left"/>
        <w:rPr>
          <w:lang w:eastAsia="ja-JP"/>
        </w:rPr>
      </w:pPr>
    </w:p>
    <w:p w:rsidR="00D15B20" w:rsidRDefault="00D15B20" w:rsidP="00D15B20">
      <w:pPr>
        <w:pStyle w:val="Header"/>
        <w:jc w:val="left"/>
        <w:rPr>
          <w:lang w:eastAsia="ja-JP"/>
        </w:rPr>
      </w:pPr>
    </w:p>
    <w:p w:rsidR="00D15B20" w:rsidRDefault="00D15B20" w:rsidP="00D15B20">
      <w:pPr>
        <w:pStyle w:val="Header"/>
        <w:jc w:val="left"/>
        <w:rPr>
          <w:lang w:eastAsia="ja-JP"/>
        </w:rPr>
        <w:sectPr w:rsidR="00D15B20" w:rsidSect="009D5C54">
          <w:headerReference w:type="even" r:id="rId9"/>
          <w:headerReference w:type="default" r:id="rId10"/>
          <w:footnotePr>
            <w:numRestart w:val="eachSect"/>
          </w:footnotePr>
          <w:pgSz w:w="11907" w:h="16840" w:code="9"/>
          <w:pgMar w:top="510" w:right="1134" w:bottom="1134" w:left="1134" w:header="510" w:footer="567" w:gutter="0"/>
          <w:cols w:space="720"/>
          <w:titlePg/>
        </w:sectPr>
      </w:pPr>
    </w:p>
    <w:p w:rsidR="00D15B20" w:rsidRDefault="00D15B20" w:rsidP="00D15B20">
      <w:pPr>
        <w:pStyle w:val="Heading1"/>
        <w:rPr>
          <w:lang w:eastAsia="ja-JP"/>
        </w:rPr>
      </w:pPr>
    </w:p>
    <w:p w:rsidR="00173EA2" w:rsidRDefault="00173EA2" w:rsidP="00173EA2">
      <w:pPr>
        <w:pStyle w:val="Heading1"/>
        <w:rPr>
          <w:lang w:eastAsia="ja-JP"/>
        </w:rPr>
      </w:pPr>
      <w:r>
        <w:rPr>
          <w:rFonts w:hint="eastAsia"/>
          <w:lang w:eastAsia="ja-JP"/>
        </w:rPr>
        <w:t>FRANCE</w:t>
      </w:r>
    </w:p>
    <w:p w:rsidR="00173EA2" w:rsidRDefault="00173EA2" w:rsidP="00173EA2">
      <w:pPr>
        <w:rPr>
          <w:lang w:eastAsia="ja-JP"/>
        </w:rPr>
      </w:pPr>
    </w:p>
    <w:p w:rsidR="00173EA2" w:rsidRPr="00721DBE" w:rsidRDefault="00173EA2" w:rsidP="00173EA2">
      <w:pPr>
        <w:pStyle w:val="Heading2"/>
        <w:rPr>
          <w:lang w:val="fr-CH" w:eastAsia="ja-JP"/>
        </w:rPr>
      </w:pPr>
      <w:proofErr w:type="spellStart"/>
      <w:r w:rsidRPr="00721DBE">
        <w:rPr>
          <w:lang w:val="fr-CH" w:eastAsia="ja-JP"/>
        </w:rPr>
        <w:t>Molecular</w:t>
      </w:r>
      <w:proofErr w:type="spellEnd"/>
      <w:r w:rsidRPr="00721DBE">
        <w:rPr>
          <w:lang w:val="fr-CH" w:eastAsia="ja-JP"/>
        </w:rPr>
        <w:t xml:space="preserve"> techniques and DUS </w:t>
      </w:r>
      <w:proofErr w:type="spellStart"/>
      <w:r w:rsidRPr="00721DBE">
        <w:rPr>
          <w:lang w:val="fr-CH" w:eastAsia="ja-JP"/>
        </w:rPr>
        <w:t>testing</w:t>
      </w:r>
      <w:proofErr w:type="spellEnd"/>
      <w:r w:rsidRPr="00721DBE">
        <w:rPr>
          <w:lang w:val="fr-CH" w:eastAsia="ja-JP"/>
        </w:rPr>
        <w:t xml:space="preserve"> at </w:t>
      </w:r>
      <w:r w:rsidRPr="00721DBE">
        <w:rPr>
          <w:rFonts w:cs="Arial"/>
          <w:i/>
          <w:lang w:val="fr-CH"/>
        </w:rPr>
        <w:t>Groupe d'Etude et de contrôle des Variétés Et des Semences</w:t>
      </w:r>
      <w:r w:rsidR="00195ACC" w:rsidRPr="00721DBE">
        <w:rPr>
          <w:rFonts w:cs="Arial" w:hint="eastAsia"/>
          <w:lang w:val="fr-CH" w:eastAsia="ja-JP"/>
        </w:rPr>
        <w:t xml:space="preserve"> (GEVES)</w:t>
      </w:r>
    </w:p>
    <w:p w:rsidR="00173EA2" w:rsidRPr="00721DBE" w:rsidRDefault="00173EA2" w:rsidP="00173EA2">
      <w:pPr>
        <w:rPr>
          <w:lang w:val="fr-CH" w:eastAsia="ja-JP"/>
        </w:rPr>
      </w:pPr>
    </w:p>
    <w:p w:rsidR="00173EA2" w:rsidRDefault="00173EA2" w:rsidP="00173EA2">
      <w:pPr>
        <w:rPr>
          <w:lang w:eastAsia="ja-JP"/>
        </w:rPr>
      </w:pPr>
      <w:r>
        <w:rPr>
          <w:lang w:eastAsia="ja-JP"/>
        </w:rPr>
        <w:t>-</w:t>
      </w:r>
      <w:r>
        <w:rPr>
          <w:lang w:eastAsia="ja-JP"/>
        </w:rPr>
        <w:tab/>
        <w:t>GEVES now uses its expertise in the use of molecular markers for:</w:t>
      </w:r>
    </w:p>
    <w:p w:rsidR="00173EA2" w:rsidRDefault="00173EA2" w:rsidP="00173EA2">
      <w:pPr>
        <w:rPr>
          <w:lang w:eastAsia="ja-JP"/>
        </w:rPr>
      </w:pPr>
      <w:r>
        <w:rPr>
          <w:lang w:eastAsia="ja-JP"/>
        </w:rPr>
        <w:t>•</w:t>
      </w:r>
      <w:r>
        <w:rPr>
          <w:lang w:eastAsia="ja-JP"/>
        </w:rPr>
        <w:tab/>
      </w:r>
      <w:proofErr w:type="gramStart"/>
      <w:r>
        <w:rPr>
          <w:lang w:eastAsia="ja-JP"/>
        </w:rPr>
        <w:t>identification</w:t>
      </w:r>
      <w:proofErr w:type="gramEnd"/>
      <w:r>
        <w:rPr>
          <w:lang w:eastAsia="ja-JP"/>
        </w:rPr>
        <w:t xml:space="preserve"> and characterization of varieties </w:t>
      </w:r>
    </w:p>
    <w:p w:rsidR="00173EA2" w:rsidRDefault="00173EA2" w:rsidP="00173EA2">
      <w:pPr>
        <w:rPr>
          <w:lang w:eastAsia="ja-JP"/>
        </w:rPr>
      </w:pPr>
      <w:r>
        <w:rPr>
          <w:lang w:eastAsia="ja-JP"/>
        </w:rPr>
        <w:t>•</w:t>
      </w:r>
      <w:r>
        <w:rPr>
          <w:lang w:eastAsia="ja-JP"/>
        </w:rPr>
        <w:tab/>
      </w:r>
      <w:proofErr w:type="gramStart"/>
      <w:r>
        <w:rPr>
          <w:lang w:eastAsia="ja-JP"/>
        </w:rPr>
        <w:t>calculation</w:t>
      </w:r>
      <w:proofErr w:type="gramEnd"/>
      <w:r>
        <w:rPr>
          <w:lang w:eastAsia="ja-JP"/>
        </w:rPr>
        <w:t xml:space="preserve"> of genetic distances (which can be in combination with phenotypic distances)</w:t>
      </w:r>
    </w:p>
    <w:p w:rsidR="00173EA2" w:rsidRDefault="00173EA2" w:rsidP="00173EA2">
      <w:pPr>
        <w:rPr>
          <w:lang w:eastAsia="ja-JP"/>
        </w:rPr>
      </w:pPr>
      <w:r>
        <w:rPr>
          <w:lang w:eastAsia="ja-JP"/>
        </w:rPr>
        <w:t>•</w:t>
      </w:r>
      <w:r>
        <w:rPr>
          <w:lang w:eastAsia="ja-JP"/>
        </w:rPr>
        <w:tab/>
      </w:r>
      <w:proofErr w:type="gramStart"/>
      <w:r>
        <w:rPr>
          <w:lang w:eastAsia="ja-JP"/>
        </w:rPr>
        <w:t>ability</w:t>
      </w:r>
      <w:proofErr w:type="gramEnd"/>
      <w:r>
        <w:rPr>
          <w:lang w:eastAsia="ja-JP"/>
        </w:rPr>
        <w:t xml:space="preserve"> to characterize DUS reference collections </w:t>
      </w:r>
    </w:p>
    <w:p w:rsidR="00173EA2" w:rsidRDefault="00173EA2" w:rsidP="00173EA2">
      <w:pPr>
        <w:rPr>
          <w:lang w:eastAsia="ja-JP"/>
        </w:rPr>
      </w:pPr>
      <w:r>
        <w:rPr>
          <w:lang w:eastAsia="ja-JP"/>
        </w:rPr>
        <w:t>•</w:t>
      </w:r>
      <w:r>
        <w:rPr>
          <w:lang w:eastAsia="ja-JP"/>
        </w:rPr>
        <w:tab/>
      </w:r>
      <w:proofErr w:type="gramStart"/>
      <w:r>
        <w:rPr>
          <w:lang w:eastAsia="ja-JP"/>
        </w:rPr>
        <w:t>markers</w:t>
      </w:r>
      <w:proofErr w:type="gramEnd"/>
      <w:r>
        <w:rPr>
          <w:lang w:eastAsia="ja-JP"/>
        </w:rPr>
        <w:t xml:space="preserve"> relevant to DUS characteristics (such as those linked to disease resistance) </w:t>
      </w:r>
    </w:p>
    <w:p w:rsidR="00173EA2" w:rsidRDefault="00173EA2" w:rsidP="00173EA2">
      <w:pPr>
        <w:rPr>
          <w:lang w:eastAsia="ja-JP"/>
        </w:rPr>
      </w:pPr>
      <w:r>
        <w:rPr>
          <w:lang w:eastAsia="ja-JP"/>
        </w:rPr>
        <w:t>•</w:t>
      </w:r>
      <w:r>
        <w:rPr>
          <w:lang w:eastAsia="ja-JP"/>
        </w:rPr>
        <w:tab/>
      </w:r>
      <w:proofErr w:type="gramStart"/>
      <w:r>
        <w:rPr>
          <w:lang w:eastAsia="ja-JP"/>
        </w:rPr>
        <w:t>quality</w:t>
      </w:r>
      <w:proofErr w:type="gramEnd"/>
      <w:r>
        <w:rPr>
          <w:lang w:eastAsia="ja-JP"/>
        </w:rPr>
        <w:t xml:space="preserve"> control of seed lots : identity and purity</w:t>
      </w:r>
    </w:p>
    <w:p w:rsidR="00173EA2" w:rsidRDefault="00173EA2" w:rsidP="00173EA2">
      <w:pPr>
        <w:rPr>
          <w:lang w:eastAsia="ja-JP"/>
        </w:rPr>
      </w:pPr>
      <w:r>
        <w:rPr>
          <w:lang w:eastAsia="ja-JP"/>
        </w:rPr>
        <w:t>•</w:t>
      </w:r>
      <w:r>
        <w:rPr>
          <w:lang w:eastAsia="ja-JP"/>
        </w:rPr>
        <w:tab/>
      </w:r>
      <w:proofErr w:type="gramStart"/>
      <w:r>
        <w:rPr>
          <w:lang w:eastAsia="ja-JP"/>
        </w:rPr>
        <w:t>detection</w:t>
      </w:r>
      <w:proofErr w:type="gramEnd"/>
      <w:r>
        <w:rPr>
          <w:lang w:eastAsia="ja-JP"/>
        </w:rPr>
        <w:t xml:space="preserve"> of specific or </w:t>
      </w:r>
      <w:proofErr w:type="spellStart"/>
      <w:r>
        <w:rPr>
          <w:lang w:eastAsia="ja-JP"/>
        </w:rPr>
        <w:t>non specific</w:t>
      </w:r>
      <w:proofErr w:type="spellEnd"/>
      <w:r>
        <w:rPr>
          <w:lang w:eastAsia="ja-JP"/>
        </w:rPr>
        <w:t xml:space="preserve"> GMO event sequences.</w:t>
      </w:r>
    </w:p>
    <w:p w:rsidR="00173EA2" w:rsidRDefault="00173EA2" w:rsidP="00173EA2">
      <w:pPr>
        <w:rPr>
          <w:lang w:eastAsia="ja-JP"/>
        </w:rPr>
      </w:pPr>
    </w:p>
    <w:p w:rsidR="00173EA2" w:rsidRDefault="00173EA2" w:rsidP="00173EA2">
      <w:pPr>
        <w:rPr>
          <w:lang w:eastAsia="ja-JP"/>
        </w:rPr>
      </w:pPr>
      <w:r>
        <w:rPr>
          <w:lang w:eastAsia="ja-JP"/>
        </w:rPr>
        <w:t>-</w:t>
      </w:r>
      <w:r>
        <w:rPr>
          <w:lang w:eastAsia="ja-JP"/>
        </w:rPr>
        <w:tab/>
        <w:t>GEVES has recently started using SNP markers in routine analysis (in addition to SSRs and ISSRs).</w:t>
      </w:r>
    </w:p>
    <w:p w:rsidR="00173EA2" w:rsidRDefault="00173EA2" w:rsidP="00173EA2">
      <w:pPr>
        <w:rPr>
          <w:lang w:eastAsia="ja-JP"/>
        </w:rPr>
      </w:pPr>
      <w:r>
        <w:rPr>
          <w:lang w:eastAsia="ja-JP"/>
        </w:rPr>
        <w:t>-</w:t>
      </w:r>
      <w:r>
        <w:rPr>
          <w:lang w:eastAsia="ja-JP"/>
        </w:rPr>
        <w:tab/>
        <w:t>As presented at the 14th UPOV BMT meeting, since January 2014 GEVES has officially been using SNP technology on maize as a tool to</w:t>
      </w:r>
    </w:p>
    <w:p w:rsidR="00173EA2" w:rsidRDefault="00173EA2" w:rsidP="00173EA2">
      <w:pPr>
        <w:rPr>
          <w:lang w:eastAsia="ja-JP"/>
        </w:rPr>
      </w:pPr>
      <w:r>
        <w:rPr>
          <w:lang w:eastAsia="ja-JP"/>
        </w:rPr>
        <w:t>•</w:t>
      </w:r>
      <w:r>
        <w:rPr>
          <w:lang w:eastAsia="ja-JP"/>
        </w:rPr>
        <w:tab/>
        <w:t xml:space="preserve">help with the management of the reference collection in DUS studies </w:t>
      </w:r>
    </w:p>
    <w:p w:rsidR="00173EA2" w:rsidRDefault="00173EA2" w:rsidP="00173EA2">
      <w:pPr>
        <w:rPr>
          <w:lang w:eastAsia="ja-JP"/>
        </w:rPr>
      </w:pPr>
      <w:r>
        <w:rPr>
          <w:lang w:eastAsia="ja-JP"/>
        </w:rPr>
        <w:t>•</w:t>
      </w:r>
      <w:r>
        <w:rPr>
          <w:lang w:eastAsia="ja-JP"/>
        </w:rPr>
        <w:tab/>
        <w:t xml:space="preserve">check hybrid formulas </w:t>
      </w:r>
    </w:p>
    <w:p w:rsidR="00173EA2" w:rsidRDefault="00173EA2" w:rsidP="00173EA2">
      <w:pPr>
        <w:rPr>
          <w:lang w:eastAsia="ja-JP"/>
        </w:rPr>
      </w:pPr>
      <w:r>
        <w:rPr>
          <w:lang w:eastAsia="ja-JP"/>
        </w:rPr>
        <w:t>•</w:t>
      </w:r>
      <w:r>
        <w:rPr>
          <w:lang w:eastAsia="ja-JP"/>
        </w:rPr>
        <w:tab/>
        <w:t xml:space="preserve">check conformity of new reference material. </w:t>
      </w:r>
    </w:p>
    <w:p w:rsidR="00173EA2" w:rsidRDefault="00173EA2" w:rsidP="00173EA2">
      <w:pPr>
        <w:rPr>
          <w:lang w:eastAsia="ja-JP"/>
        </w:rPr>
      </w:pPr>
      <w:r>
        <w:rPr>
          <w:lang w:eastAsia="ja-JP"/>
        </w:rPr>
        <w:t>-</w:t>
      </w:r>
      <w:r>
        <w:rPr>
          <w:lang w:eastAsia="ja-JP"/>
        </w:rPr>
        <w:tab/>
        <w:t>There are additional benefits to this development of SNP markers on maize, such as its use for confirmation of varietal identity (ongoing work).</w:t>
      </w:r>
    </w:p>
    <w:p w:rsidR="00173EA2" w:rsidRDefault="00173EA2" w:rsidP="00173EA2">
      <w:pPr>
        <w:rPr>
          <w:lang w:eastAsia="ja-JP"/>
        </w:rPr>
      </w:pPr>
    </w:p>
    <w:p w:rsidR="00173EA2" w:rsidRDefault="00173EA2" w:rsidP="00173EA2">
      <w:pPr>
        <w:rPr>
          <w:lang w:eastAsia="ja-JP"/>
        </w:rPr>
      </w:pPr>
      <w:r>
        <w:rPr>
          <w:lang w:eastAsia="ja-JP"/>
        </w:rPr>
        <w:t>-</w:t>
      </w:r>
      <w:r>
        <w:rPr>
          <w:lang w:eastAsia="ja-JP"/>
        </w:rPr>
        <w:tab/>
        <w:t>GEVES is currently conducting tests on sorghum: validation of SNP markers for hybrid conformity (in DUS studies). Since 2013 GEVES has been testing an SNP set, and at the end of 2014 a protocol will be submitted for appr</w:t>
      </w:r>
      <w:r w:rsidR="00195ACC">
        <w:rPr>
          <w:lang w:eastAsia="ja-JP"/>
        </w:rPr>
        <w:t xml:space="preserve">oval to the </w:t>
      </w:r>
      <w:proofErr w:type="spellStart"/>
      <w:r w:rsidRPr="00721DBE">
        <w:rPr>
          <w:rStyle w:val="contact-street"/>
          <w:i/>
        </w:rPr>
        <w:t>Comité</w:t>
      </w:r>
      <w:proofErr w:type="spellEnd"/>
      <w:r w:rsidRPr="00721DBE">
        <w:rPr>
          <w:rStyle w:val="contact-street"/>
          <w:i/>
        </w:rPr>
        <w:t xml:space="preserve"> Technique Permanent de la </w:t>
      </w:r>
      <w:proofErr w:type="spellStart"/>
      <w:r w:rsidRPr="00721DBE">
        <w:rPr>
          <w:rStyle w:val="contact-street"/>
          <w:i/>
        </w:rPr>
        <w:t>sélection</w:t>
      </w:r>
      <w:proofErr w:type="spellEnd"/>
      <w:r w:rsidR="00195ACC">
        <w:rPr>
          <w:rFonts w:hint="eastAsia"/>
          <w:lang w:eastAsia="ja-JP"/>
        </w:rPr>
        <w:t xml:space="preserve"> (CTPS</w:t>
      </w:r>
      <w:proofErr w:type="gramStart"/>
      <w:r w:rsidR="00195ACC">
        <w:rPr>
          <w:rFonts w:hint="eastAsia"/>
          <w:lang w:eastAsia="ja-JP"/>
        </w:rPr>
        <w:t>)</w:t>
      </w:r>
      <w:r>
        <w:rPr>
          <w:lang w:eastAsia="ja-JP"/>
        </w:rPr>
        <w:t>(</w:t>
      </w:r>
      <w:proofErr w:type="gramEnd"/>
      <w:r>
        <w:rPr>
          <w:lang w:eastAsia="ja-JP"/>
        </w:rPr>
        <w:t>national official level).</w:t>
      </w:r>
    </w:p>
    <w:p w:rsidR="00173EA2" w:rsidRDefault="00173EA2" w:rsidP="00173EA2">
      <w:pPr>
        <w:rPr>
          <w:lang w:eastAsia="ja-JP"/>
        </w:rPr>
      </w:pPr>
      <w:r>
        <w:rPr>
          <w:lang w:eastAsia="ja-JP"/>
        </w:rPr>
        <w:tab/>
      </w:r>
    </w:p>
    <w:p w:rsidR="00173EA2" w:rsidRDefault="00173EA2" w:rsidP="00173EA2">
      <w:pPr>
        <w:rPr>
          <w:lang w:eastAsia="ja-JP"/>
        </w:rPr>
      </w:pPr>
      <w:r>
        <w:rPr>
          <w:lang w:eastAsia="ja-JP"/>
        </w:rPr>
        <w:t>-</w:t>
      </w:r>
      <w:r>
        <w:rPr>
          <w:lang w:eastAsia="ja-JP"/>
        </w:rPr>
        <w:tab/>
        <w:t xml:space="preserve">GEVES is currently working on an oil seed rape project to test the potential use of SNPs markers, with the overall aim of improving the management of the </w:t>
      </w:r>
      <w:r w:rsidR="00E033F2">
        <w:rPr>
          <w:rFonts w:hint="eastAsia"/>
          <w:lang w:eastAsia="ja-JP"/>
        </w:rPr>
        <w:t>oil seed rape</w:t>
      </w:r>
      <w:r>
        <w:rPr>
          <w:lang w:eastAsia="ja-JP"/>
        </w:rPr>
        <w:t xml:space="preserve"> reference collection by combining phenotypic and molecular data (this project with the support of the </w:t>
      </w:r>
      <w:r w:rsidR="00E033F2">
        <w:t>Community Plant Variety Office of the European Union (CPVO)</w:t>
      </w:r>
      <w:r>
        <w:rPr>
          <w:lang w:eastAsia="ja-JP"/>
        </w:rPr>
        <w:t xml:space="preserve"> will involve other examination offices entrusted on </w:t>
      </w:r>
      <w:r w:rsidR="00E033F2">
        <w:rPr>
          <w:rFonts w:hint="eastAsia"/>
          <w:lang w:eastAsia="ja-JP"/>
        </w:rPr>
        <w:t>oil seed rape</w:t>
      </w:r>
      <w:r>
        <w:rPr>
          <w:lang w:eastAsia="ja-JP"/>
        </w:rPr>
        <w:t>).</w:t>
      </w:r>
    </w:p>
    <w:p w:rsidR="00173EA2" w:rsidRDefault="00173EA2" w:rsidP="00173EA2">
      <w:pPr>
        <w:rPr>
          <w:lang w:eastAsia="ja-JP"/>
        </w:rPr>
      </w:pPr>
      <w:r>
        <w:rPr>
          <w:lang w:eastAsia="ja-JP"/>
        </w:rPr>
        <w:tab/>
      </w:r>
    </w:p>
    <w:p w:rsidR="00173EA2" w:rsidRDefault="00173EA2" w:rsidP="00173EA2">
      <w:pPr>
        <w:rPr>
          <w:lang w:eastAsia="ja-JP"/>
        </w:rPr>
      </w:pPr>
      <w:r>
        <w:rPr>
          <w:lang w:eastAsia="ja-JP"/>
        </w:rPr>
        <w:t>-</w:t>
      </w:r>
      <w:r>
        <w:rPr>
          <w:lang w:eastAsia="ja-JP"/>
        </w:rPr>
        <w:tab/>
        <w:t>In collaboration with INRA</w:t>
      </w:r>
      <w:r w:rsidR="00195ACC" w:rsidRPr="00195ACC">
        <w:rPr>
          <w:lang w:eastAsia="ja-JP"/>
        </w:rPr>
        <w:t xml:space="preserve"> </w:t>
      </w:r>
      <w:r w:rsidR="00195ACC">
        <w:rPr>
          <w:rFonts w:hint="eastAsia"/>
          <w:lang w:eastAsia="ja-JP"/>
        </w:rPr>
        <w:t>(</w:t>
      </w:r>
      <w:proofErr w:type="spellStart"/>
      <w:r w:rsidR="00195ACC" w:rsidRPr="00195ACC">
        <w:rPr>
          <w:i/>
          <w:lang w:eastAsia="ja-JP"/>
        </w:rPr>
        <w:t>Institut</w:t>
      </w:r>
      <w:proofErr w:type="spellEnd"/>
      <w:r w:rsidR="00195ACC" w:rsidRPr="00195ACC">
        <w:rPr>
          <w:i/>
          <w:lang w:eastAsia="ja-JP"/>
        </w:rPr>
        <w:t xml:space="preserve"> national de la </w:t>
      </w:r>
      <w:proofErr w:type="spellStart"/>
      <w:r w:rsidR="00195ACC" w:rsidRPr="00195ACC">
        <w:rPr>
          <w:i/>
          <w:lang w:eastAsia="ja-JP"/>
        </w:rPr>
        <w:t>recherche</w:t>
      </w:r>
      <w:proofErr w:type="spellEnd"/>
      <w:r w:rsidR="00195ACC" w:rsidRPr="00195ACC">
        <w:rPr>
          <w:i/>
          <w:lang w:eastAsia="ja-JP"/>
        </w:rPr>
        <w:t xml:space="preserve"> </w:t>
      </w:r>
      <w:proofErr w:type="spellStart"/>
      <w:r w:rsidR="00195ACC" w:rsidRPr="00195ACC">
        <w:rPr>
          <w:i/>
          <w:lang w:eastAsia="ja-JP"/>
        </w:rPr>
        <w:t>agronomique</w:t>
      </w:r>
      <w:proofErr w:type="spellEnd"/>
      <w:r w:rsidR="00195ACC">
        <w:rPr>
          <w:rFonts w:hint="eastAsia"/>
          <w:i/>
          <w:lang w:eastAsia="ja-JP"/>
        </w:rPr>
        <w:t>)</w:t>
      </w:r>
      <w:r>
        <w:rPr>
          <w:lang w:eastAsia="ja-JP"/>
        </w:rPr>
        <w:t>, GEVES is currently genotyping fruit trees in the French National Collections using SSR markers in order to complete the characterization of the DUS collections. Additional benefits: this new approach will also help with the management the reference collection; and will be used for true-to-type analysis.</w:t>
      </w:r>
    </w:p>
    <w:p w:rsidR="00173EA2" w:rsidRDefault="00173EA2" w:rsidP="00173EA2">
      <w:pPr>
        <w:rPr>
          <w:lang w:eastAsia="ja-JP"/>
        </w:rPr>
      </w:pPr>
      <w:r>
        <w:rPr>
          <w:lang w:eastAsia="ja-JP"/>
        </w:rPr>
        <w:tab/>
      </w:r>
    </w:p>
    <w:p w:rsidR="00FF7ED9" w:rsidRDefault="00173EA2" w:rsidP="00FF7ED9">
      <w:pPr>
        <w:jc w:val="left"/>
        <w:rPr>
          <w:lang w:eastAsia="ja-JP"/>
        </w:rPr>
        <w:sectPr w:rsidR="00FF7ED9" w:rsidSect="00906DDC">
          <w:headerReference w:type="default" r:id="rId11"/>
          <w:headerReference w:type="first" r:id="rId12"/>
          <w:footerReference w:type="first" r:id="rId13"/>
          <w:pgSz w:w="11907" w:h="16840" w:code="9"/>
          <w:pgMar w:top="510" w:right="1134" w:bottom="1134" w:left="1134" w:header="510" w:footer="680" w:gutter="0"/>
          <w:cols w:space="720"/>
          <w:titlePg/>
        </w:sectPr>
      </w:pPr>
      <w:r>
        <w:rPr>
          <w:lang w:eastAsia="ja-JP"/>
        </w:rPr>
        <w:t>-</w:t>
      </w:r>
      <w:r>
        <w:rPr>
          <w:lang w:eastAsia="ja-JP"/>
        </w:rPr>
        <w:tab/>
        <w:t>In conclusion, GEVES is improving its capacity to use adapted markers on a broader range of species with the objective to optimize in field studies in order to 1/reduce the workload and 2/to concentrate on issues requiring in field testing</w:t>
      </w:r>
    </w:p>
    <w:p w:rsidR="00173EA2" w:rsidRDefault="00173EA2" w:rsidP="00173EA2">
      <w:pPr>
        <w:rPr>
          <w:lang w:eastAsia="ja-JP"/>
        </w:rPr>
      </w:pPr>
    </w:p>
    <w:p w:rsidR="00173EA2" w:rsidRDefault="00FF7ED9" w:rsidP="00FF7ED9">
      <w:pPr>
        <w:pStyle w:val="Heading1"/>
        <w:rPr>
          <w:lang w:eastAsia="ja-JP"/>
        </w:rPr>
      </w:pPr>
      <w:r>
        <w:rPr>
          <w:rFonts w:hint="eastAsia"/>
          <w:lang w:eastAsia="ja-JP"/>
        </w:rPr>
        <w:t>United States</w:t>
      </w:r>
      <w:r w:rsidR="00073FE2">
        <w:rPr>
          <w:rFonts w:hint="eastAsia"/>
          <w:lang w:eastAsia="ja-JP"/>
        </w:rPr>
        <w:t xml:space="preserve"> OF AMERICA</w:t>
      </w:r>
    </w:p>
    <w:p w:rsidR="00173EA2" w:rsidRDefault="00173EA2" w:rsidP="00FF7ED9">
      <w:pPr>
        <w:jc w:val="center"/>
        <w:rPr>
          <w:lang w:eastAsia="ja-JP"/>
        </w:rPr>
      </w:pPr>
    </w:p>
    <w:p w:rsidR="00FF7ED9" w:rsidRDefault="00FF7ED9" w:rsidP="00FF7ED9">
      <w:pPr>
        <w:jc w:val="center"/>
        <w:rPr>
          <w:lang w:eastAsia="ja-JP"/>
        </w:rPr>
      </w:pPr>
    </w:p>
    <w:p w:rsidR="00173EA2" w:rsidRDefault="00FF7ED9" w:rsidP="00FF7ED9">
      <w:pPr>
        <w:jc w:val="center"/>
        <w:rPr>
          <w:lang w:eastAsia="ja-JP"/>
        </w:rPr>
      </w:pPr>
      <w:r w:rsidRPr="00FF7ED9">
        <w:rPr>
          <w:noProof/>
        </w:rPr>
        <w:drawing>
          <wp:inline distT="0" distB="0" distL="0" distR="0" wp14:anchorId="37330B35" wp14:editId="3C41C6DF">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173EA2" w:rsidRDefault="00173EA2"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62FBB064" wp14:editId="6CAACD35">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5F6D596F" wp14:editId="010CD9DC">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0B06B472" wp14:editId="1B4527DF">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37A6A540" wp14:editId="0F1E6C5C">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7F9FD743" wp14:editId="32122EE9">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02D0DD93" wp14:editId="21D108FA">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388C869A" wp14:editId="02148144">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427FCDC1" wp14:editId="3C054CD1">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246B4C7A" wp14:editId="4361B5C4">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319281DB" wp14:editId="5C8C89BF">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33389126" wp14:editId="1C252850">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r w:rsidRPr="00FF7ED9">
        <w:rPr>
          <w:noProof/>
        </w:rPr>
        <w:drawing>
          <wp:inline distT="0" distB="0" distL="0" distR="0" wp14:anchorId="7682CC23" wp14:editId="12DE3F7F">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FF7ED9">
      <w:pPr>
        <w:jc w:val="center"/>
        <w:rPr>
          <w:lang w:eastAsia="ja-JP"/>
        </w:rPr>
      </w:pPr>
    </w:p>
    <w:p w:rsidR="00FF7ED9" w:rsidRDefault="00FF7ED9" w:rsidP="00173EA2">
      <w:pPr>
        <w:rPr>
          <w:lang w:eastAsia="ja-JP"/>
        </w:rPr>
      </w:pPr>
    </w:p>
    <w:p w:rsidR="00FF7ED9" w:rsidRDefault="00FF7ED9" w:rsidP="00173EA2">
      <w:pPr>
        <w:rPr>
          <w:lang w:eastAsia="ja-JP"/>
        </w:rPr>
      </w:pPr>
    </w:p>
    <w:p w:rsidR="00FF7ED9" w:rsidRDefault="00FF7ED9" w:rsidP="00173EA2">
      <w:pPr>
        <w:rPr>
          <w:lang w:eastAsia="ja-JP"/>
        </w:rPr>
        <w:sectPr w:rsidR="00FF7ED9" w:rsidSect="00FF7ED9">
          <w:headerReference w:type="default" r:id="rId27"/>
          <w:headerReference w:type="first" r:id="rId28"/>
          <w:pgSz w:w="11907" w:h="16840" w:code="9"/>
          <w:pgMar w:top="510" w:right="1134" w:bottom="1134" w:left="1134" w:header="510" w:footer="680" w:gutter="0"/>
          <w:pgNumType w:start="1"/>
          <w:cols w:space="720"/>
          <w:titlePg/>
        </w:sectPr>
      </w:pPr>
    </w:p>
    <w:p w:rsidR="00173EA2" w:rsidRPr="00173EA2" w:rsidRDefault="00173EA2" w:rsidP="00173EA2">
      <w:pPr>
        <w:rPr>
          <w:lang w:eastAsia="ja-JP"/>
        </w:rPr>
      </w:pPr>
    </w:p>
    <w:p w:rsidR="00D15B20" w:rsidRDefault="00173EA2" w:rsidP="00D15B20">
      <w:pPr>
        <w:pStyle w:val="Heading1"/>
        <w:rPr>
          <w:lang w:eastAsia="ja-JP"/>
        </w:rPr>
      </w:pPr>
      <w:r>
        <w:rPr>
          <w:rFonts w:hint="eastAsia"/>
          <w:lang w:eastAsia="ja-JP"/>
        </w:rPr>
        <w:t>IRAN (</w:t>
      </w:r>
      <w:r w:rsidR="00D15B20">
        <w:rPr>
          <w:lang w:eastAsia="ja-JP"/>
        </w:rPr>
        <w:t>Islamic Republic of</w:t>
      </w:r>
      <w:r>
        <w:rPr>
          <w:rFonts w:hint="eastAsia"/>
          <w:lang w:eastAsia="ja-JP"/>
        </w:rPr>
        <w:t>)</w:t>
      </w:r>
    </w:p>
    <w:p w:rsidR="00D15B20" w:rsidRDefault="00D15B20" w:rsidP="00D15B20">
      <w:pPr>
        <w:pStyle w:val="Header"/>
        <w:jc w:val="left"/>
        <w:rPr>
          <w:lang w:eastAsia="ja-JP"/>
        </w:rPr>
      </w:pPr>
    </w:p>
    <w:p w:rsidR="00D15B20" w:rsidRDefault="00D15B20" w:rsidP="00615924">
      <w:pPr>
        <w:pStyle w:val="Header"/>
        <w:jc w:val="both"/>
        <w:rPr>
          <w:lang w:eastAsia="ja-JP"/>
        </w:rPr>
      </w:pPr>
      <w:r>
        <w:rPr>
          <w:lang w:eastAsia="ja-JP"/>
        </w:rPr>
        <w:t xml:space="preserve">Seed and Plant Certification and Registration Institute (SPCRI) which has been established in 2004 </w:t>
      </w:r>
      <w:proofErr w:type="gramStart"/>
      <w:r>
        <w:rPr>
          <w:lang w:eastAsia="ja-JP"/>
        </w:rPr>
        <w:t>is</w:t>
      </w:r>
      <w:proofErr w:type="gramEnd"/>
      <w:r>
        <w:rPr>
          <w:lang w:eastAsia="ja-JP"/>
        </w:rPr>
        <w:t xml:space="preserve"> the</w:t>
      </w:r>
      <w:r>
        <w:rPr>
          <w:rFonts w:hint="eastAsia"/>
          <w:lang w:eastAsia="ja-JP"/>
        </w:rPr>
        <w:t xml:space="preserve"> </w:t>
      </w:r>
      <w:r>
        <w:rPr>
          <w:lang w:eastAsia="ja-JP"/>
        </w:rPr>
        <w:t xml:space="preserve">national authority for the seed certification and protection of the new varieties of plant. SPCRI is a subsidiary body of Agriculture Research, Education and Extension (AREEO) of the Ministry of Agriculture. </w:t>
      </w:r>
      <w:r>
        <w:rPr>
          <w:rFonts w:hint="eastAsia"/>
          <w:lang w:eastAsia="ja-JP"/>
        </w:rPr>
        <w:t xml:space="preserve"> </w:t>
      </w:r>
      <w:proofErr w:type="gramStart"/>
      <w:r>
        <w:rPr>
          <w:lang w:eastAsia="ja-JP"/>
        </w:rPr>
        <w:t>The</w:t>
      </w:r>
      <w:r>
        <w:rPr>
          <w:rFonts w:hint="eastAsia"/>
          <w:lang w:eastAsia="ja-JP"/>
        </w:rPr>
        <w:t xml:space="preserve"> </w:t>
      </w:r>
      <w:r>
        <w:rPr>
          <w:lang w:eastAsia="ja-JP"/>
        </w:rPr>
        <w:t>headquarter</w:t>
      </w:r>
      <w:proofErr w:type="gramEnd"/>
      <w:r>
        <w:rPr>
          <w:lang w:eastAsia="ja-JP"/>
        </w:rPr>
        <w:t xml:space="preserve"> of the institute is located in Karaj, near the capital, and its 31 provincial branches are located in Provincial Agricultural Research Centers. </w:t>
      </w:r>
      <w:r>
        <w:rPr>
          <w:rFonts w:hint="eastAsia"/>
          <w:lang w:eastAsia="ja-JP"/>
        </w:rPr>
        <w:t xml:space="preserve"> </w:t>
      </w:r>
      <w:r>
        <w:rPr>
          <w:lang w:eastAsia="ja-JP"/>
        </w:rPr>
        <w:t>These provincial branches are only engaged in seed certification. SPCRI is consisted of four departments (based on duties) as 1) Seed Certification, 2) Trees Certification, 3) Seed Technology, and 4) Registration and Protection.</w:t>
      </w:r>
    </w:p>
    <w:p w:rsidR="00D15B20" w:rsidRDefault="00D15B20" w:rsidP="00615924">
      <w:pPr>
        <w:pStyle w:val="Header"/>
        <w:jc w:val="both"/>
        <w:rPr>
          <w:lang w:eastAsia="ja-JP"/>
        </w:rPr>
      </w:pPr>
    </w:p>
    <w:p w:rsidR="00D15B20" w:rsidRDefault="00D15B20" w:rsidP="00615924">
      <w:pPr>
        <w:pStyle w:val="Header"/>
        <w:jc w:val="both"/>
        <w:rPr>
          <w:lang w:eastAsia="ja-JP"/>
        </w:rPr>
      </w:pPr>
      <w:r>
        <w:rPr>
          <w:lang w:eastAsia="ja-JP"/>
        </w:rPr>
        <w:t>The Registration &amp; Protection department is responsible for granting PBR and also conducting DUS tests. The staff is composed of 13 experts in charge of legal aspect of PVP, examination of application for PBR, conducting DUS tests and molecular tests.</w:t>
      </w:r>
      <w:r>
        <w:rPr>
          <w:rFonts w:hint="eastAsia"/>
          <w:lang w:eastAsia="ja-JP"/>
        </w:rPr>
        <w:t xml:space="preserve"> </w:t>
      </w:r>
      <w:r>
        <w:rPr>
          <w:lang w:eastAsia="ja-JP"/>
        </w:rPr>
        <w:t xml:space="preserve"> By September 2014, 64 national DUS test guidelines have been developed, of which 46 guidelines are available on website and in hard copy.  </w:t>
      </w:r>
    </w:p>
    <w:p w:rsidR="00D15B20" w:rsidRDefault="00D15B20" w:rsidP="00615924">
      <w:pPr>
        <w:pStyle w:val="Header"/>
        <w:jc w:val="both"/>
        <w:rPr>
          <w:lang w:eastAsia="ja-JP"/>
        </w:rPr>
      </w:pPr>
    </w:p>
    <w:p w:rsidR="00615924" w:rsidRPr="00615924" w:rsidRDefault="00615924" w:rsidP="00615924">
      <w:pPr>
        <w:rPr>
          <w:snapToGrid w:val="0"/>
          <w:lang w:eastAsia="ja-JP"/>
        </w:rPr>
      </w:pPr>
      <w:r w:rsidRPr="00615924">
        <w:rPr>
          <w:snapToGrid w:val="0"/>
          <w:lang w:eastAsia="ja-JP"/>
        </w:rPr>
        <w:t>SPCRI has established with Molecular Markers Laboratory dealing with fingerprinting plant varieties, testing the genetic purity of hybrids and true-to-</w:t>
      </w:r>
      <w:proofErr w:type="spellStart"/>
      <w:r w:rsidRPr="00615924">
        <w:rPr>
          <w:snapToGrid w:val="0"/>
          <w:lang w:eastAsia="ja-JP"/>
        </w:rPr>
        <w:t>typeness</w:t>
      </w:r>
      <w:proofErr w:type="spellEnd"/>
      <w:r w:rsidRPr="00615924">
        <w:rPr>
          <w:snapToGrid w:val="0"/>
          <w:lang w:eastAsia="ja-JP"/>
        </w:rPr>
        <w:t xml:space="preserve"> of propagated plant materials, and detection of GMPs in seed lots. So far, the SSR pattern of a total of 123 local premier varieties of 12 fruit trees like date palm, fig, olive, grapes, walnut, etc. have been developed, as well as DNA profiles of agricultural crops like soybean rice and barley.</w:t>
      </w:r>
    </w:p>
    <w:p w:rsidR="00615924" w:rsidRDefault="00615924" w:rsidP="00615924">
      <w:pPr>
        <w:pStyle w:val="Header"/>
        <w:jc w:val="both"/>
        <w:rPr>
          <w:lang w:eastAsia="ja-JP"/>
        </w:rPr>
      </w:pPr>
    </w:p>
    <w:p w:rsidR="00D15B20" w:rsidRDefault="00D15B20" w:rsidP="00615924">
      <w:pPr>
        <w:pStyle w:val="Header"/>
        <w:jc w:val="both"/>
        <w:rPr>
          <w:lang w:eastAsia="ja-JP"/>
        </w:rPr>
      </w:pPr>
      <w:r>
        <w:rPr>
          <w:lang w:eastAsia="ja-JP"/>
        </w:rPr>
        <w:t xml:space="preserve">SPCRI has enjoyed from a FAO TCP project entitled: Strengthening Capacity on Plant Variety Protection (PVP) which has been implemented during 2007-09 in the Institute. </w:t>
      </w:r>
      <w:r>
        <w:rPr>
          <w:rFonts w:hint="eastAsia"/>
          <w:lang w:eastAsia="ja-JP"/>
        </w:rPr>
        <w:t xml:space="preserve"> </w:t>
      </w:r>
      <w:r>
        <w:rPr>
          <w:lang w:eastAsia="ja-JP"/>
        </w:rPr>
        <w:t xml:space="preserve">During the project cycle several regional workshops on different aspects of PVP including technical and legal issues and also BMT workshop were elaborated by international and national consultants of the project. </w:t>
      </w:r>
      <w:r>
        <w:rPr>
          <w:rFonts w:hint="eastAsia"/>
          <w:lang w:eastAsia="ja-JP"/>
        </w:rPr>
        <w:t xml:space="preserve"> </w:t>
      </w:r>
      <w:r>
        <w:rPr>
          <w:lang w:eastAsia="ja-JP"/>
        </w:rPr>
        <w:t xml:space="preserve">One expert was send to The Netherlands to participate in PVP course which annually hold jointly by </w:t>
      </w:r>
      <w:proofErr w:type="spellStart"/>
      <w:r>
        <w:rPr>
          <w:lang w:eastAsia="ja-JP"/>
        </w:rPr>
        <w:t>Naktunibouw</w:t>
      </w:r>
      <w:proofErr w:type="spellEnd"/>
      <w:r>
        <w:rPr>
          <w:lang w:eastAsia="ja-JP"/>
        </w:rPr>
        <w:t xml:space="preserve"> and </w:t>
      </w:r>
      <w:proofErr w:type="spellStart"/>
      <w:r>
        <w:rPr>
          <w:lang w:eastAsia="ja-JP"/>
        </w:rPr>
        <w:t>Wageningen</w:t>
      </w:r>
      <w:proofErr w:type="spellEnd"/>
      <w:r>
        <w:rPr>
          <w:lang w:eastAsia="ja-JP"/>
        </w:rPr>
        <w:t xml:space="preserve"> UR. </w:t>
      </w:r>
      <w:r>
        <w:rPr>
          <w:rFonts w:hint="eastAsia"/>
          <w:lang w:eastAsia="ja-JP"/>
        </w:rPr>
        <w:t xml:space="preserve"> </w:t>
      </w:r>
      <w:r>
        <w:rPr>
          <w:lang w:eastAsia="ja-JP"/>
        </w:rPr>
        <w:t xml:space="preserve">For the first time in the country a book entitled Principles of Plant Variety Protection was also complied by a group of authors in Persian language, funded by the project. </w:t>
      </w:r>
    </w:p>
    <w:p w:rsidR="00D15B20" w:rsidRDefault="00D15B20" w:rsidP="00615924">
      <w:pPr>
        <w:pStyle w:val="Header"/>
        <w:jc w:val="both"/>
        <w:rPr>
          <w:lang w:eastAsia="ja-JP"/>
        </w:rPr>
      </w:pPr>
    </w:p>
    <w:p w:rsidR="00D15B20" w:rsidRDefault="00D15B20" w:rsidP="00615924">
      <w:pPr>
        <w:pStyle w:val="Header"/>
        <w:jc w:val="both"/>
        <w:rPr>
          <w:lang w:eastAsia="ja-JP"/>
        </w:rPr>
      </w:pPr>
      <w:r>
        <w:rPr>
          <w:lang w:eastAsia="ja-JP"/>
        </w:rPr>
        <w:t xml:space="preserve">Majority of the Registration &amp; Protection department’ staffs have been participated in UPOV’s distance learning course (DL205) on Introduction to the UPOV System of Plant Variety Protection under the UPOV Convention. </w:t>
      </w:r>
      <w:r>
        <w:rPr>
          <w:rFonts w:hint="eastAsia"/>
          <w:lang w:eastAsia="ja-JP"/>
        </w:rPr>
        <w:t xml:space="preserve"> </w:t>
      </w:r>
      <w:r>
        <w:rPr>
          <w:lang w:eastAsia="ja-JP"/>
        </w:rPr>
        <w:t xml:space="preserve">Another staff of the department was also took part in the above mentioned PVP course in The Netherlands. </w:t>
      </w:r>
    </w:p>
    <w:p w:rsidR="00D15B20" w:rsidRDefault="00D15B20" w:rsidP="00615924">
      <w:pPr>
        <w:pStyle w:val="Header"/>
        <w:jc w:val="both"/>
        <w:rPr>
          <w:lang w:eastAsia="ja-JP"/>
        </w:rPr>
      </w:pPr>
    </w:p>
    <w:p w:rsidR="00615924" w:rsidRDefault="00615924" w:rsidP="00615924">
      <w:pPr>
        <w:rPr>
          <w:snapToGrid w:val="0"/>
          <w:lang w:eastAsia="ja-JP"/>
        </w:rPr>
      </w:pPr>
      <w:r w:rsidRPr="00615924">
        <w:rPr>
          <w:snapToGrid w:val="0"/>
          <w:lang w:eastAsia="ja-JP"/>
        </w:rPr>
        <w:t xml:space="preserve">Iran is not a member of UPOV and currently its sui generis system is applicable only for Iran`s residents. Nevertheless, according to Economic Cooperation Organization (ECO) commercial agreement law, the residents of ECO (only those countries which have ratified this law by their parliament) can protect their own plant varieties in Iran. </w:t>
      </w:r>
      <w:r>
        <w:rPr>
          <w:rFonts w:hint="eastAsia"/>
          <w:snapToGrid w:val="0"/>
          <w:lang w:eastAsia="ja-JP"/>
        </w:rPr>
        <w:t xml:space="preserve"> </w:t>
      </w:r>
      <w:r w:rsidRPr="00615924">
        <w:rPr>
          <w:snapToGrid w:val="0"/>
          <w:lang w:eastAsia="ja-JP"/>
        </w:rPr>
        <w:t>Although Iran is not a member of UPOV, the Institute is legally authorized to make its decision to register a variety based on different methods including examination information and documents which are available in UPOV member countries or in countries which have concluded a Plant Variety Protection Agreement with the Iran.</w:t>
      </w:r>
    </w:p>
    <w:p w:rsidR="00615924" w:rsidRDefault="00615924" w:rsidP="00DF474C">
      <w:pPr>
        <w:pStyle w:val="endofdoc"/>
        <w:rPr>
          <w:snapToGrid w:val="0"/>
          <w:lang w:eastAsia="ja-JP"/>
        </w:rPr>
      </w:pPr>
    </w:p>
    <w:p w:rsidR="00DF474C" w:rsidRDefault="00DF474C" w:rsidP="00DF474C">
      <w:pPr>
        <w:pStyle w:val="endofdoc"/>
        <w:rPr>
          <w:snapToGrid w:val="0"/>
        </w:rPr>
      </w:pPr>
      <w:r>
        <w:rPr>
          <w:snapToGrid w:val="0"/>
        </w:rPr>
        <w:t xml:space="preserve">[End of </w:t>
      </w:r>
      <w:r w:rsidR="006F1277">
        <w:rPr>
          <w:rFonts w:hint="eastAsia"/>
          <w:snapToGrid w:val="0"/>
          <w:lang w:eastAsia="ja-JP"/>
        </w:rPr>
        <w:t>annex</w:t>
      </w:r>
      <w:r w:rsidR="00173EA2">
        <w:rPr>
          <w:rFonts w:hint="eastAsia"/>
          <w:snapToGrid w:val="0"/>
          <w:lang w:eastAsia="ja-JP"/>
        </w:rPr>
        <w:t>es</w:t>
      </w:r>
      <w:r w:rsidR="006F1277">
        <w:rPr>
          <w:rFonts w:hint="eastAsia"/>
          <w:snapToGrid w:val="0"/>
          <w:lang w:eastAsia="ja-JP"/>
        </w:rPr>
        <w:t xml:space="preserve"> and of </w:t>
      </w:r>
      <w:r>
        <w:rPr>
          <w:snapToGrid w:val="0"/>
        </w:rPr>
        <w:t>document]</w:t>
      </w:r>
    </w:p>
    <w:sectPr w:rsidR="00DF474C" w:rsidSect="00906DDC">
      <w:headerReference w:type="first" r:id="rId29"/>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798" w:rsidRDefault="009E7798" w:rsidP="006655D3">
      <w:r>
        <w:separator/>
      </w:r>
    </w:p>
    <w:p w:rsidR="009E7798" w:rsidRDefault="009E7798" w:rsidP="006655D3"/>
    <w:p w:rsidR="009E7798" w:rsidRDefault="009E7798" w:rsidP="006655D3"/>
  </w:endnote>
  <w:endnote w:type="continuationSeparator" w:id="0">
    <w:p w:rsidR="009E7798" w:rsidRDefault="009E7798" w:rsidP="006655D3">
      <w:r>
        <w:separator/>
      </w:r>
    </w:p>
    <w:p w:rsidR="009E7798" w:rsidRPr="008B409A" w:rsidRDefault="009E7798">
      <w:pPr>
        <w:pStyle w:val="Footer"/>
        <w:spacing w:after="60"/>
        <w:rPr>
          <w:sz w:val="18"/>
          <w:lang w:val="fr-CH"/>
        </w:rPr>
      </w:pPr>
      <w:r w:rsidRPr="008B409A">
        <w:rPr>
          <w:sz w:val="18"/>
          <w:lang w:val="fr-CH"/>
        </w:rPr>
        <w:t>[Suite de la note de la page précédente]</w:t>
      </w:r>
    </w:p>
    <w:p w:rsidR="009E7798" w:rsidRPr="008B409A" w:rsidRDefault="009E7798" w:rsidP="006655D3">
      <w:pPr>
        <w:rPr>
          <w:lang w:val="fr-CH"/>
        </w:rPr>
      </w:pPr>
    </w:p>
    <w:p w:rsidR="009E7798" w:rsidRPr="008B409A" w:rsidRDefault="009E7798" w:rsidP="006655D3">
      <w:pPr>
        <w:rPr>
          <w:lang w:val="fr-CH"/>
        </w:rPr>
      </w:pPr>
    </w:p>
  </w:endnote>
  <w:endnote w:type="continuationNotice" w:id="1">
    <w:p w:rsidR="009E7798" w:rsidRPr="008B409A" w:rsidRDefault="009E7798" w:rsidP="006655D3">
      <w:pPr>
        <w:rPr>
          <w:lang w:val="fr-CH"/>
        </w:rPr>
      </w:pPr>
      <w:r w:rsidRPr="008B409A">
        <w:rPr>
          <w:lang w:val="fr-CH"/>
        </w:rPr>
        <w:t>[Suite de la note page suivante]</w:t>
      </w:r>
    </w:p>
    <w:p w:rsidR="009E7798" w:rsidRPr="008B409A" w:rsidRDefault="009E7798" w:rsidP="006655D3">
      <w:pPr>
        <w:rPr>
          <w:lang w:val="fr-CH"/>
        </w:rPr>
      </w:pPr>
    </w:p>
    <w:p w:rsidR="009E7798" w:rsidRPr="008B409A" w:rsidRDefault="009E7798"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AE0EF1" w:rsidRDefault="00721DBE">
    <w:pPr>
      <w:pStyle w:val="Footer"/>
    </w:pPr>
    <w:r>
      <w:fldChar w:fldCharType="begin"/>
    </w:r>
    <w:r>
      <w:instrText xml:space="preserve"> FILENAME \p\* Lower \* MERGEFORMAT </w:instrText>
    </w:r>
    <w:r>
      <w:fldChar w:fldCharType="separate"/>
    </w:r>
    <w:r>
      <w:rPr>
        <w:noProof/>
      </w:rPr>
      <w:t>n:\orgupov\shared\document\bmt\bmt_14\bmt_14_15_xxx.docx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798" w:rsidRDefault="009E7798" w:rsidP="006655D3">
      <w:r>
        <w:separator/>
      </w:r>
    </w:p>
  </w:footnote>
  <w:footnote w:type="continuationSeparator" w:id="0">
    <w:p w:rsidR="009E7798" w:rsidRDefault="009E7798" w:rsidP="006655D3">
      <w:r>
        <w:separator/>
      </w:r>
    </w:p>
  </w:footnote>
  <w:footnote w:type="continuationNotice" w:id="1">
    <w:p w:rsidR="009E7798" w:rsidRPr="00AB530F" w:rsidRDefault="009E779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20" w:rsidRDefault="00D15B20">
    <w:pPr>
      <w:pStyle w:val="Header"/>
      <w:rPr>
        <w:lang w:val="fr-CH"/>
      </w:rPr>
    </w:pPr>
    <w:r>
      <w:rPr>
        <w:lang w:val="fr-CH"/>
      </w:rPr>
      <w:t>TWO/46/28</w:t>
    </w:r>
  </w:p>
  <w:p w:rsidR="00D15B20" w:rsidRPr="009D7CB8" w:rsidRDefault="00D15B20">
    <w:pPr>
      <w:pStyle w:val="Header"/>
      <w:rPr>
        <w:lang w:val="fr-CH"/>
      </w:rPr>
    </w:pPr>
    <w:proofErr w:type="spellStart"/>
    <w:r>
      <w:rPr>
        <w:lang w:val="fr-CH"/>
      </w:rPr>
      <w:t>Annex</w:t>
    </w:r>
    <w:proofErr w:type="spellEnd"/>
    <w:r>
      <w:rPr>
        <w:lang w:val="fr-CH"/>
      </w:rPr>
      <w:t xml:space="preserve"> VIII, page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20" w:rsidRPr="00C5280D" w:rsidRDefault="00D15B20" w:rsidP="009D5C54">
    <w:pPr>
      <w:pStyle w:val="Header"/>
      <w:rPr>
        <w:rStyle w:val="PageNumber"/>
      </w:rPr>
    </w:pPr>
    <w:r>
      <w:rPr>
        <w:rStyle w:val="PageNumber"/>
      </w:rPr>
      <w:t>TWO/47/27</w:t>
    </w:r>
  </w:p>
  <w:p w:rsidR="00D15B20" w:rsidRPr="00C5280D" w:rsidRDefault="00D15B20" w:rsidP="009D5C54">
    <w:pPr>
      <w:pStyle w:val="Header"/>
    </w:pPr>
    <w:r>
      <w:t>ANNEX I</w:t>
    </w:r>
  </w:p>
  <w:p w:rsidR="00D15B20" w:rsidRPr="00C5280D" w:rsidRDefault="00D15B20" w:rsidP="009D5C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7B7A8F" w:rsidP="00832298">
    <w:pPr>
      <w:pStyle w:val="Header"/>
    </w:pPr>
    <w:r>
      <w:t>BMT</w:t>
    </w:r>
    <w:r w:rsidR="00AE5B25">
      <w:t>/</w:t>
    </w:r>
    <w:r>
      <w:t>14</w:t>
    </w:r>
    <w:r w:rsidR="00903656" w:rsidRPr="00832298">
      <w:t>/</w:t>
    </w:r>
    <w:r w:rsidR="00685222" w:rsidRPr="00685222">
      <w:rPr>
        <w:highlight w:val="cyan"/>
      </w:rPr>
      <w:t>xx</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FF7ED9">
      <w:rPr>
        <w:noProof/>
      </w:rPr>
      <w:t>4</w:t>
    </w:r>
    <w:r w:rsidRPr="00832298">
      <w:fldChar w:fldCharType="end"/>
    </w:r>
  </w:p>
  <w:p w:rsidR="00903656" w:rsidRPr="00C5280D" w:rsidRDefault="00903656" w:rsidP="008322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277" w:rsidRDefault="006F1277">
    <w:pPr>
      <w:pStyle w:val="Header"/>
      <w:rPr>
        <w:lang w:eastAsia="ja-JP"/>
      </w:rPr>
    </w:pPr>
    <w:r>
      <w:rPr>
        <w:rFonts w:hint="eastAsia"/>
        <w:lang w:eastAsia="ja-JP"/>
      </w:rPr>
      <w:t>BMT/14/15</w:t>
    </w:r>
  </w:p>
  <w:p w:rsidR="006F1277" w:rsidRDefault="006F1277">
    <w:pPr>
      <w:pStyle w:val="Header"/>
      <w:rPr>
        <w:lang w:eastAsia="ja-JP"/>
      </w:rPr>
    </w:pPr>
  </w:p>
  <w:p w:rsidR="006F1277" w:rsidRDefault="006F1277">
    <w:pPr>
      <w:pStyle w:val="Header"/>
      <w:rPr>
        <w:lang w:eastAsia="ja-JP"/>
      </w:rPr>
    </w:pPr>
    <w:r>
      <w:rPr>
        <w:rFonts w:hint="eastAsia"/>
        <w:lang w:eastAsia="ja-JP"/>
      </w:rPr>
      <w:t>ANNEX</w:t>
    </w:r>
    <w:r w:rsidR="00173EA2">
      <w:rPr>
        <w:rFonts w:hint="eastAsia"/>
        <w:lang w:eastAsia="ja-JP"/>
      </w:rPr>
      <w:t xml:space="preserve">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D9" w:rsidRPr="00832298" w:rsidRDefault="00FF7ED9" w:rsidP="00832298">
    <w:pPr>
      <w:pStyle w:val="Header"/>
      <w:rPr>
        <w:lang w:eastAsia="ja-JP"/>
      </w:rPr>
    </w:pPr>
    <w:r>
      <w:t>BMT/14</w:t>
    </w:r>
    <w:r w:rsidRPr="00832298">
      <w:t>/</w:t>
    </w:r>
    <w:r>
      <w:rPr>
        <w:rFonts w:hint="eastAsia"/>
        <w:lang w:eastAsia="ja-JP"/>
      </w:rPr>
      <w:t>15</w:t>
    </w:r>
  </w:p>
  <w:p w:rsidR="00FF7ED9" w:rsidRPr="00C5280D" w:rsidRDefault="00FF7ED9" w:rsidP="00EB048E">
    <w:pPr>
      <w:pStyle w:val="Header"/>
    </w:pPr>
    <w:r>
      <w:rPr>
        <w:rFonts w:hint="eastAsia"/>
        <w:lang w:eastAsia="ja-JP"/>
      </w:rPr>
      <w:t xml:space="preserve">Annex II, </w:t>
    </w:r>
    <w:r w:rsidRPr="00C5280D">
      <w:t xml:space="preserve">page </w:t>
    </w:r>
    <w:r w:rsidRPr="00832298">
      <w:fldChar w:fldCharType="begin"/>
    </w:r>
    <w:r w:rsidRPr="00832298">
      <w:instrText xml:space="preserve"> PAGE </w:instrText>
    </w:r>
    <w:r w:rsidRPr="00832298">
      <w:fldChar w:fldCharType="separate"/>
    </w:r>
    <w:r w:rsidR="00721DBE">
      <w:rPr>
        <w:noProof/>
      </w:rPr>
      <w:t>7</w:t>
    </w:r>
    <w:r w:rsidRPr="00832298">
      <w:fldChar w:fldCharType="end"/>
    </w:r>
  </w:p>
  <w:p w:rsidR="00FF7ED9" w:rsidRPr="00C5280D" w:rsidRDefault="00FF7ED9" w:rsidP="008322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D9" w:rsidRDefault="00FF7ED9">
    <w:pPr>
      <w:pStyle w:val="Header"/>
      <w:rPr>
        <w:lang w:eastAsia="ja-JP"/>
      </w:rPr>
    </w:pPr>
    <w:r>
      <w:rPr>
        <w:rFonts w:hint="eastAsia"/>
        <w:lang w:eastAsia="ja-JP"/>
      </w:rPr>
      <w:t>BMT/14/15</w:t>
    </w:r>
  </w:p>
  <w:p w:rsidR="00FF7ED9" w:rsidRDefault="00FF7ED9">
    <w:pPr>
      <w:pStyle w:val="Header"/>
      <w:rPr>
        <w:lang w:eastAsia="ja-JP"/>
      </w:rPr>
    </w:pPr>
  </w:p>
  <w:p w:rsidR="00FF7ED9" w:rsidRDefault="00FF7ED9">
    <w:pPr>
      <w:pStyle w:val="Header"/>
      <w:rPr>
        <w:lang w:eastAsia="ja-JP"/>
      </w:rPr>
    </w:pPr>
    <w:r>
      <w:rPr>
        <w:rFonts w:hint="eastAsia"/>
        <w:lang w:eastAsia="ja-JP"/>
      </w:rPr>
      <w:t>ANNEX 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EA2" w:rsidRDefault="00173EA2">
    <w:pPr>
      <w:pStyle w:val="Header"/>
      <w:rPr>
        <w:lang w:eastAsia="ja-JP"/>
      </w:rPr>
    </w:pPr>
    <w:r>
      <w:rPr>
        <w:rFonts w:hint="eastAsia"/>
        <w:lang w:eastAsia="ja-JP"/>
      </w:rPr>
      <w:t>BMT/14/15</w:t>
    </w:r>
  </w:p>
  <w:p w:rsidR="00173EA2" w:rsidRDefault="00173EA2">
    <w:pPr>
      <w:pStyle w:val="Header"/>
      <w:rPr>
        <w:lang w:eastAsia="ja-JP"/>
      </w:rPr>
    </w:pPr>
  </w:p>
  <w:p w:rsidR="00173EA2" w:rsidRDefault="00173EA2">
    <w:pPr>
      <w:pStyle w:val="Header"/>
      <w:rPr>
        <w:lang w:eastAsia="ja-JP"/>
      </w:rPr>
    </w:pPr>
    <w:r>
      <w:rPr>
        <w:rFonts w:hint="eastAsia"/>
        <w:lang w:eastAsia="ja-JP"/>
      </w:rPr>
      <w:t>ANNEX II</w:t>
    </w:r>
    <w:r w:rsidR="00FF7ED9">
      <w:rPr>
        <w:rFonts w:hint="eastAsia"/>
        <w:lang w:eastAsia="ja-JP"/>
      </w:rPr>
      <w: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E66"/>
    <w:rsid w:val="00010CF3"/>
    <w:rsid w:val="00011E27"/>
    <w:rsid w:val="000148BC"/>
    <w:rsid w:val="00024AB8"/>
    <w:rsid w:val="00030854"/>
    <w:rsid w:val="00036028"/>
    <w:rsid w:val="00044642"/>
    <w:rsid w:val="000446B9"/>
    <w:rsid w:val="00047E21"/>
    <w:rsid w:val="00073FE2"/>
    <w:rsid w:val="00085505"/>
    <w:rsid w:val="00091A90"/>
    <w:rsid w:val="000C4C93"/>
    <w:rsid w:val="000C7021"/>
    <w:rsid w:val="000D6BBC"/>
    <w:rsid w:val="000D7780"/>
    <w:rsid w:val="00105929"/>
    <w:rsid w:val="001131D5"/>
    <w:rsid w:val="001322D2"/>
    <w:rsid w:val="00141DB8"/>
    <w:rsid w:val="00157197"/>
    <w:rsid w:val="00173EA2"/>
    <w:rsid w:val="0017474A"/>
    <w:rsid w:val="001758C6"/>
    <w:rsid w:val="00182B99"/>
    <w:rsid w:val="0018780B"/>
    <w:rsid w:val="00195ACC"/>
    <w:rsid w:val="00195F91"/>
    <w:rsid w:val="001C6266"/>
    <w:rsid w:val="002052D9"/>
    <w:rsid w:val="00211B56"/>
    <w:rsid w:val="0021332C"/>
    <w:rsid w:val="00213982"/>
    <w:rsid w:val="0024416D"/>
    <w:rsid w:val="002800A0"/>
    <w:rsid w:val="002801B3"/>
    <w:rsid w:val="00281060"/>
    <w:rsid w:val="002940E8"/>
    <w:rsid w:val="002A6E50"/>
    <w:rsid w:val="002C256A"/>
    <w:rsid w:val="002C3688"/>
    <w:rsid w:val="002C6E5C"/>
    <w:rsid w:val="00305A7F"/>
    <w:rsid w:val="003152FE"/>
    <w:rsid w:val="00327436"/>
    <w:rsid w:val="00344BD6"/>
    <w:rsid w:val="0035528D"/>
    <w:rsid w:val="00361821"/>
    <w:rsid w:val="003B3894"/>
    <w:rsid w:val="003D227C"/>
    <w:rsid w:val="003D2B4D"/>
    <w:rsid w:val="00444A88"/>
    <w:rsid w:val="00474DA4"/>
    <w:rsid w:val="00476B4D"/>
    <w:rsid w:val="004805FA"/>
    <w:rsid w:val="00480AAB"/>
    <w:rsid w:val="004A57EB"/>
    <w:rsid w:val="004C4135"/>
    <w:rsid w:val="004D047D"/>
    <w:rsid w:val="004F305A"/>
    <w:rsid w:val="00512164"/>
    <w:rsid w:val="00520297"/>
    <w:rsid w:val="005338F9"/>
    <w:rsid w:val="0054281C"/>
    <w:rsid w:val="0055268D"/>
    <w:rsid w:val="00576BE4"/>
    <w:rsid w:val="0057736E"/>
    <w:rsid w:val="005A400A"/>
    <w:rsid w:val="00612379"/>
    <w:rsid w:val="0061555F"/>
    <w:rsid w:val="00615924"/>
    <w:rsid w:val="00617CE4"/>
    <w:rsid w:val="00641200"/>
    <w:rsid w:val="006655D3"/>
    <w:rsid w:val="00667404"/>
    <w:rsid w:val="00673406"/>
    <w:rsid w:val="00685222"/>
    <w:rsid w:val="00687EB4"/>
    <w:rsid w:val="006B17D2"/>
    <w:rsid w:val="006C224E"/>
    <w:rsid w:val="006D780A"/>
    <w:rsid w:val="006E1436"/>
    <w:rsid w:val="006F1277"/>
    <w:rsid w:val="00721DBE"/>
    <w:rsid w:val="00732DEC"/>
    <w:rsid w:val="00735BD5"/>
    <w:rsid w:val="007556F6"/>
    <w:rsid w:val="00760EEF"/>
    <w:rsid w:val="00777EE5"/>
    <w:rsid w:val="00784836"/>
    <w:rsid w:val="0079023E"/>
    <w:rsid w:val="007A2854"/>
    <w:rsid w:val="007B7A8F"/>
    <w:rsid w:val="007D0B9D"/>
    <w:rsid w:val="007D19B0"/>
    <w:rsid w:val="007F498F"/>
    <w:rsid w:val="0080679D"/>
    <w:rsid w:val="008108B0"/>
    <w:rsid w:val="00811B20"/>
    <w:rsid w:val="0082296E"/>
    <w:rsid w:val="00824099"/>
    <w:rsid w:val="00832298"/>
    <w:rsid w:val="00867AC1"/>
    <w:rsid w:val="00876C58"/>
    <w:rsid w:val="008A743F"/>
    <w:rsid w:val="008B059F"/>
    <w:rsid w:val="008B409A"/>
    <w:rsid w:val="008C0970"/>
    <w:rsid w:val="008D2CF7"/>
    <w:rsid w:val="008F3E4B"/>
    <w:rsid w:val="00900C26"/>
    <w:rsid w:val="0090197F"/>
    <w:rsid w:val="00903656"/>
    <w:rsid w:val="00906DDC"/>
    <w:rsid w:val="00915E66"/>
    <w:rsid w:val="00932BD9"/>
    <w:rsid w:val="00934E09"/>
    <w:rsid w:val="00936253"/>
    <w:rsid w:val="00952DD4"/>
    <w:rsid w:val="00970FED"/>
    <w:rsid w:val="00997029"/>
    <w:rsid w:val="009D690D"/>
    <w:rsid w:val="009E65B6"/>
    <w:rsid w:val="009E7798"/>
    <w:rsid w:val="00A24C10"/>
    <w:rsid w:val="00A42AC3"/>
    <w:rsid w:val="00A430CF"/>
    <w:rsid w:val="00A47CBD"/>
    <w:rsid w:val="00A54309"/>
    <w:rsid w:val="00AB2B93"/>
    <w:rsid w:val="00AB530F"/>
    <w:rsid w:val="00AB5A8F"/>
    <w:rsid w:val="00AB7E5B"/>
    <w:rsid w:val="00AE0EF1"/>
    <w:rsid w:val="00AE2937"/>
    <w:rsid w:val="00AE5B25"/>
    <w:rsid w:val="00B07301"/>
    <w:rsid w:val="00B224DE"/>
    <w:rsid w:val="00B46575"/>
    <w:rsid w:val="00B466EB"/>
    <w:rsid w:val="00B71144"/>
    <w:rsid w:val="00B76869"/>
    <w:rsid w:val="00B84BBD"/>
    <w:rsid w:val="00BA43FB"/>
    <w:rsid w:val="00BB0967"/>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F3A11"/>
    <w:rsid w:val="00CF7E36"/>
    <w:rsid w:val="00D15B20"/>
    <w:rsid w:val="00D3708D"/>
    <w:rsid w:val="00D40426"/>
    <w:rsid w:val="00D53216"/>
    <w:rsid w:val="00D57C96"/>
    <w:rsid w:val="00D82D2E"/>
    <w:rsid w:val="00D91203"/>
    <w:rsid w:val="00D95174"/>
    <w:rsid w:val="00DA6F36"/>
    <w:rsid w:val="00DB596E"/>
    <w:rsid w:val="00DB7773"/>
    <w:rsid w:val="00DC00EA"/>
    <w:rsid w:val="00DF474C"/>
    <w:rsid w:val="00E033F2"/>
    <w:rsid w:val="00E32F7E"/>
    <w:rsid w:val="00E6318D"/>
    <w:rsid w:val="00E72D49"/>
    <w:rsid w:val="00E7593C"/>
    <w:rsid w:val="00E7678A"/>
    <w:rsid w:val="00E863E5"/>
    <w:rsid w:val="00E935F1"/>
    <w:rsid w:val="00E94A81"/>
    <w:rsid w:val="00EA1FFB"/>
    <w:rsid w:val="00EB048E"/>
    <w:rsid w:val="00EC2566"/>
    <w:rsid w:val="00ED58A1"/>
    <w:rsid w:val="00EE34DF"/>
    <w:rsid w:val="00EF2F89"/>
    <w:rsid w:val="00F1237A"/>
    <w:rsid w:val="00F22CBD"/>
    <w:rsid w:val="00F45372"/>
    <w:rsid w:val="00F560F7"/>
    <w:rsid w:val="00F6334D"/>
    <w:rsid w:val="00FA49AB"/>
    <w:rsid w:val="00FD54E2"/>
    <w:rsid w:val="00FE39C7"/>
    <w:rsid w:val="00FF7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15B20"/>
    <w:pPr>
      <w:keepNext/>
      <w:jc w:val="center"/>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character" w:customStyle="1" w:styleId="HeaderChar">
    <w:name w:val="Header Char"/>
    <w:basedOn w:val="DefaultParagraphFont"/>
    <w:link w:val="Header"/>
    <w:uiPriority w:val="99"/>
    <w:rsid w:val="00D15B20"/>
    <w:rPr>
      <w:rFonts w:ascii="Arial" w:hAnsi="Arial"/>
    </w:rPr>
  </w:style>
  <w:style w:type="character" w:customStyle="1" w:styleId="contact-street">
    <w:name w:val="contact-street"/>
    <w:basedOn w:val="DefaultParagraphFont"/>
    <w:rsid w:val="00173EA2"/>
  </w:style>
  <w:style w:type="character" w:styleId="CommentReference">
    <w:name w:val="annotation reference"/>
    <w:basedOn w:val="DefaultParagraphFont"/>
    <w:rsid w:val="00FF7ED9"/>
    <w:rPr>
      <w:sz w:val="16"/>
      <w:szCs w:val="16"/>
    </w:rPr>
  </w:style>
  <w:style w:type="paragraph" w:styleId="CommentText">
    <w:name w:val="annotation text"/>
    <w:basedOn w:val="Normal"/>
    <w:link w:val="CommentTextChar"/>
    <w:rsid w:val="00FF7ED9"/>
  </w:style>
  <w:style w:type="character" w:customStyle="1" w:styleId="CommentTextChar">
    <w:name w:val="Comment Text Char"/>
    <w:basedOn w:val="DefaultParagraphFont"/>
    <w:link w:val="CommentText"/>
    <w:rsid w:val="00FF7ED9"/>
    <w:rPr>
      <w:rFonts w:ascii="Arial" w:hAnsi="Arial"/>
    </w:rPr>
  </w:style>
  <w:style w:type="paragraph" w:styleId="CommentSubject">
    <w:name w:val="annotation subject"/>
    <w:basedOn w:val="CommentText"/>
    <w:next w:val="CommentText"/>
    <w:link w:val="CommentSubjectChar"/>
    <w:rsid w:val="00FF7ED9"/>
    <w:rPr>
      <w:b/>
      <w:bCs/>
    </w:rPr>
  </w:style>
  <w:style w:type="character" w:customStyle="1" w:styleId="CommentSubjectChar">
    <w:name w:val="Comment Subject Char"/>
    <w:basedOn w:val="CommentTextChar"/>
    <w:link w:val="CommentSubject"/>
    <w:rsid w:val="00FF7ED9"/>
    <w:rPr>
      <w:rFonts w:ascii="Arial" w:hAnsi="Arial"/>
      <w:b/>
      <w:bCs/>
    </w:rPr>
  </w:style>
  <w:style w:type="paragraph" w:styleId="Revision">
    <w:name w:val="Revision"/>
    <w:hidden/>
    <w:uiPriority w:val="99"/>
    <w:semiHidden/>
    <w:rsid w:val="00FF7ED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15B20"/>
    <w:pPr>
      <w:keepNext/>
      <w:jc w:val="center"/>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character" w:customStyle="1" w:styleId="HeaderChar">
    <w:name w:val="Header Char"/>
    <w:basedOn w:val="DefaultParagraphFont"/>
    <w:link w:val="Header"/>
    <w:uiPriority w:val="99"/>
    <w:rsid w:val="00D15B20"/>
    <w:rPr>
      <w:rFonts w:ascii="Arial" w:hAnsi="Arial"/>
    </w:rPr>
  </w:style>
  <w:style w:type="character" w:customStyle="1" w:styleId="contact-street">
    <w:name w:val="contact-street"/>
    <w:basedOn w:val="DefaultParagraphFont"/>
    <w:rsid w:val="00173EA2"/>
  </w:style>
  <w:style w:type="character" w:styleId="CommentReference">
    <w:name w:val="annotation reference"/>
    <w:basedOn w:val="DefaultParagraphFont"/>
    <w:rsid w:val="00FF7ED9"/>
    <w:rPr>
      <w:sz w:val="16"/>
      <w:szCs w:val="16"/>
    </w:rPr>
  </w:style>
  <w:style w:type="paragraph" w:styleId="CommentText">
    <w:name w:val="annotation text"/>
    <w:basedOn w:val="Normal"/>
    <w:link w:val="CommentTextChar"/>
    <w:rsid w:val="00FF7ED9"/>
  </w:style>
  <w:style w:type="character" w:customStyle="1" w:styleId="CommentTextChar">
    <w:name w:val="Comment Text Char"/>
    <w:basedOn w:val="DefaultParagraphFont"/>
    <w:link w:val="CommentText"/>
    <w:rsid w:val="00FF7ED9"/>
    <w:rPr>
      <w:rFonts w:ascii="Arial" w:hAnsi="Arial"/>
    </w:rPr>
  </w:style>
  <w:style w:type="paragraph" w:styleId="CommentSubject">
    <w:name w:val="annotation subject"/>
    <w:basedOn w:val="CommentText"/>
    <w:next w:val="CommentText"/>
    <w:link w:val="CommentSubjectChar"/>
    <w:rsid w:val="00FF7ED9"/>
    <w:rPr>
      <w:b/>
      <w:bCs/>
    </w:rPr>
  </w:style>
  <w:style w:type="character" w:customStyle="1" w:styleId="CommentSubjectChar">
    <w:name w:val="Comment Subject Char"/>
    <w:basedOn w:val="CommentTextChar"/>
    <w:link w:val="CommentSubject"/>
    <w:rsid w:val="00FF7ED9"/>
    <w:rPr>
      <w:rFonts w:ascii="Arial" w:hAnsi="Arial"/>
      <w:b/>
      <w:bCs/>
    </w:rPr>
  </w:style>
  <w:style w:type="paragraph" w:styleId="Revision">
    <w:name w:val="Revision"/>
    <w:hidden/>
    <w:uiPriority w:val="99"/>
    <w:semiHidden/>
    <w:rsid w:val="00FF7E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4\template\bmt_14_rev.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bmt_14_rev</Template>
  <TotalTime>48</TotalTime>
  <Pages>10</Pages>
  <Words>1146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TWA/42</vt:lpstr>
    </vt:vector>
  </TitlesOfParts>
  <Company>UPOV</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TWA/42</dc:title>
  <dc:creator>KOIDE Jun</dc:creator>
  <cp:lastModifiedBy>LONG Victoria</cp:lastModifiedBy>
  <cp:revision>9</cp:revision>
  <cp:lastPrinted>2014-12-10T07:45:00Z</cp:lastPrinted>
  <dcterms:created xsi:type="dcterms:W3CDTF">2014-11-13T00:44:00Z</dcterms:created>
  <dcterms:modified xsi:type="dcterms:W3CDTF">2014-12-10T07:45:00Z</dcterms:modified>
</cp:coreProperties>
</file>