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D5C08" w:rsidRPr="00AD5C08" w:rsidTr="00AD5C08">
        <w:tc>
          <w:tcPr>
            <w:tcW w:w="6522" w:type="dxa"/>
          </w:tcPr>
          <w:p w:rsidR="00AD5C08" w:rsidRPr="00AD5C08" w:rsidRDefault="00AD5C08" w:rsidP="00AD5C08">
            <w:pPr>
              <w:rPr>
                <w:lang w:val="de-DE"/>
              </w:rPr>
            </w:pPr>
            <w:r w:rsidRPr="00AD5C08">
              <w:rPr>
                <w:noProof/>
              </w:rPr>
              <w:drawing>
                <wp:inline distT="0" distB="0" distL="0" distR="0" wp14:anchorId="0FEE0EEB" wp14:editId="3ABF01D2">
                  <wp:extent cx="952031" cy="244054"/>
                  <wp:effectExtent l="0" t="0" r="635" b="381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D5C08" w:rsidRPr="00AD5C08" w:rsidRDefault="00AD5C08" w:rsidP="00AD5C08">
            <w:pPr>
              <w:spacing w:line="340" w:lineRule="atLeast"/>
              <w:jc w:val="right"/>
              <w:rPr>
                <w:b/>
                <w:bCs/>
                <w:sz w:val="36"/>
                <w:lang w:val="de-DE"/>
              </w:rPr>
            </w:pPr>
            <w:r w:rsidRPr="00AD5C08">
              <w:rPr>
                <w:b/>
                <w:bCs/>
                <w:sz w:val="36"/>
                <w:lang w:val="de-DE"/>
              </w:rPr>
              <w:t>G</w:t>
            </w:r>
          </w:p>
        </w:tc>
      </w:tr>
      <w:tr w:rsidR="00AD5C08" w:rsidRPr="00523931" w:rsidTr="00AD5C08">
        <w:trPr>
          <w:trHeight w:val="219"/>
        </w:trPr>
        <w:tc>
          <w:tcPr>
            <w:tcW w:w="6522" w:type="dxa"/>
          </w:tcPr>
          <w:p w:rsidR="00AD5C08" w:rsidRPr="00AD5C08" w:rsidRDefault="00AD5C08" w:rsidP="00AD5C08">
            <w:pPr>
              <w:spacing w:before="120"/>
              <w:rPr>
                <w:sz w:val="16"/>
                <w:lang w:val="de-DE"/>
              </w:rPr>
            </w:pPr>
            <w:r w:rsidRPr="00AD5C08">
              <w:rPr>
                <w:sz w:val="16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AD5C08" w:rsidRPr="00AD5C08" w:rsidRDefault="00AD5C08" w:rsidP="00AD5C08">
            <w:pPr>
              <w:rPr>
                <w:lang w:val="de-DE"/>
              </w:rPr>
            </w:pPr>
          </w:p>
        </w:tc>
      </w:tr>
    </w:tbl>
    <w:p w:rsidR="00AD5C08" w:rsidRPr="00AD5C08" w:rsidRDefault="00AD5C08" w:rsidP="00AD5C08">
      <w:pPr>
        <w:rPr>
          <w:lang w:val="de-DE"/>
        </w:rPr>
      </w:pPr>
    </w:p>
    <w:p w:rsidR="00AD5C08" w:rsidRPr="00AD5C08" w:rsidRDefault="00AD5C08" w:rsidP="00AD5C08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D5C08" w:rsidRPr="00512EA0" w:rsidTr="00AD5C08">
        <w:tc>
          <w:tcPr>
            <w:tcW w:w="6512" w:type="dxa"/>
          </w:tcPr>
          <w:p w:rsidR="00AD5C08" w:rsidRPr="00AD5C08" w:rsidRDefault="00AD5C08" w:rsidP="00AD5C08">
            <w:pPr>
              <w:jc w:val="left"/>
              <w:rPr>
                <w:b/>
                <w:bCs/>
                <w:kern w:val="28"/>
                <w:lang w:val="de-DE"/>
              </w:rPr>
            </w:pPr>
            <w:r w:rsidRPr="00AD5C08">
              <w:rPr>
                <w:b/>
                <w:bCs/>
                <w:kern w:val="28"/>
                <w:lang w:val="de-DE"/>
              </w:rPr>
              <w:t>Erweiterter Redaktionsausschuss</w:t>
            </w:r>
          </w:p>
          <w:p w:rsidR="00AD5C08" w:rsidRPr="00AD5C08" w:rsidRDefault="00AD5C08" w:rsidP="00AD5C08">
            <w:pPr>
              <w:spacing w:before="240"/>
              <w:contextualSpacing/>
              <w:jc w:val="left"/>
              <w:rPr>
                <w:b/>
                <w:bCs/>
                <w:kern w:val="28"/>
                <w:lang w:val="de-DE"/>
              </w:rPr>
            </w:pPr>
          </w:p>
          <w:p w:rsidR="00AD5C08" w:rsidRPr="00AD5C08" w:rsidRDefault="00AD5C08" w:rsidP="00AD5C08">
            <w:pPr>
              <w:spacing w:before="240"/>
              <w:contextualSpacing/>
              <w:jc w:val="left"/>
              <w:rPr>
                <w:b/>
                <w:bCs/>
                <w:kern w:val="28"/>
                <w:sz w:val="22"/>
                <w:lang w:val="de-DE"/>
              </w:rPr>
            </w:pPr>
            <w:r w:rsidRPr="00AD5C08">
              <w:rPr>
                <w:b/>
                <w:bCs/>
                <w:kern w:val="28"/>
                <w:lang w:val="de-DE"/>
              </w:rPr>
              <w:t>Genf, 26. und 27. März 2018</w:t>
            </w:r>
          </w:p>
        </w:tc>
        <w:tc>
          <w:tcPr>
            <w:tcW w:w="3127" w:type="dxa"/>
          </w:tcPr>
          <w:p w:rsidR="00AD5C08" w:rsidRPr="00AD5C08" w:rsidRDefault="00AD5C08" w:rsidP="00AD5C08">
            <w:pPr>
              <w:jc w:val="left"/>
              <w:rPr>
                <w:b/>
                <w:bCs/>
                <w:spacing w:val="10"/>
                <w:sz w:val="18"/>
                <w:lang w:val="de-DE"/>
              </w:rPr>
            </w:pPr>
            <w:r w:rsidRPr="00AD5C08">
              <w:rPr>
                <w:b/>
                <w:bCs/>
                <w:spacing w:val="10"/>
                <w:sz w:val="18"/>
                <w:lang w:val="de-DE"/>
              </w:rPr>
              <w:t>TC-EDC/Mar18/6</w:t>
            </w:r>
          </w:p>
          <w:p w:rsidR="00AD5C08" w:rsidRPr="00AD5C08" w:rsidRDefault="00AD5C08" w:rsidP="00AD5C08">
            <w:pPr>
              <w:spacing w:before="240" w:line="240" w:lineRule="exact"/>
              <w:contextualSpacing/>
              <w:jc w:val="left"/>
              <w:rPr>
                <w:b/>
                <w:bCs/>
                <w:spacing w:val="10"/>
                <w:sz w:val="18"/>
                <w:lang w:val="de-DE"/>
              </w:rPr>
            </w:pPr>
            <w:r w:rsidRPr="00AD5C08">
              <w:rPr>
                <w:b/>
                <w:bCs/>
                <w:spacing w:val="10"/>
                <w:sz w:val="18"/>
                <w:lang w:val="de-DE"/>
              </w:rPr>
              <w:t>Original:</w:t>
            </w:r>
            <w:r w:rsidRPr="00AD5C08">
              <w:rPr>
                <w:bCs/>
                <w:spacing w:val="10"/>
                <w:sz w:val="18"/>
                <w:lang w:val="de-DE"/>
              </w:rPr>
              <w:t xml:space="preserve">  englisch</w:t>
            </w:r>
          </w:p>
          <w:p w:rsidR="00AD5C08" w:rsidRPr="00AD5C08" w:rsidRDefault="00AD5C08" w:rsidP="00512EA0">
            <w:pPr>
              <w:spacing w:before="240" w:line="240" w:lineRule="exact"/>
              <w:contextualSpacing/>
              <w:jc w:val="left"/>
              <w:rPr>
                <w:b/>
                <w:bCs/>
                <w:spacing w:val="10"/>
                <w:sz w:val="18"/>
                <w:lang w:val="de-DE"/>
              </w:rPr>
            </w:pPr>
            <w:bookmarkStart w:id="0" w:name="_GoBack"/>
            <w:bookmarkEnd w:id="0"/>
            <w:r w:rsidRPr="00523931">
              <w:rPr>
                <w:b/>
                <w:bCs/>
                <w:spacing w:val="10"/>
                <w:sz w:val="18"/>
                <w:lang w:val="de-DE"/>
              </w:rPr>
              <w:t>Datum:</w:t>
            </w:r>
            <w:r w:rsidRPr="00523931">
              <w:rPr>
                <w:bCs/>
                <w:spacing w:val="10"/>
                <w:sz w:val="18"/>
                <w:lang w:val="de-DE"/>
              </w:rPr>
              <w:t xml:space="preserve">  </w:t>
            </w:r>
            <w:r w:rsidR="00512EA0" w:rsidRPr="00523931">
              <w:rPr>
                <w:bCs/>
                <w:spacing w:val="10"/>
                <w:sz w:val="18"/>
                <w:lang w:val="de-DE"/>
              </w:rPr>
              <w:t>1. Februar</w:t>
            </w:r>
            <w:r w:rsidRPr="00523931">
              <w:rPr>
                <w:bCs/>
                <w:spacing w:val="10"/>
                <w:sz w:val="18"/>
                <w:lang w:val="de-DE"/>
              </w:rPr>
              <w:t xml:space="preserve"> 201</w:t>
            </w:r>
            <w:r w:rsidR="00512EA0" w:rsidRPr="00523931">
              <w:rPr>
                <w:bCs/>
                <w:spacing w:val="10"/>
                <w:sz w:val="18"/>
                <w:lang w:val="de-DE"/>
              </w:rPr>
              <w:t>8</w:t>
            </w:r>
          </w:p>
        </w:tc>
      </w:tr>
    </w:tbl>
    <w:p w:rsidR="00AD5C08" w:rsidRPr="00AD5C08" w:rsidRDefault="00AD5C08" w:rsidP="00AD5C08">
      <w:pPr>
        <w:spacing w:before="600" w:after="240"/>
        <w:jc w:val="left"/>
        <w:rPr>
          <w:b/>
          <w:caps/>
          <w:lang w:val="de-DE"/>
        </w:rPr>
      </w:pPr>
      <w:bookmarkStart w:id="1" w:name="TitleOfDoc"/>
      <w:bookmarkEnd w:id="1"/>
      <w:r w:rsidRPr="00AD5C08">
        <w:rPr>
          <w:b/>
          <w:caps/>
          <w:lang w:val="de-DE"/>
        </w:rPr>
        <w:t>TEILÜBERARBEITUNG DER PRÜFUNGSRICHTLINIEN FÜR PAPRIKA</w:t>
      </w:r>
    </w:p>
    <w:p w:rsidR="00AD5C08" w:rsidRPr="00AD5C08" w:rsidRDefault="00AD5C08" w:rsidP="00AD5C08">
      <w:pPr>
        <w:spacing w:after="240"/>
        <w:jc w:val="left"/>
        <w:rPr>
          <w:i/>
          <w:iCs/>
          <w:lang w:val="de-DE"/>
        </w:rPr>
      </w:pPr>
      <w:bookmarkStart w:id="2" w:name="Prepared"/>
      <w:bookmarkEnd w:id="2"/>
      <w:r w:rsidRPr="00AD5C08">
        <w:rPr>
          <w:i/>
          <w:iCs/>
          <w:lang w:val="de-DE"/>
        </w:rPr>
        <w:t xml:space="preserve">Von </w:t>
      </w:r>
      <w:r w:rsidR="00C7239E">
        <w:rPr>
          <w:i/>
          <w:iCs/>
          <w:lang w:val="de-DE"/>
        </w:rPr>
        <w:t xml:space="preserve">einem Sachverständigen </w:t>
      </w:r>
      <w:r w:rsidR="00051EDE">
        <w:rPr>
          <w:i/>
          <w:iCs/>
          <w:lang w:val="de-DE"/>
        </w:rPr>
        <w:t xml:space="preserve">aus </w:t>
      </w:r>
      <w:r w:rsidRPr="00AD5C08">
        <w:rPr>
          <w:i/>
          <w:iCs/>
          <w:lang w:val="de-DE"/>
        </w:rPr>
        <w:t>der Europäischen Union erstelltes Dokument</w:t>
      </w:r>
    </w:p>
    <w:p w:rsidR="00AD5C08" w:rsidRPr="00AD5C08" w:rsidRDefault="00AD5C08" w:rsidP="00AD5C08">
      <w:pPr>
        <w:spacing w:after="600"/>
        <w:jc w:val="left"/>
        <w:rPr>
          <w:i/>
          <w:iCs/>
          <w:color w:val="A6A6A6" w:themeColor="background1" w:themeShade="A6"/>
          <w:lang w:val="de-DE"/>
        </w:rPr>
      </w:pPr>
      <w:r w:rsidRPr="00AD5C08">
        <w:rPr>
          <w:i/>
          <w:iCs/>
          <w:color w:val="A6A6A6" w:themeColor="background1" w:themeShade="A6"/>
          <w:lang w:val="de-DE"/>
        </w:rPr>
        <w:t>Haftungsausschluss:  dieses Dokument gibt nicht die Grundsätze oder eine Anleitung der UPOV wieder</w:t>
      </w:r>
    </w:p>
    <w:p w:rsidR="00AD5C08" w:rsidRPr="00AD5C08" w:rsidRDefault="00AD5C08" w:rsidP="00AD5C08">
      <w:pPr>
        <w:rPr>
          <w:lang w:val="de-DE"/>
        </w:rPr>
      </w:pPr>
      <w:r w:rsidRPr="00AD5C08">
        <w:rPr>
          <w:rFonts w:cs="Arial"/>
          <w:lang w:val="de-DE"/>
        </w:rPr>
        <w:fldChar w:fldCharType="begin"/>
      </w:r>
      <w:r w:rsidRPr="00AD5C08">
        <w:rPr>
          <w:rFonts w:cs="Arial"/>
          <w:lang w:val="de-DE"/>
        </w:rPr>
        <w:instrText xml:space="preserve"> AUTONUM  </w:instrText>
      </w:r>
      <w:r w:rsidRPr="00AD5C08">
        <w:rPr>
          <w:rFonts w:cs="Arial"/>
          <w:lang w:val="de-DE"/>
        </w:rPr>
        <w:fldChar w:fldCharType="end"/>
      </w:r>
      <w:r w:rsidRPr="00AD5C08">
        <w:rPr>
          <w:lang w:val="de-DE"/>
        </w:rPr>
        <w:tab/>
        <w:t>Zweck dieses Dokuments ist es, einen Vorschlag zur Teilüberarbeitung der Prüfungsrichtlinien für Paprika (</w:t>
      </w:r>
      <w:r w:rsidRPr="00AD5C08">
        <w:rPr>
          <w:i/>
          <w:lang w:val="de-DE"/>
        </w:rPr>
        <w:t xml:space="preserve">Capsicum annuum </w:t>
      </w:r>
      <w:r w:rsidRPr="00AD5C08">
        <w:rPr>
          <w:lang w:val="de-DE"/>
        </w:rPr>
        <w:t>L.) (Dokument TG/76/8 Rev.) vorzulegen.</w:t>
      </w:r>
    </w:p>
    <w:p w:rsidR="00AD5C08" w:rsidRPr="00AD5C08" w:rsidRDefault="00AD5C08" w:rsidP="00AD5C08">
      <w:pPr>
        <w:tabs>
          <w:tab w:val="left" w:pos="567"/>
        </w:tabs>
        <w:rPr>
          <w:rFonts w:cs="Arial"/>
          <w:lang w:val="de-DE"/>
        </w:rPr>
      </w:pPr>
    </w:p>
    <w:p w:rsidR="00AD5C08" w:rsidRPr="00AD5C08" w:rsidRDefault="00AD5C08" w:rsidP="00AD5C08">
      <w:pPr>
        <w:tabs>
          <w:tab w:val="left" w:pos="567"/>
        </w:tabs>
        <w:rPr>
          <w:rFonts w:cs="Arial"/>
          <w:lang w:val="de-DE"/>
        </w:rPr>
      </w:pPr>
      <w:r w:rsidRPr="00AD5C08">
        <w:rPr>
          <w:rFonts w:cs="Arial"/>
          <w:snapToGrid w:val="0"/>
          <w:lang w:val="de-DE"/>
        </w:rPr>
        <w:fldChar w:fldCharType="begin"/>
      </w:r>
      <w:r w:rsidRPr="00AD5C08">
        <w:rPr>
          <w:rFonts w:cs="Arial"/>
          <w:snapToGrid w:val="0"/>
          <w:lang w:val="de-DE"/>
        </w:rPr>
        <w:instrText xml:space="preserve"> AUTONUM  </w:instrText>
      </w:r>
      <w:r w:rsidRPr="00AD5C08">
        <w:rPr>
          <w:rFonts w:cs="Arial"/>
          <w:snapToGrid w:val="0"/>
          <w:lang w:val="de-DE"/>
        </w:rPr>
        <w:fldChar w:fldCharType="end"/>
      </w:r>
      <w:r w:rsidRPr="00AD5C08">
        <w:rPr>
          <w:snapToGrid w:val="0"/>
          <w:lang w:val="de-DE"/>
        </w:rPr>
        <w:tab/>
      </w:r>
      <w:r w:rsidRPr="00AD5C08">
        <w:rPr>
          <w:lang w:val="de-DE"/>
        </w:rPr>
        <w:t>Auf ihrer einundfünfzigsten Tagung in Roelofarendsveen, Niederlande, vom 3. bis 7. Juli 2017 prüfte die Technische Arbeitsgruppe für Gemüsearten (TWV) auf der Grundlage der Dokumente TG/76/8 Rev. und TWV/51/7 „</w:t>
      </w:r>
      <w:r w:rsidRPr="00AD5C08">
        <w:rPr>
          <w:i/>
          <w:iCs/>
          <w:lang w:val="de-DE"/>
        </w:rPr>
        <w:t>Partial Revision of the Test Guidelines for Pepper</w:t>
      </w:r>
      <w:r w:rsidRPr="00AD5C08">
        <w:rPr>
          <w:lang w:val="de-DE"/>
        </w:rPr>
        <w:t>“ einen Vorschlag für eine Teilüberarbeitung der Prüfungsrichtlinien für Paprika (Dokument TG/76/8 Rev.) und schlug folgende Überarbeitungen an den Prüfungsrichtlinien für Paprika vor (vergleiche Dokument TWV/51/16 „</w:t>
      </w:r>
      <w:r w:rsidRPr="00AD5C08">
        <w:rPr>
          <w:i/>
          <w:iCs/>
          <w:lang w:val="de-DE"/>
        </w:rPr>
        <w:t>Report</w:t>
      </w:r>
      <w:r w:rsidRPr="00AD5C08">
        <w:rPr>
          <w:lang w:val="de-DE"/>
        </w:rPr>
        <w:t>”, Absätze 107 und 108):</w:t>
      </w:r>
    </w:p>
    <w:p w:rsidR="00AD5C08" w:rsidRPr="00AD5C08" w:rsidRDefault="00AD5C08" w:rsidP="00AD5C08">
      <w:pPr>
        <w:rPr>
          <w:rFonts w:cs="Arial"/>
          <w:lang w:val="de-DE"/>
        </w:rPr>
      </w:pPr>
    </w:p>
    <w:p w:rsidR="00AD5C08" w:rsidRPr="00AD5C08" w:rsidRDefault="00AD5C08" w:rsidP="00AD5C08">
      <w:pPr>
        <w:numPr>
          <w:ilvl w:val="0"/>
          <w:numId w:val="1"/>
        </w:numPr>
        <w:ind w:left="1134" w:hanging="567"/>
        <w:contextualSpacing/>
        <w:rPr>
          <w:rFonts w:eastAsia="MS Mincho"/>
          <w:lang w:val="de-DE"/>
        </w:rPr>
      </w:pPr>
      <w:r w:rsidRPr="00AD5C08">
        <w:rPr>
          <w:rFonts w:eastAsia="MS Mincho"/>
          <w:lang w:val="de-DE"/>
        </w:rPr>
        <w:t>Änderung der Beispielssorten für folgende Merkmale von Merkmal 48 „Resistenz gegen Tobamovirus“</w:t>
      </w:r>
    </w:p>
    <w:p w:rsidR="00AD5C08" w:rsidRPr="00AD5C08" w:rsidRDefault="00AD5C08" w:rsidP="00AD5C08">
      <w:pPr>
        <w:numPr>
          <w:ilvl w:val="1"/>
          <w:numId w:val="1"/>
        </w:numPr>
        <w:ind w:left="1985" w:hanging="425"/>
        <w:contextualSpacing/>
        <w:rPr>
          <w:rFonts w:eastAsia="MS Mincho"/>
          <w:lang w:val="en-GB"/>
        </w:rPr>
      </w:pPr>
      <w:r w:rsidRPr="00AD5C08">
        <w:rPr>
          <w:rFonts w:eastAsia="MS Mincho"/>
          <w:lang w:val="en-GB"/>
        </w:rPr>
        <w:t>48.1 „</w:t>
      </w:r>
      <w:r w:rsidRPr="00AD5C08">
        <w:rPr>
          <w:rFonts w:eastAsia="MS Mincho"/>
          <w:i/>
          <w:lang w:val="en-GB"/>
        </w:rPr>
        <w:t>Tobacco mosaic virus</w:t>
      </w:r>
      <w:r w:rsidRPr="00AD5C08">
        <w:rPr>
          <w:rFonts w:eastAsia="MS Mincho"/>
          <w:lang w:val="en-GB"/>
        </w:rPr>
        <w:t xml:space="preserve"> Pathotyp 0 (TMV: 0)”</w:t>
      </w:r>
    </w:p>
    <w:p w:rsidR="00AD5C08" w:rsidRPr="00AD5C08" w:rsidRDefault="00AD5C08" w:rsidP="00AD5C08">
      <w:pPr>
        <w:numPr>
          <w:ilvl w:val="1"/>
          <w:numId w:val="1"/>
        </w:numPr>
        <w:ind w:left="1985" w:hanging="425"/>
        <w:contextualSpacing/>
        <w:rPr>
          <w:rFonts w:eastAsia="MS Mincho"/>
          <w:lang w:val="en-GB"/>
        </w:rPr>
      </w:pPr>
      <w:r w:rsidRPr="00AD5C08">
        <w:rPr>
          <w:rFonts w:eastAsia="MS Mincho"/>
          <w:lang w:val="en-GB"/>
        </w:rPr>
        <w:t>48.2 „</w:t>
      </w:r>
      <w:r w:rsidRPr="00AD5C08">
        <w:rPr>
          <w:rFonts w:eastAsia="MS Mincho"/>
          <w:i/>
          <w:lang w:val="en-GB"/>
        </w:rPr>
        <w:t>Pepper mild mottle virus</w:t>
      </w:r>
      <w:r w:rsidRPr="00AD5C08">
        <w:rPr>
          <w:rFonts w:eastAsia="MS Mincho"/>
          <w:lang w:val="en-GB"/>
        </w:rPr>
        <w:t xml:space="preserve"> Pathotyp 1.2 (PMMoV: 1.2)”</w:t>
      </w:r>
    </w:p>
    <w:p w:rsidR="00AD5C08" w:rsidRPr="00AD5C08" w:rsidRDefault="00AD5C08" w:rsidP="00AD5C08">
      <w:pPr>
        <w:numPr>
          <w:ilvl w:val="1"/>
          <w:numId w:val="1"/>
        </w:numPr>
        <w:ind w:left="1985" w:hanging="425"/>
        <w:contextualSpacing/>
        <w:rPr>
          <w:rFonts w:eastAsia="MS Mincho"/>
          <w:lang w:val="en-GB"/>
        </w:rPr>
      </w:pPr>
      <w:r w:rsidRPr="00AD5C08">
        <w:rPr>
          <w:rFonts w:eastAsia="MS Mincho"/>
          <w:lang w:val="en-GB"/>
        </w:rPr>
        <w:t>48.3 „</w:t>
      </w:r>
      <w:r w:rsidRPr="00AD5C08">
        <w:rPr>
          <w:rFonts w:eastAsia="MS Mincho"/>
          <w:i/>
          <w:lang w:val="en-GB"/>
        </w:rPr>
        <w:t>Pepper mild mottle virus</w:t>
      </w:r>
      <w:r w:rsidRPr="00AD5C08">
        <w:rPr>
          <w:rFonts w:eastAsia="MS Mincho"/>
          <w:lang w:val="en-GB"/>
        </w:rPr>
        <w:t xml:space="preserve"> Pathotyp 1.2.3 (PMMoV: 1.2.3)”</w:t>
      </w:r>
    </w:p>
    <w:p w:rsidR="00AD5C08" w:rsidRPr="00AD5C08" w:rsidRDefault="00D8414E" w:rsidP="00AD5C08">
      <w:pPr>
        <w:numPr>
          <w:ilvl w:val="0"/>
          <w:numId w:val="1"/>
        </w:numPr>
        <w:ind w:left="1134" w:hanging="567"/>
        <w:contextualSpacing/>
        <w:rPr>
          <w:rFonts w:eastAsia="MS Mincho"/>
          <w:lang w:val="de-DE"/>
        </w:rPr>
      </w:pPr>
      <w:r>
        <w:rPr>
          <w:rFonts w:eastAsia="MS Mincho"/>
          <w:lang w:val="de-DE"/>
        </w:rPr>
        <w:t>Änderung der</w:t>
      </w:r>
      <w:r w:rsidR="00AD5C08" w:rsidRPr="00AD5C08">
        <w:rPr>
          <w:rFonts w:eastAsia="MS Mincho"/>
          <w:lang w:val="de-DE"/>
        </w:rPr>
        <w:t xml:space="preserve"> Methodik für Merkmal 48 „Resistenz gegen Toba</w:t>
      </w:r>
      <w:r>
        <w:rPr>
          <w:rFonts w:eastAsia="MS Mincho"/>
          <w:lang w:val="de-DE"/>
        </w:rPr>
        <w:t>movirus“ unter „Zu 48“</w:t>
      </w:r>
    </w:p>
    <w:p w:rsidR="00AD5C08" w:rsidRPr="00AD5C08" w:rsidRDefault="00AD5C08" w:rsidP="00AD5C08">
      <w:pPr>
        <w:ind w:left="1134"/>
        <w:contextualSpacing/>
        <w:rPr>
          <w:rFonts w:eastAsia="MS Mincho"/>
          <w:lang w:val="de-DE"/>
        </w:rPr>
      </w:pPr>
    </w:p>
    <w:p w:rsidR="00AD5C08" w:rsidRPr="00AD5C08" w:rsidRDefault="00AD5C08" w:rsidP="00AD5C08">
      <w:pPr>
        <w:contextualSpacing/>
        <w:rPr>
          <w:rFonts w:eastAsia="MS Mincho"/>
          <w:lang w:val="de-DE"/>
        </w:rPr>
      </w:pPr>
      <w:r w:rsidRPr="00AD5C08">
        <w:rPr>
          <w:rFonts w:eastAsia="MS Mincho"/>
          <w:lang w:val="de-DE"/>
        </w:rPr>
        <w:fldChar w:fldCharType="begin"/>
      </w:r>
      <w:r w:rsidRPr="00AD5C08">
        <w:rPr>
          <w:rFonts w:eastAsia="MS Mincho"/>
          <w:lang w:val="de-DE"/>
        </w:rPr>
        <w:instrText xml:space="preserve"> AUTONUM  </w:instrText>
      </w:r>
      <w:r w:rsidRPr="00AD5C08">
        <w:rPr>
          <w:rFonts w:eastAsia="MS Mincho"/>
          <w:lang w:val="de-DE"/>
        </w:rPr>
        <w:fldChar w:fldCharType="end"/>
      </w:r>
      <w:r w:rsidRPr="00AD5C08">
        <w:rPr>
          <w:rFonts w:eastAsia="MS Mincho"/>
          <w:lang w:val="de-DE"/>
        </w:rPr>
        <w:tab/>
        <w:t>Die TWV nahm zur Kenntnis, daß gleichzeitig mit der Teilüberarbeitung von Merkm. 48 „Resistenz gegen Tobamovirus” folgende Berichtigung an Paprika vorgenommen würde (vergleiche Dokument TWV/51/16 „</w:t>
      </w:r>
      <w:r w:rsidRPr="00AD5C08">
        <w:rPr>
          <w:rFonts w:eastAsia="MS Mincho"/>
          <w:i/>
          <w:iCs/>
          <w:lang w:val="de-DE"/>
        </w:rPr>
        <w:t>Report</w:t>
      </w:r>
      <w:r w:rsidRPr="00AD5C08">
        <w:rPr>
          <w:rFonts w:eastAsia="MS Mincho"/>
          <w:lang w:val="de-DE"/>
        </w:rPr>
        <w:t>”, Absatz 109):</w:t>
      </w:r>
    </w:p>
    <w:p w:rsidR="00AD5C08" w:rsidRPr="00AD5C08" w:rsidRDefault="00AD5C08" w:rsidP="00AD5C08">
      <w:pPr>
        <w:contextualSpacing/>
        <w:rPr>
          <w:rFonts w:eastAsia="MS Mincho"/>
          <w:lang w:val="de-DE"/>
        </w:rPr>
      </w:pPr>
    </w:p>
    <w:p w:rsidR="00AD5C08" w:rsidRPr="00AD5C08" w:rsidRDefault="00AD5C08" w:rsidP="00AD5C08">
      <w:pPr>
        <w:ind w:left="1134" w:hanging="567"/>
        <w:contextualSpacing/>
        <w:rPr>
          <w:rFonts w:eastAsia="MS Mincho"/>
          <w:lang w:val="de-DE"/>
        </w:rPr>
      </w:pPr>
      <w:r w:rsidRPr="00AD5C08">
        <w:rPr>
          <w:rFonts w:eastAsia="MS Mincho"/>
          <w:lang w:val="de-DE"/>
        </w:rPr>
        <w:t>c)</w:t>
      </w:r>
      <w:r w:rsidRPr="00AD5C08">
        <w:rPr>
          <w:rFonts w:eastAsia="MS Mincho"/>
          <w:lang w:val="de-DE"/>
        </w:rPr>
        <w:tab/>
        <w:t>Hinzufügung der fehlenden Methode für die VG-Erfassung von Merkmal 2 „Pflanze: Wuchsform” (vergleiche Dokumente TG/76/8(proj.6) und TC/42/11, Anlage II).</w:t>
      </w:r>
    </w:p>
    <w:p w:rsidR="00AD5C08" w:rsidRPr="00AD5C08" w:rsidRDefault="00AD5C08" w:rsidP="00AD5C08">
      <w:pPr>
        <w:contextualSpacing/>
        <w:rPr>
          <w:rFonts w:eastAsia="MS Mincho"/>
          <w:lang w:val="de-DE"/>
        </w:rPr>
      </w:pPr>
    </w:p>
    <w:p w:rsidR="00AD5C08" w:rsidRPr="00AD5C08" w:rsidRDefault="00AD5C08" w:rsidP="00512EA0">
      <w:pPr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AD5C08">
        <w:rPr>
          <w:rFonts w:cs="Arial"/>
          <w:color w:val="000000"/>
          <w:szCs w:val="24"/>
          <w:lang w:val="de-DE"/>
        </w:rPr>
        <w:fldChar w:fldCharType="begin"/>
      </w:r>
      <w:r w:rsidRPr="00AD5C08">
        <w:rPr>
          <w:rFonts w:cs="Arial"/>
          <w:color w:val="000000"/>
          <w:szCs w:val="24"/>
          <w:lang w:val="de-DE"/>
        </w:rPr>
        <w:instrText xml:space="preserve"> AUTONUM  </w:instrText>
      </w:r>
      <w:r w:rsidRPr="00AD5C08">
        <w:rPr>
          <w:rFonts w:cs="Arial"/>
          <w:color w:val="000000"/>
          <w:szCs w:val="24"/>
          <w:lang w:val="de-DE"/>
        </w:rPr>
        <w:fldChar w:fldCharType="end"/>
      </w:r>
      <w:r w:rsidRPr="00AD5C08">
        <w:rPr>
          <w:rFonts w:cs="Arial"/>
          <w:color w:val="000000"/>
          <w:sz w:val="24"/>
          <w:szCs w:val="24"/>
          <w:lang w:val="de-DE"/>
        </w:rPr>
        <w:tab/>
      </w:r>
      <w:r w:rsidRPr="00AD5C08">
        <w:rPr>
          <w:rFonts w:cs="Arial"/>
          <w:color w:val="000000"/>
          <w:lang w:val="de-DE"/>
        </w:rPr>
        <w:t xml:space="preserve">Die vorgeschlagenen Änderungen sind nachfolgend durch Hervorheben und </w:t>
      </w:r>
      <w:r w:rsidRPr="00AD5C08">
        <w:rPr>
          <w:rFonts w:cs="Arial"/>
          <w:color w:val="000000"/>
          <w:highlight w:val="lightGray"/>
          <w:u w:val="single"/>
          <w:lang w:val="de-DE"/>
        </w:rPr>
        <w:t>Unterstreichen</w:t>
      </w:r>
      <w:r w:rsidRPr="00AD5C08">
        <w:rPr>
          <w:rFonts w:cs="Arial"/>
          <w:color w:val="000000"/>
          <w:lang w:val="de-DE"/>
        </w:rPr>
        <w:t xml:space="preserve"> (Einfügungen) und </w:t>
      </w:r>
      <w:r w:rsidRPr="00AD5C08">
        <w:rPr>
          <w:rFonts w:cs="Arial"/>
          <w:strike/>
          <w:color w:val="000000"/>
          <w:highlight w:val="lightGray"/>
          <w:lang w:val="de-DE"/>
        </w:rPr>
        <w:t>Durchstreichen</w:t>
      </w:r>
      <w:r w:rsidRPr="00AD5C08">
        <w:rPr>
          <w:rFonts w:cs="Arial"/>
          <w:color w:val="000000"/>
          <w:lang w:val="de-DE"/>
        </w:rPr>
        <w:t xml:space="preserve"> (Streichungen) angegeben.</w:t>
      </w:r>
    </w:p>
    <w:p w:rsidR="00AD5C08" w:rsidRPr="00AD5C08" w:rsidRDefault="00AD5C08" w:rsidP="00AD5C08">
      <w:pPr>
        <w:rPr>
          <w:u w:val="single"/>
          <w:lang w:val="de-DE"/>
        </w:rPr>
      </w:pPr>
    </w:p>
    <w:p w:rsidR="005B2EFD" w:rsidRDefault="005B2EFD">
      <w:pPr>
        <w:jc w:val="left"/>
        <w:rPr>
          <w:u w:val="single"/>
          <w:lang w:val="de-DE"/>
        </w:rPr>
      </w:pPr>
      <w:r>
        <w:rPr>
          <w:u w:val="single"/>
          <w:lang w:val="de-DE"/>
        </w:rPr>
        <w:br w:type="page"/>
      </w:r>
    </w:p>
    <w:p w:rsidR="005B2EFD" w:rsidRDefault="00AD5C08" w:rsidP="005B2EFD">
      <w:pPr>
        <w:rPr>
          <w:b/>
          <w:u w:val="single"/>
          <w:lang w:val="de-DE"/>
        </w:rPr>
      </w:pPr>
      <w:r w:rsidRPr="00AD5C08">
        <w:rPr>
          <w:u w:val="single"/>
          <w:lang w:val="de-DE"/>
        </w:rPr>
        <w:lastRenderedPageBreak/>
        <w:t>Vorschlag zur Änderung der Beispielssorten für die folgenden Merkmale von Merkmal 48 „Resistenz gegen Tobamovirus“</w:t>
      </w:r>
    </w:p>
    <w:p w:rsidR="002E0D7D" w:rsidRPr="00AD5C08" w:rsidRDefault="005B2EFD" w:rsidP="005B2EFD">
      <w:pPr>
        <w:rPr>
          <w:lang w:val="de-DE"/>
        </w:rPr>
      </w:pPr>
      <w:r w:rsidRPr="00AD5C08">
        <w:rPr>
          <w:lang w:val="de-DE"/>
        </w:rPr>
        <w:t xml:space="preserve"> </w:t>
      </w:r>
    </w:p>
    <w:p w:rsidR="002E0D7D" w:rsidRPr="00AD5C08" w:rsidRDefault="00AD5C08" w:rsidP="002E0D7D">
      <w:pPr>
        <w:jc w:val="left"/>
        <w:rPr>
          <w:i/>
          <w:lang w:val="de-DE"/>
        </w:rPr>
      </w:pPr>
      <w:r w:rsidRPr="00AD5C08">
        <w:rPr>
          <w:i/>
          <w:lang w:val="de-DE"/>
        </w:rPr>
        <w:t>Derzeitiger Wortlaut</w:t>
      </w:r>
    </w:p>
    <w:p w:rsidR="002E0D7D" w:rsidRPr="00AD5C08" w:rsidRDefault="002E0D7D" w:rsidP="002E0D7D">
      <w:pPr>
        <w:jc w:val="left"/>
        <w:rPr>
          <w:i/>
          <w:sz w:val="16"/>
          <w:lang w:val="de-DE"/>
        </w:rPr>
      </w:pPr>
    </w:p>
    <w:tbl>
      <w:tblPr>
        <w:tblW w:w="1034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559"/>
        <w:gridCol w:w="1843"/>
        <w:gridCol w:w="1701"/>
        <w:gridCol w:w="1985"/>
        <w:gridCol w:w="425"/>
      </w:tblGrid>
      <w:tr w:rsidR="002E0D7D" w:rsidRPr="0014704E" w:rsidTr="002E0D7D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 to Tobamovirus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tobamovirus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 gegen Tobamovirus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tobamovirus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523931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Pathotype 0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Pathotype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Pathotyp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  <w:t>Patotipo 0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>(TMV: 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>Gordo, Pepita, Piperade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 xml:space="preserve">Lamuyo, Sonar, 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br/>
              <w:t>Yolo Won</w:t>
            </w:r>
            <w:r w:rsidRPr="0014704E">
              <w:rPr>
                <w:rFonts w:cs="Arial"/>
                <w:noProof/>
                <w:sz w:val="16"/>
                <w:szCs w:val="16"/>
              </w:rPr>
              <w:t>der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ind w:left="-738" w:firstLine="73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Pathotype 1.2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Lamuyo, Yolo Wonder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Ferrari, Orion, Solario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Pathotype 1.2.3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Solario, Yolo Wonder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Cuby, Friendly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2E0D7D" w:rsidRDefault="002E0D7D" w:rsidP="002E0D7D">
      <w:pPr>
        <w:jc w:val="left"/>
      </w:pPr>
    </w:p>
    <w:p w:rsidR="002E0D7D" w:rsidRPr="00E76A0B" w:rsidRDefault="00E76A0B" w:rsidP="002E0D7D">
      <w:pPr>
        <w:jc w:val="left"/>
        <w:rPr>
          <w:i/>
          <w:lang w:val="de-DE"/>
        </w:rPr>
      </w:pPr>
      <w:r w:rsidRPr="00E76A0B">
        <w:rPr>
          <w:i/>
          <w:lang w:val="de-DE"/>
        </w:rPr>
        <w:t>Vorgeschlagener neuer Wortlaut</w:t>
      </w:r>
    </w:p>
    <w:p w:rsidR="002E0D7D" w:rsidRPr="002E0D7D" w:rsidRDefault="002E0D7D" w:rsidP="002E0D7D">
      <w:pPr>
        <w:jc w:val="left"/>
        <w:rPr>
          <w:sz w:val="16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700"/>
        <w:gridCol w:w="1701"/>
        <w:gridCol w:w="1843"/>
        <w:gridCol w:w="1843"/>
        <w:gridCol w:w="1984"/>
        <w:gridCol w:w="426"/>
      </w:tblGrid>
      <w:tr w:rsidR="002E0D7D" w:rsidRPr="0014704E" w:rsidTr="002E0D7D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Resistance to </w:t>
            </w:r>
            <w:r w:rsidRPr="0014704E">
              <w:rPr>
                <w:rFonts w:ascii="Arial" w:hAnsi="Arial" w:cs="Arial"/>
                <w:b/>
                <w:i/>
                <w:noProof w:val="0"/>
                <w:sz w:val="16"/>
                <w:szCs w:val="16"/>
                <w:u w:val="single"/>
                <w:lang w:val="es-ES"/>
              </w:rPr>
              <w:t>Tobamovirus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tobamovirus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 gegen Tobamovirus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tobamovirus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523931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 xml:space="preserve">Pathotype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0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Pathotype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Pathotyp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  <w:t>Patotipo 0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>(TMV: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trike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 xml:space="preserve">Gordo, Pepita, Piperade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Lamu, Pepita, Piquillo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Lamuyo, Sonar,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Fehérözön, Turia,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br/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Pathotype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1.2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Lamuyo,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Fehérözön, Lamu, Turia,</w:t>
            </w:r>
            <w:r w:rsidRPr="0014704E">
              <w:rPr>
                <w:rFonts w:cs="Arial"/>
                <w:noProof/>
                <w:sz w:val="16"/>
                <w:szCs w:val="16"/>
                <w:u w:val="single"/>
                <w:lang w:val="es-ES"/>
              </w:rPr>
              <w:t xml:space="preserve"> 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trike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Ferrari, Orion, Solario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>Candela, Ferrari, Novi 3, PI152</w:t>
            </w:r>
            <w:r w:rsidR="00BA224E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>2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Pathotype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1.2.3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Solario,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>Candela, Ferrari,</w:t>
            </w:r>
            <w:r w:rsidRPr="0014704E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14704E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D7D" w:rsidRPr="0014704E" w:rsidRDefault="002E0D7D" w:rsidP="002E0D7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Cuby,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</w:rPr>
              <w:t xml:space="preserve">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Bisonte,</w:t>
            </w:r>
            <w:r w:rsidRPr="0014704E">
              <w:rPr>
                <w:rFonts w:cs="Arial"/>
                <w:noProof/>
                <w:sz w:val="16"/>
                <w:szCs w:val="16"/>
              </w:rPr>
              <w:t xml:space="preserve"> Friendly,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Tom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14704E" w:rsidRDefault="002E0D7D" w:rsidP="002E0D7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4F7171" w:rsidRDefault="004F7171" w:rsidP="002E0D7D">
      <w:pPr>
        <w:pStyle w:val="Heading2"/>
        <w:rPr>
          <w:lang w:val="de-DE"/>
        </w:rPr>
      </w:pPr>
    </w:p>
    <w:p w:rsidR="002C7C20" w:rsidRDefault="002C7C20" w:rsidP="002C7C20">
      <w:pPr>
        <w:jc w:val="left"/>
        <w:rPr>
          <w:lang w:val="de-DE"/>
        </w:rPr>
      </w:pPr>
    </w:p>
    <w:p w:rsidR="002C7C20" w:rsidRPr="002C7C20" w:rsidRDefault="002C7C20" w:rsidP="002C7C20">
      <w:pPr>
        <w:jc w:val="left"/>
        <w:rPr>
          <w:lang w:val="de-DE"/>
        </w:rPr>
      </w:pPr>
      <w:r w:rsidRPr="002C7C20">
        <w:rPr>
          <w:lang w:val="de-DE"/>
        </w:rPr>
        <w:t>Vorschlag zur Änderung der Methodik für Merkmal 48 „Resistenz gegen Tobamovirus“ unter „Zu 48“</w:t>
      </w:r>
    </w:p>
    <w:p w:rsidR="002E0D7D" w:rsidRPr="004F7171" w:rsidRDefault="002E0D7D" w:rsidP="002E0D7D">
      <w:pPr>
        <w:jc w:val="left"/>
        <w:rPr>
          <w:lang w:val="de-DE"/>
        </w:rPr>
      </w:pPr>
    </w:p>
    <w:p w:rsidR="002E0D7D" w:rsidRPr="004F7171" w:rsidRDefault="004F7171" w:rsidP="002E0D7D">
      <w:pPr>
        <w:jc w:val="left"/>
        <w:rPr>
          <w:i/>
          <w:lang w:val="de-DE"/>
        </w:rPr>
      </w:pPr>
      <w:r w:rsidRPr="004F7171">
        <w:rPr>
          <w:i/>
          <w:lang w:val="de-DE"/>
        </w:rPr>
        <w:t>Derzeitiger Wortlaut</w:t>
      </w:r>
      <w:r w:rsidR="002E0D7D" w:rsidRPr="004F7171">
        <w:rPr>
          <w:i/>
          <w:lang w:val="de-DE"/>
        </w:rPr>
        <w:t xml:space="preserve"> </w:t>
      </w:r>
    </w:p>
    <w:p w:rsidR="002E0D7D" w:rsidRPr="004F7171" w:rsidRDefault="002E0D7D" w:rsidP="002E0D7D">
      <w:pPr>
        <w:jc w:val="left"/>
        <w:rPr>
          <w:i/>
          <w:lang w:val="de-DE"/>
        </w:rPr>
      </w:pPr>
    </w:p>
    <w:p w:rsidR="004F7171" w:rsidRPr="004F7171" w:rsidRDefault="004F7171" w:rsidP="004F7171">
      <w:pPr>
        <w:tabs>
          <w:tab w:val="left" w:pos="672"/>
          <w:tab w:val="left" w:pos="2592"/>
          <w:tab w:val="left" w:pos="3072"/>
          <w:tab w:val="left" w:pos="5760"/>
          <w:tab w:val="left" w:pos="6144"/>
        </w:tabs>
        <w:rPr>
          <w:lang w:val="de-DE"/>
        </w:rPr>
      </w:pPr>
      <w:r w:rsidRPr="004F7171">
        <w:rPr>
          <w:u w:val="single"/>
          <w:lang w:val="de-DE"/>
        </w:rPr>
        <w:t>Zu 48: Resistenz gegen Tobamovirus</w:t>
      </w:r>
    </w:p>
    <w:p w:rsidR="004F7171" w:rsidRPr="004F7171" w:rsidRDefault="004F7171" w:rsidP="004F7171">
      <w:pPr>
        <w:tabs>
          <w:tab w:val="left" w:pos="672"/>
          <w:tab w:val="left" w:pos="2592"/>
          <w:tab w:val="left" w:pos="3072"/>
          <w:tab w:val="left" w:pos="5760"/>
          <w:tab w:val="left" w:pos="6144"/>
        </w:tabs>
        <w:rPr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64"/>
        <w:gridCol w:w="5908"/>
      </w:tblGrid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Pathogen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 xml:space="preserve">Tobamovirus (die Gattung, die den </w:t>
            </w:r>
            <w:r w:rsidRPr="004F7171">
              <w:rPr>
                <w:i/>
                <w:lang w:val="de-DE"/>
              </w:rPr>
              <w:t>Tabacco mosaic virus</w:t>
            </w:r>
            <w:r w:rsidRPr="004F7171">
              <w:rPr>
                <w:lang w:val="de-DE"/>
              </w:rPr>
              <w:t xml:space="preserve"> (TMV) und den </w:t>
            </w:r>
            <w:r w:rsidRPr="004F7171">
              <w:rPr>
                <w:i/>
                <w:lang w:val="de-DE"/>
              </w:rPr>
              <w:t>Pepper mild mottle virus</w:t>
            </w:r>
            <w:r w:rsidRPr="004F7171">
              <w:rPr>
                <w:lang w:val="de-DE"/>
              </w:rPr>
              <w:t xml:space="preserve"> (PMMoV) enthält)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2.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Quarantänestatus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nein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Wirtsarten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rFonts w:eastAsia="Calibri"/>
                <w:i/>
                <w:lang w:val="de-DE"/>
              </w:rPr>
              <w:t>Capsicum annuum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4.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Quelle des Inokulums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512EA0" w:rsidRDefault="004F7171" w:rsidP="00512EA0">
            <w:pPr>
              <w:spacing w:before="20" w:after="20"/>
              <w:jc w:val="left"/>
              <w:rPr>
                <w:rFonts w:cs="Arial"/>
                <w:lang w:val="es-ES_tradnl" w:bidi="de-DE"/>
              </w:rPr>
            </w:pPr>
            <w:r w:rsidRPr="00512EA0">
              <w:rPr>
                <w:lang w:val="es-ES_tradnl"/>
              </w:rPr>
              <w:t>GEVES (FR), Naktuinbouw (NL), INIA (ES)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5.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Isolat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Pathotyp 0, Pathotyp 1.2 und Pathotyp 1.2.3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6.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Feststellung der Isolatidentität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Calibri" w:cs="Arial"/>
                <w:lang w:val="de-DE" w:bidi="de-DE"/>
              </w:rPr>
            </w:pPr>
            <w:r w:rsidRPr="004F7171">
              <w:rPr>
                <w:lang w:val="de-DE"/>
              </w:rPr>
              <w:t>an Vergleichssorten (S = anfällig, R = resistent)</w:t>
            </w:r>
          </w:p>
        </w:tc>
      </w:tr>
    </w:tbl>
    <w:p w:rsidR="004F7171" w:rsidRPr="004F7171" w:rsidRDefault="004F7171" w:rsidP="004F7171">
      <w:pPr>
        <w:rPr>
          <w:lang w:val="de-DE" w:bidi="de-DE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30"/>
        <w:gridCol w:w="1471"/>
        <w:gridCol w:w="1541"/>
        <w:gridCol w:w="1629"/>
        <w:gridCol w:w="1458"/>
        <w:gridCol w:w="1982"/>
      </w:tblGrid>
      <w:tr w:rsidR="004F7171" w:rsidRPr="004F7171" w:rsidTr="00512EA0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Tobamovirus</w:t>
            </w:r>
            <w:r w:rsidRPr="004F7171">
              <w:rPr>
                <w:lang w:val="de-DE"/>
              </w:rPr>
              <w:noBreakHyphen/>
              <w:t>Pathotypen bei Paprika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</w:p>
        </w:tc>
      </w:tr>
      <w:tr w:rsidR="004F7171" w:rsidRPr="004F7171" w:rsidTr="00512EA0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171" w:rsidRPr="004F7171" w:rsidRDefault="004F7171" w:rsidP="00512EA0">
            <w:pPr>
              <w:spacing w:line="264" w:lineRule="auto"/>
              <w:rPr>
                <w:rFonts w:cs="Arial"/>
                <w:lang w:val="de-DE" w:bidi="de-D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71" w:rsidRPr="004F7171" w:rsidRDefault="004F7171" w:rsidP="00512EA0">
            <w:pPr>
              <w:spacing w:line="264" w:lineRule="auto"/>
              <w:rPr>
                <w:rFonts w:cs="Arial"/>
                <w:lang w:val="de-DE" w:bidi="de-D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TMV: 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PMMoV: 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PMMo: 1.2.3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</w:p>
        </w:tc>
      </w:tr>
      <w:tr w:rsidR="004F7171" w:rsidRPr="004F7171" w:rsidTr="00512EA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Resistenzcode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Resistenzgen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1.2.3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Vergleichssorten</w:t>
            </w:r>
          </w:p>
        </w:tc>
      </w:tr>
      <w:tr w:rsidR="004F7171" w:rsidRPr="004F7171" w:rsidTr="00512EA0">
        <w:trPr>
          <w:trHeight w:val="47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L0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spacing w:line="276" w:lineRule="auto"/>
              <w:jc w:val="left"/>
              <w:rPr>
                <w:rFonts w:cs="Arial"/>
                <w:lang w:val="de-DE" w:eastAsia="hu-HU" w:bidi="de-DE"/>
              </w:rPr>
            </w:pPr>
            <w:r w:rsidRPr="004F7171">
              <w:rPr>
                <w:lang w:val="de-DE" w:eastAsia="hu-HU"/>
              </w:rPr>
              <w:t xml:space="preserve">Lamu, Pepita </w:t>
            </w:r>
          </w:p>
        </w:tc>
      </w:tr>
      <w:tr w:rsidR="004F7171" w:rsidRPr="00523931" w:rsidTr="00512EA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Tm0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L1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512EA0" w:rsidRDefault="004F7171" w:rsidP="00512EA0">
            <w:pPr>
              <w:spacing w:line="276" w:lineRule="auto"/>
              <w:jc w:val="left"/>
              <w:rPr>
                <w:rFonts w:cs="Arial"/>
                <w:lang w:val="es-ES_tradnl" w:bidi="de-DE"/>
              </w:rPr>
            </w:pPr>
            <w:r w:rsidRPr="00512EA0">
              <w:rPr>
                <w:lang w:val="es-ES_tradnl"/>
              </w:rPr>
              <w:t>Explorer, Lamuyo, Sonar, Yolo Wonder</w:t>
            </w:r>
          </w:p>
        </w:tc>
      </w:tr>
      <w:tr w:rsidR="004F7171" w:rsidRPr="004F7171" w:rsidTr="00512EA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Tm1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L2*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i/>
                <w:lang w:val="de-DE"/>
              </w:rPr>
              <w:t>C. frutescens</w:t>
            </w:r>
            <w:r w:rsidRPr="004F7171">
              <w:rPr>
                <w:lang w:val="de-DE"/>
              </w:rPr>
              <w:t xml:space="preserve"> ‘Tabasco’*</w:t>
            </w:r>
          </w:p>
        </w:tc>
      </w:tr>
      <w:tr w:rsidR="004F7171" w:rsidRPr="004F7171" w:rsidTr="00512EA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Tm2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L3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spacing w:line="276" w:lineRule="auto"/>
              <w:jc w:val="left"/>
              <w:rPr>
                <w:rFonts w:cs="Arial"/>
                <w:lang w:val="de-DE" w:eastAsia="hu-HU" w:bidi="de-DE"/>
              </w:rPr>
            </w:pPr>
            <w:r w:rsidRPr="004F7171">
              <w:rPr>
                <w:lang w:val="de-DE" w:eastAsia="hu-HU"/>
              </w:rPr>
              <w:t>Ferrari, Novi 3, Orion, Solario</w:t>
            </w:r>
          </w:p>
        </w:tc>
      </w:tr>
      <w:tr w:rsidR="004F7171" w:rsidRPr="004F7171" w:rsidTr="00512EA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Tm3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L4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76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center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71" w:rsidRPr="004F7171" w:rsidRDefault="004F7171" w:rsidP="00512EA0">
            <w:pPr>
              <w:spacing w:line="264" w:lineRule="auto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Cuby, Friendly, Tom 4</w:t>
            </w:r>
          </w:p>
        </w:tc>
      </w:tr>
    </w:tbl>
    <w:p w:rsidR="004F7171" w:rsidRPr="004F7171" w:rsidRDefault="004F7171" w:rsidP="004F7171">
      <w:pPr>
        <w:rPr>
          <w:rFonts w:cs="Arial"/>
          <w:sz w:val="16"/>
          <w:szCs w:val="18"/>
          <w:lang w:val="de-DE" w:bidi="de-DE"/>
        </w:rPr>
      </w:pPr>
      <w:r w:rsidRPr="004F7171">
        <w:rPr>
          <w:sz w:val="16"/>
          <w:lang w:val="de-DE"/>
        </w:rPr>
        <w:t>*kein Saatgut von L2-Sorten verfügbar; L2 wird nicht für Züchtung verwendet</w:t>
      </w:r>
    </w:p>
    <w:p w:rsidR="004F7171" w:rsidRPr="004F7171" w:rsidRDefault="004F7171" w:rsidP="004F7171">
      <w:pPr>
        <w:rPr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64"/>
        <w:gridCol w:w="5908"/>
      </w:tblGrid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7.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Feststellung der Pathogenität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 xml:space="preserve">Verwendung anfälliger Paprika-Standardsorte oder Lesionen bei </w:t>
            </w:r>
            <w:r w:rsidRPr="004F7171">
              <w:rPr>
                <w:i/>
                <w:lang w:val="de-DE"/>
              </w:rPr>
              <w:t>Nicotiana tabacum</w:t>
            </w:r>
            <w:r w:rsidRPr="004F7171">
              <w:rPr>
                <w:lang w:val="de-DE"/>
              </w:rPr>
              <w:t xml:space="preserve"> 'Xanthi' 2 Tage nach Inokulation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8.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Vermehrung des Inokulums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8.1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Vermehrungsmedium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auf lebender Pflanze oder getrockneten Blättern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8.2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Vermehrungssorte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 xml:space="preserve">Tomate oder Paprika (z.B. Lamu) oder </w:t>
            </w:r>
            <w:r w:rsidRPr="004F7171">
              <w:rPr>
                <w:rFonts w:eastAsia="Calibri"/>
                <w:i/>
                <w:lang w:val="de-DE"/>
              </w:rPr>
              <w:t>Nicotiana tabacum</w:t>
            </w:r>
            <w:r w:rsidRPr="004F7171">
              <w:rPr>
                <w:lang w:val="de-DE"/>
              </w:rPr>
              <w:t xml:space="preserve"> (cv. Samsun)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8.3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Pflanzenstadium bei der Inokulation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 xml:space="preserve">Keimblätter vollständig entwickelt oder im Stadium des „ersten Blattes“ zugespitzt oder 3 - 5 Blätter  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8.4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Inokulationsmedium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eiskalte PBS + Carborundum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8.5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Inokulationsmethode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Reiben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8.6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Ernte des Inokulums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-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8.7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Prüfung des geernteten Inokulums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-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8.8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Haltbarkeit/Lebensfähigkeit des Inokulums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Trockenlagerung gefriergetrockneter Blätter bei 4°C über 10 Jahre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9.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Prüfungsanlage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9.1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Anzahl der Pflanzen pro Genotyp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mindestens 20 Pflanzen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9.2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Anzahl der Wiederholungen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z.B. 1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9.3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Kontrollsorten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siehe Tabelle mit Beispielssorten unten</w:t>
            </w:r>
          </w:p>
        </w:tc>
      </w:tr>
    </w:tbl>
    <w:p w:rsidR="004F7171" w:rsidRPr="004F7171" w:rsidRDefault="004F7171" w:rsidP="004F7171">
      <w:pPr>
        <w:rPr>
          <w:lang w:val="de-DE" w:bidi="de-DE"/>
        </w:rPr>
      </w:pPr>
    </w:p>
    <w:tbl>
      <w:tblPr>
        <w:tblW w:w="9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268"/>
        <w:gridCol w:w="2445"/>
      </w:tblGrid>
      <w:tr w:rsidR="004F7171" w:rsidRPr="004F7171" w:rsidTr="00512EA0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 xml:space="preserve">Resistenz gegen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ToMV: 0 – TMV: 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PMMoV: 1.2</w:t>
            </w: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PMMoV: 1.2.3</w:t>
            </w:r>
          </w:p>
        </w:tc>
      </w:tr>
      <w:tr w:rsidR="004F7171" w:rsidRPr="004F7171" w:rsidTr="00512EA0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fehlend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Gordo, Pepita, Piperade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Lamuyo, Yolo Wonder</w:t>
            </w: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Solario, Yolo Wonder</w:t>
            </w:r>
          </w:p>
        </w:tc>
      </w:tr>
      <w:tr w:rsidR="004F7171" w:rsidRPr="004F7171" w:rsidTr="00512EA0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vorhanden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Lamuyo, Sonar, Yolo Wonder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 xml:space="preserve">Ferrari, Orion, Solario </w:t>
            </w: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Cuby, Friendly</w:t>
            </w:r>
          </w:p>
        </w:tc>
      </w:tr>
    </w:tbl>
    <w:p w:rsidR="004F7171" w:rsidRPr="004F7171" w:rsidRDefault="004F7171" w:rsidP="004F7171">
      <w:pPr>
        <w:rPr>
          <w:lang w:val="de-DE" w:bidi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64"/>
        <w:gridCol w:w="5908"/>
      </w:tblGrid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lastRenderedPageBreak/>
              <w:t>9.4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Gestaltung der Prüfung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unbehandelte Pflanze hinzufügen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9.5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Prüfungseinrichtung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Gewächshaus oder Klimakammer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9.6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Temperatur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 xml:space="preserve">20 - 25°C  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9.7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Licht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mindestens 12 Stunden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9.8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Jahreszeit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-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9.9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Besondere Maßnahmen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-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10.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Inokulation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10.1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Vorbereitung des Inokulums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Saft: PBS(1:9) – zur Gewinnung des Saftes einen Mörser benutzen, um infizierte Blätter zu zermahlen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10.2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Quantifizierung des Inokulums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150 Pflanzen mit 100 ml Virensuspension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10.3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Pflanzenstadium bei Inokulation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 xml:space="preserve">Keimblätter vollständig entwickelt oder im Stadium des „ersten Blattes“ zugespitzt oder 3.-5. Blätter  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10.4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Inokulationsmethode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 xml:space="preserve">Einreiben mit einer Virussuspension oder Verwendung einer Bürste für gleichmäßigere Inokulation und zur Vermeidung mechanischen Schadens 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10.5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Erste Erfassung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5-15 Tage bis 10-15 Tage nach der Inokulation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10.6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Zweite Erfassung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10-11 Tage nach der Inokulation bis 15-20 Tage nach der Inokulation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10.7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Abschließende Erfassungen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20 Tage nach der Inokulation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Erfassungen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11.1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Methode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visuell, vergleichend; Nekrose bedeutet Überempfindlichkeit und Resistenz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11.2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Erfassungsskala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171" w:rsidRPr="004F7171" w:rsidRDefault="004F7171" w:rsidP="00512EA0">
            <w:pPr>
              <w:spacing w:before="20" w:after="20"/>
              <w:rPr>
                <w:rFonts w:cs="Arial"/>
                <w:lang w:val="de-DE" w:bidi="de-DE"/>
              </w:rPr>
            </w:pP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lang w:val="de-DE" w:bidi="de-DE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 xml:space="preserve">[1] fehlend: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Mosaik (entwickelt sich manchmal spät, manchmal früh und führt zum Pflanzentot ohne Überempfindlichkeit)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lang w:val="de-DE" w:bidi="de-DE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[9] vorhanden</w:t>
            </w:r>
          </w:p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lang w:val="de-DE"/>
              </w:rPr>
            </w:pPr>
          </w:p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lang w:val="de-DE"/>
              </w:rPr>
            </w:pPr>
          </w:p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lang w:val="de-DE"/>
              </w:rPr>
            </w:pPr>
          </w:p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lang w:val="de-DE"/>
              </w:rPr>
            </w:pPr>
          </w:p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lang w:val="de-DE"/>
              </w:rPr>
            </w:pPr>
          </w:p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lang w:val="de-DE" w:bidi="de-DE"/>
              </w:rPr>
            </w:pP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rPr>
                <w:lang w:val="de-DE"/>
              </w:rPr>
            </w:pPr>
            <w:r w:rsidRPr="004F7171">
              <w:rPr>
                <w:lang w:val="de-DE"/>
              </w:rPr>
              <w:t>All diese Erfassungen könnten gemacht werden:</w:t>
            </w:r>
          </w:p>
          <w:p w:rsidR="004F7171" w:rsidRPr="004F7171" w:rsidRDefault="004F7171" w:rsidP="004F7171">
            <w:pPr>
              <w:numPr>
                <w:ilvl w:val="0"/>
                <w:numId w:val="2"/>
              </w:numPr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systemische Nekrose, Verkümmern</w:t>
            </w:r>
          </w:p>
          <w:p w:rsidR="004F7171" w:rsidRPr="004F7171" w:rsidRDefault="004F7171" w:rsidP="004F7171">
            <w:pPr>
              <w:numPr>
                <w:ilvl w:val="0"/>
                <w:numId w:val="2"/>
              </w:numPr>
              <w:spacing w:before="20" w:after="20"/>
              <w:jc w:val="left"/>
              <w:rPr>
                <w:lang w:val="de-DE"/>
              </w:rPr>
            </w:pPr>
            <w:r w:rsidRPr="004F7171">
              <w:rPr>
                <w:lang w:val="de-DE"/>
              </w:rPr>
              <w:t>lokale Nekrose, Abfallen von Blättern</w:t>
            </w:r>
          </w:p>
          <w:p w:rsidR="004F7171" w:rsidRPr="004F7171" w:rsidRDefault="004F7171" w:rsidP="004F7171">
            <w:pPr>
              <w:numPr>
                <w:ilvl w:val="0"/>
                <w:numId w:val="2"/>
              </w:numPr>
              <w:spacing w:before="20" w:after="20"/>
              <w:jc w:val="left"/>
              <w:rPr>
                <w:lang w:val="de-DE"/>
              </w:rPr>
            </w:pPr>
            <w:r w:rsidRPr="004F7171">
              <w:rPr>
                <w:lang w:val="de-DE"/>
              </w:rPr>
              <w:t>keine Virussymptome, nur mechanischer Schaden</w:t>
            </w:r>
          </w:p>
          <w:p w:rsidR="004F7171" w:rsidRPr="004F7171" w:rsidRDefault="004F7171" w:rsidP="00512EA0">
            <w:pPr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Sie können an mehrere Faktoren verknüpft sein, beispielsweise wie früh die Kontamination erfolgt, die Verwendung des Stammes (CPVO-Projekt HARMORES 2 – 2012-2015), aber nicht aufgrund bestimmter Genotypen.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11.3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Validierung der Prüfung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an Standardsorten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11.4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Abweicher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höchstens 1 Abweicher pro 20 Pflanzen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12.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Auswertung der Daten hinsichtlich der UPOV Ausprägungsstufen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QL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13.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Kritische Kontrollpunkte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7171" w:rsidRPr="004F7171" w:rsidRDefault="004F7171" w:rsidP="00512EA0">
            <w:pPr>
              <w:tabs>
                <w:tab w:val="left" w:leader="dot" w:pos="3544"/>
              </w:tabs>
              <w:spacing w:before="20" w:after="20"/>
              <w:rPr>
                <w:rFonts w:cs="Arial"/>
                <w:lang w:val="de-DE" w:bidi="de-DE"/>
              </w:rPr>
            </w:pPr>
            <w:r w:rsidRPr="004F7171">
              <w:rPr>
                <w:lang w:val="de-DE"/>
              </w:rPr>
              <w:t>Der Tobamovirus-Pathotyp wird an Vergleichssorten definiert und kann zu TMV gehören: 0, PMMoV: 1.2, PMMoV: 1.2.3</w:t>
            </w:r>
          </w:p>
        </w:tc>
      </w:tr>
    </w:tbl>
    <w:p w:rsidR="004F7171" w:rsidRPr="004F7171" w:rsidRDefault="004F7171" w:rsidP="004F7171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lang w:val="de-DE"/>
        </w:rPr>
      </w:pPr>
    </w:p>
    <w:p w:rsidR="002E0D7D" w:rsidRPr="004F7171" w:rsidRDefault="002E0D7D" w:rsidP="002E0D7D">
      <w:pPr>
        <w:jc w:val="left"/>
        <w:rPr>
          <w:lang w:val="de-DE"/>
        </w:rPr>
      </w:pPr>
    </w:p>
    <w:p w:rsidR="004F7171" w:rsidRPr="004F7171" w:rsidRDefault="004F7171" w:rsidP="004F7171">
      <w:pPr>
        <w:jc w:val="left"/>
        <w:rPr>
          <w:i/>
          <w:lang w:val="de-DE"/>
        </w:rPr>
      </w:pPr>
      <w:r w:rsidRPr="004F7171">
        <w:rPr>
          <w:i/>
          <w:lang w:val="de-DE"/>
        </w:rPr>
        <w:t>Vorgeschlagener neuer Wortlaut</w:t>
      </w:r>
    </w:p>
    <w:p w:rsidR="004F7171" w:rsidRPr="004F7171" w:rsidRDefault="004F7171" w:rsidP="004F7171">
      <w:pPr>
        <w:jc w:val="left"/>
        <w:rPr>
          <w:i/>
          <w:lang w:val="de-DE"/>
        </w:rPr>
      </w:pPr>
    </w:p>
    <w:p w:rsidR="004F7171" w:rsidRPr="004F7171" w:rsidRDefault="004F7171" w:rsidP="004F7171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  <w:rPr>
          <w:lang w:val="de-DE"/>
        </w:rPr>
      </w:pPr>
      <w:r w:rsidRPr="004F7171">
        <w:rPr>
          <w:u w:val="single"/>
          <w:lang w:val="de-DE"/>
        </w:rPr>
        <w:t>Zu 48: Resistenz gegen Tobamovirus</w:t>
      </w:r>
    </w:p>
    <w:p w:rsidR="004F7171" w:rsidRPr="004F7171" w:rsidRDefault="004F7171" w:rsidP="004F7171">
      <w:pPr>
        <w:jc w:val="left"/>
        <w:rPr>
          <w:u w:val="single"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3421"/>
        <w:gridCol w:w="5666"/>
      </w:tblGrid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Pathogen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  <w:lang w:val="de-DE"/>
              </w:rPr>
            </w:pPr>
            <w:r w:rsidRPr="004F7171">
              <w:rPr>
                <w:i/>
                <w:lang w:val="de-DE"/>
              </w:rPr>
              <w:t>Tobacco mosaic virus</w:t>
            </w:r>
            <w:r w:rsidRPr="004F7171">
              <w:rPr>
                <w:lang w:val="de-DE"/>
              </w:rPr>
              <w:t xml:space="preserve"> </w:t>
            </w:r>
            <w:r w:rsidRPr="004F7171">
              <w:rPr>
                <w:color w:val="000000"/>
                <w:lang w:val="de-DE"/>
              </w:rPr>
              <w:t>und</w:t>
            </w:r>
            <w:r w:rsidRPr="004F7171">
              <w:rPr>
                <w:i/>
                <w:color w:val="000000"/>
                <w:lang w:val="de-DE"/>
              </w:rPr>
              <w:t xml:space="preserve"> Pepper mild mottle virus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2.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Quarantänestatus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nein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3.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Wirtsarten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i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 xml:space="preserve">Paprika – </w:t>
            </w:r>
            <w:r w:rsidRPr="004F7171">
              <w:rPr>
                <w:i/>
                <w:iCs/>
                <w:color w:val="000000"/>
                <w:lang w:val="de-DE"/>
              </w:rPr>
              <w:t xml:space="preserve">Capsicum annuum </w:t>
            </w:r>
            <w:r w:rsidRPr="004F7171">
              <w:rPr>
                <w:iCs/>
                <w:color w:val="000000"/>
                <w:lang w:val="de-DE"/>
              </w:rPr>
              <w:t>L.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4.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Quelle des Inokulums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GEVES</w:t>
            </w:r>
            <w:r w:rsidRPr="004F7171">
              <w:rPr>
                <w:rStyle w:val="FootnoteReference"/>
                <w:rFonts w:cs="Arial"/>
                <w:color w:val="000000"/>
                <w:lang w:val="de-DE"/>
              </w:rPr>
              <w:footnoteReference w:id="2"/>
            </w:r>
            <w:r w:rsidRPr="004F7171">
              <w:rPr>
                <w:color w:val="000000"/>
                <w:lang w:val="de-DE"/>
              </w:rPr>
              <w:t xml:space="preserve"> (FR), Naktuinbouw</w:t>
            </w:r>
            <w:r w:rsidRPr="004F7171">
              <w:rPr>
                <w:rStyle w:val="FootnoteReference"/>
                <w:rFonts w:cs="Arial"/>
                <w:color w:val="000000"/>
                <w:lang w:val="de-DE"/>
              </w:rPr>
              <w:footnoteReference w:id="3"/>
            </w:r>
            <w:r w:rsidRPr="004F7171">
              <w:rPr>
                <w:color w:val="000000"/>
                <w:lang w:val="de-DE"/>
              </w:rPr>
              <w:t xml:space="preserve"> (NL) oder INIA</w:t>
            </w:r>
            <w:r w:rsidRPr="004F7171">
              <w:rPr>
                <w:rStyle w:val="FootnoteReference"/>
                <w:rFonts w:cs="Arial"/>
                <w:color w:val="000000"/>
                <w:lang w:val="de-DE"/>
              </w:rPr>
              <w:footnoteReference w:id="4"/>
            </w:r>
            <w:r w:rsidRPr="004F7171">
              <w:rPr>
                <w:color w:val="000000"/>
                <w:lang w:val="de-DE"/>
              </w:rPr>
              <w:t xml:space="preserve"> (SP)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lastRenderedPageBreak/>
              <w:t>5.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Isolat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tabs>
                <w:tab w:val="left" w:leader="dot" w:pos="3402"/>
              </w:tabs>
              <w:rPr>
                <w:rFonts w:cs="Arial"/>
                <w:color w:val="000000"/>
                <w:lang w:val="de-DE"/>
              </w:rPr>
            </w:pPr>
            <w:r w:rsidRPr="00F81254">
              <w:rPr>
                <w:i/>
                <w:color w:val="000000"/>
                <w:lang w:val="de-DE"/>
              </w:rPr>
              <w:t>Tobacco mosaic virus</w:t>
            </w:r>
            <w:r w:rsidRPr="00F81254">
              <w:rPr>
                <w:color w:val="000000"/>
                <w:lang w:val="de-DE"/>
              </w:rPr>
              <w:t xml:space="preserve"> Pathotyp 0 (TMV: 0) Stamm Vi-6</w:t>
            </w:r>
          </w:p>
          <w:p w:rsidR="004F7171" w:rsidRPr="00F81254" w:rsidRDefault="004F7171" w:rsidP="00512EA0">
            <w:pPr>
              <w:ind w:left="25"/>
              <w:rPr>
                <w:rFonts w:cs="Arial"/>
                <w:i/>
                <w:color w:val="000000"/>
              </w:rPr>
            </w:pPr>
            <w:r w:rsidRPr="00F81254">
              <w:rPr>
                <w:color w:val="000000"/>
              </w:rPr>
              <w:t>48.2 „</w:t>
            </w:r>
            <w:r w:rsidRPr="00F81254">
              <w:rPr>
                <w:i/>
                <w:color w:val="000000"/>
              </w:rPr>
              <w:t>Pepper mild mottle virus</w:t>
            </w:r>
            <w:r w:rsidRPr="00F81254">
              <w:rPr>
                <w:color w:val="000000"/>
              </w:rPr>
              <w:t xml:space="preserve"> Pathotyp 1.2 (PMMoV: 1.2) Stamm nt203</w:t>
            </w:r>
          </w:p>
          <w:p w:rsidR="004F7171" w:rsidRPr="00F81254" w:rsidRDefault="004F7171" w:rsidP="00512EA0">
            <w:pPr>
              <w:ind w:left="25"/>
              <w:rPr>
                <w:rFonts w:cs="Arial"/>
                <w:color w:val="000000"/>
              </w:rPr>
            </w:pPr>
            <w:r w:rsidRPr="00F81254">
              <w:rPr>
                <w:i/>
                <w:color w:val="000000"/>
              </w:rPr>
              <w:t>Pepper mild mottle virus</w:t>
            </w:r>
            <w:r w:rsidRPr="00F81254">
              <w:rPr>
                <w:color w:val="000000"/>
              </w:rPr>
              <w:t xml:space="preserve"> Pathotyp 1.2.3 (PMMoV: 1.2.3) Stamm Eve</w:t>
            </w:r>
          </w:p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Die Prüfungsprotokolle wurden in einem vom CPVO mitfinanzierten Projekt</w:t>
            </w:r>
            <w:r w:rsidRPr="00F81254">
              <w:rPr>
                <w:rStyle w:val="FootnoteReference"/>
                <w:rFonts w:cs="Arial"/>
                <w:color w:val="000000"/>
                <w:lang w:val="de-DE"/>
              </w:rPr>
              <w:footnoteReference w:id="5"/>
            </w:r>
            <w:r w:rsidRPr="00F81254">
              <w:rPr>
                <w:color w:val="000000"/>
                <w:lang w:val="de-DE"/>
              </w:rPr>
              <w:t xml:space="preserve"> mit diesen 3 Isolaten/Pathotypen validiert.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6.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Feststellung der Isolatidentität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 xml:space="preserve">Genetisch definierte Paprika-Vergleichssorten (Verweis auf ISF-Website: </w:t>
            </w:r>
            <w:hyperlink r:id="rId9" w:history="1">
              <w:r w:rsidRPr="00F81254">
                <w:rPr>
                  <w:rStyle w:val="Hyperlink"/>
                  <w:u w:val="none"/>
                  <w:lang w:val="de-DE"/>
                </w:rPr>
                <w:t>http://www.worldseed.org/isf/differential_hosts.html</w:t>
              </w:r>
            </w:hyperlink>
            <w:r w:rsidRPr="00F81254">
              <w:rPr>
                <w:color w:val="000000"/>
                <w:lang w:val="de-DE"/>
              </w:rPr>
              <w:t>)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7.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Feststellung der Pathogenität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Prüfung an anfälligen Pflanzen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8.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Vermehrung des Inokulums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8.1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Vermehrungsmedium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Regeneration des Virus auf Pflanzenmaterial vor der Inokulationsvorbereitung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8.2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Vermehrungssorte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 xml:space="preserve">An anfälliger Paprikasorte, Tobamovirus-Pathotypen können an Sorten vermehrt werden, die für jeden bestimmten Pathotyp selektiv sind. </w:t>
            </w:r>
            <w:r w:rsidRPr="00F81254">
              <w:rPr>
                <w:lang w:val="de-DE"/>
              </w:rPr>
              <w:t xml:space="preserve">Für TMV, da Tomate und Tabak </w:t>
            </w:r>
            <w:r w:rsidRPr="00F81254">
              <w:rPr>
                <w:i/>
                <w:iCs/>
                <w:lang w:val="de-DE"/>
              </w:rPr>
              <w:t xml:space="preserve">Nicotiana tabacum </w:t>
            </w:r>
            <w:r w:rsidRPr="00F81254">
              <w:rPr>
                <w:lang w:val="de-DE"/>
              </w:rPr>
              <w:t>cv.</w:t>
            </w:r>
            <w:r w:rsidRPr="00F81254">
              <w:rPr>
                <w:i/>
                <w:iCs/>
                <w:lang w:val="de-DE"/>
              </w:rPr>
              <w:t xml:space="preserve"> </w:t>
            </w:r>
            <w:r w:rsidRPr="00F81254">
              <w:rPr>
                <w:lang w:val="de-DE"/>
              </w:rPr>
              <w:t>Samsun große Blätter haben und viel Inokulum produzieren können, werden sie für die Vermehrung von TMV empfohlen: 0</w:t>
            </w:r>
            <w:r w:rsidRPr="00F81254">
              <w:rPr>
                <w:color w:val="000000"/>
                <w:lang w:val="de-DE"/>
              </w:rPr>
              <w:t>.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8.3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Pflanzenstadium bei Inokulation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siehe 10.3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8.4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Inokulationsmedium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siehe 10.1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8.5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Inokulationsmethode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siehe 10.4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8.6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Ernte des Inokulums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Symptomatische frische Blätter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8.7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Prüfung des geernteten Inokulums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 xml:space="preserve">Option: junge Blätter von </w:t>
            </w:r>
            <w:r w:rsidRPr="00F81254">
              <w:rPr>
                <w:i/>
                <w:color w:val="000000"/>
                <w:lang w:val="de-DE"/>
              </w:rPr>
              <w:t>Nicotiana tabacum</w:t>
            </w:r>
            <w:r w:rsidRPr="00F81254">
              <w:rPr>
                <w:color w:val="000000"/>
                <w:lang w:val="de-DE"/>
              </w:rPr>
              <w:t xml:space="preserve"> „Xanthi” nach 5-7 Tagen bei 20-25°C auf lokale Läsionen untersuchen.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8.8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Haltbarkeit/Lebensfähigkeit des Inokulums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frisch &gt; 1 Tag im Kühlschrank, getrocknet &gt; 1 Jahr im Kühlschrank oder Saft &gt; 1 Jahr im Gefrierschrank -20°C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9.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Prüfungsanlage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9.1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Mindestens 20 Pflanzen.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9.2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Anzahl der Wiederholungen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-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9.3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Kontrollsorten</w:t>
            </w:r>
          </w:p>
        </w:tc>
        <w:tc>
          <w:tcPr>
            <w:tcW w:w="5908" w:type="dxa"/>
          </w:tcPr>
          <w:p w:rsidR="004F7171" w:rsidRPr="00F81254" w:rsidRDefault="004F7171" w:rsidP="00512EA0">
            <w:pPr>
              <w:rPr>
                <w:rFonts w:cs="Arial"/>
                <w:color w:val="000000"/>
                <w:lang w:val="de-DE"/>
              </w:rPr>
            </w:pPr>
            <w:r w:rsidRPr="00F81254">
              <w:rPr>
                <w:color w:val="000000"/>
                <w:lang w:val="de-DE"/>
              </w:rPr>
              <w:t>TMV: 0:</w:t>
            </w:r>
          </w:p>
          <w:p w:rsidR="004F7171" w:rsidRPr="00F81254" w:rsidRDefault="004F7171" w:rsidP="00512EA0">
            <w:pPr>
              <w:rPr>
                <w:rFonts w:cs="Arial"/>
                <w:lang w:val="de-DE"/>
              </w:rPr>
            </w:pPr>
            <w:r w:rsidRPr="00F81254">
              <w:rPr>
                <w:lang w:val="de-DE"/>
              </w:rPr>
              <w:t xml:space="preserve">Anfällige Kontrollsorten: Lamu, Pepita, Piquillo </w:t>
            </w:r>
          </w:p>
          <w:p w:rsidR="004F7171" w:rsidRPr="00F81254" w:rsidRDefault="004F7171" w:rsidP="00512EA0">
            <w:pPr>
              <w:rPr>
                <w:rFonts w:cs="Arial"/>
                <w:lang w:val="de-DE"/>
              </w:rPr>
            </w:pPr>
            <w:r w:rsidRPr="00F81254">
              <w:rPr>
                <w:lang w:val="de-DE"/>
              </w:rPr>
              <w:t>Resistente Kontrollsorten: Fehérözön, Yolo Wonder</w:t>
            </w:r>
          </w:p>
          <w:p w:rsidR="004F7171" w:rsidRPr="00F81254" w:rsidRDefault="004F7171" w:rsidP="00512EA0">
            <w:pPr>
              <w:rPr>
                <w:rFonts w:cs="Arial"/>
                <w:lang w:val="de-DE"/>
              </w:rPr>
            </w:pPr>
            <w:r w:rsidRPr="00F81254">
              <w:rPr>
                <w:lang w:val="de-DE"/>
              </w:rPr>
              <w:t>PMMoV: 1.2:</w:t>
            </w:r>
          </w:p>
          <w:p w:rsidR="004F7171" w:rsidRPr="00F81254" w:rsidRDefault="004F7171" w:rsidP="00512EA0">
            <w:pPr>
              <w:rPr>
                <w:rFonts w:cs="Arial"/>
                <w:lang w:val="de-DE"/>
              </w:rPr>
            </w:pPr>
            <w:r w:rsidRPr="00F81254">
              <w:rPr>
                <w:lang w:val="de-DE"/>
              </w:rPr>
              <w:t>Anfällige Kontrollsorten: Fehérözön, Lamu, Yolo Wonder</w:t>
            </w:r>
          </w:p>
          <w:p w:rsidR="004F7171" w:rsidRPr="00F81254" w:rsidRDefault="004F7171" w:rsidP="00512EA0">
            <w:pPr>
              <w:rPr>
                <w:rFonts w:cs="Arial"/>
                <w:lang w:val="de-DE"/>
              </w:rPr>
            </w:pPr>
            <w:r w:rsidRPr="00F81254">
              <w:rPr>
                <w:lang w:val="de-DE"/>
              </w:rPr>
              <w:t>Resistente Kontrollsorten: Ferrari, Novi 3</w:t>
            </w:r>
          </w:p>
          <w:p w:rsidR="004F7171" w:rsidRPr="00F81254" w:rsidRDefault="004F7171" w:rsidP="00512EA0">
            <w:pPr>
              <w:rPr>
                <w:rFonts w:cs="Arial"/>
                <w:lang w:val="de-DE"/>
              </w:rPr>
            </w:pPr>
            <w:r w:rsidRPr="00F81254">
              <w:rPr>
                <w:lang w:val="de-DE"/>
              </w:rPr>
              <w:t>PMMoV: 1.2.3:</w:t>
            </w:r>
          </w:p>
          <w:p w:rsidR="004F7171" w:rsidRPr="00F81254" w:rsidRDefault="004F7171" w:rsidP="00512EA0">
            <w:pPr>
              <w:rPr>
                <w:rFonts w:cs="Arial"/>
                <w:lang w:val="de-DE"/>
              </w:rPr>
            </w:pPr>
            <w:r w:rsidRPr="00F81254">
              <w:rPr>
                <w:lang w:val="de-DE"/>
              </w:rPr>
              <w:t>Anfällige Kontrollsorten: Ferrari, Yolo Wonder</w:t>
            </w:r>
          </w:p>
          <w:p w:rsidR="004F7171" w:rsidRPr="00F81254" w:rsidRDefault="004F7171" w:rsidP="00512EA0">
            <w:pPr>
              <w:rPr>
                <w:rFonts w:cs="Arial"/>
                <w:lang w:val="de-DE"/>
              </w:rPr>
            </w:pPr>
            <w:r w:rsidRPr="00F81254">
              <w:rPr>
                <w:lang w:val="de-DE"/>
              </w:rPr>
              <w:t>Resistente Kontrollsorten: Friendly, Tom 4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9.4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Gestaltung der Prüfung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Hinzufügung nicht inokulierter Pflanzen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9.5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Prüfungseinrichtung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Klimatisierter Raum oder Gewächshaus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9.6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Temperatur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20-25°C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9.7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Licht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12 Stunden oder länger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9.8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Jahreszeit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-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9.9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Besondere Maßnahmen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-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10.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Inokulation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10.1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Vorbereitung des Inokulums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1 g Blatt mit Symptomen mit 10 ml PBS oder ähnlicher Pufferlösung oder Verdünnung von Saft in Wasser.</w:t>
            </w:r>
          </w:p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Homogenisieren, Carborundum zu Pufferlösung hinzufügen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10.2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Quantifizierung des Inokulums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-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lastRenderedPageBreak/>
              <w:t>10.3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Pflanzenstadium bei Inokulation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TMV: 0, Keimblätter bis erstes Blattstadium</w:t>
            </w:r>
          </w:p>
          <w:p w:rsidR="004F7171" w:rsidRPr="004F7171" w:rsidRDefault="004F7171" w:rsidP="00512EA0">
            <w:pPr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PMMoV: 1.2, Keimblattstadium</w:t>
            </w:r>
          </w:p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PMMoV: 1.2.3, Keimblattstadium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10.4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Inokulationsmethode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Einreiben mit der Virussuspension.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10.5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Erste Erfassung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TMV:0:</w:t>
            </w:r>
          </w:p>
          <w:p w:rsidR="004F7171" w:rsidRPr="004F7171" w:rsidRDefault="004F7171" w:rsidP="00512EA0">
            <w:pPr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4-7 Tage nach der Inokulation zur Erfassung lokaler Nekrose.</w:t>
            </w:r>
          </w:p>
          <w:p w:rsidR="004F7171" w:rsidRPr="004F7171" w:rsidRDefault="004F7171" w:rsidP="00512EA0">
            <w:pPr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PMMoV: 1.2 und PMMoV: 1.2.3:</w:t>
            </w:r>
          </w:p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lang w:val="de-DE"/>
              </w:rPr>
              <w:t xml:space="preserve">4-7 Tage nach der Inokulation zur Erfassung lokaler </w:t>
            </w:r>
            <w:r w:rsidR="00074AD2" w:rsidRPr="004F7171">
              <w:rPr>
                <w:lang w:val="de-DE"/>
              </w:rPr>
              <w:t>nekrotischer</w:t>
            </w:r>
            <w:r w:rsidRPr="004F7171">
              <w:rPr>
                <w:lang w:val="de-DE"/>
              </w:rPr>
              <w:t xml:space="preserve"> Läsionen, die zum Abfallen des Keimblattes führen können. Nach diesem Zeitpunkt sind diese Nekrosen auf abgefallenen Keimblättern kaum zu sehen.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10.6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Zweite Erfassung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TMV: 0:</w:t>
            </w:r>
          </w:p>
          <w:p w:rsidR="004F7171" w:rsidRPr="004F7171" w:rsidRDefault="004F7171" w:rsidP="00512EA0">
            <w:pPr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zwei Wochen nach der Inokulation zur Erfassung von Symptomen für Anfälligkeit.</w:t>
            </w:r>
          </w:p>
          <w:p w:rsidR="004F7171" w:rsidRPr="004F7171" w:rsidRDefault="004F7171" w:rsidP="00512EA0">
            <w:pPr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PMMoV: 1.2 und PMMoV: 1.2.3:</w:t>
            </w:r>
          </w:p>
          <w:p w:rsidR="004F7171" w:rsidRPr="004F7171" w:rsidRDefault="004F7171" w:rsidP="00512EA0">
            <w:pPr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zwei Wochen nach der Inokulation zur Erfassung von Symptomen für Anfälligkeit.</w:t>
            </w:r>
          </w:p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10.7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Abschließende Erfassungen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TMV:0:</w:t>
            </w:r>
          </w:p>
          <w:p w:rsidR="004F7171" w:rsidRPr="004F7171" w:rsidRDefault="004F7171" w:rsidP="00512EA0">
            <w:pPr>
              <w:ind w:left="-11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drei Wochen nach der Inokulation.</w:t>
            </w:r>
          </w:p>
          <w:p w:rsidR="004F7171" w:rsidRPr="004F7171" w:rsidRDefault="004F7171" w:rsidP="00512EA0">
            <w:pPr>
              <w:ind w:left="-11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PMMoV: 1.2 und PMMoV: 1.2.3:</w:t>
            </w:r>
          </w:p>
          <w:p w:rsidR="004F7171" w:rsidRPr="004F7171" w:rsidRDefault="004F7171" w:rsidP="00512EA0">
            <w:pPr>
              <w:ind w:left="-11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Drei Wochen nach der Inokulation.</w:t>
            </w:r>
          </w:p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Für TMV:0, PMMoV: 1.2 und PMMoV: 1.2.3, zwei dieser drei Erfassungen können ausreichend sein, der dritte Eintrag ist optional für die Erfassung der Entwicklung von Symptomen (abhängig von Symptomen an Kontrollsorten oder heterogenem Verhalten).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11.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Erfassungen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/>
              </w:rPr>
            </w:pP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11.1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Methode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Visuell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11.2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Erfassungsskala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tabs>
                <w:tab w:val="left" w:leader="dot" w:pos="3402"/>
              </w:tabs>
              <w:ind w:left="3402" w:hanging="3402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TMV: 0:</w:t>
            </w:r>
          </w:p>
          <w:p w:rsidR="004F7171" w:rsidRPr="004F7171" w:rsidRDefault="004F7171" w:rsidP="00512EA0">
            <w:pPr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Anfälligkeit: Mosaik (Aucuba im Falle von Aucuba-Stamm wie Vi-6), Wachstumsverringerung, Absterben von Pflanzen.</w:t>
            </w:r>
          </w:p>
          <w:p w:rsidR="004F7171" w:rsidRPr="004F7171" w:rsidRDefault="004F7171" w:rsidP="00512EA0">
            <w:pPr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Resistenz:  lokale nekrotische Läsionen, die zum Abfallen von Blättern, systemischer Nekrose, Adernnekrose, Nekrose am Stil führen können.</w:t>
            </w:r>
          </w:p>
          <w:p w:rsidR="004F7171" w:rsidRPr="004F7171" w:rsidRDefault="004F7171" w:rsidP="00512EA0">
            <w:pPr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PMMoV: 1.2 und PMMoV: 1.2.3:</w:t>
            </w:r>
          </w:p>
          <w:p w:rsidR="004F7171" w:rsidRPr="004F7171" w:rsidRDefault="004F7171" w:rsidP="00512EA0">
            <w:pPr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Anfälligkeit: Mosaik (grün), Wachstumsminderung.</w:t>
            </w:r>
          </w:p>
          <w:p w:rsidR="004F7171" w:rsidRPr="004F7171" w:rsidRDefault="004F7171" w:rsidP="00512EA0">
            <w:pPr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Resistenz:  lokale nekrotische Läsionen, die zum Abfallen des Keimblattes, systemischer Nekrose, führen können.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11.3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Validierung der Prüfung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Die Bewertung der Sortenresistenz sollte mit den Ergebnissen resistenter und anfälliger Kontrollen kalibriert werden.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12.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Auswert</w:t>
            </w:r>
            <w:r w:rsidR="00E76A0B">
              <w:rPr>
                <w:lang w:val="de-DE"/>
              </w:rPr>
              <w:t xml:space="preserve">ung der Daten hinsichtlich der </w:t>
            </w:r>
            <w:r w:rsidRPr="004F7171">
              <w:rPr>
                <w:lang w:val="de-DE"/>
              </w:rPr>
              <w:t>UPOV-Ausprägungsstufen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de-DE"/>
              </w:rPr>
            </w:pP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459"/>
              <w:jc w:val="left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fehlend……………………….</w:t>
            </w:r>
          </w:p>
        </w:tc>
        <w:tc>
          <w:tcPr>
            <w:tcW w:w="5908" w:type="dxa"/>
          </w:tcPr>
          <w:p w:rsidR="004F7171" w:rsidRPr="004F7171" w:rsidRDefault="00E76A0B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[1] </w:t>
            </w:r>
            <w:r w:rsidR="004F7171" w:rsidRPr="004F7171">
              <w:rPr>
                <w:color w:val="000000"/>
                <w:lang w:val="de-DE"/>
              </w:rPr>
              <w:t>anfällig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de-DE"/>
              </w:rPr>
            </w:pP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ind w:left="459"/>
              <w:jc w:val="left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vorhanden………………………</w:t>
            </w:r>
          </w:p>
        </w:tc>
        <w:tc>
          <w:tcPr>
            <w:tcW w:w="5908" w:type="dxa"/>
          </w:tcPr>
          <w:p w:rsidR="004F7171" w:rsidRPr="004F7171" w:rsidRDefault="004F7171" w:rsidP="005B2EFD">
            <w:pPr>
              <w:tabs>
                <w:tab w:val="left" w:pos="323"/>
              </w:tabs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>[9] resistent</w:t>
            </w:r>
          </w:p>
        </w:tc>
      </w:tr>
      <w:tr w:rsidR="004F7171" w:rsidRPr="0052393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13.</w:t>
            </w:r>
          </w:p>
        </w:tc>
        <w:tc>
          <w:tcPr>
            <w:tcW w:w="3164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>Kritische Kontrollpunkte</w:t>
            </w:r>
          </w:p>
        </w:tc>
        <w:tc>
          <w:tcPr>
            <w:tcW w:w="5908" w:type="dxa"/>
          </w:tcPr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color w:val="000000"/>
                <w:lang w:val="de-DE"/>
              </w:rPr>
              <w:t xml:space="preserve">Für TMV: </w:t>
            </w:r>
            <w:r w:rsidRPr="004F7171">
              <w:rPr>
                <w:lang w:val="de-DE"/>
              </w:rPr>
              <w:t>0, Pflanzen ohne jegliches Symptom sind als der Inoku</w:t>
            </w:r>
            <w:r w:rsidR="00E76A0B">
              <w:rPr>
                <w:lang w:val="de-DE"/>
              </w:rPr>
              <w:t>lation entgangen zu betracht</w:t>
            </w:r>
            <w:r w:rsidRPr="004F7171">
              <w:rPr>
                <w:lang w:val="de-DE"/>
              </w:rPr>
              <w:t>en.</w:t>
            </w:r>
          </w:p>
        </w:tc>
      </w:tr>
      <w:tr w:rsidR="004F7171" w:rsidRPr="004F7171" w:rsidTr="00512EA0">
        <w:trPr>
          <w:cantSplit/>
        </w:trPr>
        <w:tc>
          <w:tcPr>
            <w:tcW w:w="675" w:type="dxa"/>
          </w:tcPr>
          <w:p w:rsidR="004F7171" w:rsidRPr="004F7171" w:rsidRDefault="004F7171" w:rsidP="00512EA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</w:p>
        </w:tc>
        <w:tc>
          <w:tcPr>
            <w:tcW w:w="9072" w:type="dxa"/>
            <w:gridSpan w:val="2"/>
          </w:tcPr>
          <w:p w:rsidR="004F7171" w:rsidRPr="004F7171" w:rsidRDefault="004F7171" w:rsidP="00512EA0">
            <w:pPr>
              <w:rPr>
                <w:rFonts w:cs="Arial"/>
                <w:lang w:val="de-DE"/>
              </w:rPr>
            </w:pPr>
            <w:r w:rsidRPr="004F7171">
              <w:rPr>
                <w:lang w:val="de-DE"/>
              </w:rPr>
              <w:t xml:space="preserve">Empfohlene Eintragsdaten sollten abhängig von der Ausprägung der Symptome an Kontrollsorten angepaßt werden. </w:t>
            </w:r>
          </w:p>
          <w:p w:rsidR="004F7171" w:rsidRPr="004F7171" w:rsidRDefault="004F7171" w:rsidP="00512EA0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4F7171">
              <w:rPr>
                <w:lang w:val="de-DE"/>
              </w:rPr>
              <w:t xml:space="preserve">Umweltbedingungen können im Laufe der Zeit einen Einfluß auf die Ausprägung von Symptomen haben. In diesem Fall könnte ein dritter Eintrag erforderlich sein. </w:t>
            </w:r>
          </w:p>
        </w:tc>
      </w:tr>
    </w:tbl>
    <w:p w:rsidR="004F7171" w:rsidRPr="007E7836" w:rsidRDefault="004F7171" w:rsidP="004F7171">
      <w:pPr>
        <w:rPr>
          <w:rFonts w:cs="Arial"/>
        </w:rPr>
      </w:pPr>
    </w:p>
    <w:p w:rsidR="004F7171" w:rsidRDefault="004F7171" w:rsidP="004F7171">
      <w:pPr>
        <w:jc w:val="left"/>
        <w:rPr>
          <w:u w:val="single"/>
        </w:rPr>
      </w:pPr>
    </w:p>
    <w:p w:rsidR="002E0D7D" w:rsidRDefault="002E0D7D" w:rsidP="002E0D7D">
      <w:pPr>
        <w:jc w:val="left"/>
        <w:rPr>
          <w:u w:val="single"/>
        </w:rPr>
      </w:pPr>
      <w:r>
        <w:rPr>
          <w:u w:val="single"/>
        </w:rPr>
        <w:br w:type="page"/>
      </w:r>
    </w:p>
    <w:p w:rsidR="004F7171" w:rsidRPr="004F7171" w:rsidRDefault="004F7171" w:rsidP="004F7171">
      <w:pPr>
        <w:pStyle w:val="Heading2"/>
        <w:rPr>
          <w:lang w:val="de-DE"/>
        </w:rPr>
      </w:pPr>
      <w:r w:rsidRPr="004F7171">
        <w:rPr>
          <w:lang w:val="de-DE"/>
        </w:rPr>
        <w:lastRenderedPageBreak/>
        <w:t xml:space="preserve">Vorschlag für die Hinzufügung der fehlenden VG-Erfaßungsmethode zu Merkmal 2 „Pflanze: Wuchsform“ </w:t>
      </w:r>
    </w:p>
    <w:p w:rsidR="004F7171" w:rsidRPr="004F7171" w:rsidRDefault="004F7171" w:rsidP="004F7171">
      <w:pPr>
        <w:rPr>
          <w:lang w:val="de-DE"/>
        </w:rPr>
      </w:pPr>
    </w:p>
    <w:p w:rsidR="004F7171" w:rsidRPr="004F7171" w:rsidRDefault="004F7171" w:rsidP="004F7171">
      <w:pPr>
        <w:rPr>
          <w:lang w:val="de-DE"/>
        </w:rPr>
      </w:pPr>
      <w:r w:rsidRPr="004F7171">
        <w:rPr>
          <w:i/>
          <w:lang w:val="de-DE"/>
        </w:rPr>
        <w:t>Derzeitiger Wortlaut</w:t>
      </w:r>
    </w:p>
    <w:p w:rsidR="002E0D7D" w:rsidRDefault="002E0D7D" w:rsidP="002E0D7D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2E0D7D" w:rsidRPr="0087579C" w:rsidTr="002E0D7D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Plant: habit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Plante: port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Pflanze: Wuchsform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Planta: porte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0D7D" w:rsidRPr="0087579C" w:rsidTr="002E0D7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erecto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De Cayenne, </w:t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Doux très long des</w:t>
            </w:r>
            <w:r w:rsidRPr="0087579C">
              <w:rPr>
                <w:rFonts w:ascii="Arial" w:hAnsi="Arial" w:cs="Arial"/>
                <w:sz w:val="16"/>
                <w:szCs w:val="16"/>
                <w:lang w:val="fr-CH"/>
              </w:rPr>
              <w:t xml:space="preserve"> Landes, Piquant d’Algérie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0D7D" w:rsidRPr="0087579C" w:rsidTr="0087579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semi-upright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demi</w:t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noBreakHyphen/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halbaufrecht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semierecto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Clovis, Sonar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E0D7D" w:rsidRPr="0087579C" w:rsidTr="0087579C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prostrate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étalé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liegend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postrado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Delphin, Trophy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7D" w:rsidRPr="0087579C" w:rsidRDefault="002E0D7D" w:rsidP="002E0D7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2E0D7D" w:rsidRDefault="002E0D7D" w:rsidP="002E0D7D">
      <w:pPr>
        <w:ind w:left="-567"/>
      </w:pPr>
    </w:p>
    <w:p w:rsidR="002E0D7D" w:rsidRPr="0087579C" w:rsidRDefault="002E0D7D" w:rsidP="002E0D7D">
      <w:pPr>
        <w:rPr>
          <w:i/>
        </w:rPr>
      </w:pPr>
    </w:p>
    <w:p w:rsidR="002E0D7D" w:rsidRPr="001B7206" w:rsidRDefault="001B7206" w:rsidP="002E0D7D">
      <w:pPr>
        <w:rPr>
          <w:i/>
          <w:lang w:val="de-DE"/>
        </w:rPr>
      </w:pPr>
      <w:r w:rsidRPr="001B7206">
        <w:rPr>
          <w:i/>
          <w:lang w:val="de-DE"/>
        </w:rPr>
        <w:t>Vorgeschlagener neuer Wortlaut</w:t>
      </w:r>
    </w:p>
    <w:p w:rsidR="002E0D7D" w:rsidRDefault="002E0D7D" w:rsidP="002E0D7D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87579C" w:rsidRPr="0087579C" w:rsidTr="00AD5C08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87579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7579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Plant: habit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Plante: port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Pflanze: Wuchsform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Planta: porte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579C" w:rsidRPr="0087579C" w:rsidTr="00AD5C0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79C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erecto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De Cayenne, </w:t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Doux très long des</w:t>
            </w:r>
            <w:r w:rsidRPr="0087579C">
              <w:rPr>
                <w:rFonts w:ascii="Arial" w:hAnsi="Arial" w:cs="Arial"/>
                <w:sz w:val="16"/>
                <w:szCs w:val="16"/>
                <w:lang w:val="fr-CH"/>
              </w:rPr>
              <w:t xml:space="preserve"> Landes, Piquant d’Algérie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579C" w:rsidRPr="0087579C" w:rsidTr="00AD5C0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semi-upright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demi</w:t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noBreakHyphen/>
            </w: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érigé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halbaufrecht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semierecto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Clovis, Sonar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7579C" w:rsidRPr="0087579C" w:rsidRDefault="0087579C" w:rsidP="00AD5C0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7579C" w:rsidRPr="0087579C" w:rsidTr="00AD5C08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AD5C0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prostrate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étalé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liegend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postrado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AD5C0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Delphin, Trophy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9C" w:rsidRPr="0087579C" w:rsidRDefault="0087579C" w:rsidP="00AD5C0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7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87579C" w:rsidRDefault="0087579C" w:rsidP="002E0D7D"/>
    <w:p w:rsidR="00BA224E" w:rsidRDefault="00BA224E" w:rsidP="002E0D7D"/>
    <w:p w:rsidR="00BA224E" w:rsidRPr="004F7171" w:rsidRDefault="00BA224E" w:rsidP="002E0D7D">
      <w:pPr>
        <w:rPr>
          <w:lang w:val="de-DE"/>
        </w:rPr>
      </w:pPr>
    </w:p>
    <w:p w:rsidR="002E0D7D" w:rsidRPr="004F7171" w:rsidRDefault="004F7171" w:rsidP="002E0D7D">
      <w:pPr>
        <w:jc w:val="right"/>
        <w:rPr>
          <w:lang w:val="de-DE"/>
        </w:rPr>
      </w:pPr>
      <w:r w:rsidRPr="004F7171">
        <w:rPr>
          <w:lang w:val="de-DE"/>
        </w:rPr>
        <w:t xml:space="preserve"> [Ende des Dok</w:t>
      </w:r>
      <w:r w:rsidR="002E0D7D" w:rsidRPr="004F7171">
        <w:rPr>
          <w:lang w:val="de-DE"/>
        </w:rPr>
        <w:t>ument</w:t>
      </w:r>
      <w:r w:rsidRPr="004F7171">
        <w:rPr>
          <w:lang w:val="de-DE"/>
        </w:rPr>
        <w:t>s</w:t>
      </w:r>
      <w:r w:rsidR="002E0D7D" w:rsidRPr="004F7171">
        <w:rPr>
          <w:lang w:val="de-DE"/>
        </w:rPr>
        <w:t>]</w:t>
      </w:r>
    </w:p>
    <w:p w:rsidR="004F7171" w:rsidRPr="004F7171" w:rsidRDefault="004F7171">
      <w:pPr>
        <w:jc w:val="right"/>
        <w:rPr>
          <w:lang w:val="de-DE"/>
        </w:rPr>
      </w:pPr>
    </w:p>
    <w:sectPr w:rsidR="004F7171" w:rsidRPr="004F7171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A0" w:rsidRDefault="00512EA0" w:rsidP="006655D3">
      <w:r>
        <w:separator/>
      </w:r>
    </w:p>
    <w:p w:rsidR="00512EA0" w:rsidRDefault="00512EA0" w:rsidP="006655D3"/>
    <w:p w:rsidR="00512EA0" w:rsidRDefault="00512EA0" w:rsidP="006655D3"/>
  </w:endnote>
  <w:endnote w:type="continuationSeparator" w:id="0">
    <w:p w:rsidR="00512EA0" w:rsidRDefault="00512EA0" w:rsidP="006655D3">
      <w:r>
        <w:separator/>
      </w:r>
    </w:p>
    <w:p w:rsidR="00512EA0" w:rsidRPr="00294751" w:rsidRDefault="00512EA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12EA0" w:rsidRPr="00294751" w:rsidRDefault="00512EA0" w:rsidP="006655D3">
      <w:pPr>
        <w:rPr>
          <w:lang w:val="fr-FR"/>
        </w:rPr>
      </w:pPr>
    </w:p>
    <w:p w:rsidR="00512EA0" w:rsidRPr="00294751" w:rsidRDefault="00512EA0" w:rsidP="006655D3">
      <w:pPr>
        <w:rPr>
          <w:lang w:val="fr-FR"/>
        </w:rPr>
      </w:pPr>
    </w:p>
  </w:endnote>
  <w:endnote w:type="continuationNotice" w:id="1">
    <w:p w:rsidR="00512EA0" w:rsidRPr="00294751" w:rsidRDefault="00512EA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12EA0" w:rsidRPr="00294751" w:rsidRDefault="00512EA0" w:rsidP="006655D3">
      <w:pPr>
        <w:rPr>
          <w:lang w:val="fr-FR"/>
        </w:rPr>
      </w:pPr>
    </w:p>
    <w:p w:rsidR="00512EA0" w:rsidRPr="00294751" w:rsidRDefault="00512EA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A0" w:rsidRDefault="00512EA0" w:rsidP="006655D3">
      <w:r>
        <w:separator/>
      </w:r>
    </w:p>
  </w:footnote>
  <w:footnote w:type="continuationSeparator" w:id="0">
    <w:p w:rsidR="00512EA0" w:rsidRDefault="00512EA0" w:rsidP="006655D3">
      <w:r>
        <w:separator/>
      </w:r>
    </w:p>
  </w:footnote>
  <w:footnote w:type="continuationNotice" w:id="1">
    <w:p w:rsidR="00512EA0" w:rsidRPr="00AB530F" w:rsidRDefault="00512EA0" w:rsidP="00AB530F">
      <w:pPr>
        <w:pStyle w:val="Footer"/>
      </w:pPr>
    </w:p>
  </w:footnote>
  <w:footnote w:id="2">
    <w:p w:rsidR="00512EA0" w:rsidRPr="00FC0A89" w:rsidRDefault="00512EA0" w:rsidP="004F71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matref@geves.fr</w:t>
        </w:r>
      </w:hyperlink>
      <w:r>
        <w:t xml:space="preserve"> </w:t>
      </w:r>
    </w:p>
  </w:footnote>
  <w:footnote w:id="3">
    <w:p w:rsidR="00512EA0" w:rsidRPr="00FC0A89" w:rsidRDefault="00512EA0" w:rsidP="004F71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resistentie@naktuinbouw.nl</w:t>
        </w:r>
      </w:hyperlink>
    </w:p>
  </w:footnote>
  <w:footnote w:id="4">
    <w:p w:rsidR="00512EA0" w:rsidRPr="007C467E" w:rsidRDefault="00512EA0" w:rsidP="004F71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cardaba@inia.es</w:t>
        </w:r>
      </w:hyperlink>
      <w:r>
        <w:t xml:space="preserve"> </w:t>
      </w:r>
    </w:p>
  </w:footnote>
  <w:footnote w:id="5">
    <w:p w:rsidR="00512EA0" w:rsidRPr="001E7796" w:rsidRDefault="00512EA0" w:rsidP="004F7171">
      <w:pPr>
        <w:pStyle w:val="FootnoteText"/>
      </w:pPr>
      <w:r>
        <w:rPr>
          <w:rStyle w:val="FootnoteReference"/>
        </w:rPr>
        <w:footnoteRef/>
      </w:r>
      <w:r>
        <w:t xml:space="preserve"> Harmores 2 CPVO-Projekt (</w:t>
      </w:r>
      <w:hyperlink r:id="rId4" w:history="1">
        <w:r>
          <w:rPr>
            <w:rStyle w:val="Hyperlink"/>
          </w:rPr>
          <w:t>http://www.cpvo.europa.eu/main/en/home/documents-and-publications/technical-projects-reports</w:t>
        </w:r>
      </w:hyperlink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A0" w:rsidRPr="00C5280D" w:rsidRDefault="00512EA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TC-EDC/Mar18/6</w:t>
    </w:r>
  </w:p>
  <w:p w:rsidR="00512EA0" w:rsidRPr="00AD5C08" w:rsidRDefault="00512EA0" w:rsidP="00EB048E">
    <w:pPr>
      <w:pStyle w:val="Header"/>
      <w:rPr>
        <w:lang w:val="de-DE"/>
      </w:rPr>
    </w:pPr>
    <w:r w:rsidRPr="00AD5C08">
      <w:rPr>
        <w:lang w:val="de-DE"/>
      </w:rPr>
      <w:t xml:space="preserve">Seite </w:t>
    </w:r>
    <w:r w:rsidRPr="00AD5C08">
      <w:rPr>
        <w:rStyle w:val="PageNumber"/>
        <w:lang w:val="de-DE"/>
      </w:rPr>
      <w:fldChar w:fldCharType="begin"/>
    </w:r>
    <w:r w:rsidRPr="00AD5C08">
      <w:rPr>
        <w:rStyle w:val="PageNumber"/>
        <w:lang w:val="de-DE"/>
      </w:rPr>
      <w:instrText xml:space="preserve"> PAGE </w:instrText>
    </w:r>
    <w:r w:rsidRPr="00AD5C08">
      <w:rPr>
        <w:rStyle w:val="PageNumber"/>
        <w:lang w:val="de-DE"/>
      </w:rPr>
      <w:fldChar w:fldCharType="separate"/>
    </w:r>
    <w:r w:rsidR="00523931">
      <w:rPr>
        <w:rStyle w:val="PageNumber"/>
        <w:noProof/>
        <w:lang w:val="de-DE"/>
      </w:rPr>
      <w:t>6</w:t>
    </w:r>
    <w:r w:rsidRPr="00AD5C08">
      <w:rPr>
        <w:rStyle w:val="PageNumber"/>
        <w:lang w:val="de-DE"/>
      </w:rPr>
      <w:fldChar w:fldCharType="end"/>
    </w:r>
  </w:p>
  <w:p w:rsidR="00512EA0" w:rsidRPr="00C5280D" w:rsidRDefault="00512EA0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619A5"/>
    <w:multiLevelType w:val="hybridMultilevel"/>
    <w:tmpl w:val="3AECFCBA"/>
    <w:lvl w:ilvl="0" w:tplc="D2021E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73A3"/>
    <w:multiLevelType w:val="hybridMultilevel"/>
    <w:tmpl w:val="9E56B5C6"/>
    <w:lvl w:ilvl="0" w:tplc="0407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7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1EDE"/>
    <w:rsid w:val="00074AD2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5FB9"/>
    <w:rsid w:val="001B7206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2FA2"/>
    <w:rsid w:val="002A6E50"/>
    <w:rsid w:val="002B4298"/>
    <w:rsid w:val="002C256A"/>
    <w:rsid w:val="002C7C20"/>
    <w:rsid w:val="002E0D7D"/>
    <w:rsid w:val="00305A7F"/>
    <w:rsid w:val="003152FE"/>
    <w:rsid w:val="00327436"/>
    <w:rsid w:val="00334513"/>
    <w:rsid w:val="00344BD6"/>
    <w:rsid w:val="0035528D"/>
    <w:rsid w:val="00361821"/>
    <w:rsid w:val="00361E9E"/>
    <w:rsid w:val="00384578"/>
    <w:rsid w:val="0039633A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7171"/>
    <w:rsid w:val="00512164"/>
    <w:rsid w:val="00512EA0"/>
    <w:rsid w:val="00520297"/>
    <w:rsid w:val="00523931"/>
    <w:rsid w:val="005338F9"/>
    <w:rsid w:val="0054281C"/>
    <w:rsid w:val="00544581"/>
    <w:rsid w:val="0055268D"/>
    <w:rsid w:val="00576BE4"/>
    <w:rsid w:val="005A400A"/>
    <w:rsid w:val="005B2EFD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1D34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7579C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D5C08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224E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39E"/>
    <w:rsid w:val="00C72B7A"/>
    <w:rsid w:val="00C820E9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4EAE"/>
    <w:rsid w:val="00D8414E"/>
    <w:rsid w:val="00D91203"/>
    <w:rsid w:val="00D95174"/>
    <w:rsid w:val="00DA4476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76A0B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1254"/>
    <w:rsid w:val="00FA49AB"/>
    <w:rsid w:val="00FE39C7"/>
    <w:rsid w:val="00FE495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E0D7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E0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E0D7D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table" w:styleId="TableGrid">
    <w:name w:val="Table Grid"/>
    <w:basedOn w:val="TableNormal"/>
    <w:uiPriority w:val="39"/>
    <w:rsid w:val="002E0D7D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2E0D7D"/>
    <w:rPr>
      <w:rFonts w:ascii="Arial" w:hAnsi="Arial"/>
      <w:sz w:val="16"/>
    </w:rPr>
  </w:style>
  <w:style w:type="character" w:customStyle="1" w:styleId="st1">
    <w:name w:val="st1"/>
    <w:basedOn w:val="DefaultParagraphFont"/>
    <w:rsid w:val="002E0D7D"/>
  </w:style>
  <w:style w:type="paragraph" w:customStyle="1" w:styleId="Normaltg">
    <w:name w:val="Normaltg"/>
    <w:basedOn w:val="Normal"/>
    <w:rsid w:val="002E0D7D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paragraph" w:customStyle="1" w:styleId="Style1">
    <w:name w:val="Style1"/>
    <w:basedOn w:val="Normal"/>
    <w:rsid w:val="002E0D7D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E0D7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E0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E0D7D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table" w:styleId="TableGrid">
    <w:name w:val="Table Grid"/>
    <w:basedOn w:val="TableNormal"/>
    <w:uiPriority w:val="39"/>
    <w:rsid w:val="002E0D7D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2E0D7D"/>
    <w:rPr>
      <w:rFonts w:ascii="Arial" w:hAnsi="Arial"/>
      <w:sz w:val="16"/>
    </w:rPr>
  </w:style>
  <w:style w:type="character" w:customStyle="1" w:styleId="st1">
    <w:name w:val="st1"/>
    <w:basedOn w:val="DefaultParagraphFont"/>
    <w:rsid w:val="002E0D7D"/>
  </w:style>
  <w:style w:type="paragraph" w:customStyle="1" w:styleId="Normaltg">
    <w:name w:val="Normaltg"/>
    <w:basedOn w:val="Normal"/>
    <w:rsid w:val="002E0D7D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paragraph" w:customStyle="1" w:styleId="Style1">
    <w:name w:val="Style1"/>
    <w:basedOn w:val="Normal"/>
    <w:rsid w:val="002E0D7D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rldseed.org/isf/differential_hosts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ardaba@inia.es" TargetMode="External"/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matref@geves.fr" TargetMode="External"/><Relationship Id="rId4" Type="http://schemas.openxmlformats.org/officeDocument/2006/relationships/hyperlink" Target="http://www.cpvo.europa.eu/main/en/home/documents-and-publications/technical-projects-repor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tc_edc_mar_18_EN.dotx</Template>
  <TotalTime>11</TotalTime>
  <Pages>7</Pages>
  <Words>1907</Words>
  <Characters>12538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TC-EDC/Mar18</vt:lpstr>
      <vt:lpstr>TC-EDC/Mar18</vt:lpstr>
    </vt:vector>
  </TitlesOfParts>
  <Company>UPOV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OERTEL Romy</cp:lastModifiedBy>
  <cp:revision>10</cp:revision>
  <cp:lastPrinted>2018-02-08T09:33:00Z</cp:lastPrinted>
  <dcterms:created xsi:type="dcterms:W3CDTF">2017-11-13T13:42:00Z</dcterms:created>
  <dcterms:modified xsi:type="dcterms:W3CDTF">2018-02-08T09:41:00Z</dcterms:modified>
</cp:coreProperties>
</file>