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26748A" w:rsidP="006655D3">
            <w:pPr>
              <w:pStyle w:val="LogoUPOV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4C1F88" w:rsidRDefault="0024416D" w:rsidP="006655D3">
            <w:pPr>
              <w:pStyle w:val="Lettrine"/>
              <w:rPr>
                <w:lang w:val="en-US"/>
              </w:rPr>
            </w:pPr>
            <w:r w:rsidRPr="004C1F88">
              <w:rPr>
                <w:lang w:val="en-US"/>
              </w:rPr>
              <w:t>G</w:t>
            </w:r>
          </w:p>
          <w:p w:rsidR="000D7780" w:rsidRPr="004C1F88" w:rsidRDefault="006B17D2" w:rsidP="006655D3">
            <w:pPr>
              <w:pStyle w:val="Docoriginal"/>
              <w:rPr>
                <w:lang w:val="en-US"/>
              </w:rPr>
            </w:pPr>
            <w:r w:rsidRPr="004C1F88">
              <w:rPr>
                <w:lang w:val="en-US"/>
              </w:rPr>
              <w:t>TC-EDC/Jan16/</w:t>
            </w:r>
            <w:bookmarkStart w:id="0" w:name="Code"/>
            <w:bookmarkEnd w:id="0"/>
            <w:r w:rsidRPr="004C1F88">
              <w:rPr>
                <w:lang w:val="en-US"/>
              </w:rPr>
              <w:t>8</w:t>
            </w:r>
          </w:p>
          <w:p w:rsidR="000D7780" w:rsidRPr="004C1F88" w:rsidRDefault="0061555F" w:rsidP="006655D3">
            <w:pPr>
              <w:pStyle w:val="Docoriginal"/>
              <w:rPr>
                <w:b w:val="0"/>
                <w:spacing w:val="0"/>
                <w:lang w:val="en-US"/>
              </w:rPr>
            </w:pPr>
            <w:r w:rsidRPr="004C1F88">
              <w:rPr>
                <w:rStyle w:val="StyleDoclangBold"/>
                <w:b/>
                <w:spacing w:val="0"/>
                <w:lang w:val="en-US"/>
              </w:rPr>
              <w:t>ORIGINAL:</w:t>
            </w:r>
            <w:r w:rsidRPr="004C1F88">
              <w:rPr>
                <w:rStyle w:val="StyleDocoriginalNotBold1"/>
                <w:spacing w:val="0"/>
                <w:lang w:val="en-US"/>
              </w:rPr>
              <w:t xml:space="preserve"> </w:t>
            </w:r>
            <w:r w:rsidRPr="004C1F88">
              <w:rPr>
                <w:lang w:val="en-US"/>
              </w:rPr>
              <w:t xml:space="preserve"> </w:t>
            </w:r>
            <w:bookmarkStart w:id="1" w:name="Original"/>
            <w:bookmarkEnd w:id="1"/>
            <w:proofErr w:type="spellStart"/>
            <w:r w:rsidRPr="004C1F88">
              <w:rPr>
                <w:b w:val="0"/>
                <w:spacing w:val="0"/>
                <w:lang w:val="en-US"/>
              </w:rPr>
              <w:t>englisch</w:t>
            </w:r>
            <w:proofErr w:type="spellEnd"/>
          </w:p>
          <w:p w:rsidR="000D7780" w:rsidRPr="00C5280D" w:rsidRDefault="000D7780" w:rsidP="00BA4E65">
            <w:pPr>
              <w:pStyle w:val="Docoriginal"/>
            </w:pPr>
            <w:r>
              <w:t xml:space="preserve">DATUM: </w:t>
            </w:r>
            <w:r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Pr="008D7BCC">
              <w:rPr>
                <w:b w:val="0"/>
                <w:spacing w:val="0"/>
              </w:rPr>
              <w:t>20. Oktober 2015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>
              <w:t xml:space="preserve">INTERNATIONALER VERBAND ZUM SCHUTZ VON PFLANZENZÜCHTUNGEN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>
              <w:t>Genf</w:t>
            </w:r>
          </w:p>
        </w:tc>
      </w:tr>
    </w:tbl>
    <w:p w:rsidR="000D7780" w:rsidRPr="00C5280D" w:rsidRDefault="00125EFC" w:rsidP="006655D3">
      <w:pPr>
        <w:pStyle w:val="Sessiontc"/>
      </w:pPr>
      <w:r>
        <w:t>ERWEITERTER REDAKTIONSAUSSCHUSS</w:t>
      </w:r>
    </w:p>
    <w:p w:rsidR="00361821" w:rsidRPr="00C5280D" w:rsidRDefault="00867AC1" w:rsidP="006655D3">
      <w:pPr>
        <w:pStyle w:val="Sessiontcplacedate"/>
      </w:pPr>
      <w:r>
        <w:t>Genf, 6. und 7. Januar 2016</w:t>
      </w:r>
    </w:p>
    <w:p w:rsidR="00973B62" w:rsidRPr="00C5280D" w:rsidRDefault="00973B62" w:rsidP="00973B62">
      <w:pPr>
        <w:pStyle w:val="Titleofdoc0"/>
      </w:pPr>
      <w:bookmarkStart w:id="4" w:name="TitleOfDoc"/>
      <w:bookmarkEnd w:id="4"/>
      <w:r>
        <w:t>TEILÜBERARBEITUNG DER PRÜFUNGSRICHTLINIEN FÜR SPINAT (Dokument TG/55/7 Rev.3)</w:t>
      </w:r>
    </w:p>
    <w:p w:rsidR="00973B62" w:rsidRPr="00506DD4" w:rsidRDefault="00973B62" w:rsidP="00973B62">
      <w:pPr>
        <w:pStyle w:val="preparedby1"/>
      </w:pPr>
      <w:bookmarkStart w:id="5" w:name="Prepared"/>
      <w:bookmarkEnd w:id="5"/>
      <w:r>
        <w:t>Von</w:t>
      </w:r>
      <w:r w:rsidR="00B46CEC">
        <w:t xml:space="preserve"> einem</w:t>
      </w:r>
      <w:r>
        <w:t xml:space="preserve"> Sachverständigen aus den Niederlanden erstelltes Dokument</w:t>
      </w:r>
      <w:r>
        <w:br/>
      </w:r>
      <w:r>
        <w:br/>
      </w:r>
      <w:r>
        <w:rPr>
          <w:color w:val="A6A6A6" w:themeColor="background1" w:themeShade="A6"/>
        </w:rPr>
        <w:t>Haftungsausschluß:  dieses Dokument gibt nicht die Grundsätze oder eine Anleitung der UPOV wieder</w:t>
      </w:r>
    </w:p>
    <w:p w:rsidR="00973B62" w:rsidRPr="00C3517E" w:rsidRDefault="00973B62" w:rsidP="00973B6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AUTONUM  </w:instrText>
      </w:r>
      <w:r>
        <w:rPr>
          <w:sz w:val="20"/>
          <w:szCs w:val="20"/>
        </w:rPr>
        <w:fldChar w:fldCharType="end"/>
      </w:r>
      <w:r>
        <w:tab/>
      </w:r>
      <w:r w:rsidRPr="00C3517E">
        <w:rPr>
          <w:sz w:val="20"/>
          <w:szCs w:val="20"/>
        </w:rPr>
        <w:t>Auf ihrer neunundvierzigsten Tagung vom 15. bis 19. Juni 2015 in Angers, Frankreich, prüfte die Technische Arbeitsgruppe für Gemüsearten (TWV) die Teilüberarbeitung der Prüfungsrichtlinien für Spinat aufgrund der Dokumente TG/55/7 Rev.3 und TWV/49/26 „</w:t>
      </w:r>
      <w:r w:rsidR="00B46CEC" w:rsidRPr="00B46CEC">
        <w:rPr>
          <w:i/>
          <w:sz w:val="20"/>
          <w:szCs w:val="20"/>
        </w:rPr>
        <w:t xml:space="preserve">Partial Revision </w:t>
      </w:r>
      <w:proofErr w:type="spellStart"/>
      <w:r w:rsidR="00B46CEC" w:rsidRPr="00B46CEC">
        <w:rPr>
          <w:i/>
          <w:sz w:val="20"/>
          <w:szCs w:val="20"/>
        </w:rPr>
        <w:t>of</w:t>
      </w:r>
      <w:proofErr w:type="spellEnd"/>
      <w:r w:rsidR="00B46CEC" w:rsidRPr="00B46CEC">
        <w:rPr>
          <w:i/>
          <w:sz w:val="20"/>
          <w:szCs w:val="20"/>
        </w:rPr>
        <w:t xml:space="preserve"> </w:t>
      </w:r>
      <w:proofErr w:type="spellStart"/>
      <w:r w:rsidR="00B46CEC" w:rsidRPr="00B46CEC">
        <w:rPr>
          <w:i/>
          <w:sz w:val="20"/>
          <w:szCs w:val="20"/>
        </w:rPr>
        <w:t>the</w:t>
      </w:r>
      <w:proofErr w:type="spellEnd"/>
      <w:r w:rsidR="00B46CEC" w:rsidRPr="00B46CEC">
        <w:rPr>
          <w:i/>
          <w:sz w:val="20"/>
          <w:szCs w:val="20"/>
        </w:rPr>
        <w:t xml:space="preserve"> Test Guidelines </w:t>
      </w:r>
      <w:proofErr w:type="spellStart"/>
      <w:r w:rsidR="00B46CEC" w:rsidRPr="00B46CEC">
        <w:rPr>
          <w:i/>
          <w:sz w:val="20"/>
          <w:szCs w:val="20"/>
        </w:rPr>
        <w:t>for</w:t>
      </w:r>
      <w:proofErr w:type="spellEnd"/>
      <w:r w:rsidR="00B46CEC" w:rsidRPr="00B46CEC">
        <w:rPr>
          <w:i/>
          <w:sz w:val="20"/>
          <w:szCs w:val="20"/>
        </w:rPr>
        <w:t xml:space="preserve"> </w:t>
      </w:r>
      <w:proofErr w:type="spellStart"/>
      <w:r w:rsidR="00B46CEC" w:rsidRPr="00B46CEC">
        <w:rPr>
          <w:i/>
          <w:sz w:val="20"/>
          <w:szCs w:val="20"/>
        </w:rPr>
        <w:t>Spinach</w:t>
      </w:r>
      <w:proofErr w:type="spellEnd"/>
      <w:r w:rsidR="00B46CEC" w:rsidRPr="00B46CEC">
        <w:rPr>
          <w:i/>
          <w:sz w:val="20"/>
          <w:szCs w:val="20"/>
        </w:rPr>
        <w:t xml:space="preserve"> (</w:t>
      </w:r>
      <w:proofErr w:type="spellStart"/>
      <w:r w:rsidR="00B46CEC" w:rsidRPr="00B46CEC">
        <w:rPr>
          <w:i/>
          <w:sz w:val="20"/>
          <w:szCs w:val="20"/>
        </w:rPr>
        <w:t>Document</w:t>
      </w:r>
      <w:proofErr w:type="spellEnd"/>
      <w:r w:rsidR="00B46CEC" w:rsidRPr="00B46CEC">
        <w:rPr>
          <w:i/>
          <w:sz w:val="20"/>
          <w:szCs w:val="20"/>
        </w:rPr>
        <w:t xml:space="preserve"> TG/55/7 Rev.3)</w:t>
      </w:r>
      <w:r w:rsidRPr="00C3517E">
        <w:rPr>
          <w:sz w:val="20"/>
          <w:szCs w:val="20"/>
        </w:rPr>
        <w:t>“ und schlug vor, die Prüfungsrichtlinien für Spinat wie folgt zu überarbeiten (vergleiche Dokument TWV/49/32 „</w:t>
      </w:r>
      <w:r w:rsidRPr="005760C2">
        <w:rPr>
          <w:i/>
          <w:sz w:val="20"/>
          <w:szCs w:val="20"/>
        </w:rPr>
        <w:t>Report</w:t>
      </w:r>
      <w:r w:rsidRPr="00C3517E">
        <w:rPr>
          <w:sz w:val="20"/>
          <w:szCs w:val="20"/>
        </w:rPr>
        <w:t>”, Absatz 105):</w:t>
      </w:r>
    </w:p>
    <w:p w:rsidR="00973B62" w:rsidRDefault="00973B62" w:rsidP="00973B62"/>
    <w:p w:rsidR="00973B62" w:rsidRPr="008A19F7" w:rsidRDefault="00973B62" w:rsidP="00973B62">
      <w:pPr>
        <w:pStyle w:val="ListParagraph"/>
        <w:numPr>
          <w:ilvl w:val="0"/>
          <w:numId w:val="1"/>
        </w:numPr>
        <w:spacing w:before="0" w:beforeAutospacing="0" w:after="0" w:afterAutospacing="0"/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Überarbeitung von Merkmal 18 „</w:t>
      </w:r>
      <w:r>
        <w:rPr>
          <w:rFonts w:ascii="Arial" w:hAnsi="Arial"/>
          <w:color w:val="000000"/>
          <w:sz w:val="20"/>
        </w:rPr>
        <w:t xml:space="preserve">Resistenz gegen </w:t>
      </w:r>
      <w:r>
        <w:rPr>
          <w:rFonts w:ascii="Arial" w:hAnsi="Arial"/>
          <w:i/>
          <w:color w:val="000000"/>
          <w:sz w:val="20"/>
          <w:u w:val="single"/>
        </w:rPr>
        <w:t>Peronospora farinosa</w:t>
      </w:r>
      <w:r>
        <w:rPr>
          <w:rFonts w:ascii="Arial" w:hAnsi="Arial"/>
          <w:color w:val="000000"/>
          <w:sz w:val="20"/>
        </w:rPr>
        <w:t xml:space="preserve"> f. sp.</w:t>
      </w:r>
      <w:r>
        <w:rPr>
          <w:rFonts w:ascii="Arial" w:hAnsi="Arial"/>
          <w:i/>
          <w:color w:val="000000"/>
          <w:sz w:val="20"/>
        </w:rPr>
        <w:t xml:space="preserve"> </w:t>
      </w:r>
      <w:proofErr w:type="spellStart"/>
      <w:r w:rsidRPr="008A19F7">
        <w:rPr>
          <w:rFonts w:ascii="Arial" w:hAnsi="Arial"/>
          <w:i/>
          <w:color w:val="000000"/>
          <w:sz w:val="20"/>
        </w:rPr>
        <w:t>spinaciae</w:t>
      </w:r>
      <w:proofErr w:type="spellEnd"/>
      <w:r w:rsidR="004C1F88" w:rsidRPr="008A19F7">
        <w:rPr>
          <w:rFonts w:ascii="Arial" w:hAnsi="Arial"/>
          <w:i/>
          <w:color w:val="000000"/>
          <w:sz w:val="20"/>
        </w:rPr>
        <w:t xml:space="preserve"> </w:t>
      </w:r>
      <w:r w:rsidR="004C1F88" w:rsidRPr="008A19F7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(</w:t>
      </w:r>
      <w:proofErr w:type="spellStart"/>
      <w:r w:rsidR="004C1F88" w:rsidRPr="008A19F7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Pfs</w:t>
      </w:r>
      <w:proofErr w:type="spellEnd"/>
      <w:r w:rsidR="004C1F88" w:rsidRPr="008A19F7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)</w:t>
      </w:r>
      <w:r w:rsidRPr="008A19F7">
        <w:rPr>
          <w:rFonts w:ascii="Arial" w:hAnsi="Arial"/>
          <w:color w:val="000000"/>
          <w:sz w:val="20"/>
        </w:rPr>
        <w:t>”:</w:t>
      </w:r>
    </w:p>
    <w:p w:rsidR="00973B62" w:rsidRPr="008A19F7" w:rsidRDefault="00973B62" w:rsidP="00973B62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</w:rPr>
      </w:pPr>
      <w:r w:rsidRPr="008A19F7">
        <w:t xml:space="preserve">Hinzufügen von „Pathotyp Pfs: 15”, einschließlich Beispielssorten und zu TQ 7.3 hinzufügen; </w:t>
      </w:r>
    </w:p>
    <w:p w:rsidR="00973B62" w:rsidRPr="008A19F7" w:rsidRDefault="00973B62" w:rsidP="00973B62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</w:rPr>
      </w:pPr>
      <w:r w:rsidRPr="008A19F7">
        <w:t>Überarbeitung der Erläuterung zu 18 in Kapitel 8.2 „Erläuterungen zu einzelnen Merkmalen“</w:t>
      </w:r>
    </w:p>
    <w:p w:rsidR="00973B62" w:rsidRPr="008A19F7" w:rsidRDefault="00973B62" w:rsidP="00973B62">
      <w:pPr>
        <w:rPr>
          <w:rFonts w:cs="Arial"/>
        </w:rPr>
      </w:pPr>
    </w:p>
    <w:p w:rsidR="00973B62" w:rsidRDefault="00973B62" w:rsidP="00973B62">
      <w:pPr>
        <w:rPr>
          <w:rFonts w:cs="Arial"/>
          <w:bCs/>
          <w:iCs/>
          <w:color w:val="000000"/>
        </w:rPr>
      </w:pPr>
      <w:r w:rsidRPr="008A19F7">
        <w:rPr>
          <w:rFonts w:cs="Arial"/>
        </w:rPr>
        <w:fldChar w:fldCharType="begin"/>
      </w:r>
      <w:r w:rsidRPr="008A19F7">
        <w:rPr>
          <w:rFonts w:cs="Arial"/>
        </w:rPr>
        <w:instrText xml:space="preserve"> AUTONUM  </w:instrText>
      </w:r>
      <w:r w:rsidRPr="008A19F7">
        <w:rPr>
          <w:rFonts w:cs="Arial"/>
        </w:rPr>
        <w:fldChar w:fldCharType="end"/>
      </w:r>
      <w:r w:rsidRPr="008A19F7">
        <w:tab/>
        <w:t>Die Änderungen an Merkmal 18 „</w:t>
      </w:r>
      <w:r w:rsidRPr="008A19F7">
        <w:rPr>
          <w:color w:val="000000"/>
        </w:rPr>
        <w:t xml:space="preserve">Resistenz gegen </w:t>
      </w:r>
      <w:r w:rsidRPr="008A19F7">
        <w:rPr>
          <w:i/>
          <w:color w:val="000000"/>
          <w:u w:val="single"/>
        </w:rPr>
        <w:t>Peronospora farinosa</w:t>
      </w:r>
      <w:r w:rsidRPr="008A19F7">
        <w:rPr>
          <w:color w:val="000000"/>
        </w:rPr>
        <w:t xml:space="preserve"> f. sp.</w:t>
      </w:r>
      <w:r w:rsidRPr="008A19F7">
        <w:rPr>
          <w:i/>
          <w:color w:val="000000"/>
        </w:rPr>
        <w:t xml:space="preserve"> </w:t>
      </w:r>
      <w:proofErr w:type="spellStart"/>
      <w:r w:rsidRPr="008A19F7">
        <w:rPr>
          <w:i/>
          <w:color w:val="000000"/>
        </w:rPr>
        <w:t>spinaciae</w:t>
      </w:r>
      <w:proofErr w:type="spellEnd"/>
      <w:r w:rsidR="004C1F88" w:rsidRPr="008A19F7">
        <w:rPr>
          <w:i/>
          <w:color w:val="000000"/>
        </w:rPr>
        <w:t xml:space="preserve"> </w:t>
      </w:r>
      <w:r w:rsidR="004C1F88" w:rsidRPr="008A19F7">
        <w:rPr>
          <w:rFonts w:cs="Arial"/>
          <w:bCs/>
          <w:iCs/>
          <w:color w:val="000000"/>
          <w:lang w:val="it-IT" w:eastAsia="nl-NL"/>
        </w:rPr>
        <w:t>(</w:t>
      </w:r>
      <w:proofErr w:type="spellStart"/>
      <w:r w:rsidR="004C1F88" w:rsidRPr="008A19F7">
        <w:rPr>
          <w:rFonts w:cs="Arial"/>
          <w:bCs/>
          <w:iCs/>
          <w:color w:val="000000"/>
          <w:lang w:val="it-IT" w:eastAsia="nl-NL"/>
        </w:rPr>
        <w:t>Pfs</w:t>
      </w:r>
      <w:proofErr w:type="spellEnd"/>
      <w:r w:rsidR="004C1F88" w:rsidRPr="008A19F7">
        <w:rPr>
          <w:rFonts w:cs="Arial"/>
          <w:bCs/>
          <w:iCs/>
          <w:color w:val="000000"/>
          <w:lang w:val="it-IT" w:eastAsia="nl-NL"/>
        </w:rPr>
        <w:t>)</w:t>
      </w:r>
      <w:r w:rsidRPr="008A19F7">
        <w:rPr>
          <w:color w:val="000000"/>
        </w:rPr>
        <w:t>” sind</w:t>
      </w:r>
      <w:r>
        <w:rPr>
          <w:color w:val="000000"/>
        </w:rPr>
        <w:t xml:space="preserve"> durch </w:t>
      </w:r>
      <w:r>
        <w:rPr>
          <w:color w:val="000000"/>
          <w:highlight w:val="lightGray"/>
          <w:u w:val="single"/>
        </w:rPr>
        <w:t>Unterstreichen</w:t>
      </w:r>
      <w:r>
        <w:rPr>
          <w:color w:val="000000"/>
        </w:rPr>
        <w:t xml:space="preserve"> (Einfügung) und </w:t>
      </w:r>
      <w:r>
        <w:rPr>
          <w:strike/>
          <w:color w:val="000000"/>
          <w:highlight w:val="lightGray"/>
        </w:rPr>
        <w:t>Durchstreichen</w:t>
      </w:r>
      <w:r>
        <w:rPr>
          <w:color w:val="000000"/>
        </w:rPr>
        <w:t xml:space="preserve"> (Streichungen) angegeben.</w:t>
      </w:r>
    </w:p>
    <w:p w:rsidR="00973B62" w:rsidRDefault="00973B62" w:rsidP="00973B62">
      <w:pPr>
        <w:rPr>
          <w:rFonts w:cs="Arial"/>
        </w:rPr>
      </w:pPr>
    </w:p>
    <w:tbl>
      <w:tblPr>
        <w:tblW w:w="11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57"/>
        <w:gridCol w:w="1814"/>
        <w:gridCol w:w="1814"/>
        <w:gridCol w:w="1814"/>
        <w:gridCol w:w="1929"/>
        <w:gridCol w:w="2100"/>
        <w:gridCol w:w="675"/>
      </w:tblGrid>
      <w:tr w:rsidR="00973B62" w:rsidRPr="004665A8" w:rsidTr="00BB2E8E">
        <w:trPr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B62" w:rsidRDefault="00973B62" w:rsidP="00BB2E8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3B62" w:rsidRPr="00995CF6" w:rsidRDefault="00973B62" w:rsidP="00BB2E8E">
            <w:pPr>
              <w:spacing w:before="80" w:after="80"/>
              <w:rPr>
                <w:sz w:val="16"/>
              </w:rPr>
            </w:pPr>
            <w:r>
              <w:rPr>
                <w:sz w:val="16"/>
              </w:rPr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3B62" w:rsidRPr="00995CF6" w:rsidRDefault="00973B62" w:rsidP="00BB2E8E">
            <w:pPr>
              <w:spacing w:before="80" w:after="80"/>
              <w:rPr>
                <w:sz w:val="16"/>
              </w:rPr>
            </w:pPr>
            <w:r>
              <w:rPr>
                <w:sz w:val="16"/>
              </w:rPr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3B62" w:rsidRPr="00995CF6" w:rsidRDefault="00973B62" w:rsidP="00BB2E8E">
            <w:pPr>
              <w:spacing w:before="80" w:after="80"/>
              <w:rPr>
                <w:sz w:val="16"/>
              </w:rPr>
            </w:pPr>
            <w:r>
              <w:rPr>
                <w:sz w:val="16"/>
              </w:rPr>
              <w:t>deutsch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3B62" w:rsidRPr="00995CF6" w:rsidRDefault="00973B62" w:rsidP="00BB2E8E">
            <w:pPr>
              <w:spacing w:before="80" w:after="80"/>
              <w:rPr>
                <w:sz w:val="16"/>
              </w:rPr>
            </w:pPr>
            <w:r>
              <w:rPr>
                <w:sz w:val="16"/>
              </w:rPr>
              <w:t>español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3B62" w:rsidRPr="00995CF6" w:rsidRDefault="00973B62" w:rsidP="00BB2E8E">
            <w:pPr>
              <w:spacing w:before="80" w:after="80"/>
              <w:jc w:val="left"/>
              <w:rPr>
                <w:sz w:val="16"/>
              </w:rPr>
            </w:pPr>
            <w:r>
              <w:rPr>
                <w:sz w:val="16"/>
              </w:rPr>
              <w:t>Example Varieties/</w:t>
            </w:r>
            <w:r>
              <w:rPr>
                <w:sz w:val="16"/>
              </w:rPr>
              <w:br/>
              <w:t>Exemples/</w:t>
            </w:r>
            <w:r>
              <w:rPr>
                <w:sz w:val="16"/>
              </w:rPr>
              <w:br/>
              <w:t>Beispielssorten/</w:t>
            </w:r>
            <w:r>
              <w:rPr>
                <w:sz w:val="16"/>
              </w:rPr>
              <w:br/>
              <w:t>Variedades ejemplo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3B62" w:rsidRPr="00995CF6" w:rsidRDefault="00973B62" w:rsidP="00BB2E8E">
            <w:pPr>
              <w:spacing w:before="80" w:after="80"/>
              <w:rPr>
                <w:sz w:val="16"/>
              </w:rPr>
            </w:pPr>
            <w:r>
              <w:rPr>
                <w:sz w:val="16"/>
              </w:rPr>
              <w:t>Note/</w:t>
            </w:r>
            <w:r>
              <w:rPr>
                <w:sz w:val="16"/>
              </w:rPr>
              <w:br/>
              <w:t>Nota</w:t>
            </w:r>
          </w:p>
        </w:tc>
      </w:tr>
      <w:tr w:rsidR="00973B62" w:rsidRPr="008D7BCC" w:rsidTr="00BB2E8E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18.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br w:type="page"/>
            </w:r>
            <w:r>
              <w:rPr>
                <w:b/>
                <w:sz w:val="16"/>
              </w:rPr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C1F8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C1F88">
              <w:rPr>
                <w:b/>
                <w:sz w:val="16"/>
                <w:lang w:val="es-ES"/>
              </w:rPr>
              <w:t>Resistance</w:t>
            </w:r>
            <w:proofErr w:type="spellEnd"/>
            <w:r w:rsidRPr="004C1F88">
              <w:rPr>
                <w:b/>
                <w:sz w:val="16"/>
                <w:lang w:val="es-ES"/>
              </w:rPr>
              <w:t xml:space="preserve"> to </w:t>
            </w:r>
            <w:proofErr w:type="spellStart"/>
            <w:r w:rsidRPr="004C1F88">
              <w:rPr>
                <w:b/>
                <w:i/>
                <w:sz w:val="16"/>
                <w:u w:val="single"/>
                <w:lang w:val="es-ES"/>
              </w:rPr>
              <w:t>Peronospora</w:t>
            </w:r>
            <w:proofErr w:type="spellEnd"/>
            <w:r w:rsidRPr="004C1F88">
              <w:rPr>
                <w:b/>
                <w:i/>
                <w:sz w:val="16"/>
                <w:u w:val="single"/>
                <w:lang w:val="es-ES"/>
              </w:rPr>
              <w:t xml:space="preserve"> farinosa</w:t>
            </w:r>
            <w:r w:rsidRPr="004C1F88">
              <w:rPr>
                <w:b/>
                <w:sz w:val="16"/>
                <w:lang w:val="es-ES"/>
              </w:rPr>
              <w:t xml:space="preserve"> f. </w:t>
            </w:r>
            <w:proofErr w:type="spellStart"/>
            <w:r w:rsidRPr="004C1F88">
              <w:rPr>
                <w:b/>
                <w:sz w:val="16"/>
                <w:lang w:val="es-ES"/>
              </w:rPr>
              <w:t>sp</w:t>
            </w:r>
            <w:proofErr w:type="spellEnd"/>
            <w:r w:rsidRPr="004C1F88">
              <w:rPr>
                <w:b/>
                <w:sz w:val="16"/>
                <w:lang w:val="es-ES"/>
              </w:rPr>
              <w:t xml:space="preserve">. </w:t>
            </w:r>
            <w:proofErr w:type="spellStart"/>
            <w:r w:rsidRPr="004C1F88">
              <w:rPr>
                <w:b/>
                <w:i/>
                <w:sz w:val="16"/>
                <w:lang w:val="es-ES"/>
              </w:rPr>
              <w:t>spinaciae</w:t>
            </w:r>
            <w:proofErr w:type="spellEnd"/>
            <w:r w:rsidRPr="004C1F88">
              <w:rPr>
                <w:b/>
                <w:sz w:val="16"/>
                <w:lang w:val="es-ES"/>
              </w:rPr>
              <w:t xml:space="preserve"> (</w:t>
            </w:r>
            <w:proofErr w:type="spellStart"/>
            <w:r w:rsidRPr="004C1F88">
              <w:rPr>
                <w:b/>
                <w:sz w:val="16"/>
                <w:lang w:val="es-ES"/>
              </w:rPr>
              <w:t>Pfs</w:t>
            </w:r>
            <w:proofErr w:type="spellEnd"/>
            <w:r w:rsidRPr="004C1F88">
              <w:rPr>
                <w:b/>
                <w:sz w:val="16"/>
                <w:lang w:val="es-ES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Résistance à </w:t>
            </w:r>
            <w:r>
              <w:rPr>
                <w:b/>
                <w:i/>
                <w:sz w:val="16"/>
                <w:u w:val="single"/>
              </w:rPr>
              <w:t xml:space="preserve">Peronospora </w:t>
            </w:r>
            <w:proofErr w:type="spellStart"/>
            <w:r>
              <w:rPr>
                <w:b/>
                <w:i/>
                <w:sz w:val="16"/>
                <w:u w:val="single"/>
              </w:rPr>
              <w:t>farinosa</w:t>
            </w:r>
            <w:proofErr w:type="spellEnd"/>
            <w:r>
              <w:rPr>
                <w:b/>
                <w:sz w:val="16"/>
              </w:rPr>
              <w:t xml:space="preserve"> f. sp. </w:t>
            </w:r>
            <w:r>
              <w:rPr>
                <w:b/>
                <w:i/>
                <w:sz w:val="16"/>
              </w:rPr>
              <w:t>spinaciae</w:t>
            </w:r>
            <w:r>
              <w:rPr>
                <w:b/>
                <w:sz w:val="16"/>
              </w:rPr>
              <w:t xml:space="preserve"> (Pfs)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C1F8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4C1F88">
              <w:rPr>
                <w:b/>
                <w:sz w:val="16"/>
                <w:lang w:val="es-ES"/>
              </w:rPr>
              <w:t>Resistenz</w:t>
            </w:r>
            <w:proofErr w:type="spellEnd"/>
            <w:r w:rsidRPr="004C1F88">
              <w:rPr>
                <w:b/>
                <w:sz w:val="16"/>
                <w:lang w:val="es-ES"/>
              </w:rPr>
              <w:t xml:space="preserve"> </w:t>
            </w:r>
            <w:proofErr w:type="spellStart"/>
            <w:r w:rsidRPr="004C1F88">
              <w:rPr>
                <w:b/>
                <w:sz w:val="16"/>
                <w:lang w:val="es-ES"/>
              </w:rPr>
              <w:t>gegen</w:t>
            </w:r>
            <w:proofErr w:type="spellEnd"/>
            <w:r w:rsidRPr="004C1F88">
              <w:rPr>
                <w:b/>
                <w:sz w:val="16"/>
                <w:lang w:val="es-ES"/>
              </w:rPr>
              <w:t xml:space="preserve"> </w:t>
            </w:r>
            <w:proofErr w:type="spellStart"/>
            <w:r w:rsidRPr="004C1F88">
              <w:rPr>
                <w:b/>
                <w:i/>
                <w:sz w:val="16"/>
                <w:u w:val="single"/>
                <w:lang w:val="es-ES"/>
              </w:rPr>
              <w:t>Peronospora</w:t>
            </w:r>
            <w:proofErr w:type="spellEnd"/>
            <w:r w:rsidRPr="004C1F88">
              <w:rPr>
                <w:b/>
                <w:i/>
                <w:sz w:val="16"/>
                <w:u w:val="single"/>
                <w:lang w:val="es-ES"/>
              </w:rPr>
              <w:t xml:space="preserve"> farinosa</w:t>
            </w:r>
            <w:r w:rsidRPr="004C1F88">
              <w:rPr>
                <w:b/>
                <w:sz w:val="16"/>
                <w:lang w:val="es-ES"/>
              </w:rPr>
              <w:t xml:space="preserve"> f. </w:t>
            </w:r>
            <w:proofErr w:type="spellStart"/>
            <w:r w:rsidRPr="004C1F88">
              <w:rPr>
                <w:b/>
                <w:sz w:val="16"/>
                <w:lang w:val="es-ES"/>
              </w:rPr>
              <w:t>sp</w:t>
            </w:r>
            <w:proofErr w:type="spellEnd"/>
            <w:r w:rsidRPr="004C1F88">
              <w:rPr>
                <w:b/>
                <w:sz w:val="16"/>
                <w:lang w:val="es-ES"/>
              </w:rPr>
              <w:t xml:space="preserve">. </w:t>
            </w:r>
            <w:proofErr w:type="spellStart"/>
            <w:r w:rsidRPr="004C1F88">
              <w:rPr>
                <w:b/>
                <w:i/>
                <w:sz w:val="16"/>
                <w:lang w:val="es-ES"/>
              </w:rPr>
              <w:t>spinaciae</w:t>
            </w:r>
            <w:proofErr w:type="spellEnd"/>
            <w:r w:rsidRPr="004C1F88">
              <w:rPr>
                <w:b/>
                <w:sz w:val="16"/>
                <w:lang w:val="es-ES"/>
              </w:rPr>
              <w:t xml:space="preserve"> (</w:t>
            </w:r>
            <w:proofErr w:type="spellStart"/>
            <w:r w:rsidRPr="004C1F88">
              <w:rPr>
                <w:b/>
                <w:sz w:val="16"/>
                <w:lang w:val="es-ES"/>
              </w:rPr>
              <w:t>Pfs</w:t>
            </w:r>
            <w:proofErr w:type="spellEnd"/>
            <w:r w:rsidRPr="004C1F88">
              <w:rPr>
                <w:b/>
                <w:sz w:val="16"/>
                <w:lang w:val="es-ES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C1F8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C1F88">
              <w:rPr>
                <w:b/>
                <w:sz w:val="16"/>
                <w:lang w:val="es-ES"/>
              </w:rPr>
              <w:t xml:space="preserve">Resistencia a </w:t>
            </w:r>
            <w:proofErr w:type="spellStart"/>
            <w:r w:rsidRPr="004C1F88">
              <w:rPr>
                <w:b/>
                <w:i/>
                <w:sz w:val="16"/>
                <w:u w:val="single"/>
                <w:lang w:val="es-ES"/>
              </w:rPr>
              <w:t>Peronospora</w:t>
            </w:r>
            <w:proofErr w:type="spellEnd"/>
            <w:r w:rsidRPr="004C1F88">
              <w:rPr>
                <w:b/>
                <w:i/>
                <w:sz w:val="16"/>
                <w:u w:val="single"/>
                <w:lang w:val="es-ES"/>
              </w:rPr>
              <w:t xml:space="preserve"> farinosa</w:t>
            </w:r>
            <w:r w:rsidRPr="004C1F88">
              <w:rPr>
                <w:b/>
                <w:sz w:val="16"/>
                <w:lang w:val="es-ES"/>
              </w:rPr>
              <w:t xml:space="preserve"> f. </w:t>
            </w:r>
            <w:proofErr w:type="spellStart"/>
            <w:r w:rsidRPr="004C1F88">
              <w:rPr>
                <w:b/>
                <w:sz w:val="16"/>
                <w:lang w:val="es-ES"/>
              </w:rPr>
              <w:t>sp</w:t>
            </w:r>
            <w:proofErr w:type="spellEnd"/>
            <w:r w:rsidRPr="004C1F88">
              <w:rPr>
                <w:b/>
                <w:sz w:val="16"/>
                <w:lang w:val="es-ES"/>
              </w:rPr>
              <w:t xml:space="preserve">. </w:t>
            </w:r>
            <w:proofErr w:type="spellStart"/>
            <w:r w:rsidRPr="004C1F88">
              <w:rPr>
                <w:b/>
                <w:i/>
                <w:sz w:val="16"/>
                <w:lang w:val="es-ES"/>
              </w:rPr>
              <w:t>spinaciae</w:t>
            </w:r>
            <w:proofErr w:type="spellEnd"/>
            <w:r w:rsidRPr="004C1F88">
              <w:rPr>
                <w:b/>
                <w:sz w:val="16"/>
                <w:lang w:val="es-ES"/>
              </w:rPr>
              <w:t xml:space="preserve"> (</w:t>
            </w:r>
            <w:proofErr w:type="spellStart"/>
            <w:r w:rsidRPr="004C1F88">
              <w:rPr>
                <w:b/>
                <w:sz w:val="16"/>
                <w:lang w:val="es-ES"/>
              </w:rPr>
              <w:t>Pfs</w:t>
            </w:r>
            <w:proofErr w:type="spellEnd"/>
            <w:r w:rsidRPr="004C1F88">
              <w:rPr>
                <w:b/>
                <w:sz w:val="16"/>
                <w:lang w:val="es-ES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C1F8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C1F8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C1F8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C1F8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18.1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Pathotyp Pfs: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Pathotyp Pfs: 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Raza Pfs: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Viroflay, Winterreuzen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Califlay, Resistoflay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18.2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Pathotyp Pfs: 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Raza Pfs: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Califlay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Resistoflay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lastRenderedPageBreak/>
              <w:t>18.3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Pathotyp Pfs: 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Raza Pfs: 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Resistoflay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Califlay, 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966BC0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18.4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Pathotyp Pfs: 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Raza Pfs: 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Califlay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18.5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Pathotyp Pfs: 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Raza Pfs: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Califlay, 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18.6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Pathotyp Pfs: 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Raza Pfs: 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Califlay, 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Boeing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18.7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Pathotyp Pfs: 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Raza Pfs: 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Califlay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18.8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Pathotyp Pfs: 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Raza Pfs: 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Boeing, 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Lazio,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18.9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Pathotyp Pfs:10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Raza Pfs:10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Boeing, Campania,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18.10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Pathotyp Pfs: 11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Raza Pfs: 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Boeing, Califlay, Campania,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18.11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Pathotyp Pfs: 12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Raza Pfs: 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Boeing, 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Finch, Pigeon, Red Kitten, Zebu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18.12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Pathotyp Pfs: 13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Raza Pfs: 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Boeing,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18.13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Race Pfs: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Pathotyp Pfs: 14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Raza Pfs: 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Campania, Pigeon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Califlay,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4665A8" w:rsidRDefault="00973B62" w:rsidP="00BB2E8E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---------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pStyle w:val="Normaltg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highlight w:val="lightGray"/>
                <w:u w:val="single"/>
              </w:rPr>
              <w:t>18.14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Race Pfs: 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Race Pfs: 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Pathotyp Pfs: 15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Raza Pfs: 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highlight w:val="lightGray"/>
                <w:u w:val="single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fehlend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Caladonia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Default="00973B62" w:rsidP="00BB2E8E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highlight w:val="lightGray"/>
              </w:rPr>
              <w:t>1</w:t>
            </w:r>
          </w:p>
        </w:tc>
      </w:tr>
      <w:tr w:rsidR="00973B62" w:rsidRPr="004665A8" w:rsidTr="00BB2E8E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Default="00973B62" w:rsidP="00BB2E8E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Default="00973B62" w:rsidP="00BB2E8E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Default="00973B62" w:rsidP="00BB2E8E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Pigeon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Default="00973B62" w:rsidP="00BB2E8E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highlight w:val="lightGray"/>
              </w:rPr>
              <w:t>9</w:t>
            </w:r>
          </w:p>
        </w:tc>
      </w:tr>
    </w:tbl>
    <w:p w:rsidR="00973B62" w:rsidRDefault="00973B62" w:rsidP="00973B62">
      <w:pPr>
        <w:rPr>
          <w:rFonts w:cs="Arial"/>
        </w:rPr>
      </w:pPr>
    </w:p>
    <w:p w:rsidR="00973B62" w:rsidRDefault="00973B62" w:rsidP="00973B62">
      <w:pPr>
        <w:rPr>
          <w:rFonts w:cs="Arial"/>
        </w:rPr>
      </w:pPr>
    </w:p>
    <w:p w:rsidR="00973B62" w:rsidRDefault="00973B62" w:rsidP="00973B62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</w:r>
      <w:r w:rsidR="00C3517E">
        <w:t xml:space="preserve">Es wird vorgeschlagen, die Spalte </w:t>
      </w:r>
      <w:proofErr w:type="spellStart"/>
      <w:r w:rsidR="00C3517E">
        <w:t>Pfs</w:t>
      </w:r>
      <w:proofErr w:type="spellEnd"/>
      <w:r w:rsidR="00C3517E">
        <w:t xml:space="preserve">: 15 zur Tabelle der Differentialsorten zur Identifizierung der </w:t>
      </w:r>
      <w:proofErr w:type="spellStart"/>
      <w:r w:rsidR="00C3517E">
        <w:t>Pathotypen</w:t>
      </w:r>
      <w:proofErr w:type="spellEnd"/>
      <w:r w:rsidR="00C3517E">
        <w:t xml:space="preserve"> unter Zu 18 „Resistenz gegen </w:t>
      </w:r>
      <w:r>
        <w:rPr>
          <w:i/>
          <w:u w:val="single"/>
        </w:rPr>
        <w:t xml:space="preserve">Peronospora </w:t>
      </w:r>
      <w:proofErr w:type="spellStart"/>
      <w:r>
        <w:rPr>
          <w:i/>
          <w:u w:val="single"/>
        </w:rPr>
        <w:t>farinosa</w:t>
      </w:r>
      <w:proofErr w:type="spellEnd"/>
      <w:r>
        <w:t xml:space="preserve"> f. sp. </w:t>
      </w:r>
      <w:proofErr w:type="spellStart"/>
      <w:r>
        <w:rPr>
          <w:i/>
        </w:rPr>
        <w:t>spinaciae</w:t>
      </w:r>
      <w:proofErr w:type="spellEnd"/>
      <w:r>
        <w:t xml:space="preserve"> (</w:t>
      </w:r>
      <w:proofErr w:type="spellStart"/>
      <w:r>
        <w:t>Pfs</w:t>
      </w:r>
      <w:proofErr w:type="spellEnd"/>
      <w:r>
        <w:t>)”</w:t>
      </w:r>
      <w:r w:rsidR="00C3517E">
        <w:t xml:space="preserve"> hinzuzufügen (siehe gelbe </w:t>
      </w:r>
      <w:proofErr w:type="spellStart"/>
      <w:r w:rsidR="00C3517E">
        <w:t>Hervohebung</w:t>
      </w:r>
      <w:proofErr w:type="spellEnd"/>
      <w:r>
        <w:t>):</w:t>
      </w:r>
    </w:p>
    <w:p w:rsidR="00973B62" w:rsidRDefault="00973B62" w:rsidP="00973B62">
      <w:pPr>
        <w:rPr>
          <w:rFonts w:cs="Arial"/>
        </w:rPr>
      </w:pPr>
    </w:p>
    <w:p w:rsidR="00973B62" w:rsidRDefault="007E0FA0" w:rsidP="00973B62">
      <w:pPr>
        <w:keepNext/>
        <w:tabs>
          <w:tab w:val="left" w:pos="3969"/>
        </w:tabs>
        <w:spacing w:line="240" w:lineRule="atLeast"/>
        <w:ind w:left="3969" w:hanging="3969"/>
        <w:rPr>
          <w:u w:val="single"/>
        </w:rPr>
      </w:pPr>
      <w:r>
        <w:rPr>
          <w:u w:val="single"/>
        </w:rPr>
        <w:t xml:space="preserve">„Vergleichssorten zur Identifizierung der </w:t>
      </w:r>
      <w:proofErr w:type="spellStart"/>
      <w:r>
        <w:rPr>
          <w:u w:val="single"/>
        </w:rPr>
        <w:t>Pathotypen</w:t>
      </w:r>
      <w:proofErr w:type="spellEnd"/>
    </w:p>
    <w:p w:rsidR="00973B62" w:rsidRDefault="00973B62" w:rsidP="00973B62">
      <w:pPr>
        <w:keepNext/>
        <w:tabs>
          <w:tab w:val="left" w:pos="3969"/>
        </w:tabs>
        <w:spacing w:line="240" w:lineRule="atLeast"/>
        <w:ind w:left="3969" w:hanging="3969"/>
        <w:rPr>
          <w:u w:val="single"/>
        </w:rPr>
      </w:pPr>
    </w:p>
    <w:p w:rsidR="00973B62" w:rsidRDefault="00973B62" w:rsidP="00973B62">
      <w:pPr>
        <w:keepNext/>
        <w:tabs>
          <w:tab w:val="left" w:pos="0"/>
        </w:tabs>
        <w:spacing w:line="240" w:lineRule="atLeast"/>
      </w:pPr>
      <w:r>
        <w:tab/>
      </w:r>
      <w:r w:rsidR="007E0FA0">
        <w:t xml:space="preserve">Die </w:t>
      </w:r>
      <w:proofErr w:type="spellStart"/>
      <w:r w:rsidR="007E0FA0">
        <w:t>Pathotypen</w:t>
      </w:r>
      <w:proofErr w:type="spellEnd"/>
      <w:r w:rsidR="007E0FA0">
        <w:t xml:space="preserve"> Pfs:1-8 und 10-</w:t>
      </w:r>
      <w:r w:rsidR="007E0FA0" w:rsidRPr="00CD32C3">
        <w:rPr>
          <w:highlight w:val="yellow"/>
        </w:rPr>
        <w:t>15</w:t>
      </w:r>
      <w:r w:rsidR="007E0FA0">
        <w:t xml:space="preserve"> von </w:t>
      </w:r>
      <w:r w:rsidR="007E0FA0" w:rsidRPr="007E0FA0">
        <w:rPr>
          <w:i/>
          <w:u w:val="single"/>
        </w:rPr>
        <w:t xml:space="preserve">Peronospora </w:t>
      </w:r>
      <w:proofErr w:type="spellStart"/>
      <w:r w:rsidR="007E0FA0" w:rsidRPr="007E0FA0">
        <w:rPr>
          <w:i/>
          <w:u w:val="single"/>
        </w:rPr>
        <w:t>farinosa</w:t>
      </w:r>
      <w:proofErr w:type="spellEnd"/>
      <w:r w:rsidR="007E0FA0">
        <w:t xml:space="preserve"> f. sp. </w:t>
      </w:r>
      <w:proofErr w:type="spellStart"/>
      <w:r w:rsidR="007E0FA0">
        <w:rPr>
          <w:i/>
        </w:rPr>
        <w:t>spinaciae</w:t>
      </w:r>
      <w:proofErr w:type="spellEnd"/>
      <w:r w:rsidR="007E0FA0">
        <w:t xml:space="preserve"> werden anhand einer Standardserie sogenannter Differentialsorten gemäß nachstehender Tabelle definiert:</w:t>
      </w:r>
      <w:r>
        <w:t xml:space="preserve"> </w:t>
      </w:r>
    </w:p>
    <w:p w:rsidR="00973B62" w:rsidRDefault="00973B62" w:rsidP="00973B62">
      <w:pPr>
        <w:keepNext/>
        <w:tabs>
          <w:tab w:val="left" w:pos="0"/>
        </w:tabs>
        <w:spacing w:line="240" w:lineRule="atLeast"/>
      </w:pPr>
    </w:p>
    <w:tbl>
      <w:tblPr>
        <w:tblW w:w="10884" w:type="dxa"/>
        <w:tblInd w:w="-3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656"/>
        <w:gridCol w:w="672"/>
        <w:gridCol w:w="646"/>
        <w:gridCol w:w="627"/>
        <w:gridCol w:w="655"/>
        <w:gridCol w:w="656"/>
        <w:gridCol w:w="656"/>
        <w:gridCol w:w="656"/>
        <w:gridCol w:w="754"/>
        <w:gridCol w:w="754"/>
        <w:gridCol w:w="754"/>
        <w:gridCol w:w="754"/>
        <w:gridCol w:w="758"/>
        <w:gridCol w:w="744"/>
      </w:tblGrid>
      <w:tr w:rsidR="00973B62" w:rsidTr="008626AF">
        <w:trPr>
          <w:trHeight w:val="780"/>
        </w:trPr>
        <w:tc>
          <w:tcPr>
            <w:tcW w:w="1142" w:type="dxa"/>
            <w:hideMark/>
          </w:tcPr>
          <w:p w:rsidR="00973B62" w:rsidRDefault="00973B62" w:rsidP="00BB2E8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Differential</w:t>
            </w:r>
            <w:r w:rsidR="008626AF">
              <w:rPr>
                <w:b/>
                <w:color w:val="000000"/>
                <w:sz w:val="18"/>
              </w:rPr>
              <w:t>-sorte</w:t>
            </w:r>
          </w:p>
        </w:tc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Pfs: 1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Pfs: 2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Pfs: 3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Pfs: 4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Pfs: 5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Pfs: 6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Pfs: 7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Pfs: 8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Pfs: 10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Pfs: 11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Pfs: 12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Pfs: 13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Pfs:14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973B62" w:rsidRP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Pfs: 15</w:t>
            </w:r>
          </w:p>
        </w:tc>
      </w:tr>
      <w:tr w:rsidR="00973B62" w:rsidTr="008626AF">
        <w:trPr>
          <w:trHeight w:val="390"/>
        </w:trPr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Viroflay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P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S</w:t>
            </w:r>
          </w:p>
        </w:tc>
      </w:tr>
      <w:tr w:rsidR="00973B62" w:rsidTr="008626AF">
        <w:trPr>
          <w:trHeight w:val="390"/>
        </w:trPr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Resistoflay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P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S</w:t>
            </w:r>
          </w:p>
        </w:tc>
      </w:tr>
      <w:tr w:rsidR="00973B62" w:rsidTr="008626AF">
        <w:trPr>
          <w:trHeight w:val="390"/>
        </w:trPr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Califlay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73B62" w:rsidRPr="00973B62" w:rsidRDefault="00973B62" w:rsidP="00BB2E8E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S</w:t>
            </w:r>
          </w:p>
        </w:tc>
      </w:tr>
      <w:tr w:rsidR="00973B62" w:rsidTr="008626AF">
        <w:trPr>
          <w:trHeight w:val="390"/>
        </w:trPr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Clermont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973B62" w:rsidRP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R</w:t>
            </w:r>
          </w:p>
        </w:tc>
      </w:tr>
      <w:tr w:rsidR="00973B62" w:rsidTr="008626AF">
        <w:trPr>
          <w:trHeight w:val="390"/>
        </w:trPr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Campania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973B62" w:rsidRP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R</w:t>
            </w:r>
          </w:p>
        </w:tc>
      </w:tr>
      <w:tr w:rsidR="00973B62" w:rsidTr="008626AF">
        <w:trPr>
          <w:trHeight w:val="390"/>
        </w:trPr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Boeing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973B62" w:rsidRPr="00973B62" w:rsidRDefault="00973B62" w:rsidP="00BB2E8E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R</w:t>
            </w:r>
          </w:p>
        </w:tc>
      </w:tr>
      <w:tr w:rsidR="00973B62" w:rsidTr="008626AF">
        <w:trPr>
          <w:trHeight w:val="390"/>
        </w:trPr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Lion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973B62" w:rsidRP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R</w:t>
            </w:r>
          </w:p>
        </w:tc>
      </w:tr>
      <w:tr w:rsidR="00973B62" w:rsidTr="008626AF">
        <w:trPr>
          <w:trHeight w:val="390"/>
        </w:trPr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Lazio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973B62" w:rsidRP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R</w:t>
            </w:r>
          </w:p>
        </w:tc>
      </w:tr>
      <w:tr w:rsidR="00973B62" w:rsidTr="008626AF">
        <w:trPr>
          <w:trHeight w:val="390"/>
        </w:trPr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Whale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73B62" w:rsidRP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S</w:t>
            </w:r>
          </w:p>
        </w:tc>
      </w:tr>
      <w:tr w:rsidR="00973B62" w:rsidTr="008626AF">
        <w:trPr>
          <w:trHeight w:val="390"/>
        </w:trPr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Pigeon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Pr="00973B62" w:rsidRDefault="00973B62" w:rsidP="00BB2E8E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R</w:t>
            </w:r>
          </w:p>
        </w:tc>
      </w:tr>
      <w:tr w:rsidR="00973B62" w:rsidTr="008626AF">
        <w:trPr>
          <w:trHeight w:val="390"/>
        </w:trPr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Caladonia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973B62" w:rsidRDefault="00973B62" w:rsidP="00BB2E8E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</w:rPr>
              <w:t>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73B62" w:rsidRPr="00973B62" w:rsidRDefault="00973B62" w:rsidP="00BB2E8E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highlight w:val="yellow"/>
              </w:rPr>
              <w:t>S</w:t>
            </w:r>
          </w:p>
        </w:tc>
      </w:tr>
    </w:tbl>
    <w:p w:rsidR="008626AF" w:rsidRPr="002B3D67" w:rsidRDefault="008626AF" w:rsidP="008626AF">
      <w:pPr>
        <w:tabs>
          <w:tab w:val="left" w:pos="3969"/>
        </w:tabs>
        <w:spacing w:line="240" w:lineRule="atLeast"/>
        <w:ind w:left="3969" w:hanging="3969"/>
        <w:rPr>
          <w:sz w:val="18"/>
        </w:rPr>
      </w:pPr>
      <w:r>
        <w:rPr>
          <w:sz w:val="18"/>
        </w:rPr>
        <w:t>Legende: R= Resistenz vorhanden; S = Resistenz fehlend, anfällig“</w:t>
      </w:r>
    </w:p>
    <w:p w:rsidR="00973B62" w:rsidRDefault="00973B62" w:rsidP="00973B62">
      <w:pPr>
        <w:jc w:val="left"/>
        <w:rPr>
          <w:noProof/>
        </w:rPr>
      </w:pPr>
      <w:r>
        <w:br w:type="page"/>
      </w:r>
    </w:p>
    <w:p w:rsidR="00973B62" w:rsidRDefault="00973B62" w:rsidP="00973B62">
      <w:pPr>
        <w:rPr>
          <w:noProof/>
        </w:rPr>
      </w:pPr>
    </w:p>
    <w:p w:rsidR="00DF3005" w:rsidRDefault="00973B62" w:rsidP="00973B62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</w:r>
      <w:r w:rsidR="00DF3005">
        <w:t xml:space="preserve">Es wird vorgeschlagen, </w:t>
      </w:r>
      <w:proofErr w:type="spellStart"/>
      <w:r w:rsidR="00DF3005">
        <w:t>Pathotyp</w:t>
      </w:r>
      <w:proofErr w:type="spellEnd"/>
      <w:r w:rsidR="00DF3005">
        <w:t xml:space="preserve"> </w:t>
      </w:r>
      <w:proofErr w:type="spellStart"/>
      <w:r w:rsidR="00DF3005">
        <w:t>Pfs</w:t>
      </w:r>
      <w:proofErr w:type="spellEnd"/>
      <w:r w:rsidR="00DF3005">
        <w:t>: 15 zu Kapitel 10 „Technischer Fragebogen“, Abschnitt 7.3 b) i) wie folgt hinzuzufügen:</w:t>
      </w:r>
    </w:p>
    <w:p w:rsidR="00973B62" w:rsidRDefault="00DF3005" w:rsidP="00973B62">
      <w:pPr>
        <w:rPr>
          <w:rFonts w:cs="Arial"/>
        </w:rPr>
      </w:pPr>
      <w:r>
        <w:rPr>
          <w:rFonts w:cs="Arial"/>
        </w:rPr>
        <w:t xml:space="preserve"> </w:t>
      </w:r>
    </w:p>
    <w:p w:rsidR="00DF3005" w:rsidRPr="00E81056" w:rsidRDefault="00DF3005" w:rsidP="00DF3005">
      <w:pPr>
        <w:spacing w:line="240" w:lineRule="atLeast"/>
        <w:ind w:firstLine="567"/>
      </w:pPr>
      <w:r>
        <w:t>„7.3</w:t>
      </w:r>
      <w:r>
        <w:tab/>
      </w:r>
      <w:r w:rsidR="005760C2">
        <w:t>Sonstige Informationen</w:t>
      </w:r>
    </w:p>
    <w:p w:rsidR="00DF3005" w:rsidRPr="00E81056" w:rsidRDefault="00DF3005" w:rsidP="00DF3005">
      <w:pPr>
        <w:spacing w:line="240" w:lineRule="atLeast"/>
      </w:pPr>
    </w:p>
    <w:p w:rsidR="00DF3005" w:rsidRPr="00E81056" w:rsidRDefault="00DF3005" w:rsidP="00DF3005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</w:pPr>
      <w:r>
        <w:tab/>
        <w:t>[…]</w:t>
      </w:r>
    </w:p>
    <w:p w:rsidR="00DF3005" w:rsidRPr="00E81056" w:rsidRDefault="00DF3005" w:rsidP="00DF3005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</w:pPr>
    </w:p>
    <w:p w:rsidR="00DF3005" w:rsidRPr="00E81056" w:rsidRDefault="00DF3005" w:rsidP="00DF3005">
      <w:pPr>
        <w:tabs>
          <w:tab w:val="left" w:pos="743"/>
          <w:tab w:val="left" w:pos="1310"/>
        </w:tabs>
        <w:spacing w:line="240" w:lineRule="atLeast"/>
        <w:ind w:right="-960"/>
      </w:pPr>
      <w:r>
        <w:tab/>
        <w:t>b)</w:t>
      </w:r>
      <w:r>
        <w:tab/>
        <w:t>Resistenz gegen Schadorganismen</w:t>
      </w:r>
    </w:p>
    <w:p w:rsidR="00DF3005" w:rsidRPr="006D522A" w:rsidRDefault="00DF3005" w:rsidP="00DF3005">
      <w:pPr>
        <w:spacing w:line="240" w:lineRule="atLeast"/>
      </w:pPr>
    </w:p>
    <w:p w:rsidR="00DF3005" w:rsidRPr="001473E0" w:rsidRDefault="00DF3005" w:rsidP="00DF3005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i/>
          <w:szCs w:val="24"/>
          <w:lang w:val="es-ES"/>
        </w:rPr>
      </w:pPr>
      <w:r>
        <w:tab/>
      </w:r>
      <w:r>
        <w:tab/>
      </w:r>
      <w:r w:rsidRPr="001473E0">
        <w:rPr>
          <w:szCs w:val="24"/>
          <w:lang w:val="es-ES"/>
        </w:rPr>
        <w:t>i)</w:t>
      </w:r>
      <w:r w:rsidRPr="001473E0">
        <w:rPr>
          <w:lang w:val="es-ES"/>
        </w:rPr>
        <w:tab/>
      </w:r>
      <w:r w:rsidRPr="001473E0">
        <w:rPr>
          <w:szCs w:val="24"/>
          <w:lang w:val="es-ES"/>
        </w:rPr>
        <w:t xml:space="preserve">Resistenz gegen </w:t>
      </w:r>
      <w:r w:rsidRPr="001473E0">
        <w:rPr>
          <w:i/>
          <w:szCs w:val="24"/>
          <w:lang w:val="es-ES"/>
        </w:rPr>
        <w:t xml:space="preserve">Peronospora farinosa </w:t>
      </w:r>
      <w:r w:rsidRPr="001473E0">
        <w:rPr>
          <w:szCs w:val="24"/>
          <w:lang w:val="es-ES"/>
        </w:rPr>
        <w:t>f. sp.</w:t>
      </w:r>
      <w:r w:rsidRPr="001473E0">
        <w:rPr>
          <w:i/>
          <w:szCs w:val="24"/>
          <w:lang w:val="es-ES"/>
        </w:rPr>
        <w:t xml:space="preserve"> spinaciae</w:t>
      </w:r>
    </w:p>
    <w:p w:rsidR="00973B62" w:rsidRPr="004C1F88" w:rsidRDefault="00973B62" w:rsidP="00973B62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szCs w:val="24"/>
          <w:lang w:val="es-ES"/>
        </w:rPr>
      </w:pPr>
    </w:p>
    <w:p w:rsidR="00DF3005" w:rsidRPr="00E81056" w:rsidRDefault="00DF3005" w:rsidP="00DF3005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1</w:t>
      </w:r>
      <w:r>
        <w:tab/>
        <w:t>[   ]  fehlend</w:t>
      </w:r>
      <w:r>
        <w:tab/>
        <w:t>[   ]  vorhanden</w:t>
      </w:r>
    </w:p>
    <w:p w:rsidR="00DF3005" w:rsidRPr="00E81056" w:rsidRDefault="00DF3005" w:rsidP="00DF3005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2</w:t>
      </w:r>
      <w:r>
        <w:tab/>
        <w:t>[   ]  fehlend</w:t>
      </w:r>
      <w:r>
        <w:tab/>
        <w:t>[   ]  vorhanden</w:t>
      </w:r>
    </w:p>
    <w:p w:rsidR="00DF3005" w:rsidRPr="00E81056" w:rsidRDefault="00DF3005" w:rsidP="00DF3005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3</w:t>
      </w:r>
      <w:r>
        <w:tab/>
        <w:t>[   ]  fehlend</w:t>
      </w:r>
      <w:r>
        <w:tab/>
        <w:t>[   ]  vorhanden</w:t>
      </w:r>
    </w:p>
    <w:p w:rsidR="00DF3005" w:rsidRPr="00E81056" w:rsidRDefault="00DF3005" w:rsidP="00DF3005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4</w:t>
      </w:r>
      <w:r>
        <w:tab/>
        <w:t>[   ]  fehlend</w:t>
      </w:r>
      <w:r>
        <w:tab/>
        <w:t>[   ]  vorhanden</w:t>
      </w:r>
    </w:p>
    <w:p w:rsidR="00DF3005" w:rsidRPr="00E81056" w:rsidRDefault="00DF3005" w:rsidP="00DF3005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5</w:t>
      </w:r>
      <w:r>
        <w:tab/>
        <w:t>[   ]  fehlend</w:t>
      </w:r>
      <w:r>
        <w:tab/>
        <w:t>[   ]  vorhanden</w:t>
      </w:r>
    </w:p>
    <w:p w:rsidR="00DF3005" w:rsidRPr="00E81056" w:rsidRDefault="00DF3005" w:rsidP="00DF3005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6</w:t>
      </w:r>
      <w:r>
        <w:tab/>
        <w:t>[   ]  fehlend</w:t>
      </w:r>
      <w:r>
        <w:tab/>
        <w:t>[   ]  vorhanden</w:t>
      </w:r>
    </w:p>
    <w:p w:rsidR="00DF3005" w:rsidRPr="00E81056" w:rsidRDefault="00DF3005" w:rsidP="00DF3005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7</w:t>
      </w:r>
      <w:r>
        <w:tab/>
        <w:t>[   ]  fehlend</w:t>
      </w:r>
      <w:r>
        <w:tab/>
        <w:t>[   ]  vorhanden</w:t>
      </w:r>
    </w:p>
    <w:p w:rsidR="00DF3005" w:rsidRPr="00E81056" w:rsidRDefault="00DF3005" w:rsidP="00DF3005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8</w:t>
      </w:r>
      <w:r>
        <w:tab/>
        <w:t>[   ]  fehlend</w:t>
      </w:r>
      <w:r>
        <w:tab/>
        <w:t>[   ]  vorhanden</w:t>
      </w:r>
    </w:p>
    <w:p w:rsidR="00DF3005" w:rsidRPr="00E81056" w:rsidRDefault="00DF3005" w:rsidP="00DF3005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10</w:t>
      </w:r>
      <w:r>
        <w:tab/>
        <w:t>[   ]  fehlend</w:t>
      </w:r>
      <w:r>
        <w:tab/>
        <w:t>[   ]  vorhanden</w:t>
      </w:r>
    </w:p>
    <w:p w:rsidR="00DF3005" w:rsidRPr="00E81056" w:rsidRDefault="00DF3005" w:rsidP="00DF3005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11</w:t>
      </w:r>
      <w:r>
        <w:tab/>
        <w:t>[   ]  fehlend</w:t>
      </w:r>
      <w:r>
        <w:tab/>
        <w:t>[   ]  vorhanden</w:t>
      </w:r>
    </w:p>
    <w:p w:rsidR="00DF3005" w:rsidRPr="00E81056" w:rsidRDefault="00DF3005" w:rsidP="00DF3005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12</w:t>
      </w:r>
      <w:r>
        <w:tab/>
        <w:t>[   ]  fehlend</w:t>
      </w:r>
      <w:r>
        <w:tab/>
        <w:t>[   ]  vorhanden</w:t>
      </w:r>
    </w:p>
    <w:p w:rsidR="00DF3005" w:rsidRDefault="00DF3005" w:rsidP="00DF3005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13</w:t>
      </w:r>
      <w:r>
        <w:tab/>
        <w:t>[   ]  fehlend</w:t>
      </w:r>
      <w:r>
        <w:tab/>
        <w:t>[   ]  vorhanden</w:t>
      </w:r>
    </w:p>
    <w:p w:rsidR="00DF3005" w:rsidRDefault="00DF3005" w:rsidP="00DF3005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</w:rPr>
      </w:pPr>
      <w:proofErr w:type="spellStart"/>
      <w:r w:rsidRPr="00DF3005">
        <w:rPr>
          <w:u w:val="single"/>
        </w:rPr>
        <w:t>Pathotyp</w:t>
      </w:r>
      <w:proofErr w:type="spellEnd"/>
      <w:r w:rsidRPr="00DF3005">
        <w:rPr>
          <w:u w:val="single"/>
        </w:rPr>
        <w:t xml:space="preserve"> </w:t>
      </w:r>
      <w:proofErr w:type="spellStart"/>
      <w:r w:rsidRPr="00DF3005">
        <w:rPr>
          <w:u w:val="single"/>
        </w:rPr>
        <w:t>Pfs</w:t>
      </w:r>
      <w:proofErr w:type="spellEnd"/>
      <w:r w:rsidRPr="00DF3005">
        <w:rPr>
          <w:u w:val="single"/>
        </w:rPr>
        <w:t>: 14</w:t>
      </w:r>
      <w:r w:rsidRPr="00DF3005">
        <w:tab/>
      </w:r>
      <w:r w:rsidRPr="00DF3005">
        <w:rPr>
          <w:u w:val="single"/>
        </w:rPr>
        <w:t>[   ]  fehlend</w:t>
      </w:r>
      <w:r w:rsidRPr="00DF3005">
        <w:tab/>
      </w:r>
      <w:r w:rsidRPr="00DF3005">
        <w:rPr>
          <w:u w:val="single"/>
        </w:rPr>
        <w:t>[   ]  vorhanden</w:t>
      </w:r>
    </w:p>
    <w:p w:rsidR="00DF3005" w:rsidRPr="008729EE" w:rsidRDefault="00DF3005" w:rsidP="00DF3005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</w:rPr>
      </w:pPr>
      <w:proofErr w:type="spellStart"/>
      <w:r>
        <w:rPr>
          <w:highlight w:val="lightGray"/>
          <w:u w:val="single"/>
        </w:rPr>
        <w:t>Pathotyp</w:t>
      </w:r>
      <w:proofErr w:type="spellEnd"/>
      <w:r>
        <w:rPr>
          <w:highlight w:val="lightGray"/>
          <w:u w:val="single"/>
        </w:rPr>
        <w:t xml:space="preserve"> </w:t>
      </w:r>
      <w:proofErr w:type="spellStart"/>
      <w:r>
        <w:rPr>
          <w:highlight w:val="lightGray"/>
          <w:u w:val="single"/>
        </w:rPr>
        <w:t>Pfs</w:t>
      </w:r>
      <w:proofErr w:type="spellEnd"/>
      <w:r>
        <w:rPr>
          <w:highlight w:val="lightGray"/>
          <w:u w:val="single"/>
        </w:rPr>
        <w:t>: 1</w:t>
      </w:r>
      <w:r w:rsidRPr="00DF3005">
        <w:rPr>
          <w:highlight w:val="lightGray"/>
          <w:u w:val="single"/>
        </w:rPr>
        <w:t>5</w:t>
      </w:r>
      <w:r>
        <w:tab/>
      </w:r>
      <w:r>
        <w:rPr>
          <w:highlight w:val="lightGray"/>
          <w:u w:val="single"/>
        </w:rPr>
        <w:t>[   ]  fehlend</w:t>
      </w:r>
      <w:r>
        <w:tab/>
      </w:r>
      <w:r>
        <w:rPr>
          <w:highlight w:val="lightGray"/>
          <w:u w:val="single"/>
        </w:rPr>
        <w:t>[   ]  vorhanden</w:t>
      </w:r>
    </w:p>
    <w:p w:rsidR="00DF3005" w:rsidRPr="008729EE" w:rsidRDefault="00DF3005" w:rsidP="00DF3005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</w:rPr>
      </w:pPr>
    </w:p>
    <w:p w:rsidR="00973B62" w:rsidRDefault="00973B62" w:rsidP="00973B62">
      <w:pPr>
        <w:rPr>
          <w:noProof/>
        </w:rPr>
      </w:pPr>
      <w:r>
        <w:tab/>
      </w:r>
      <w:r>
        <w:tab/>
        <w:t>[…]”</w:t>
      </w:r>
    </w:p>
    <w:p w:rsidR="00973B62" w:rsidRDefault="00973B62" w:rsidP="00973B62">
      <w:pPr>
        <w:jc w:val="right"/>
        <w:rPr>
          <w:rFonts w:cs="Arial"/>
          <w:snapToGrid w:val="0"/>
        </w:rPr>
      </w:pPr>
    </w:p>
    <w:p w:rsidR="00973B62" w:rsidRDefault="00973B62" w:rsidP="00973B62">
      <w:pPr>
        <w:jc w:val="right"/>
        <w:rPr>
          <w:rFonts w:cs="Arial"/>
          <w:snapToGrid w:val="0"/>
        </w:rPr>
      </w:pPr>
    </w:p>
    <w:p w:rsidR="00973B62" w:rsidRDefault="00973B62" w:rsidP="00973B62">
      <w:pPr>
        <w:jc w:val="right"/>
        <w:rPr>
          <w:rFonts w:cs="Arial"/>
          <w:snapToGrid w:val="0"/>
        </w:rPr>
      </w:pPr>
    </w:p>
    <w:p w:rsidR="00973B62" w:rsidRDefault="00973B62" w:rsidP="00973B62">
      <w:pPr>
        <w:jc w:val="right"/>
        <w:rPr>
          <w:rFonts w:cs="Arial"/>
          <w:color w:val="000000"/>
          <w:sz w:val="18"/>
          <w:szCs w:val="18"/>
        </w:rPr>
      </w:pPr>
      <w:r>
        <w:rPr>
          <w:color w:val="000000"/>
          <w:sz w:val="18"/>
        </w:rPr>
        <w:t>[End</w:t>
      </w:r>
      <w:r w:rsidR="00DF3005">
        <w:rPr>
          <w:color w:val="000000"/>
          <w:sz w:val="18"/>
        </w:rPr>
        <w:t>e des Dok</w:t>
      </w:r>
      <w:r>
        <w:rPr>
          <w:color w:val="000000"/>
          <w:sz w:val="18"/>
        </w:rPr>
        <w:t>ument</w:t>
      </w:r>
      <w:r w:rsidR="00DF3005">
        <w:rPr>
          <w:color w:val="000000"/>
          <w:sz w:val="18"/>
        </w:rPr>
        <w:t>s</w:t>
      </w:r>
      <w:r>
        <w:rPr>
          <w:color w:val="000000"/>
          <w:sz w:val="18"/>
        </w:rPr>
        <w:t>]</w:t>
      </w:r>
    </w:p>
    <w:sectPr w:rsidR="00973B62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C3" w:rsidRDefault="00D324C3" w:rsidP="006655D3">
      <w:r>
        <w:separator/>
      </w:r>
    </w:p>
    <w:p w:rsidR="00D324C3" w:rsidRDefault="00D324C3" w:rsidP="006655D3"/>
    <w:p w:rsidR="00D324C3" w:rsidRDefault="00D324C3" w:rsidP="006655D3"/>
  </w:endnote>
  <w:endnote w:type="continuationSeparator" w:id="0">
    <w:p w:rsidR="00D324C3" w:rsidRDefault="00D324C3" w:rsidP="006655D3">
      <w:r>
        <w:separator/>
      </w:r>
    </w:p>
    <w:p w:rsidR="00D324C3" w:rsidRPr="00311399" w:rsidRDefault="00D324C3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D324C3" w:rsidRPr="00311399" w:rsidRDefault="00D324C3" w:rsidP="006655D3">
      <w:pPr>
        <w:rPr>
          <w:lang w:val="fr-CH"/>
        </w:rPr>
      </w:pPr>
    </w:p>
    <w:p w:rsidR="00D324C3" w:rsidRPr="00311399" w:rsidRDefault="00D324C3" w:rsidP="006655D3">
      <w:pPr>
        <w:rPr>
          <w:lang w:val="fr-CH"/>
        </w:rPr>
      </w:pPr>
    </w:p>
  </w:endnote>
  <w:endnote w:type="continuationNotice" w:id="1">
    <w:p w:rsidR="00D324C3" w:rsidRPr="00311399" w:rsidRDefault="00D324C3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D324C3" w:rsidRPr="00311399" w:rsidRDefault="00D324C3" w:rsidP="006655D3">
      <w:pPr>
        <w:rPr>
          <w:lang w:val="fr-CH"/>
        </w:rPr>
      </w:pPr>
    </w:p>
    <w:p w:rsidR="00D324C3" w:rsidRPr="00311399" w:rsidRDefault="00D324C3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C3" w:rsidRDefault="00D324C3" w:rsidP="006655D3">
      <w:r>
        <w:separator/>
      </w:r>
    </w:p>
  </w:footnote>
  <w:footnote w:type="continuationSeparator" w:id="0">
    <w:p w:rsidR="00D324C3" w:rsidRDefault="00D324C3" w:rsidP="006655D3">
      <w:r>
        <w:separator/>
      </w:r>
    </w:p>
    <w:p w:rsidR="00D324C3" w:rsidRPr="00311399" w:rsidRDefault="00D324C3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D324C3" w:rsidRPr="00311399" w:rsidRDefault="00D324C3" w:rsidP="006655D3">
      <w:pPr>
        <w:rPr>
          <w:lang w:val="fr-CH"/>
        </w:rPr>
      </w:pPr>
    </w:p>
    <w:p w:rsidR="00D324C3" w:rsidRPr="00311399" w:rsidRDefault="00D324C3" w:rsidP="006655D3">
      <w:pPr>
        <w:rPr>
          <w:lang w:val="fr-CH"/>
        </w:rPr>
      </w:pPr>
    </w:p>
    <w:p w:rsidR="00D324C3" w:rsidRPr="00311399" w:rsidRDefault="00D324C3" w:rsidP="006655D3">
      <w:pPr>
        <w:rPr>
          <w:lang w:val="fr-CH"/>
        </w:rPr>
      </w:pPr>
    </w:p>
  </w:footnote>
  <w:footnote w:type="continuationNotice" w:id="1">
    <w:p w:rsidR="00D324C3" w:rsidRPr="00311399" w:rsidRDefault="00D324C3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D324C3" w:rsidRPr="00311399" w:rsidRDefault="00D324C3" w:rsidP="006655D3">
      <w:pPr>
        <w:rPr>
          <w:lang w:val="fr-CH"/>
        </w:rPr>
      </w:pPr>
    </w:p>
    <w:p w:rsidR="00D324C3" w:rsidRPr="00311399" w:rsidRDefault="00D324C3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</w:rPr>
    </w:pPr>
    <w:r>
      <w:rPr>
        <w:rStyle w:val="PageNumber"/>
      </w:rPr>
      <w:t>TC-EDC/Jan16/8</w:t>
    </w:r>
  </w:p>
  <w:p w:rsidR="00125EFC" w:rsidRPr="00C5280D" w:rsidRDefault="00125EFC" w:rsidP="00EB048E">
    <w:pPr>
      <w:pStyle w:val="Header"/>
    </w:pPr>
    <w:r>
      <w:t>Seite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8D7BCC">
      <w:rPr>
        <w:rStyle w:val="PageNumber"/>
        <w:noProof/>
      </w:rPr>
      <w:t>4</w:t>
    </w:r>
    <w:r w:rsidRPr="00C5280D">
      <w:rPr>
        <w:rStyle w:val="PageNumber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B60EA"/>
    <w:multiLevelType w:val="hybridMultilevel"/>
    <w:tmpl w:val="82F6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5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3EE0"/>
    <w:rsid w:val="00085505"/>
    <w:rsid w:val="000C7021"/>
    <w:rsid w:val="000D6BBC"/>
    <w:rsid w:val="000D7780"/>
    <w:rsid w:val="00105127"/>
    <w:rsid w:val="00105929"/>
    <w:rsid w:val="001131D5"/>
    <w:rsid w:val="00125EFC"/>
    <w:rsid w:val="00141DB8"/>
    <w:rsid w:val="00144C5C"/>
    <w:rsid w:val="0017474A"/>
    <w:rsid w:val="001758C6"/>
    <w:rsid w:val="00182B99"/>
    <w:rsid w:val="001E30F9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6E50"/>
    <w:rsid w:val="002B17C7"/>
    <w:rsid w:val="002B295E"/>
    <w:rsid w:val="002C256A"/>
    <w:rsid w:val="00305A7F"/>
    <w:rsid w:val="00311399"/>
    <w:rsid w:val="003152FE"/>
    <w:rsid w:val="00327436"/>
    <w:rsid w:val="00344BD6"/>
    <w:rsid w:val="0035528D"/>
    <w:rsid w:val="00361821"/>
    <w:rsid w:val="003D227C"/>
    <w:rsid w:val="003D2B4D"/>
    <w:rsid w:val="00444A88"/>
    <w:rsid w:val="00474DA4"/>
    <w:rsid w:val="00476B4D"/>
    <w:rsid w:val="004805FA"/>
    <w:rsid w:val="004C1F88"/>
    <w:rsid w:val="004D047D"/>
    <w:rsid w:val="004D3B68"/>
    <w:rsid w:val="004F305A"/>
    <w:rsid w:val="00512164"/>
    <w:rsid w:val="00520297"/>
    <w:rsid w:val="005338F9"/>
    <w:rsid w:val="0054281C"/>
    <w:rsid w:val="0055268D"/>
    <w:rsid w:val="005760C2"/>
    <w:rsid w:val="00576BE4"/>
    <w:rsid w:val="005A400A"/>
    <w:rsid w:val="00612379"/>
    <w:rsid w:val="0061555F"/>
    <w:rsid w:val="00641200"/>
    <w:rsid w:val="006655D3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8600C"/>
    <w:rsid w:val="0079023E"/>
    <w:rsid w:val="007A2854"/>
    <w:rsid w:val="007B286C"/>
    <w:rsid w:val="007D0B9D"/>
    <w:rsid w:val="007D19B0"/>
    <w:rsid w:val="007E0FA0"/>
    <w:rsid w:val="007F498F"/>
    <w:rsid w:val="0080679D"/>
    <w:rsid w:val="008108B0"/>
    <w:rsid w:val="00811B20"/>
    <w:rsid w:val="0082296E"/>
    <w:rsid w:val="00824099"/>
    <w:rsid w:val="008626AF"/>
    <w:rsid w:val="00867AC1"/>
    <w:rsid w:val="008A19F7"/>
    <w:rsid w:val="008A743F"/>
    <w:rsid w:val="008C0970"/>
    <w:rsid w:val="008D2CF7"/>
    <w:rsid w:val="008D7BCC"/>
    <w:rsid w:val="008E6BA9"/>
    <w:rsid w:val="00900C26"/>
    <w:rsid w:val="0090197F"/>
    <w:rsid w:val="00906DDC"/>
    <w:rsid w:val="00926AB3"/>
    <w:rsid w:val="00934E09"/>
    <w:rsid w:val="00936253"/>
    <w:rsid w:val="00952DD4"/>
    <w:rsid w:val="00966BC0"/>
    <w:rsid w:val="00970FED"/>
    <w:rsid w:val="00973B62"/>
    <w:rsid w:val="00997029"/>
    <w:rsid w:val="009A0C21"/>
    <w:rsid w:val="009D690D"/>
    <w:rsid w:val="009E65B6"/>
    <w:rsid w:val="00A42AC3"/>
    <w:rsid w:val="00A430CF"/>
    <w:rsid w:val="00A54309"/>
    <w:rsid w:val="00A63CBC"/>
    <w:rsid w:val="00A67DE6"/>
    <w:rsid w:val="00AB2B93"/>
    <w:rsid w:val="00AB7E5B"/>
    <w:rsid w:val="00AE0EF1"/>
    <w:rsid w:val="00AE2937"/>
    <w:rsid w:val="00B07301"/>
    <w:rsid w:val="00B224DE"/>
    <w:rsid w:val="00B46575"/>
    <w:rsid w:val="00B46CEC"/>
    <w:rsid w:val="00B84BBD"/>
    <w:rsid w:val="00BA43FB"/>
    <w:rsid w:val="00BA4E65"/>
    <w:rsid w:val="00BC127D"/>
    <w:rsid w:val="00BC1FE6"/>
    <w:rsid w:val="00C01157"/>
    <w:rsid w:val="00C061B6"/>
    <w:rsid w:val="00C122E7"/>
    <w:rsid w:val="00C21C04"/>
    <w:rsid w:val="00C2446C"/>
    <w:rsid w:val="00C3517E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D32C3"/>
    <w:rsid w:val="00CF7E36"/>
    <w:rsid w:val="00D324C3"/>
    <w:rsid w:val="00D3708D"/>
    <w:rsid w:val="00D40426"/>
    <w:rsid w:val="00D40F55"/>
    <w:rsid w:val="00D5220A"/>
    <w:rsid w:val="00D57C96"/>
    <w:rsid w:val="00D91203"/>
    <w:rsid w:val="00D95174"/>
    <w:rsid w:val="00DA6F36"/>
    <w:rsid w:val="00DB596E"/>
    <w:rsid w:val="00DC00EA"/>
    <w:rsid w:val="00DF3005"/>
    <w:rsid w:val="00E01807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ListParagraph">
    <w:name w:val="List Paragraph"/>
    <w:basedOn w:val="Normal"/>
    <w:qFormat/>
    <w:rsid w:val="00973B62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Normaltg">
    <w:name w:val="Normaltg"/>
    <w:basedOn w:val="Normal"/>
    <w:rsid w:val="00973B62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973B6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973B62"/>
    <w:pPr>
      <w:keepNext/>
    </w:pPr>
    <w:rPr>
      <w:b/>
    </w:rPr>
  </w:style>
  <w:style w:type="paragraph" w:customStyle="1" w:styleId="Default">
    <w:name w:val="Default"/>
    <w:rsid w:val="00973B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1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2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ListParagraph">
    <w:name w:val="List Paragraph"/>
    <w:basedOn w:val="Normal"/>
    <w:qFormat/>
    <w:rsid w:val="00973B62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Normaltg">
    <w:name w:val="Normaltg"/>
    <w:basedOn w:val="Normal"/>
    <w:rsid w:val="00973B62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973B6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973B62"/>
    <w:pPr>
      <w:keepNext/>
    </w:pPr>
    <w:rPr>
      <w:b/>
    </w:rPr>
  </w:style>
  <w:style w:type="paragraph" w:customStyle="1" w:styleId="Default">
    <w:name w:val="Default"/>
    <w:rsid w:val="00973B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1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2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6_Jan_Mtg\Template\template%20TC_EDC_Jan_1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TC_EDC_Jan_16_EN.dotx</Template>
  <TotalTime>1</TotalTime>
  <Pages>4</Pages>
  <Words>1111</Words>
  <Characters>7210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TC/48 ENGLISH</vt:lpstr>
      <vt:lpstr>template TC/48 ENGLISH</vt:lpstr>
    </vt:vector>
  </TitlesOfParts>
  <Company>UPOV</Company>
  <LinksUpToDate>false</LinksUpToDate>
  <CharactersWithSpaces>8305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13</cp:revision>
  <cp:lastPrinted>2015-11-26T07:43:00Z</cp:lastPrinted>
  <dcterms:created xsi:type="dcterms:W3CDTF">2015-11-16T08:54:00Z</dcterms:created>
  <dcterms:modified xsi:type="dcterms:W3CDTF">2015-11-26T07:43:00Z</dcterms:modified>
</cp:coreProperties>
</file>