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0125D" w:rsidTr="00FB0D37">
        <w:trPr>
          <w:trHeight w:val="1760"/>
        </w:trPr>
        <w:tc>
          <w:tcPr>
            <w:tcW w:w="4243" w:type="dxa"/>
          </w:tcPr>
          <w:p w:rsidR="000D7780" w:rsidRPr="0030125D" w:rsidRDefault="000D7780" w:rsidP="007D0B9D">
            <w:pPr>
              <w:rPr>
                <w:lang w:val="de-DE"/>
              </w:rPr>
            </w:pPr>
            <w:bookmarkStart w:id="0" w:name="_GoBack"/>
            <w:bookmarkEnd w:id="0"/>
          </w:p>
        </w:tc>
        <w:tc>
          <w:tcPr>
            <w:tcW w:w="1646" w:type="dxa"/>
            <w:vAlign w:val="center"/>
          </w:tcPr>
          <w:p w:rsidR="000D7780" w:rsidRPr="0030125D" w:rsidRDefault="00110481" w:rsidP="00576BE4">
            <w:pPr>
              <w:pStyle w:val="LogoUPOV"/>
              <w:rPr>
                <w:lang w:val="de-DE"/>
              </w:rPr>
            </w:pPr>
            <w:r w:rsidRPr="0030125D">
              <w:rPr>
                <w:noProof/>
              </w:rPr>
              <w:drawing>
                <wp:inline distT="0" distB="0" distL="0" distR="0" wp14:anchorId="76C12BDD" wp14:editId="6BBCC7A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0125D" w:rsidRDefault="00F364BD" w:rsidP="00576BE4">
            <w:pPr>
              <w:pStyle w:val="Lettrine"/>
              <w:rPr>
                <w:lang w:val="de-DE"/>
              </w:rPr>
            </w:pPr>
            <w:r w:rsidRPr="0030125D">
              <w:rPr>
                <w:lang w:val="de-DE"/>
              </w:rPr>
              <w:t>G</w:t>
            </w:r>
          </w:p>
          <w:p w:rsidR="000D7780" w:rsidRPr="0030125D" w:rsidRDefault="0061574C" w:rsidP="00474DA4">
            <w:pPr>
              <w:pStyle w:val="Docoriginal"/>
              <w:jc w:val="left"/>
              <w:rPr>
                <w:lang w:val="de-DE"/>
              </w:rPr>
            </w:pPr>
            <w:r w:rsidRPr="0030125D">
              <w:rPr>
                <w:lang w:val="de-DE"/>
              </w:rPr>
              <w:t>CAJ/72</w:t>
            </w:r>
            <w:r w:rsidR="00EB3EFA" w:rsidRPr="0030125D">
              <w:rPr>
                <w:lang w:val="de-DE"/>
              </w:rPr>
              <w:t>/</w:t>
            </w:r>
            <w:bookmarkStart w:id="1" w:name="Code"/>
            <w:bookmarkEnd w:id="1"/>
            <w:r w:rsidR="001C4984" w:rsidRPr="0030125D">
              <w:rPr>
                <w:lang w:val="de-DE"/>
              </w:rPr>
              <w:t>3</w:t>
            </w:r>
          </w:p>
          <w:p w:rsidR="000D7780" w:rsidRPr="0030125D" w:rsidRDefault="0061555F" w:rsidP="00474DA4">
            <w:pPr>
              <w:pStyle w:val="Docoriginal"/>
              <w:jc w:val="left"/>
              <w:rPr>
                <w:lang w:val="de-DE"/>
              </w:rPr>
            </w:pPr>
            <w:r w:rsidRPr="0030125D">
              <w:rPr>
                <w:rStyle w:val="StyleDoclangBold"/>
                <w:b/>
                <w:bCs/>
                <w:spacing w:val="0"/>
                <w:lang w:val="de-DE"/>
              </w:rPr>
              <w:t>ORIGINAL</w:t>
            </w:r>
            <w:r w:rsidR="000D7780" w:rsidRPr="0030125D">
              <w:rPr>
                <w:rStyle w:val="StyleDoclangBold"/>
                <w:b/>
                <w:bCs/>
                <w:spacing w:val="0"/>
                <w:lang w:val="de-DE"/>
              </w:rPr>
              <w:t>:</w:t>
            </w:r>
            <w:r w:rsidRPr="0030125D">
              <w:rPr>
                <w:rStyle w:val="StyleDocoriginalNotBold1"/>
                <w:spacing w:val="0"/>
                <w:lang w:val="de-DE"/>
              </w:rPr>
              <w:t xml:space="preserve"> </w:t>
            </w:r>
            <w:bookmarkStart w:id="2" w:name="Original"/>
            <w:bookmarkEnd w:id="2"/>
            <w:r w:rsidR="00F364BD" w:rsidRPr="0030125D">
              <w:rPr>
                <w:rStyle w:val="StyleDocoriginalNotBold1"/>
                <w:spacing w:val="0"/>
                <w:lang w:val="de-DE"/>
              </w:rPr>
              <w:t>e</w:t>
            </w:r>
            <w:r w:rsidR="0024416D" w:rsidRPr="0030125D">
              <w:rPr>
                <w:b w:val="0"/>
                <w:spacing w:val="0"/>
                <w:lang w:val="de-DE"/>
              </w:rPr>
              <w:t>nglis</w:t>
            </w:r>
            <w:r w:rsidR="00F364BD" w:rsidRPr="0030125D">
              <w:rPr>
                <w:b w:val="0"/>
                <w:spacing w:val="0"/>
                <w:lang w:val="de-DE"/>
              </w:rPr>
              <w:t>c</w:t>
            </w:r>
            <w:r w:rsidR="0024416D" w:rsidRPr="0030125D">
              <w:rPr>
                <w:b w:val="0"/>
                <w:spacing w:val="0"/>
                <w:lang w:val="de-DE"/>
              </w:rPr>
              <w:t>h</w:t>
            </w:r>
          </w:p>
          <w:p w:rsidR="000D7780" w:rsidRPr="0030125D" w:rsidRDefault="000D7780" w:rsidP="00F364BD">
            <w:pPr>
              <w:pStyle w:val="Docoriginal"/>
              <w:jc w:val="left"/>
              <w:rPr>
                <w:b w:val="0"/>
                <w:spacing w:val="0"/>
                <w:highlight w:val="cyan"/>
                <w:lang w:val="de-DE"/>
              </w:rPr>
            </w:pPr>
            <w:r w:rsidRPr="0030125D">
              <w:rPr>
                <w:spacing w:val="0"/>
                <w:lang w:val="de-DE"/>
              </w:rPr>
              <w:t>DAT</w:t>
            </w:r>
            <w:r w:rsidR="00F364BD" w:rsidRPr="0030125D">
              <w:rPr>
                <w:spacing w:val="0"/>
                <w:lang w:val="de-DE"/>
              </w:rPr>
              <w:t>UM</w:t>
            </w:r>
            <w:r w:rsidRPr="0030125D">
              <w:rPr>
                <w:spacing w:val="0"/>
                <w:lang w:val="de-DE"/>
              </w:rPr>
              <w:t>:</w:t>
            </w:r>
            <w:r w:rsidR="0061555F" w:rsidRPr="0030125D">
              <w:rPr>
                <w:b w:val="0"/>
                <w:spacing w:val="0"/>
                <w:lang w:val="de-DE"/>
              </w:rPr>
              <w:t xml:space="preserve"> </w:t>
            </w:r>
            <w:r w:rsidR="00F364BD" w:rsidRPr="0030125D">
              <w:rPr>
                <w:b w:val="0"/>
                <w:spacing w:val="0"/>
                <w:lang w:val="de-DE"/>
              </w:rPr>
              <w:t>1.</w:t>
            </w:r>
            <w:r w:rsidRPr="0030125D">
              <w:rPr>
                <w:rStyle w:val="StyleDocoriginalNotBold1"/>
                <w:spacing w:val="0"/>
                <w:lang w:val="de-DE"/>
              </w:rPr>
              <w:t xml:space="preserve"> </w:t>
            </w:r>
            <w:bookmarkStart w:id="3" w:name="Date"/>
            <w:bookmarkEnd w:id="3"/>
            <w:r w:rsidR="00F85186" w:rsidRPr="0030125D">
              <w:rPr>
                <w:rStyle w:val="StyleDocoriginalNotBold1"/>
                <w:spacing w:val="0"/>
                <w:lang w:val="de-DE" w:eastAsia="ja-JP"/>
              </w:rPr>
              <w:t>O</w:t>
            </w:r>
            <w:r w:rsidR="00F364BD" w:rsidRPr="0030125D">
              <w:rPr>
                <w:rStyle w:val="StyleDocoriginalNotBold1"/>
                <w:spacing w:val="0"/>
                <w:lang w:val="de-DE" w:eastAsia="ja-JP"/>
              </w:rPr>
              <w:t>k</w:t>
            </w:r>
            <w:r w:rsidR="00F85186" w:rsidRPr="0030125D">
              <w:rPr>
                <w:rStyle w:val="StyleDocoriginalNotBold1"/>
                <w:spacing w:val="0"/>
                <w:lang w:val="de-DE" w:eastAsia="ja-JP"/>
              </w:rPr>
              <w:t xml:space="preserve">tober </w:t>
            </w:r>
            <w:r w:rsidR="00155F6F" w:rsidRPr="0030125D">
              <w:rPr>
                <w:rStyle w:val="StyleDocoriginalNotBold1"/>
                <w:spacing w:val="0"/>
                <w:lang w:val="de-DE"/>
              </w:rPr>
              <w:t>201</w:t>
            </w:r>
            <w:r w:rsidR="00551E76" w:rsidRPr="0030125D">
              <w:rPr>
                <w:rStyle w:val="StyleDocoriginalNotBold1"/>
                <w:spacing w:val="0"/>
                <w:lang w:val="de-DE"/>
              </w:rPr>
              <w:t>5</w:t>
            </w:r>
          </w:p>
        </w:tc>
      </w:tr>
      <w:tr w:rsidR="000D7780" w:rsidRPr="0030125D" w:rsidTr="00FB0D37">
        <w:tc>
          <w:tcPr>
            <w:tcW w:w="10131" w:type="dxa"/>
            <w:gridSpan w:val="3"/>
          </w:tcPr>
          <w:p w:rsidR="000D7780" w:rsidRPr="0030125D" w:rsidRDefault="00F364BD" w:rsidP="0080679D">
            <w:pPr>
              <w:pStyle w:val="upove"/>
              <w:rPr>
                <w:sz w:val="28"/>
                <w:lang w:val="de-DE"/>
              </w:rPr>
            </w:pPr>
            <w:r w:rsidRPr="0030125D">
              <w:rPr>
                <w:snapToGrid w:val="0"/>
                <w:spacing w:val="10"/>
                <w:lang w:val="de-DE"/>
              </w:rPr>
              <w:t>INTERNATIONALER VERBAND ZUM SCHUTZ VON PFLANZENZÜCHTUNGEN</w:t>
            </w:r>
          </w:p>
        </w:tc>
      </w:tr>
      <w:tr w:rsidR="000D7780" w:rsidRPr="0030125D" w:rsidTr="00FB0D37">
        <w:tc>
          <w:tcPr>
            <w:tcW w:w="10131" w:type="dxa"/>
            <w:gridSpan w:val="3"/>
          </w:tcPr>
          <w:p w:rsidR="000D7780" w:rsidRPr="0030125D" w:rsidRDefault="00867AC1" w:rsidP="00F364BD">
            <w:pPr>
              <w:pStyle w:val="Country"/>
              <w:rPr>
                <w:lang w:val="de-DE"/>
              </w:rPr>
            </w:pPr>
            <w:r w:rsidRPr="0030125D">
              <w:rPr>
                <w:lang w:val="de-DE"/>
              </w:rPr>
              <w:t>Gen</w:t>
            </w:r>
            <w:r w:rsidR="00F364BD" w:rsidRPr="0030125D">
              <w:rPr>
                <w:lang w:val="de-DE"/>
              </w:rPr>
              <w:t>f</w:t>
            </w:r>
          </w:p>
        </w:tc>
      </w:tr>
    </w:tbl>
    <w:p w:rsidR="00F364BD" w:rsidRPr="0030125D" w:rsidRDefault="00F364BD" w:rsidP="00F364BD">
      <w:pPr>
        <w:pStyle w:val="Sessiontc"/>
        <w:rPr>
          <w:lang w:val="de-DE"/>
        </w:rPr>
      </w:pPr>
      <w:r w:rsidRPr="0030125D">
        <w:rPr>
          <w:lang w:val="de-DE"/>
        </w:rPr>
        <w:t>Verwaltungs- und Rechtsausschuss</w:t>
      </w:r>
    </w:p>
    <w:p w:rsidR="00F364BD" w:rsidRPr="0030125D" w:rsidRDefault="00F364BD" w:rsidP="00F364BD">
      <w:pPr>
        <w:pStyle w:val="Sessiontcplacedate"/>
        <w:rPr>
          <w:lang w:val="de-DE"/>
        </w:rPr>
      </w:pPr>
      <w:r w:rsidRPr="0030125D">
        <w:rPr>
          <w:lang w:val="de-DE"/>
        </w:rPr>
        <w:t>Zweiundsiebzigste Tagung</w:t>
      </w:r>
      <w:r w:rsidRPr="0030125D">
        <w:rPr>
          <w:lang w:val="de-DE"/>
        </w:rPr>
        <w:br/>
        <w:t>Genf, 26. und 27. Oktober 2015</w:t>
      </w:r>
    </w:p>
    <w:p w:rsidR="00F364BD" w:rsidRPr="0030125D" w:rsidRDefault="00F364BD" w:rsidP="00F364BD">
      <w:pPr>
        <w:pStyle w:val="Titleofdoc0"/>
        <w:rPr>
          <w:lang w:val="de-DE"/>
        </w:rPr>
      </w:pPr>
      <w:r w:rsidRPr="0030125D">
        <w:rPr>
          <w:kern w:val="28"/>
          <w:lang w:val="de-DE"/>
        </w:rPr>
        <w:t>SORTENBEZEICHNUNGEN</w:t>
      </w:r>
    </w:p>
    <w:p w:rsidR="00F364BD" w:rsidRPr="0030125D" w:rsidRDefault="00F364BD" w:rsidP="00F364BD">
      <w:pPr>
        <w:pStyle w:val="preparedby1"/>
        <w:rPr>
          <w:lang w:val="de-DE"/>
        </w:rPr>
      </w:pPr>
      <w:r w:rsidRPr="0030125D">
        <w:rPr>
          <w:lang w:val="de-DE"/>
        </w:rPr>
        <w:t>Vom Verbandsbüro erstelltes Dokument</w:t>
      </w:r>
      <w:r w:rsidRPr="0030125D">
        <w:rPr>
          <w:lang w:val="de-DE"/>
        </w:rPr>
        <w:br/>
      </w:r>
      <w:r w:rsidRPr="0030125D">
        <w:rPr>
          <w:lang w:val="de-DE"/>
        </w:rPr>
        <w:br/>
      </w:r>
      <w:r w:rsidR="00AB4B2F" w:rsidRPr="0030125D">
        <w:rPr>
          <w:color w:val="A6A6A6" w:themeColor="background1" w:themeShade="A6"/>
          <w:lang w:val="de-DE"/>
        </w:rPr>
        <w:t>Haftungsausschluß</w:t>
      </w:r>
      <w:r w:rsidRPr="0030125D">
        <w:rPr>
          <w:color w:val="A6A6A6" w:themeColor="background1" w:themeShade="A6"/>
          <w:lang w:val="de-DE"/>
        </w:rPr>
        <w:t>: Dieses Dokument gibt nicht die Grundsätze oder eine Anleitung der UPOV wieder</w:t>
      </w:r>
    </w:p>
    <w:p w:rsidR="00F364BD" w:rsidRPr="0030125D" w:rsidRDefault="00F364BD" w:rsidP="001D320C">
      <w:pPr>
        <w:pStyle w:val="Heading1"/>
      </w:pPr>
      <w:bookmarkStart w:id="4" w:name="_Toc413652560"/>
      <w:bookmarkStart w:id="5" w:name="_Toc432164661"/>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27161605"/>
      <w:bookmarkStart w:id="14" w:name="_Toc431309792"/>
      <w:r w:rsidRPr="0030125D">
        <w:t>ZUSAMMENFASSUNG</w:t>
      </w:r>
      <w:bookmarkEnd w:id="4"/>
      <w:bookmarkEnd w:id="5"/>
    </w:p>
    <w:p w:rsidR="00F364BD" w:rsidRPr="0030125D" w:rsidRDefault="00F364BD" w:rsidP="00F364BD">
      <w:pPr>
        <w:rPr>
          <w:lang w:val="de-DE"/>
        </w:rPr>
      </w:pPr>
    </w:p>
    <w:p w:rsidR="00F364BD" w:rsidRPr="0030125D" w:rsidRDefault="00F364BD" w:rsidP="00F364BD">
      <w:pPr>
        <w:rPr>
          <w:rFonts w:cs="Arial"/>
          <w:snapToGrid w:val="0"/>
          <w:lang w:val="de-DE"/>
        </w:rPr>
      </w:pPr>
      <w:r w:rsidRPr="0030125D">
        <w:rPr>
          <w:rFonts w:cs="Arial"/>
          <w:lang w:val="de-DE"/>
        </w:rPr>
        <w:fldChar w:fldCharType="begin"/>
      </w:r>
      <w:r w:rsidRPr="0030125D">
        <w:rPr>
          <w:rFonts w:cs="Arial"/>
          <w:lang w:val="de-DE"/>
        </w:rPr>
        <w:instrText xml:space="preserve"> AUTONUM  </w:instrText>
      </w:r>
      <w:r w:rsidRPr="0030125D">
        <w:rPr>
          <w:rFonts w:cs="Arial"/>
          <w:lang w:val="de-DE"/>
        </w:rPr>
        <w:fldChar w:fldCharType="end"/>
      </w:r>
      <w:r w:rsidRPr="0030125D">
        <w:rPr>
          <w:rFonts w:cs="Arial"/>
          <w:lang w:val="de-DE"/>
        </w:rPr>
        <w:tab/>
        <w:t>Zweck dieses Dokuments ist es, über die Arbeiten zur etwaigen Entwicklung eines UPOV</w:t>
      </w:r>
      <w:r w:rsidR="00CF701F" w:rsidRPr="0030125D">
        <w:rPr>
          <w:rFonts w:cs="Arial"/>
          <w:lang w:val="de-DE"/>
        </w:rPr>
        <w:noBreakHyphen/>
      </w:r>
      <w:r w:rsidRPr="0030125D">
        <w:rPr>
          <w:rFonts w:cs="Arial"/>
          <w:lang w:val="de-DE"/>
        </w:rPr>
        <w:t>Such</w:t>
      </w:r>
      <w:r w:rsidR="00CF701F" w:rsidRPr="0030125D">
        <w:rPr>
          <w:rFonts w:cs="Arial"/>
          <w:lang w:val="de-DE"/>
        </w:rPr>
        <w:t>instrument</w:t>
      </w:r>
      <w:r w:rsidRPr="0030125D">
        <w:rPr>
          <w:rFonts w:cs="Arial"/>
          <w:lang w:val="de-DE"/>
        </w:rPr>
        <w:t xml:space="preserve">s für Ähnlichkeiten zum Zweck der Sortenbezeichnung zu berichten und die etwaige Überarbeitung </w:t>
      </w:r>
      <w:r w:rsidR="00CF701F" w:rsidRPr="0030125D">
        <w:rPr>
          <w:rFonts w:cs="Arial"/>
          <w:lang w:val="de-DE"/>
        </w:rPr>
        <w:t>des</w:t>
      </w:r>
      <w:r w:rsidRPr="0030125D">
        <w:rPr>
          <w:rFonts w:cs="Arial"/>
          <w:lang w:val="de-DE"/>
        </w:rPr>
        <w:t xml:space="preserve"> Dokument</w:t>
      </w:r>
      <w:r w:rsidR="00CF701F" w:rsidRPr="0030125D">
        <w:rPr>
          <w:rFonts w:cs="Arial"/>
          <w:lang w:val="de-DE"/>
        </w:rPr>
        <w:t>s </w:t>
      </w:r>
      <w:r w:rsidRPr="0030125D">
        <w:rPr>
          <w:rFonts w:cs="Arial"/>
          <w:lang w:val="de-DE"/>
        </w:rPr>
        <w:t>UPOV/INF/12</w:t>
      </w:r>
      <w:r w:rsidR="00CF701F" w:rsidRPr="0030125D">
        <w:rPr>
          <w:rFonts w:cs="Arial"/>
          <w:lang w:val="de-DE"/>
        </w:rPr>
        <w:t>,</w:t>
      </w:r>
      <w:r w:rsidRPr="0030125D">
        <w:rPr>
          <w:rFonts w:cs="Arial"/>
          <w:lang w:val="de-DE"/>
        </w:rPr>
        <w:t xml:space="preserve"> „Erläuterungen zu Sortenbezeichnungen nach dem UPOV</w:t>
      </w:r>
      <w:r w:rsidR="00CF701F" w:rsidRPr="0030125D">
        <w:rPr>
          <w:rFonts w:cs="Arial"/>
          <w:lang w:val="de-DE"/>
        </w:rPr>
        <w:noBreakHyphen/>
      </w:r>
      <w:r w:rsidRPr="0030125D">
        <w:rPr>
          <w:rFonts w:cs="Arial"/>
          <w:lang w:val="de-DE"/>
        </w:rPr>
        <w:t>Übereinkommen</w:t>
      </w:r>
      <w:r w:rsidR="00CF701F" w:rsidRPr="0030125D">
        <w:rPr>
          <w:rFonts w:cs="Arial"/>
          <w:lang w:val="de-DE"/>
        </w:rPr>
        <w:t>“,</w:t>
      </w:r>
      <w:r w:rsidRPr="0030125D">
        <w:rPr>
          <w:rFonts w:cs="Arial"/>
          <w:lang w:val="de-DE"/>
        </w:rPr>
        <w:t xml:space="preserve"> zu prüfen</w:t>
      </w:r>
      <w:r w:rsidRPr="0030125D">
        <w:rPr>
          <w:rFonts w:cs="Arial"/>
          <w:snapToGrid w:val="0"/>
          <w:lang w:val="de-DE"/>
        </w:rPr>
        <w:t>.</w:t>
      </w:r>
    </w:p>
    <w:p w:rsidR="00F364BD" w:rsidRPr="0030125D" w:rsidRDefault="00F364BD" w:rsidP="00F364BD">
      <w:pPr>
        <w:rPr>
          <w:lang w:val="de-DE"/>
        </w:rPr>
      </w:pPr>
    </w:p>
    <w:p w:rsidR="00F364BD" w:rsidRPr="0030125D" w:rsidRDefault="00F364BD" w:rsidP="00F364BD">
      <w:pPr>
        <w:pStyle w:val="DecisionParagraphs"/>
        <w:tabs>
          <w:tab w:val="clear" w:pos="5387"/>
          <w:tab w:val="left" w:pos="540"/>
        </w:tabs>
        <w:ind w:left="0"/>
        <w:rPr>
          <w:i w:val="0"/>
          <w:lang w:val="de-DE" w:eastAsia="ja-JP"/>
        </w:rPr>
      </w:pPr>
      <w:r w:rsidRPr="0030125D">
        <w:rPr>
          <w:i w:val="0"/>
          <w:lang w:val="de-DE"/>
        </w:rPr>
        <w:fldChar w:fldCharType="begin"/>
      </w:r>
      <w:r w:rsidRPr="0030125D">
        <w:rPr>
          <w:i w:val="0"/>
          <w:lang w:val="de-DE"/>
        </w:rPr>
        <w:instrText xml:space="preserve"> AUTONUM  </w:instrText>
      </w:r>
      <w:r w:rsidRPr="0030125D">
        <w:rPr>
          <w:i w:val="0"/>
          <w:lang w:val="de-DE"/>
        </w:rPr>
        <w:fldChar w:fldCharType="end"/>
      </w:r>
      <w:r w:rsidRPr="0030125D">
        <w:rPr>
          <w:i w:val="0"/>
          <w:lang w:val="de-DE"/>
        </w:rPr>
        <w:tab/>
        <w:t>Der CAJ wird ersucht</w:t>
      </w:r>
      <w:r w:rsidR="00CF701F" w:rsidRPr="0030125D">
        <w:rPr>
          <w:i w:val="0"/>
          <w:lang w:val="de-DE"/>
        </w:rPr>
        <w:t>,</w:t>
      </w:r>
    </w:p>
    <w:p w:rsidR="00F364BD" w:rsidRPr="0030125D" w:rsidRDefault="00F364BD" w:rsidP="00F364BD">
      <w:pPr>
        <w:pStyle w:val="DecisionParagraphs"/>
        <w:ind w:left="0"/>
        <w:rPr>
          <w:i w:val="0"/>
          <w:lang w:val="de-DE" w:eastAsia="ja-JP"/>
        </w:rPr>
      </w:pPr>
    </w:p>
    <w:bookmarkEnd w:id="6"/>
    <w:bookmarkEnd w:id="7"/>
    <w:bookmarkEnd w:id="8"/>
    <w:bookmarkEnd w:id="9"/>
    <w:bookmarkEnd w:id="10"/>
    <w:bookmarkEnd w:id="11"/>
    <w:bookmarkEnd w:id="12"/>
    <w:bookmarkEnd w:id="13"/>
    <w:bookmarkEnd w:id="14"/>
    <w:p w:rsidR="008B5ED9" w:rsidRPr="0030125D" w:rsidRDefault="0077424B" w:rsidP="008B5ED9">
      <w:pPr>
        <w:rPr>
          <w:iCs/>
          <w:lang w:val="de-DE"/>
        </w:rPr>
      </w:pPr>
      <w:r w:rsidRPr="0030125D">
        <w:rPr>
          <w:iCs/>
          <w:lang w:val="de-DE"/>
        </w:rPr>
        <w:tab/>
        <w:t>a)</w:t>
      </w:r>
      <w:r w:rsidRPr="0030125D">
        <w:rPr>
          <w:iCs/>
          <w:lang w:val="de-DE"/>
        </w:rPr>
        <w:tab/>
      </w:r>
      <w:r w:rsidR="00DE47C4" w:rsidRPr="0030125D">
        <w:rPr>
          <w:iCs/>
          <w:lang w:val="de-DE"/>
        </w:rPr>
        <w:t xml:space="preserve">eine erste Prüfung der </w:t>
      </w:r>
      <w:r w:rsidR="00AB4B2F" w:rsidRPr="0030125D">
        <w:rPr>
          <w:iCs/>
          <w:lang w:val="de-DE"/>
        </w:rPr>
        <w:t>Vorschläge</w:t>
      </w:r>
      <w:r w:rsidR="00DE47C4" w:rsidRPr="0030125D">
        <w:rPr>
          <w:iCs/>
          <w:lang w:val="de-DE"/>
        </w:rPr>
        <w:t xml:space="preserve"> der</w:t>
      </w:r>
      <w:r w:rsidR="008B5ED9" w:rsidRPr="0030125D">
        <w:rPr>
          <w:iCs/>
          <w:lang w:val="de-DE"/>
        </w:rPr>
        <w:t xml:space="preserve"> WG-DST </w:t>
      </w:r>
      <w:r w:rsidR="00DE47C4" w:rsidRPr="0030125D">
        <w:rPr>
          <w:iCs/>
          <w:lang w:val="de-DE"/>
        </w:rPr>
        <w:t>betreffend eine etwaige Überarbeitung des Dokuments </w:t>
      </w:r>
      <w:r w:rsidR="008B5ED9" w:rsidRPr="0030125D">
        <w:rPr>
          <w:iCs/>
          <w:lang w:val="de-DE"/>
        </w:rPr>
        <w:t>UPOV/INF/12</w:t>
      </w:r>
      <w:r w:rsidR="00DE47C4" w:rsidRPr="0030125D">
        <w:rPr>
          <w:iCs/>
          <w:lang w:val="de-DE"/>
        </w:rPr>
        <w:t xml:space="preserve"> vorzunehmen</w:t>
      </w:r>
      <w:r w:rsidR="008B5ED9" w:rsidRPr="0030125D">
        <w:rPr>
          <w:iCs/>
          <w:lang w:val="de-DE"/>
        </w:rPr>
        <w:t xml:space="preserve">, </w:t>
      </w:r>
      <w:r w:rsidR="00DE47C4" w:rsidRPr="0030125D">
        <w:rPr>
          <w:iCs/>
          <w:lang w:val="de-DE"/>
        </w:rPr>
        <w:t>insbesondere in bezug auf folgende Angelegenheiten</w:t>
      </w:r>
      <w:r w:rsidR="008B5ED9" w:rsidRPr="0030125D">
        <w:rPr>
          <w:iCs/>
          <w:lang w:val="de-DE"/>
        </w:rPr>
        <w:t>:</w:t>
      </w:r>
    </w:p>
    <w:p w:rsidR="008B5ED9" w:rsidRPr="0030125D" w:rsidRDefault="008B5ED9" w:rsidP="008B5ED9">
      <w:pPr>
        <w:rPr>
          <w:iCs/>
          <w:lang w:val="de-DE"/>
        </w:rPr>
      </w:pPr>
    </w:p>
    <w:p w:rsidR="008B5ED9" w:rsidRPr="0030125D" w:rsidRDefault="00F364BD" w:rsidP="00FD033B">
      <w:pPr>
        <w:autoSpaceDE w:val="0"/>
        <w:autoSpaceDN w:val="0"/>
        <w:adjustRightInd w:val="0"/>
        <w:ind w:firstLine="993"/>
        <w:jc w:val="left"/>
        <w:rPr>
          <w:iCs/>
          <w:lang w:val="de-DE"/>
        </w:rPr>
      </w:pPr>
      <w:r w:rsidRPr="0030125D">
        <w:rPr>
          <w:iCs/>
          <w:lang w:val="de-DE"/>
        </w:rPr>
        <w:t xml:space="preserve">  </w:t>
      </w:r>
      <w:r w:rsidR="008B5ED9" w:rsidRPr="0030125D">
        <w:rPr>
          <w:iCs/>
          <w:lang w:val="de-DE"/>
        </w:rPr>
        <w:t>i)</w:t>
      </w:r>
      <w:r w:rsidR="008B5ED9" w:rsidRPr="0030125D">
        <w:rPr>
          <w:iCs/>
          <w:lang w:val="de-DE"/>
        </w:rPr>
        <w:tab/>
      </w:r>
      <w:r w:rsidR="00DE47C4" w:rsidRPr="0030125D">
        <w:rPr>
          <w:iCs/>
          <w:lang w:val="de-DE"/>
        </w:rPr>
        <w:t>Abschnitt</w:t>
      </w:r>
      <w:r w:rsidR="00FD033B" w:rsidRPr="0030125D">
        <w:rPr>
          <w:iCs/>
          <w:lang w:val="de-DE"/>
        </w:rPr>
        <w:t> </w:t>
      </w:r>
      <w:r w:rsidR="008B5ED9" w:rsidRPr="0030125D">
        <w:rPr>
          <w:iCs/>
          <w:lang w:val="de-DE"/>
        </w:rPr>
        <w:t>2.2.2</w:t>
      </w:r>
      <w:r w:rsidR="0077424B" w:rsidRPr="0030125D">
        <w:rPr>
          <w:iCs/>
          <w:lang w:val="de-DE"/>
        </w:rPr>
        <w:t> </w:t>
      </w:r>
      <w:r w:rsidR="008B5ED9" w:rsidRPr="0030125D">
        <w:rPr>
          <w:iCs/>
          <w:lang w:val="de-DE"/>
        </w:rPr>
        <w:t xml:space="preserve">b), </w:t>
      </w:r>
      <w:r w:rsidR="00AC7B9C" w:rsidRPr="0030125D">
        <w:rPr>
          <w:iCs/>
          <w:lang w:val="de-DE"/>
        </w:rPr>
        <w:t xml:space="preserve">Vorschlag zur Klärung der </w:t>
      </w:r>
      <w:r w:rsidR="00AB4B2F" w:rsidRPr="0030125D">
        <w:rPr>
          <w:iCs/>
          <w:lang w:val="de-DE"/>
        </w:rPr>
        <w:t>Terminologie</w:t>
      </w:r>
      <w:r w:rsidR="00AC7B9C" w:rsidRPr="0030125D">
        <w:rPr>
          <w:iCs/>
          <w:lang w:val="de-DE"/>
        </w:rPr>
        <w:t xml:space="preserve"> betreffend die </w:t>
      </w:r>
      <w:r w:rsidR="00DD0FB9" w:rsidRPr="0030125D">
        <w:rPr>
          <w:rFonts w:cs="Arial"/>
          <w:lang w:val="de-DE"/>
        </w:rPr>
        <w:t xml:space="preserve">anerkannte Marktpraxis </w:t>
      </w:r>
      <w:r w:rsidR="00FD033B" w:rsidRPr="0030125D">
        <w:rPr>
          <w:iCs/>
          <w:lang w:val="de-DE"/>
        </w:rPr>
        <w:t>im Kontext der „</w:t>
      </w:r>
      <w:r w:rsidR="005F30E5" w:rsidRPr="0030125D">
        <w:rPr>
          <w:iCs/>
          <w:lang w:val="de-DE"/>
        </w:rPr>
        <w:t>feststehend</w:t>
      </w:r>
      <w:r w:rsidR="00AC7B9C" w:rsidRPr="0030125D">
        <w:rPr>
          <w:iCs/>
          <w:lang w:val="de-DE"/>
        </w:rPr>
        <w:t>en Praxis</w:t>
      </w:r>
      <w:r w:rsidR="00FD033B" w:rsidRPr="0030125D">
        <w:rPr>
          <w:iCs/>
          <w:lang w:val="de-DE"/>
        </w:rPr>
        <w:t>“</w:t>
      </w:r>
      <w:r w:rsidR="00AC7B9C" w:rsidRPr="0030125D">
        <w:rPr>
          <w:iCs/>
          <w:lang w:val="de-DE"/>
        </w:rPr>
        <w:t xml:space="preserve"> </w:t>
      </w:r>
      <w:r w:rsidR="008B5ED9" w:rsidRPr="0030125D">
        <w:rPr>
          <w:iCs/>
          <w:lang w:val="de-DE"/>
        </w:rPr>
        <w:t>(</w:t>
      </w:r>
      <w:r w:rsidR="00DD0FB9" w:rsidRPr="0030125D">
        <w:rPr>
          <w:iCs/>
          <w:lang w:val="de-DE"/>
        </w:rPr>
        <w:t>vergleiche Absatz</w:t>
      </w:r>
      <w:r w:rsidR="00FD033B" w:rsidRPr="0030125D">
        <w:rPr>
          <w:iCs/>
          <w:lang w:val="de-DE"/>
        </w:rPr>
        <w:t> </w:t>
      </w:r>
      <w:r w:rsidR="008B5ED9" w:rsidRPr="0030125D">
        <w:rPr>
          <w:iCs/>
          <w:lang w:val="de-DE"/>
        </w:rPr>
        <w:t>28);</w:t>
      </w:r>
    </w:p>
    <w:p w:rsidR="008B5ED9" w:rsidRPr="0030125D" w:rsidRDefault="008B5ED9" w:rsidP="00FD033B">
      <w:pPr>
        <w:tabs>
          <w:tab w:val="left" w:pos="1418"/>
        </w:tabs>
        <w:ind w:left="993"/>
        <w:rPr>
          <w:iCs/>
          <w:lang w:val="de-DE"/>
        </w:rPr>
      </w:pPr>
    </w:p>
    <w:p w:rsidR="008B5ED9" w:rsidRPr="0030125D" w:rsidRDefault="00F364BD" w:rsidP="00123979">
      <w:pPr>
        <w:autoSpaceDE w:val="0"/>
        <w:autoSpaceDN w:val="0"/>
        <w:adjustRightInd w:val="0"/>
        <w:ind w:firstLine="993"/>
        <w:rPr>
          <w:iCs/>
          <w:lang w:val="de-DE"/>
        </w:rPr>
      </w:pPr>
      <w:r w:rsidRPr="0030125D">
        <w:rPr>
          <w:iCs/>
          <w:lang w:val="de-DE"/>
        </w:rPr>
        <w:t xml:space="preserve"> </w:t>
      </w:r>
      <w:r w:rsidR="0077424B" w:rsidRPr="0030125D">
        <w:rPr>
          <w:iCs/>
          <w:lang w:val="de-DE"/>
        </w:rPr>
        <w:t>ii)</w:t>
      </w:r>
      <w:r w:rsidR="0077424B" w:rsidRPr="0030125D">
        <w:rPr>
          <w:iCs/>
          <w:lang w:val="de-DE"/>
        </w:rPr>
        <w:tab/>
      </w:r>
      <w:r w:rsidR="00DE47C4" w:rsidRPr="0030125D">
        <w:rPr>
          <w:iCs/>
          <w:lang w:val="de-DE"/>
        </w:rPr>
        <w:t>Abschnitt</w:t>
      </w:r>
      <w:r w:rsidR="00FD033B" w:rsidRPr="0030125D">
        <w:rPr>
          <w:iCs/>
          <w:lang w:val="de-DE"/>
        </w:rPr>
        <w:t> </w:t>
      </w:r>
      <w:r w:rsidR="0077424B" w:rsidRPr="0030125D">
        <w:rPr>
          <w:iCs/>
          <w:lang w:val="de-DE"/>
        </w:rPr>
        <w:t>2.3.1 </w:t>
      </w:r>
      <w:r w:rsidR="008B5ED9" w:rsidRPr="0030125D">
        <w:rPr>
          <w:iCs/>
          <w:lang w:val="de-DE"/>
        </w:rPr>
        <w:t xml:space="preserve">c), </w:t>
      </w:r>
      <w:r w:rsidR="00FD033B" w:rsidRPr="0030125D">
        <w:rPr>
          <w:iCs/>
          <w:lang w:val="de-DE"/>
        </w:rPr>
        <w:t>vorgeschlagene Beispiele, die „</w:t>
      </w:r>
      <w:r w:rsidR="00DD0FB9" w:rsidRPr="0030125D">
        <w:rPr>
          <w:rFonts w:cs="Arial"/>
          <w:lang w:val="de-DE"/>
        </w:rPr>
        <w:t>den Eindruck erwecken, daß die Sorte von einer anderen Sorte abgeleitet oder mit ihr verwandt sei, wenn dies tatsächlich nicht der Fall ist</w:t>
      </w:r>
      <w:r w:rsidR="00FD033B" w:rsidRPr="0030125D">
        <w:rPr>
          <w:rFonts w:cs="Arial"/>
          <w:lang w:val="de-DE"/>
        </w:rPr>
        <w:t>“</w:t>
      </w:r>
      <w:r w:rsidR="008B5ED9" w:rsidRPr="0030125D">
        <w:rPr>
          <w:iCs/>
          <w:lang w:val="de-DE"/>
        </w:rPr>
        <w:t xml:space="preserve"> (</w:t>
      </w:r>
      <w:r w:rsidR="00DD0FB9" w:rsidRPr="0030125D">
        <w:rPr>
          <w:iCs/>
          <w:lang w:val="de-DE"/>
        </w:rPr>
        <w:t>vergleiche Absatz</w:t>
      </w:r>
      <w:r w:rsidR="00FD033B" w:rsidRPr="0030125D">
        <w:rPr>
          <w:iCs/>
          <w:lang w:val="de-DE"/>
        </w:rPr>
        <w:t> </w:t>
      </w:r>
      <w:r w:rsidR="008B5ED9" w:rsidRPr="0030125D">
        <w:rPr>
          <w:iCs/>
          <w:lang w:val="de-DE"/>
        </w:rPr>
        <w:t>29);</w:t>
      </w:r>
    </w:p>
    <w:p w:rsidR="008B5ED9" w:rsidRPr="0030125D" w:rsidRDefault="008B5ED9" w:rsidP="00FD033B">
      <w:pPr>
        <w:tabs>
          <w:tab w:val="left" w:pos="1418"/>
        </w:tabs>
        <w:ind w:left="993"/>
        <w:rPr>
          <w:iCs/>
          <w:lang w:val="de-DE"/>
        </w:rPr>
      </w:pPr>
    </w:p>
    <w:p w:rsidR="008B5ED9" w:rsidRPr="0030125D" w:rsidRDefault="0077424B" w:rsidP="0077424B">
      <w:pPr>
        <w:tabs>
          <w:tab w:val="left" w:pos="1418"/>
        </w:tabs>
        <w:ind w:firstLine="993"/>
        <w:rPr>
          <w:iCs/>
          <w:lang w:val="de-DE"/>
        </w:rPr>
      </w:pPr>
      <w:r w:rsidRPr="0030125D">
        <w:rPr>
          <w:iCs/>
          <w:lang w:val="de-DE"/>
        </w:rPr>
        <w:t>iii)</w:t>
      </w:r>
      <w:r w:rsidRPr="0030125D">
        <w:rPr>
          <w:iCs/>
          <w:lang w:val="de-DE"/>
        </w:rPr>
        <w:tab/>
      </w:r>
      <w:r w:rsidR="008B5ED9" w:rsidRPr="0030125D">
        <w:rPr>
          <w:iCs/>
          <w:lang w:val="de-DE"/>
        </w:rPr>
        <w:t>ne</w:t>
      </w:r>
      <w:r w:rsidR="00DD0FB9" w:rsidRPr="0030125D">
        <w:rPr>
          <w:iCs/>
          <w:lang w:val="de-DE"/>
        </w:rPr>
        <w:t>uer</w:t>
      </w:r>
      <w:r w:rsidR="008B5ED9" w:rsidRPr="0030125D">
        <w:rPr>
          <w:iCs/>
          <w:lang w:val="de-DE"/>
        </w:rPr>
        <w:t xml:space="preserve"> </w:t>
      </w:r>
      <w:r w:rsidR="00DE47C4" w:rsidRPr="0030125D">
        <w:rPr>
          <w:iCs/>
          <w:lang w:val="de-DE"/>
        </w:rPr>
        <w:t>Abschnitt</w:t>
      </w:r>
      <w:r w:rsidR="00FD033B" w:rsidRPr="0030125D">
        <w:rPr>
          <w:iCs/>
          <w:lang w:val="de-DE"/>
        </w:rPr>
        <w:t> </w:t>
      </w:r>
      <w:r w:rsidR="008B5ED9" w:rsidRPr="0030125D">
        <w:rPr>
          <w:iCs/>
          <w:lang w:val="de-DE"/>
        </w:rPr>
        <w:t>2.3.1</w:t>
      </w:r>
      <w:r w:rsidRPr="0030125D">
        <w:rPr>
          <w:iCs/>
          <w:lang w:val="de-DE"/>
        </w:rPr>
        <w:t> </w:t>
      </w:r>
      <w:r w:rsidR="008B5ED9" w:rsidRPr="0030125D">
        <w:rPr>
          <w:iCs/>
          <w:lang w:val="de-DE"/>
        </w:rPr>
        <w:t xml:space="preserve">d), </w:t>
      </w:r>
      <w:r w:rsidR="00DD0FB9" w:rsidRPr="0030125D">
        <w:rPr>
          <w:iCs/>
          <w:lang w:val="de-DE"/>
        </w:rPr>
        <w:t xml:space="preserve">betreffend eine neue Anleitung zu einer möglichen Verwechslung </w:t>
      </w:r>
      <w:r w:rsidR="00FD033B" w:rsidRPr="0030125D">
        <w:rPr>
          <w:iCs/>
          <w:lang w:val="de-DE"/>
        </w:rPr>
        <w:t>d</w:t>
      </w:r>
      <w:r w:rsidR="00DD0FB9" w:rsidRPr="0030125D">
        <w:rPr>
          <w:iCs/>
          <w:lang w:val="de-DE"/>
        </w:rPr>
        <w:t xml:space="preserve">er </w:t>
      </w:r>
      <w:r w:rsidR="00AB4B2F" w:rsidRPr="0030125D">
        <w:rPr>
          <w:iCs/>
          <w:lang w:val="de-DE"/>
        </w:rPr>
        <w:t>Verwendung</w:t>
      </w:r>
      <w:r w:rsidR="00DD0FB9" w:rsidRPr="0030125D">
        <w:rPr>
          <w:iCs/>
          <w:lang w:val="de-DE"/>
        </w:rPr>
        <w:t xml:space="preserve"> des botanischen oder landesüblichen Namens einer Gattung, der diese Sorte angehört oder nicht </w:t>
      </w:r>
      <w:r w:rsidR="008B5ED9" w:rsidRPr="0030125D">
        <w:rPr>
          <w:iCs/>
          <w:lang w:val="de-DE"/>
        </w:rPr>
        <w:t>(</w:t>
      </w:r>
      <w:r w:rsidR="006902CB" w:rsidRPr="0030125D">
        <w:rPr>
          <w:iCs/>
          <w:lang w:val="de-DE"/>
        </w:rPr>
        <w:t>vergleiche Absätze</w:t>
      </w:r>
      <w:r w:rsidR="00FD033B" w:rsidRPr="0030125D">
        <w:rPr>
          <w:iCs/>
          <w:lang w:val="de-DE"/>
        </w:rPr>
        <w:t> </w:t>
      </w:r>
      <w:r w:rsidR="008B5ED9" w:rsidRPr="0030125D">
        <w:rPr>
          <w:iCs/>
          <w:lang w:val="de-DE"/>
        </w:rPr>
        <w:t xml:space="preserve">30 </w:t>
      </w:r>
      <w:r w:rsidR="00AB4B2F" w:rsidRPr="0030125D">
        <w:rPr>
          <w:iCs/>
          <w:lang w:val="de-DE"/>
        </w:rPr>
        <w:t>bis</w:t>
      </w:r>
      <w:r w:rsidR="008B5ED9" w:rsidRPr="0030125D">
        <w:rPr>
          <w:iCs/>
          <w:lang w:val="de-DE"/>
        </w:rPr>
        <w:t xml:space="preserve"> 32);</w:t>
      </w:r>
    </w:p>
    <w:p w:rsidR="008B5ED9" w:rsidRPr="0030125D" w:rsidRDefault="008B5ED9" w:rsidP="0077424B">
      <w:pPr>
        <w:tabs>
          <w:tab w:val="left" w:pos="1418"/>
        </w:tabs>
        <w:ind w:firstLine="993"/>
        <w:rPr>
          <w:iCs/>
          <w:lang w:val="de-DE"/>
        </w:rPr>
      </w:pPr>
    </w:p>
    <w:p w:rsidR="008B5ED9" w:rsidRPr="0030125D" w:rsidRDefault="00F364BD" w:rsidP="00FD033B">
      <w:pPr>
        <w:autoSpaceDE w:val="0"/>
        <w:autoSpaceDN w:val="0"/>
        <w:adjustRightInd w:val="0"/>
        <w:ind w:firstLine="993"/>
        <w:rPr>
          <w:iCs/>
          <w:lang w:val="de-DE"/>
        </w:rPr>
      </w:pPr>
      <w:r w:rsidRPr="0030125D">
        <w:rPr>
          <w:iCs/>
          <w:lang w:val="de-DE"/>
        </w:rPr>
        <w:t xml:space="preserve"> </w:t>
      </w:r>
      <w:r w:rsidR="0077424B" w:rsidRPr="0030125D">
        <w:rPr>
          <w:iCs/>
          <w:lang w:val="de-DE"/>
        </w:rPr>
        <w:t>iv)</w:t>
      </w:r>
      <w:r w:rsidR="0077424B" w:rsidRPr="0030125D">
        <w:rPr>
          <w:iCs/>
          <w:lang w:val="de-DE"/>
        </w:rPr>
        <w:tab/>
      </w:r>
      <w:r w:rsidR="00DE47C4" w:rsidRPr="0030125D">
        <w:rPr>
          <w:iCs/>
          <w:lang w:val="de-DE"/>
        </w:rPr>
        <w:t>Abschnitt</w:t>
      </w:r>
      <w:r w:rsidR="00FD033B" w:rsidRPr="0030125D">
        <w:rPr>
          <w:iCs/>
          <w:lang w:val="de-DE"/>
        </w:rPr>
        <w:t> </w:t>
      </w:r>
      <w:r w:rsidR="008B5ED9" w:rsidRPr="0030125D">
        <w:rPr>
          <w:iCs/>
          <w:lang w:val="de-DE"/>
        </w:rPr>
        <w:t>2.3.3</w:t>
      </w:r>
      <w:r w:rsidR="0077424B" w:rsidRPr="0030125D">
        <w:rPr>
          <w:iCs/>
          <w:lang w:val="de-DE"/>
        </w:rPr>
        <w:t> </w:t>
      </w:r>
      <w:r w:rsidR="008B5ED9" w:rsidRPr="0030125D">
        <w:rPr>
          <w:iCs/>
          <w:lang w:val="de-DE"/>
        </w:rPr>
        <w:t xml:space="preserve">a), </w:t>
      </w:r>
      <w:r w:rsidR="00DD0FB9" w:rsidRPr="0030125D">
        <w:rPr>
          <w:iCs/>
          <w:lang w:val="de-DE"/>
        </w:rPr>
        <w:t>vorgeschlagene er</w:t>
      </w:r>
      <w:r w:rsidR="006902CB" w:rsidRPr="0030125D">
        <w:rPr>
          <w:iCs/>
          <w:lang w:val="de-DE"/>
        </w:rPr>
        <w:t>s</w:t>
      </w:r>
      <w:r w:rsidR="00DD0FB9" w:rsidRPr="0030125D">
        <w:rPr>
          <w:iCs/>
          <w:lang w:val="de-DE"/>
        </w:rPr>
        <w:t xml:space="preserve">te Anleitung und </w:t>
      </w:r>
      <w:r w:rsidR="00AB4B2F" w:rsidRPr="0030125D">
        <w:rPr>
          <w:iCs/>
          <w:lang w:val="de-DE"/>
        </w:rPr>
        <w:t>Beispiele</w:t>
      </w:r>
      <w:r w:rsidR="00DD0FB9" w:rsidRPr="0030125D">
        <w:rPr>
          <w:iCs/>
          <w:lang w:val="de-DE"/>
        </w:rPr>
        <w:t xml:space="preserve"> für eine </w:t>
      </w:r>
      <w:r w:rsidR="00FD033B" w:rsidRPr="0030125D">
        <w:rPr>
          <w:iCs/>
          <w:lang w:val="de-DE"/>
        </w:rPr>
        <w:t>möglich</w:t>
      </w:r>
      <w:r w:rsidR="00DD0FB9" w:rsidRPr="0030125D">
        <w:rPr>
          <w:iCs/>
          <w:lang w:val="de-DE"/>
        </w:rPr>
        <w:t>e Verwechslung betreffend „die</w:t>
      </w:r>
      <w:r w:rsidR="00DD0FB9" w:rsidRPr="0030125D">
        <w:rPr>
          <w:rFonts w:cs="Arial"/>
          <w:lang w:val="de-DE"/>
        </w:rPr>
        <w:t xml:space="preserve"> Identität der Sorte</w:t>
      </w:r>
      <w:r w:rsidR="006902CB" w:rsidRPr="0030125D">
        <w:rPr>
          <w:rFonts w:cs="Arial"/>
          <w:lang w:val="de-DE"/>
        </w:rPr>
        <w:t>“</w:t>
      </w:r>
      <w:r w:rsidR="00FD033B" w:rsidRPr="0030125D">
        <w:rPr>
          <w:rFonts w:cs="Arial"/>
          <w:lang w:val="de-DE"/>
        </w:rPr>
        <w:t>,</w:t>
      </w:r>
      <w:r w:rsidR="006902CB" w:rsidRPr="0030125D">
        <w:rPr>
          <w:rFonts w:cs="Arial"/>
          <w:lang w:val="de-DE"/>
        </w:rPr>
        <w:t xml:space="preserve"> und ob es angebrach</w:t>
      </w:r>
      <w:r w:rsidR="00FD033B" w:rsidRPr="0030125D">
        <w:rPr>
          <w:rFonts w:cs="Arial"/>
          <w:lang w:val="de-DE"/>
        </w:rPr>
        <w:t>t wäre, zwischen Buchstaben in F</w:t>
      </w:r>
      <w:r w:rsidR="006902CB" w:rsidRPr="0030125D">
        <w:rPr>
          <w:rFonts w:cs="Arial"/>
          <w:lang w:val="de-DE"/>
        </w:rPr>
        <w:t xml:space="preserve">orm von Wörtern und sonstigen Fällen zu unterscheiden </w:t>
      </w:r>
      <w:r w:rsidR="0077424B" w:rsidRPr="0030125D">
        <w:rPr>
          <w:iCs/>
          <w:lang w:val="de-DE"/>
        </w:rPr>
        <w:t>(</w:t>
      </w:r>
      <w:r w:rsidR="00DD0FB9" w:rsidRPr="0030125D">
        <w:rPr>
          <w:iCs/>
          <w:lang w:val="de-DE"/>
        </w:rPr>
        <w:t>vergleiche Absatz</w:t>
      </w:r>
      <w:r w:rsidR="00FD033B" w:rsidRPr="0030125D">
        <w:rPr>
          <w:iCs/>
          <w:lang w:val="de-DE"/>
        </w:rPr>
        <w:t> </w:t>
      </w:r>
      <w:r w:rsidR="0077424B" w:rsidRPr="0030125D">
        <w:rPr>
          <w:iCs/>
          <w:lang w:val="de-DE"/>
        </w:rPr>
        <w:t>33 </w:t>
      </w:r>
      <w:r w:rsidR="008B5ED9" w:rsidRPr="0030125D">
        <w:rPr>
          <w:iCs/>
          <w:lang w:val="de-DE"/>
        </w:rPr>
        <w:t xml:space="preserve">i) </w:t>
      </w:r>
      <w:r w:rsidR="006902CB" w:rsidRPr="0030125D">
        <w:rPr>
          <w:iCs/>
          <w:lang w:val="de-DE"/>
        </w:rPr>
        <w:t>bis</w:t>
      </w:r>
      <w:r w:rsidR="008B5ED9" w:rsidRPr="0030125D">
        <w:rPr>
          <w:iCs/>
          <w:lang w:val="de-DE"/>
        </w:rPr>
        <w:t xml:space="preserve"> iii));</w:t>
      </w:r>
    </w:p>
    <w:p w:rsidR="008B5ED9" w:rsidRPr="0030125D" w:rsidRDefault="008B5ED9" w:rsidP="0077424B">
      <w:pPr>
        <w:tabs>
          <w:tab w:val="left" w:pos="1418"/>
        </w:tabs>
        <w:ind w:firstLine="993"/>
        <w:rPr>
          <w:iCs/>
          <w:lang w:val="de-DE"/>
        </w:rPr>
      </w:pPr>
    </w:p>
    <w:p w:rsidR="008B5ED9" w:rsidRPr="0030125D" w:rsidRDefault="00F364BD" w:rsidP="0077424B">
      <w:pPr>
        <w:tabs>
          <w:tab w:val="left" w:pos="1418"/>
        </w:tabs>
        <w:ind w:firstLine="993"/>
        <w:rPr>
          <w:iCs/>
          <w:lang w:val="de-DE"/>
        </w:rPr>
      </w:pPr>
      <w:r w:rsidRPr="0030125D">
        <w:rPr>
          <w:iCs/>
          <w:lang w:val="de-DE"/>
        </w:rPr>
        <w:t xml:space="preserve">  </w:t>
      </w:r>
      <w:r w:rsidR="0077424B" w:rsidRPr="0030125D">
        <w:rPr>
          <w:iCs/>
          <w:lang w:val="de-DE"/>
        </w:rPr>
        <w:t>v)</w:t>
      </w:r>
      <w:r w:rsidR="0077424B" w:rsidRPr="0030125D">
        <w:rPr>
          <w:iCs/>
          <w:lang w:val="de-DE"/>
        </w:rPr>
        <w:tab/>
      </w:r>
      <w:r w:rsidR="00DE47C4" w:rsidRPr="0030125D">
        <w:rPr>
          <w:iCs/>
          <w:lang w:val="de-DE"/>
        </w:rPr>
        <w:t>Abschnitt</w:t>
      </w:r>
      <w:r w:rsidR="00FD033B" w:rsidRPr="0030125D">
        <w:rPr>
          <w:iCs/>
          <w:lang w:val="de-DE"/>
        </w:rPr>
        <w:t> </w:t>
      </w:r>
      <w:r w:rsidR="008B5ED9" w:rsidRPr="0030125D">
        <w:rPr>
          <w:iCs/>
          <w:lang w:val="de-DE"/>
        </w:rPr>
        <w:t>2.3.3</w:t>
      </w:r>
      <w:r w:rsidR="00DB1EA7" w:rsidRPr="0030125D">
        <w:rPr>
          <w:iCs/>
          <w:lang w:val="de-DE"/>
        </w:rPr>
        <w:t> </w:t>
      </w:r>
      <w:r w:rsidR="008B5ED9" w:rsidRPr="0030125D">
        <w:rPr>
          <w:iCs/>
          <w:lang w:val="de-DE"/>
        </w:rPr>
        <w:t xml:space="preserve">b), </w:t>
      </w:r>
      <w:r w:rsidR="006902CB" w:rsidRPr="0030125D">
        <w:rPr>
          <w:iCs/>
          <w:lang w:val="de-DE"/>
        </w:rPr>
        <w:t xml:space="preserve">vorgeschlagenes zusätzliches Beispiel für </w:t>
      </w:r>
      <w:r w:rsidR="00FD033B" w:rsidRPr="0030125D">
        <w:rPr>
          <w:iCs/>
          <w:lang w:val="de-DE"/>
        </w:rPr>
        <w:t>„</w:t>
      </w:r>
      <w:r w:rsidR="008B5ED9" w:rsidRPr="0030125D">
        <w:rPr>
          <w:iCs/>
          <w:lang w:val="de-DE"/>
        </w:rPr>
        <w:t>Helena</w:t>
      </w:r>
      <w:r w:rsidR="00FD033B" w:rsidRPr="0030125D">
        <w:rPr>
          <w:iCs/>
          <w:lang w:val="de-DE"/>
        </w:rPr>
        <w:t>“</w:t>
      </w:r>
      <w:r w:rsidR="008B5ED9" w:rsidRPr="0030125D">
        <w:rPr>
          <w:iCs/>
          <w:lang w:val="de-DE"/>
        </w:rPr>
        <w:t xml:space="preserve"> </w:t>
      </w:r>
      <w:r w:rsidR="006902CB" w:rsidRPr="0030125D">
        <w:rPr>
          <w:iCs/>
          <w:lang w:val="de-DE"/>
        </w:rPr>
        <w:t>u</w:t>
      </w:r>
      <w:r w:rsidR="008B5ED9" w:rsidRPr="0030125D">
        <w:rPr>
          <w:iCs/>
          <w:lang w:val="de-DE"/>
        </w:rPr>
        <w:t xml:space="preserve">nd </w:t>
      </w:r>
      <w:r w:rsidR="00FD033B" w:rsidRPr="0030125D">
        <w:rPr>
          <w:iCs/>
          <w:lang w:val="de-DE"/>
        </w:rPr>
        <w:t>„</w:t>
      </w:r>
      <w:r w:rsidR="008B5ED9" w:rsidRPr="0030125D">
        <w:rPr>
          <w:iCs/>
          <w:lang w:val="de-DE"/>
        </w:rPr>
        <w:t>Elena</w:t>
      </w:r>
      <w:r w:rsidR="00FD033B" w:rsidRPr="0030125D">
        <w:rPr>
          <w:iCs/>
          <w:lang w:val="de-DE"/>
        </w:rPr>
        <w:t>“</w:t>
      </w:r>
      <w:r w:rsidR="006902CB" w:rsidRPr="0030125D">
        <w:rPr>
          <w:iCs/>
          <w:lang w:val="de-DE"/>
        </w:rPr>
        <w:t xml:space="preserve"> </w:t>
      </w:r>
      <w:r w:rsidR="00AB4B2F" w:rsidRPr="0030125D">
        <w:rPr>
          <w:iCs/>
          <w:lang w:val="de-DE"/>
        </w:rPr>
        <w:t>und</w:t>
      </w:r>
      <w:r w:rsidR="006902CB" w:rsidRPr="0030125D">
        <w:rPr>
          <w:iCs/>
          <w:lang w:val="de-DE"/>
        </w:rPr>
        <w:t xml:space="preserve"> Streichung des Beispiels </w:t>
      </w:r>
      <w:r w:rsidR="00FD033B" w:rsidRPr="0030125D">
        <w:rPr>
          <w:iCs/>
          <w:lang w:val="de-DE"/>
        </w:rPr>
        <w:t>„</w:t>
      </w:r>
      <w:r w:rsidR="006902CB" w:rsidRPr="0030125D">
        <w:rPr>
          <w:iCs/>
          <w:lang w:val="de-DE"/>
        </w:rPr>
        <w:t>Raion</w:t>
      </w:r>
      <w:r w:rsidR="00FD033B" w:rsidRPr="0030125D">
        <w:rPr>
          <w:iCs/>
          <w:lang w:val="de-DE"/>
        </w:rPr>
        <w:t>“</w:t>
      </w:r>
      <w:r w:rsidR="006902CB" w:rsidRPr="0030125D">
        <w:rPr>
          <w:iCs/>
          <w:lang w:val="de-DE"/>
        </w:rPr>
        <w:t xml:space="preserve"> u</w:t>
      </w:r>
      <w:r w:rsidR="008B5ED9" w:rsidRPr="0030125D">
        <w:rPr>
          <w:iCs/>
          <w:lang w:val="de-DE"/>
        </w:rPr>
        <w:t xml:space="preserve">nd </w:t>
      </w:r>
      <w:r w:rsidR="00FD033B" w:rsidRPr="0030125D">
        <w:rPr>
          <w:iCs/>
          <w:lang w:val="de-DE"/>
        </w:rPr>
        <w:t>„</w:t>
      </w:r>
      <w:r w:rsidR="008B5ED9" w:rsidRPr="0030125D">
        <w:rPr>
          <w:iCs/>
          <w:lang w:val="de-DE"/>
        </w:rPr>
        <w:t>Lion</w:t>
      </w:r>
      <w:r w:rsidR="00FD033B" w:rsidRPr="0030125D">
        <w:rPr>
          <w:iCs/>
          <w:lang w:val="de-DE"/>
        </w:rPr>
        <w:t>“</w:t>
      </w:r>
      <w:r w:rsidR="008B5ED9" w:rsidRPr="0030125D">
        <w:rPr>
          <w:iCs/>
          <w:lang w:val="de-DE"/>
        </w:rPr>
        <w:t xml:space="preserve">, </w:t>
      </w:r>
      <w:r w:rsidR="006902CB" w:rsidRPr="0030125D">
        <w:rPr>
          <w:iCs/>
          <w:lang w:val="de-DE"/>
        </w:rPr>
        <w:t xml:space="preserve">um zu </w:t>
      </w:r>
      <w:r w:rsidR="00AB4B2F" w:rsidRPr="0030125D">
        <w:rPr>
          <w:iCs/>
          <w:lang w:val="de-DE"/>
        </w:rPr>
        <w:t>verdeutlichen</w:t>
      </w:r>
      <w:r w:rsidR="006902CB" w:rsidRPr="0030125D">
        <w:rPr>
          <w:iCs/>
          <w:lang w:val="de-DE"/>
        </w:rPr>
        <w:t xml:space="preserve">, </w:t>
      </w:r>
      <w:r w:rsidR="00AB4B2F" w:rsidRPr="0030125D">
        <w:rPr>
          <w:iCs/>
          <w:lang w:val="de-DE"/>
        </w:rPr>
        <w:t>daß</w:t>
      </w:r>
      <w:r w:rsidR="006902CB" w:rsidRPr="0030125D">
        <w:rPr>
          <w:iCs/>
          <w:lang w:val="de-DE"/>
        </w:rPr>
        <w:t xml:space="preserve"> ein klarer visueller Unterschied möglicherweise keinen klaren </w:t>
      </w:r>
      <w:r w:rsidR="00AB4B2F" w:rsidRPr="0030125D">
        <w:rPr>
          <w:iCs/>
          <w:lang w:val="de-DE"/>
        </w:rPr>
        <w:t>phonetischen</w:t>
      </w:r>
      <w:r w:rsidR="006902CB" w:rsidRPr="0030125D">
        <w:rPr>
          <w:iCs/>
          <w:lang w:val="de-DE"/>
        </w:rPr>
        <w:t xml:space="preserve"> </w:t>
      </w:r>
      <w:r w:rsidR="00AB4B2F" w:rsidRPr="0030125D">
        <w:rPr>
          <w:iCs/>
          <w:lang w:val="de-DE"/>
        </w:rPr>
        <w:t>Unterschied</w:t>
      </w:r>
      <w:r w:rsidR="006902CB" w:rsidRPr="0030125D">
        <w:rPr>
          <w:iCs/>
          <w:lang w:val="de-DE"/>
        </w:rPr>
        <w:t xml:space="preserve"> </w:t>
      </w:r>
      <w:r w:rsidR="00DB1EA7" w:rsidRPr="0030125D">
        <w:rPr>
          <w:iCs/>
          <w:lang w:val="de-DE"/>
        </w:rPr>
        <w:t>zeigt</w:t>
      </w:r>
      <w:r w:rsidR="006902CB" w:rsidRPr="0030125D">
        <w:rPr>
          <w:iCs/>
          <w:lang w:val="de-DE"/>
        </w:rPr>
        <w:t xml:space="preserve"> </w:t>
      </w:r>
      <w:r w:rsidR="008B5ED9" w:rsidRPr="0030125D">
        <w:rPr>
          <w:iCs/>
          <w:lang w:val="de-DE"/>
        </w:rPr>
        <w:t>(</w:t>
      </w:r>
      <w:r w:rsidR="006902CB" w:rsidRPr="0030125D">
        <w:rPr>
          <w:iCs/>
          <w:lang w:val="de-DE"/>
        </w:rPr>
        <w:t>vergleiche Absätze</w:t>
      </w:r>
      <w:r w:rsidR="00FD033B" w:rsidRPr="0030125D">
        <w:rPr>
          <w:iCs/>
          <w:lang w:val="de-DE"/>
        </w:rPr>
        <w:t> </w:t>
      </w:r>
      <w:r w:rsidR="008B5ED9" w:rsidRPr="0030125D">
        <w:rPr>
          <w:iCs/>
          <w:lang w:val="de-DE"/>
        </w:rPr>
        <w:t xml:space="preserve">35 </w:t>
      </w:r>
      <w:r w:rsidR="006902CB" w:rsidRPr="0030125D">
        <w:rPr>
          <w:iCs/>
          <w:lang w:val="de-DE"/>
        </w:rPr>
        <w:t>u</w:t>
      </w:r>
      <w:r w:rsidR="008B5ED9" w:rsidRPr="0030125D">
        <w:rPr>
          <w:iCs/>
          <w:lang w:val="de-DE"/>
        </w:rPr>
        <w:t>nd 36)</w:t>
      </w:r>
      <w:r w:rsidR="006902CB" w:rsidRPr="0030125D">
        <w:rPr>
          <w:iCs/>
          <w:lang w:val="de-DE"/>
        </w:rPr>
        <w:t>, und</w:t>
      </w:r>
    </w:p>
    <w:p w:rsidR="008B5ED9" w:rsidRPr="0030125D" w:rsidRDefault="008B5ED9" w:rsidP="0077424B">
      <w:pPr>
        <w:tabs>
          <w:tab w:val="left" w:pos="1418"/>
        </w:tabs>
        <w:ind w:firstLine="993"/>
        <w:rPr>
          <w:iCs/>
          <w:lang w:val="de-DE"/>
        </w:rPr>
      </w:pPr>
    </w:p>
    <w:p w:rsidR="008B5ED9" w:rsidRPr="0030125D" w:rsidRDefault="00F364BD" w:rsidP="0077424B">
      <w:pPr>
        <w:tabs>
          <w:tab w:val="left" w:pos="1418"/>
        </w:tabs>
        <w:ind w:firstLine="993"/>
        <w:rPr>
          <w:iCs/>
          <w:lang w:val="de-DE"/>
        </w:rPr>
      </w:pPr>
      <w:r w:rsidRPr="0030125D">
        <w:rPr>
          <w:iCs/>
          <w:lang w:val="de-DE"/>
        </w:rPr>
        <w:t xml:space="preserve"> </w:t>
      </w:r>
      <w:r w:rsidR="0077424B" w:rsidRPr="0030125D">
        <w:rPr>
          <w:iCs/>
          <w:lang w:val="de-DE"/>
        </w:rPr>
        <w:t>vi)</w:t>
      </w:r>
      <w:r w:rsidR="0077424B" w:rsidRPr="0030125D">
        <w:rPr>
          <w:iCs/>
          <w:lang w:val="de-DE"/>
        </w:rPr>
        <w:tab/>
      </w:r>
      <w:r w:rsidR="00DE47C4" w:rsidRPr="0030125D">
        <w:rPr>
          <w:iCs/>
          <w:lang w:val="de-DE"/>
        </w:rPr>
        <w:t>Abschnitt</w:t>
      </w:r>
      <w:r w:rsidR="00FD033B" w:rsidRPr="0030125D">
        <w:rPr>
          <w:iCs/>
          <w:lang w:val="de-DE"/>
        </w:rPr>
        <w:t> </w:t>
      </w:r>
      <w:r w:rsidR="008B5ED9" w:rsidRPr="0030125D">
        <w:rPr>
          <w:iCs/>
          <w:lang w:val="de-DE"/>
        </w:rPr>
        <w:t>2.3.3</w:t>
      </w:r>
      <w:r w:rsidR="00DB1EA7" w:rsidRPr="0030125D">
        <w:rPr>
          <w:iCs/>
          <w:lang w:val="de-DE"/>
        </w:rPr>
        <w:t> </w:t>
      </w:r>
      <w:r w:rsidR="008B5ED9" w:rsidRPr="0030125D">
        <w:rPr>
          <w:iCs/>
          <w:lang w:val="de-DE"/>
        </w:rPr>
        <w:t xml:space="preserve">d), </w:t>
      </w:r>
      <w:r w:rsidR="00EB1975" w:rsidRPr="0030125D">
        <w:rPr>
          <w:iCs/>
          <w:lang w:val="de-DE"/>
        </w:rPr>
        <w:t xml:space="preserve">vorgeschlagene Empfehlung, </w:t>
      </w:r>
      <w:r w:rsidR="00AB4B2F" w:rsidRPr="0030125D">
        <w:rPr>
          <w:iCs/>
          <w:lang w:val="de-DE"/>
        </w:rPr>
        <w:t>daß</w:t>
      </w:r>
      <w:r w:rsidR="00EB1975" w:rsidRPr="0030125D">
        <w:rPr>
          <w:iCs/>
          <w:lang w:val="de-DE"/>
        </w:rPr>
        <w:t xml:space="preserve"> </w:t>
      </w:r>
      <w:r w:rsidR="005A16C1" w:rsidRPr="0030125D">
        <w:rPr>
          <w:iCs/>
          <w:lang w:val="de-DE"/>
        </w:rPr>
        <w:t>erwogen</w:t>
      </w:r>
      <w:r w:rsidR="00813702" w:rsidRPr="0030125D">
        <w:rPr>
          <w:iCs/>
          <w:lang w:val="de-DE"/>
        </w:rPr>
        <w:t xml:space="preserve"> werden soll, eine </w:t>
      </w:r>
      <w:r w:rsidR="00EB1975" w:rsidRPr="0030125D">
        <w:rPr>
          <w:iCs/>
          <w:lang w:val="de-DE"/>
        </w:rPr>
        <w:t>erneute</w:t>
      </w:r>
      <w:r w:rsidR="00813702" w:rsidRPr="0030125D">
        <w:rPr>
          <w:iCs/>
          <w:lang w:val="de-DE"/>
        </w:rPr>
        <w:t xml:space="preserve"> </w:t>
      </w:r>
      <w:r w:rsidR="00EB1975" w:rsidRPr="0030125D">
        <w:rPr>
          <w:iCs/>
          <w:lang w:val="de-DE"/>
        </w:rPr>
        <w:t xml:space="preserve">Verwendung von </w:t>
      </w:r>
      <w:r w:rsidR="00813702" w:rsidRPr="0030125D">
        <w:rPr>
          <w:iCs/>
          <w:lang w:val="de-DE"/>
        </w:rPr>
        <w:t>Sortenb</w:t>
      </w:r>
      <w:r w:rsidR="00EB1975" w:rsidRPr="0030125D">
        <w:rPr>
          <w:iCs/>
          <w:lang w:val="de-DE"/>
        </w:rPr>
        <w:t xml:space="preserve">ezeichnungen in allen Fällen zu </w:t>
      </w:r>
      <w:r w:rsidR="00813702" w:rsidRPr="0030125D">
        <w:rPr>
          <w:iCs/>
          <w:lang w:val="de-DE"/>
        </w:rPr>
        <w:t>vermeiden</w:t>
      </w:r>
      <w:r w:rsidR="00EB1975" w:rsidRPr="0030125D">
        <w:rPr>
          <w:iCs/>
          <w:lang w:val="de-DE"/>
        </w:rPr>
        <w:t xml:space="preserve"> </w:t>
      </w:r>
      <w:r w:rsidR="008B5ED9" w:rsidRPr="0030125D">
        <w:rPr>
          <w:iCs/>
          <w:lang w:val="de-DE"/>
        </w:rPr>
        <w:t>(</w:t>
      </w:r>
      <w:r w:rsidR="00DD0FB9" w:rsidRPr="0030125D">
        <w:rPr>
          <w:iCs/>
          <w:lang w:val="de-DE"/>
        </w:rPr>
        <w:t>vergleiche Absatz</w:t>
      </w:r>
      <w:r w:rsidR="00FD033B" w:rsidRPr="0030125D">
        <w:rPr>
          <w:iCs/>
          <w:lang w:val="de-DE"/>
        </w:rPr>
        <w:t> </w:t>
      </w:r>
      <w:r w:rsidR="008B5ED9" w:rsidRPr="0030125D">
        <w:rPr>
          <w:iCs/>
          <w:lang w:val="de-DE"/>
        </w:rPr>
        <w:t xml:space="preserve">37 </w:t>
      </w:r>
      <w:r w:rsidR="00EB1975" w:rsidRPr="0030125D">
        <w:rPr>
          <w:iCs/>
          <w:lang w:val="de-DE"/>
        </w:rPr>
        <w:t>u</w:t>
      </w:r>
      <w:r w:rsidR="008B5ED9" w:rsidRPr="0030125D">
        <w:rPr>
          <w:iCs/>
          <w:lang w:val="de-DE"/>
        </w:rPr>
        <w:t xml:space="preserve">nd </w:t>
      </w:r>
      <w:r w:rsidR="00EB1975" w:rsidRPr="0030125D">
        <w:rPr>
          <w:iCs/>
          <w:lang w:val="de-DE"/>
        </w:rPr>
        <w:t>de</w:t>
      </w:r>
      <w:r w:rsidR="00FD033B" w:rsidRPr="0030125D">
        <w:rPr>
          <w:iCs/>
          <w:lang w:val="de-DE"/>
        </w:rPr>
        <w:t>n</w:t>
      </w:r>
      <w:r w:rsidR="00EB1975" w:rsidRPr="0030125D">
        <w:rPr>
          <w:iCs/>
          <w:lang w:val="de-DE"/>
        </w:rPr>
        <w:t xml:space="preserve"> Vorschlag, di</w:t>
      </w:r>
      <w:r w:rsidR="00FD033B" w:rsidRPr="0030125D">
        <w:rPr>
          <w:iCs/>
          <w:lang w:val="de-DE"/>
        </w:rPr>
        <w:t xml:space="preserve">e PLUTO-Datenbank zu erweitern, </w:t>
      </w:r>
      <w:r w:rsidR="00DE47C4" w:rsidRPr="0030125D">
        <w:rPr>
          <w:iCs/>
          <w:lang w:val="de-DE"/>
        </w:rPr>
        <w:t>Absatz</w:t>
      </w:r>
      <w:r w:rsidR="00FD033B" w:rsidRPr="0030125D">
        <w:rPr>
          <w:iCs/>
          <w:lang w:val="de-DE"/>
        </w:rPr>
        <w:t> </w:t>
      </w:r>
      <w:r w:rsidR="008B5ED9" w:rsidRPr="0030125D">
        <w:rPr>
          <w:iCs/>
          <w:lang w:val="de-DE"/>
        </w:rPr>
        <w:t>38)</w:t>
      </w:r>
      <w:r w:rsidR="00EB1975" w:rsidRPr="0030125D">
        <w:rPr>
          <w:iCs/>
          <w:lang w:val="de-DE"/>
        </w:rPr>
        <w:t>, und</w:t>
      </w:r>
    </w:p>
    <w:p w:rsidR="008B5ED9" w:rsidRPr="0030125D" w:rsidRDefault="008B5ED9" w:rsidP="008B5ED9">
      <w:pPr>
        <w:rPr>
          <w:iCs/>
          <w:lang w:val="de-DE"/>
        </w:rPr>
      </w:pPr>
    </w:p>
    <w:p w:rsidR="008B5ED9" w:rsidRPr="0030125D" w:rsidRDefault="008B5ED9" w:rsidP="008B5ED9">
      <w:pPr>
        <w:rPr>
          <w:iCs/>
          <w:lang w:val="de-DE"/>
        </w:rPr>
      </w:pPr>
      <w:r w:rsidRPr="0030125D">
        <w:rPr>
          <w:iCs/>
          <w:lang w:val="de-DE"/>
        </w:rPr>
        <w:tab/>
        <w:t>b)</w:t>
      </w:r>
      <w:r w:rsidRPr="0030125D">
        <w:rPr>
          <w:iCs/>
          <w:lang w:val="de-DE"/>
        </w:rPr>
        <w:tab/>
      </w:r>
      <w:r w:rsidR="00B40AB1" w:rsidRPr="0030125D">
        <w:rPr>
          <w:iCs/>
          <w:lang w:val="de-DE"/>
        </w:rPr>
        <w:t xml:space="preserve">einen möglichen künftigen Weg für die Überarbeitung des Dokuments UPOV/INF/12 unter Berücksichtigung der ersten Bemerkungen des CAJ zu den obigen Angelegenheiten und in Verbindung mit </w:t>
      </w:r>
      <w:r w:rsidR="00B40AB1" w:rsidRPr="0030125D">
        <w:rPr>
          <w:iCs/>
          <w:lang w:val="de-DE"/>
        </w:rPr>
        <w:lastRenderedPageBreak/>
        <w:t>der Arbeit der WG</w:t>
      </w:r>
      <w:r w:rsidR="00B40AB1" w:rsidRPr="0030125D">
        <w:rPr>
          <w:iCs/>
          <w:lang w:val="de-DE"/>
        </w:rPr>
        <w:noBreakHyphen/>
        <w:t>DST zur Entwicklung eines effizienten UPOV-Suchinstruments für Ähnlichkeiten zum Z</w:t>
      </w:r>
      <w:r w:rsidR="00DB1EA7" w:rsidRPr="0030125D">
        <w:rPr>
          <w:iCs/>
          <w:lang w:val="de-DE"/>
        </w:rPr>
        <w:t>w</w:t>
      </w:r>
      <w:r w:rsidR="00B40AB1" w:rsidRPr="0030125D">
        <w:rPr>
          <w:iCs/>
          <w:lang w:val="de-DE"/>
        </w:rPr>
        <w:t>eck der Sortenbezeichnung zu prüfen</w:t>
      </w:r>
      <w:r w:rsidR="00EB1975" w:rsidRPr="0030125D">
        <w:rPr>
          <w:iCs/>
          <w:lang w:val="de-DE"/>
        </w:rPr>
        <w:t>.</w:t>
      </w:r>
    </w:p>
    <w:p w:rsidR="0038194C" w:rsidRPr="0030125D" w:rsidRDefault="0038194C" w:rsidP="0038194C">
      <w:pPr>
        <w:rPr>
          <w:iCs/>
          <w:lang w:val="de-DE" w:eastAsia="ja-JP"/>
        </w:rPr>
      </w:pPr>
    </w:p>
    <w:p w:rsidR="00CB4DA9" w:rsidRPr="0030125D" w:rsidRDefault="00CB4DA9" w:rsidP="00CB4DA9">
      <w:pPr>
        <w:rPr>
          <w:iCs/>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EB1975" w:rsidRPr="0030125D">
        <w:rPr>
          <w:lang w:val="de-DE"/>
        </w:rPr>
        <w:t>Der</w:t>
      </w:r>
      <w:r w:rsidRPr="0030125D">
        <w:rPr>
          <w:iCs/>
          <w:lang w:val="de-DE"/>
        </w:rPr>
        <w:t xml:space="preserve"> CAJ </w:t>
      </w:r>
      <w:r w:rsidR="00EB1975" w:rsidRPr="0030125D">
        <w:rPr>
          <w:iCs/>
          <w:lang w:val="de-DE"/>
        </w:rPr>
        <w:t xml:space="preserve">wird ersucht, zur Kenntnis zu nehmen, </w:t>
      </w:r>
      <w:r w:rsidR="00AB4B2F" w:rsidRPr="0030125D">
        <w:rPr>
          <w:iCs/>
          <w:lang w:val="de-DE"/>
        </w:rPr>
        <w:t>daß</w:t>
      </w:r>
      <w:r w:rsidR="00EB1975" w:rsidRPr="0030125D">
        <w:rPr>
          <w:iCs/>
          <w:lang w:val="de-DE"/>
        </w:rPr>
        <w:t xml:space="preserve"> der Vorschlag für </w:t>
      </w:r>
      <w:r w:rsidR="00DB1EA7" w:rsidRPr="0030125D">
        <w:rPr>
          <w:iCs/>
          <w:lang w:val="de-DE"/>
        </w:rPr>
        <w:t>ein</w:t>
      </w:r>
      <w:r w:rsidR="00EB1975" w:rsidRPr="0030125D">
        <w:rPr>
          <w:iCs/>
          <w:lang w:val="de-DE"/>
        </w:rPr>
        <w:t xml:space="preserve">e </w:t>
      </w:r>
      <w:r w:rsidR="00AB4B2F" w:rsidRPr="0030125D">
        <w:rPr>
          <w:iCs/>
          <w:lang w:val="de-DE"/>
        </w:rPr>
        <w:t>Erweiterung</w:t>
      </w:r>
      <w:r w:rsidR="00EB1975" w:rsidRPr="0030125D">
        <w:rPr>
          <w:iCs/>
          <w:lang w:val="de-DE"/>
        </w:rPr>
        <w:t xml:space="preserve"> der PLUTO</w:t>
      </w:r>
      <w:r w:rsidR="00EB1975" w:rsidRPr="0030125D">
        <w:rPr>
          <w:iCs/>
          <w:lang w:val="de-DE"/>
        </w:rPr>
        <w:noBreakHyphen/>
        <w:t xml:space="preserve">Datenbank zur </w:t>
      </w:r>
      <w:r w:rsidR="00AB4B2F" w:rsidRPr="0030125D">
        <w:rPr>
          <w:iCs/>
          <w:lang w:val="de-DE"/>
        </w:rPr>
        <w:t>Aufnahme</w:t>
      </w:r>
      <w:r w:rsidR="00EB1975" w:rsidRPr="0030125D">
        <w:rPr>
          <w:iCs/>
          <w:lang w:val="de-DE"/>
        </w:rPr>
        <w:t xml:space="preserve"> aller Sorten, </w:t>
      </w:r>
      <w:r w:rsidR="00AB4B2F" w:rsidRPr="0030125D">
        <w:rPr>
          <w:iCs/>
          <w:lang w:val="de-DE"/>
        </w:rPr>
        <w:t>einschließlich</w:t>
      </w:r>
      <w:r w:rsidR="00EB1975" w:rsidRPr="0030125D">
        <w:rPr>
          <w:iCs/>
          <w:lang w:val="de-DE"/>
        </w:rPr>
        <w:t xml:space="preserve"> derjenigen, </w:t>
      </w:r>
      <w:r w:rsidR="001254F0" w:rsidRPr="0030125D">
        <w:rPr>
          <w:rFonts w:cs="Arial"/>
          <w:lang w:val="de-DE"/>
        </w:rPr>
        <w:t>die nicht eingetragen/geschützt worden waren oder es nicht mehr sind</w:t>
      </w:r>
      <w:r w:rsidR="00EB1975" w:rsidRPr="0030125D">
        <w:rPr>
          <w:iCs/>
          <w:lang w:val="de-DE"/>
        </w:rPr>
        <w:t>,</w:t>
      </w:r>
      <w:r w:rsidRPr="0030125D">
        <w:rPr>
          <w:iCs/>
          <w:lang w:val="de-DE"/>
        </w:rPr>
        <w:t xml:space="preserve"> in </w:t>
      </w:r>
      <w:r w:rsidR="00DE47C4" w:rsidRPr="0030125D">
        <w:rPr>
          <w:iCs/>
          <w:lang w:val="de-DE"/>
        </w:rPr>
        <w:t>Dokument</w:t>
      </w:r>
      <w:r w:rsidR="00EB1975" w:rsidRPr="0030125D">
        <w:rPr>
          <w:iCs/>
          <w:lang w:val="de-DE"/>
        </w:rPr>
        <w:t> </w:t>
      </w:r>
      <w:r w:rsidRPr="0030125D">
        <w:rPr>
          <w:iCs/>
          <w:lang w:val="de-DE"/>
        </w:rPr>
        <w:t>CAJ/72/6</w:t>
      </w:r>
      <w:r w:rsidR="00EB1975" w:rsidRPr="0030125D">
        <w:rPr>
          <w:iCs/>
          <w:lang w:val="de-DE"/>
        </w:rPr>
        <w:t>,</w:t>
      </w:r>
      <w:r w:rsidRPr="0030125D">
        <w:rPr>
          <w:iCs/>
          <w:lang w:val="de-DE"/>
        </w:rPr>
        <w:t xml:space="preserve"> </w:t>
      </w:r>
      <w:r w:rsidR="00DB1EA7" w:rsidRPr="0030125D">
        <w:rPr>
          <w:iCs/>
          <w:lang w:val="de-DE"/>
        </w:rPr>
        <w:t>„</w:t>
      </w:r>
      <w:r w:rsidRPr="0030125D">
        <w:rPr>
          <w:iCs/>
          <w:lang w:val="de-DE"/>
        </w:rPr>
        <w:t>UPOV</w:t>
      </w:r>
      <w:r w:rsidR="00EB1975" w:rsidRPr="0030125D">
        <w:rPr>
          <w:iCs/>
          <w:lang w:val="de-DE"/>
        </w:rPr>
        <w:t>-</w:t>
      </w:r>
      <w:r w:rsidRPr="0030125D">
        <w:rPr>
          <w:iCs/>
          <w:lang w:val="de-DE"/>
        </w:rPr>
        <w:t>Information</w:t>
      </w:r>
      <w:r w:rsidR="00EB1975" w:rsidRPr="0030125D">
        <w:rPr>
          <w:iCs/>
          <w:lang w:val="de-DE"/>
        </w:rPr>
        <w:t>sd</w:t>
      </w:r>
      <w:r w:rsidRPr="0030125D">
        <w:rPr>
          <w:iCs/>
          <w:lang w:val="de-DE"/>
        </w:rPr>
        <w:t>at</w:t>
      </w:r>
      <w:r w:rsidR="00EB1975" w:rsidRPr="0030125D">
        <w:rPr>
          <w:iCs/>
          <w:lang w:val="de-DE"/>
        </w:rPr>
        <w:t>enbanken“</w:t>
      </w:r>
      <w:r w:rsidR="00813702" w:rsidRPr="0030125D">
        <w:rPr>
          <w:iCs/>
          <w:lang w:val="de-DE"/>
        </w:rPr>
        <w:t>,</w:t>
      </w:r>
      <w:r w:rsidR="00EB1975" w:rsidRPr="0030125D">
        <w:rPr>
          <w:iCs/>
          <w:lang w:val="de-DE"/>
        </w:rPr>
        <w:t xml:space="preserve"> behandelt </w:t>
      </w:r>
      <w:r w:rsidR="00AB4B2F" w:rsidRPr="0030125D">
        <w:rPr>
          <w:iCs/>
          <w:lang w:val="de-DE"/>
        </w:rPr>
        <w:t>werden</w:t>
      </w:r>
      <w:r w:rsidR="00EB1975" w:rsidRPr="0030125D">
        <w:rPr>
          <w:iCs/>
          <w:lang w:val="de-DE"/>
        </w:rPr>
        <w:t xml:space="preserve"> wird, wie in</w:t>
      </w:r>
      <w:r w:rsidRPr="0030125D">
        <w:rPr>
          <w:iCs/>
          <w:lang w:val="de-DE"/>
        </w:rPr>
        <w:t xml:space="preserve"> </w:t>
      </w:r>
      <w:r w:rsidR="00DE47C4" w:rsidRPr="0030125D">
        <w:rPr>
          <w:iCs/>
          <w:lang w:val="de-DE"/>
        </w:rPr>
        <w:t>Absatz</w:t>
      </w:r>
      <w:r w:rsidR="00DB1EA7" w:rsidRPr="0030125D">
        <w:rPr>
          <w:iCs/>
          <w:lang w:val="de-DE"/>
        </w:rPr>
        <w:t> </w:t>
      </w:r>
      <w:r w:rsidRPr="0030125D">
        <w:rPr>
          <w:iCs/>
          <w:lang w:val="de-DE"/>
        </w:rPr>
        <w:t>3</w:t>
      </w:r>
      <w:r w:rsidRPr="0030125D">
        <w:rPr>
          <w:iCs/>
          <w:lang w:val="de-DE" w:eastAsia="ja-JP"/>
        </w:rPr>
        <w:t>8</w:t>
      </w:r>
      <w:r w:rsidR="00EB1975" w:rsidRPr="0030125D">
        <w:rPr>
          <w:iCs/>
          <w:lang w:val="de-DE" w:eastAsia="ja-JP"/>
        </w:rPr>
        <w:t xml:space="preserve"> dargelegt</w:t>
      </w:r>
      <w:r w:rsidRPr="0030125D">
        <w:rPr>
          <w:iCs/>
          <w:lang w:val="de-DE"/>
        </w:rPr>
        <w:t>.</w:t>
      </w:r>
    </w:p>
    <w:p w:rsidR="00CB4DA9" w:rsidRPr="0030125D" w:rsidRDefault="00CB4DA9" w:rsidP="0038194C">
      <w:pPr>
        <w:rPr>
          <w:iCs/>
          <w:lang w:val="de-DE" w:eastAsia="ja-JP"/>
        </w:rPr>
      </w:pPr>
    </w:p>
    <w:p w:rsidR="003C7F21" w:rsidRPr="0030125D" w:rsidRDefault="003C7F21" w:rsidP="0038194C">
      <w:pPr>
        <w:rPr>
          <w:iCs/>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EB1975" w:rsidRPr="0030125D">
        <w:rPr>
          <w:lang w:val="de-DE"/>
        </w:rPr>
        <w:t>Der</w:t>
      </w:r>
      <w:r w:rsidRPr="0030125D">
        <w:rPr>
          <w:iCs/>
          <w:lang w:val="de-DE" w:eastAsia="ja-JP"/>
        </w:rPr>
        <w:t xml:space="preserve"> CAJ </w:t>
      </w:r>
      <w:r w:rsidR="00EB1975" w:rsidRPr="0030125D">
        <w:rPr>
          <w:iCs/>
          <w:lang w:val="de-DE" w:eastAsia="ja-JP"/>
        </w:rPr>
        <w:t xml:space="preserve">wird ersucht, die </w:t>
      </w:r>
      <w:r w:rsidR="00AB4B2F" w:rsidRPr="0030125D">
        <w:rPr>
          <w:iCs/>
          <w:lang w:val="de-DE" w:eastAsia="ja-JP"/>
        </w:rPr>
        <w:t>Vorschläge</w:t>
      </w:r>
      <w:r w:rsidR="00EB1975" w:rsidRPr="0030125D">
        <w:rPr>
          <w:iCs/>
          <w:lang w:val="de-DE" w:eastAsia="ja-JP"/>
        </w:rPr>
        <w:t xml:space="preserve"> der</w:t>
      </w:r>
      <w:r w:rsidRPr="0030125D">
        <w:rPr>
          <w:iCs/>
          <w:lang w:val="de-DE" w:eastAsia="ja-JP"/>
        </w:rPr>
        <w:t xml:space="preserve"> CAJ-AG </w:t>
      </w:r>
      <w:r w:rsidR="00EB1975" w:rsidRPr="0030125D">
        <w:rPr>
          <w:iCs/>
          <w:lang w:val="de-DE" w:eastAsia="ja-JP"/>
        </w:rPr>
        <w:t xml:space="preserve">für </w:t>
      </w:r>
      <w:r w:rsidR="00AB4B2F" w:rsidRPr="0030125D">
        <w:rPr>
          <w:iCs/>
          <w:lang w:val="de-DE" w:eastAsia="ja-JP"/>
        </w:rPr>
        <w:t>eine</w:t>
      </w:r>
      <w:r w:rsidR="00EB1975" w:rsidRPr="0030125D">
        <w:rPr>
          <w:iCs/>
          <w:lang w:val="de-DE" w:eastAsia="ja-JP"/>
        </w:rPr>
        <w:t xml:space="preserve"> </w:t>
      </w:r>
      <w:r w:rsidR="00AB4B2F" w:rsidRPr="0030125D">
        <w:rPr>
          <w:iCs/>
          <w:lang w:val="de-DE" w:eastAsia="ja-JP"/>
        </w:rPr>
        <w:t>Überarbeitung</w:t>
      </w:r>
      <w:r w:rsidR="00EB1975" w:rsidRPr="0030125D">
        <w:rPr>
          <w:iCs/>
          <w:lang w:val="de-DE" w:eastAsia="ja-JP"/>
        </w:rPr>
        <w:t xml:space="preserve"> des Dokum</w:t>
      </w:r>
      <w:r w:rsidR="00DE47C4" w:rsidRPr="0030125D">
        <w:rPr>
          <w:iCs/>
          <w:lang w:val="de-DE" w:eastAsia="ja-JP"/>
        </w:rPr>
        <w:t>ent</w:t>
      </w:r>
      <w:r w:rsidR="00EB1975" w:rsidRPr="0030125D">
        <w:rPr>
          <w:iCs/>
          <w:lang w:val="de-DE" w:eastAsia="ja-JP"/>
        </w:rPr>
        <w:t>s </w:t>
      </w:r>
      <w:r w:rsidRPr="0030125D">
        <w:rPr>
          <w:iCs/>
          <w:lang w:val="de-DE" w:eastAsia="ja-JP"/>
        </w:rPr>
        <w:t xml:space="preserve">UPOV/INF/12/5, </w:t>
      </w:r>
      <w:r w:rsidR="00DE47C4" w:rsidRPr="0030125D">
        <w:rPr>
          <w:iCs/>
          <w:lang w:val="de-DE" w:eastAsia="ja-JP"/>
        </w:rPr>
        <w:t>Abschnitte</w:t>
      </w:r>
      <w:r w:rsidR="00DB1EA7" w:rsidRPr="0030125D">
        <w:rPr>
          <w:iCs/>
          <w:lang w:val="de-DE" w:eastAsia="ja-JP"/>
        </w:rPr>
        <w:t> </w:t>
      </w:r>
      <w:r w:rsidRPr="0030125D">
        <w:rPr>
          <w:iCs/>
          <w:lang w:val="de-DE" w:eastAsia="ja-JP"/>
        </w:rPr>
        <w:t>2.2.2</w:t>
      </w:r>
      <w:r w:rsidR="00DB1EA7" w:rsidRPr="0030125D">
        <w:rPr>
          <w:iCs/>
          <w:lang w:val="de-DE" w:eastAsia="ja-JP"/>
        </w:rPr>
        <w:t> </w:t>
      </w:r>
      <w:r w:rsidRPr="0030125D">
        <w:rPr>
          <w:iCs/>
          <w:lang w:val="de-DE" w:eastAsia="ja-JP"/>
        </w:rPr>
        <w:t>c), 4</w:t>
      </w:r>
      <w:r w:rsidR="00DB1EA7" w:rsidRPr="0030125D">
        <w:rPr>
          <w:iCs/>
          <w:lang w:val="de-DE" w:eastAsia="ja-JP"/>
        </w:rPr>
        <w:t> </w:t>
      </w:r>
      <w:r w:rsidRPr="0030125D">
        <w:rPr>
          <w:iCs/>
          <w:lang w:val="de-DE" w:eastAsia="ja-JP"/>
        </w:rPr>
        <w:t xml:space="preserve">a) </w:t>
      </w:r>
      <w:r w:rsidR="00EB1975" w:rsidRPr="0030125D">
        <w:rPr>
          <w:iCs/>
          <w:lang w:val="de-DE" w:eastAsia="ja-JP"/>
        </w:rPr>
        <w:t>u</w:t>
      </w:r>
      <w:r w:rsidRPr="0030125D">
        <w:rPr>
          <w:iCs/>
          <w:lang w:val="de-DE" w:eastAsia="ja-JP"/>
        </w:rPr>
        <w:t>nd 4</w:t>
      </w:r>
      <w:r w:rsidR="00DB1EA7" w:rsidRPr="0030125D">
        <w:rPr>
          <w:iCs/>
          <w:lang w:val="de-DE" w:eastAsia="ja-JP"/>
        </w:rPr>
        <w:t> </w:t>
      </w:r>
      <w:r w:rsidRPr="0030125D">
        <w:rPr>
          <w:iCs/>
          <w:lang w:val="de-DE" w:eastAsia="ja-JP"/>
        </w:rPr>
        <w:t>e</w:t>
      </w:r>
      <w:r w:rsidR="00820F72" w:rsidRPr="0030125D">
        <w:rPr>
          <w:iCs/>
          <w:lang w:val="de-DE" w:eastAsia="ja-JP"/>
        </w:rPr>
        <w:t>)</w:t>
      </w:r>
      <w:r w:rsidR="00DB1EA7" w:rsidRPr="0030125D">
        <w:rPr>
          <w:iCs/>
          <w:lang w:val="de-DE" w:eastAsia="ja-JP"/>
        </w:rPr>
        <w:t> </w:t>
      </w:r>
      <w:r w:rsidR="00820F72" w:rsidRPr="0030125D">
        <w:rPr>
          <w:iCs/>
          <w:lang w:val="de-DE" w:eastAsia="ja-JP"/>
        </w:rPr>
        <w:t>i)</w:t>
      </w:r>
      <w:r w:rsidR="00EB1975" w:rsidRPr="0030125D">
        <w:rPr>
          <w:iCs/>
          <w:lang w:val="de-DE" w:eastAsia="ja-JP"/>
        </w:rPr>
        <w:t xml:space="preserve"> zu prüfen</w:t>
      </w:r>
      <w:r w:rsidR="00820F72" w:rsidRPr="0030125D">
        <w:rPr>
          <w:iCs/>
          <w:lang w:val="de-DE" w:eastAsia="ja-JP"/>
        </w:rPr>
        <w:t xml:space="preserve">, </w:t>
      </w:r>
      <w:r w:rsidR="00EB1975" w:rsidRPr="0030125D">
        <w:rPr>
          <w:iCs/>
          <w:lang w:val="de-DE" w:eastAsia="ja-JP"/>
        </w:rPr>
        <w:t>wie</w:t>
      </w:r>
      <w:r w:rsidR="00820F72" w:rsidRPr="0030125D">
        <w:rPr>
          <w:iCs/>
          <w:lang w:val="de-DE" w:eastAsia="ja-JP"/>
        </w:rPr>
        <w:t xml:space="preserve"> in </w:t>
      </w:r>
      <w:r w:rsidR="00DE47C4" w:rsidRPr="0030125D">
        <w:rPr>
          <w:iCs/>
          <w:lang w:val="de-DE" w:eastAsia="ja-JP"/>
        </w:rPr>
        <w:t>Absatz</w:t>
      </w:r>
      <w:r w:rsidR="00DB1EA7" w:rsidRPr="0030125D">
        <w:rPr>
          <w:iCs/>
          <w:lang w:val="de-DE" w:eastAsia="ja-JP"/>
        </w:rPr>
        <w:t> </w:t>
      </w:r>
      <w:r w:rsidR="00820F72" w:rsidRPr="0030125D">
        <w:rPr>
          <w:iCs/>
          <w:lang w:val="de-DE" w:eastAsia="ja-JP"/>
        </w:rPr>
        <w:t>41</w:t>
      </w:r>
      <w:r w:rsidR="00EB1975" w:rsidRPr="0030125D">
        <w:rPr>
          <w:iCs/>
          <w:lang w:val="de-DE" w:eastAsia="ja-JP"/>
        </w:rPr>
        <w:t xml:space="preserve"> dargelegt</w:t>
      </w:r>
      <w:r w:rsidRPr="0030125D">
        <w:rPr>
          <w:iCs/>
          <w:lang w:val="de-DE" w:eastAsia="ja-JP"/>
        </w:rPr>
        <w:t>.</w:t>
      </w:r>
    </w:p>
    <w:p w:rsidR="009175FC" w:rsidRPr="0030125D" w:rsidRDefault="009175FC">
      <w:pPr>
        <w:jc w:val="left"/>
        <w:rPr>
          <w:rFonts w:cs="Arial"/>
          <w:snapToGrid w:val="0"/>
          <w:lang w:val="de-DE"/>
        </w:rPr>
      </w:pPr>
    </w:p>
    <w:p w:rsidR="00B734CF" w:rsidRPr="0030125D" w:rsidRDefault="00B734CF" w:rsidP="00B734CF">
      <w:pPr>
        <w:keepNext/>
        <w:rPr>
          <w:rFonts w:cs="Arial"/>
          <w:snapToGrid w:val="0"/>
          <w:lang w:val="de-DE" w:eastAsia="ja-JP"/>
        </w:rPr>
      </w:pPr>
      <w:r w:rsidRPr="0030125D">
        <w:rPr>
          <w:rFonts w:cs="Arial"/>
          <w:snapToGrid w:val="0"/>
          <w:lang w:val="de-DE"/>
        </w:rPr>
        <w:fldChar w:fldCharType="begin"/>
      </w:r>
      <w:r w:rsidRPr="0030125D">
        <w:rPr>
          <w:rFonts w:cs="Arial"/>
          <w:snapToGrid w:val="0"/>
          <w:lang w:val="de-DE"/>
        </w:rPr>
        <w:instrText xml:space="preserve"> AUTONUM  </w:instrText>
      </w:r>
      <w:r w:rsidRPr="0030125D">
        <w:rPr>
          <w:rFonts w:cs="Arial"/>
          <w:snapToGrid w:val="0"/>
          <w:lang w:val="de-DE"/>
        </w:rPr>
        <w:fldChar w:fldCharType="end"/>
      </w:r>
      <w:r w:rsidRPr="0030125D">
        <w:rPr>
          <w:rFonts w:cs="Arial"/>
          <w:snapToGrid w:val="0"/>
          <w:lang w:val="de-DE"/>
        </w:rPr>
        <w:tab/>
      </w:r>
      <w:r w:rsidR="00EB1975" w:rsidRPr="0030125D">
        <w:rPr>
          <w:rFonts w:cs="Arial"/>
          <w:snapToGrid w:val="0"/>
          <w:lang w:val="de-DE"/>
        </w:rPr>
        <w:t xml:space="preserve">Der Aufbau dieses </w:t>
      </w:r>
      <w:r w:rsidR="00DE47C4" w:rsidRPr="0030125D">
        <w:rPr>
          <w:rFonts w:cs="Arial"/>
          <w:snapToGrid w:val="0"/>
          <w:lang w:val="de-DE" w:eastAsia="ja-JP"/>
        </w:rPr>
        <w:t>Dokument</w:t>
      </w:r>
      <w:r w:rsidRPr="0030125D">
        <w:rPr>
          <w:rFonts w:cs="Arial"/>
          <w:snapToGrid w:val="0"/>
          <w:lang w:val="de-DE" w:eastAsia="ja-JP"/>
        </w:rPr>
        <w:t xml:space="preserve"> is</w:t>
      </w:r>
      <w:r w:rsidR="00EB1975" w:rsidRPr="0030125D">
        <w:rPr>
          <w:rFonts w:cs="Arial"/>
          <w:snapToGrid w:val="0"/>
          <w:lang w:val="de-DE" w:eastAsia="ja-JP"/>
        </w:rPr>
        <w:t>t nachstehend zusammengefaßt</w:t>
      </w:r>
      <w:r w:rsidRPr="0030125D">
        <w:rPr>
          <w:rFonts w:cs="Arial"/>
          <w:snapToGrid w:val="0"/>
          <w:lang w:val="de-DE" w:eastAsia="ja-JP"/>
        </w:rPr>
        <w:t>:</w:t>
      </w:r>
    </w:p>
    <w:p w:rsidR="00B734CF" w:rsidRPr="0030125D" w:rsidRDefault="00B734CF" w:rsidP="00B734CF">
      <w:pPr>
        <w:keepNext/>
        <w:rPr>
          <w:rFonts w:cs="Arial"/>
          <w:snapToGrid w:val="0"/>
          <w:lang w:val="de-DE" w:eastAsia="ja-JP"/>
        </w:rPr>
      </w:pPr>
    </w:p>
    <w:p w:rsidR="001559FC" w:rsidRDefault="001559FC" w:rsidP="00FA0CF1">
      <w:pPr>
        <w:pStyle w:val="TOC1"/>
        <w:rPr>
          <w:rFonts w:asciiTheme="minorHAnsi" w:hAnsiTheme="minorHAnsi" w:cstheme="minorBidi"/>
          <w:sz w:val="22"/>
          <w:szCs w:val="22"/>
          <w:lang w:val="fr-CH" w:eastAsia="fr-CH"/>
        </w:rPr>
      </w:pPr>
      <w:r>
        <w:rPr>
          <w:snapToGrid w:val="0"/>
          <w:lang w:val="de-DE"/>
        </w:rPr>
        <w:fldChar w:fldCharType="begin"/>
      </w:r>
      <w:r>
        <w:rPr>
          <w:snapToGrid w:val="0"/>
          <w:lang w:val="de-DE"/>
        </w:rPr>
        <w:instrText xml:space="preserve"> TOC \o "1-3" \h \z \u </w:instrText>
      </w:r>
      <w:r>
        <w:rPr>
          <w:snapToGrid w:val="0"/>
          <w:lang w:val="de-DE"/>
        </w:rPr>
        <w:fldChar w:fldCharType="separate"/>
      </w:r>
      <w:hyperlink w:anchor="_Toc432164661" w:history="1">
        <w:r w:rsidRPr="00D0337A">
          <w:rPr>
            <w:rStyle w:val="Hyperlink"/>
            <w:lang w:val="de-DE"/>
          </w:rPr>
          <w:t>ZUSAMMENFASSUNG</w:t>
        </w:r>
        <w:r>
          <w:rPr>
            <w:webHidden/>
          </w:rPr>
          <w:tab/>
        </w:r>
        <w:r>
          <w:rPr>
            <w:webHidden/>
          </w:rPr>
          <w:fldChar w:fldCharType="begin"/>
        </w:r>
        <w:r>
          <w:rPr>
            <w:webHidden/>
          </w:rPr>
          <w:instrText xml:space="preserve"> PAGEREF _Toc432164661 \h </w:instrText>
        </w:r>
        <w:r>
          <w:rPr>
            <w:webHidden/>
          </w:rPr>
        </w:r>
        <w:r>
          <w:rPr>
            <w:webHidden/>
          </w:rPr>
          <w:fldChar w:fldCharType="separate"/>
        </w:r>
        <w:r w:rsidR="001A53D9">
          <w:rPr>
            <w:webHidden/>
          </w:rPr>
          <w:t>1</w:t>
        </w:r>
        <w:r>
          <w:rPr>
            <w:webHidden/>
          </w:rPr>
          <w:fldChar w:fldCharType="end"/>
        </w:r>
      </w:hyperlink>
    </w:p>
    <w:p w:rsidR="001559FC" w:rsidRDefault="001A53D9" w:rsidP="00FA0CF1">
      <w:pPr>
        <w:pStyle w:val="TOC1"/>
        <w:rPr>
          <w:rFonts w:asciiTheme="minorHAnsi" w:hAnsiTheme="minorHAnsi" w:cstheme="minorBidi"/>
          <w:sz w:val="22"/>
          <w:szCs w:val="22"/>
          <w:lang w:val="fr-CH" w:eastAsia="fr-CH"/>
        </w:rPr>
      </w:pPr>
      <w:hyperlink w:anchor="_Toc432164662" w:history="1">
        <w:r w:rsidR="001559FC" w:rsidRPr="00D0337A">
          <w:rPr>
            <w:rStyle w:val="Hyperlink"/>
            <w:lang w:val="de-DE"/>
          </w:rPr>
          <w:t>ZWECK</w:t>
        </w:r>
        <w:r w:rsidR="001559FC">
          <w:rPr>
            <w:webHidden/>
          </w:rPr>
          <w:tab/>
        </w:r>
        <w:r w:rsidR="001559FC">
          <w:rPr>
            <w:webHidden/>
          </w:rPr>
          <w:fldChar w:fldCharType="begin"/>
        </w:r>
        <w:r w:rsidR="001559FC">
          <w:rPr>
            <w:webHidden/>
          </w:rPr>
          <w:instrText xml:space="preserve"> PAGEREF _Toc432164662 \h </w:instrText>
        </w:r>
        <w:r w:rsidR="001559FC">
          <w:rPr>
            <w:webHidden/>
          </w:rPr>
        </w:r>
        <w:r w:rsidR="001559FC">
          <w:rPr>
            <w:webHidden/>
          </w:rPr>
          <w:fldChar w:fldCharType="separate"/>
        </w:r>
        <w:r>
          <w:rPr>
            <w:webHidden/>
          </w:rPr>
          <w:t>2</w:t>
        </w:r>
        <w:r w:rsidR="001559FC">
          <w:rPr>
            <w:webHidden/>
          </w:rPr>
          <w:fldChar w:fldCharType="end"/>
        </w:r>
      </w:hyperlink>
    </w:p>
    <w:p w:rsidR="001559FC" w:rsidRDefault="001A53D9" w:rsidP="00FA0CF1">
      <w:pPr>
        <w:pStyle w:val="TOC1"/>
        <w:rPr>
          <w:rFonts w:asciiTheme="minorHAnsi" w:hAnsiTheme="minorHAnsi" w:cstheme="minorBidi"/>
          <w:sz w:val="22"/>
          <w:szCs w:val="22"/>
          <w:lang w:val="fr-CH" w:eastAsia="fr-CH"/>
        </w:rPr>
      </w:pPr>
      <w:hyperlink w:anchor="_Toc432164663" w:history="1">
        <w:r w:rsidR="001559FC" w:rsidRPr="00D0337A">
          <w:rPr>
            <w:rStyle w:val="Hyperlink"/>
            <w:snapToGrid w:val="0"/>
            <w:lang w:val="de-DE"/>
          </w:rPr>
          <w:t>ETWAIGE ENTWICKLUNG EINES UPOV-SUCHINSTRUMENTS FÜR ÄHNLICHKEITEN ZUM ZWECK DER SORTENBEZEICHNUNG</w:t>
        </w:r>
        <w:r w:rsidR="001559FC">
          <w:rPr>
            <w:webHidden/>
          </w:rPr>
          <w:tab/>
        </w:r>
        <w:r w:rsidR="001559FC">
          <w:rPr>
            <w:webHidden/>
          </w:rPr>
          <w:fldChar w:fldCharType="begin"/>
        </w:r>
        <w:r w:rsidR="001559FC">
          <w:rPr>
            <w:webHidden/>
          </w:rPr>
          <w:instrText xml:space="preserve"> PAGEREF _Toc432164663 \h </w:instrText>
        </w:r>
        <w:r w:rsidR="001559FC">
          <w:rPr>
            <w:webHidden/>
          </w:rPr>
        </w:r>
        <w:r w:rsidR="001559FC">
          <w:rPr>
            <w:webHidden/>
          </w:rPr>
          <w:fldChar w:fldCharType="separate"/>
        </w:r>
        <w:r>
          <w:rPr>
            <w:webHidden/>
          </w:rPr>
          <w:t>2</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64" w:history="1">
        <w:r w:rsidR="001559FC" w:rsidRPr="00D0337A">
          <w:rPr>
            <w:rStyle w:val="Hyperlink"/>
            <w:lang w:val="de-DE" w:eastAsia="ja-JP"/>
          </w:rPr>
          <w:t>Bericht über die Teststudie der WG-DST und etwaiger Einsatz eines UPOV-Suchinstruments für Ähnlichkeiten zum Zweck der Sortenbezeichnung bei der UPOV</w:t>
        </w:r>
        <w:r w:rsidR="001559FC">
          <w:rPr>
            <w:webHidden/>
          </w:rPr>
          <w:tab/>
        </w:r>
        <w:r w:rsidR="001559FC">
          <w:rPr>
            <w:webHidden/>
          </w:rPr>
          <w:fldChar w:fldCharType="begin"/>
        </w:r>
        <w:r w:rsidR="001559FC">
          <w:rPr>
            <w:webHidden/>
          </w:rPr>
          <w:instrText xml:space="preserve"> PAGEREF _Toc432164664 \h </w:instrText>
        </w:r>
        <w:r w:rsidR="001559FC">
          <w:rPr>
            <w:webHidden/>
          </w:rPr>
        </w:r>
        <w:r w:rsidR="001559FC">
          <w:rPr>
            <w:webHidden/>
          </w:rPr>
          <w:fldChar w:fldCharType="separate"/>
        </w:r>
        <w:r>
          <w:rPr>
            <w:webHidden/>
          </w:rPr>
          <w:t>3</w:t>
        </w:r>
        <w:r w:rsidR="001559FC">
          <w:rPr>
            <w:webHidden/>
          </w:rPr>
          <w:fldChar w:fldCharType="end"/>
        </w:r>
      </w:hyperlink>
    </w:p>
    <w:p w:rsidR="001559FC" w:rsidRDefault="001A53D9">
      <w:pPr>
        <w:pStyle w:val="TOC3"/>
        <w:rPr>
          <w:rFonts w:asciiTheme="minorHAnsi" w:hAnsiTheme="minorHAnsi" w:cstheme="minorBidi"/>
          <w:i w:val="0"/>
          <w:sz w:val="22"/>
          <w:szCs w:val="22"/>
          <w:lang w:val="fr-CH" w:eastAsia="fr-CH"/>
        </w:rPr>
      </w:pPr>
      <w:hyperlink w:anchor="_Toc432164665" w:history="1">
        <w:r w:rsidR="001559FC" w:rsidRPr="00D0337A">
          <w:rPr>
            <w:rStyle w:val="Hyperlink"/>
            <w:lang w:val="de-DE" w:eastAsia="ja-JP"/>
          </w:rPr>
          <w:t>Teststudie</w:t>
        </w:r>
        <w:r w:rsidR="001559FC">
          <w:rPr>
            <w:webHidden/>
          </w:rPr>
          <w:tab/>
        </w:r>
        <w:r w:rsidR="001559FC">
          <w:rPr>
            <w:webHidden/>
          </w:rPr>
          <w:fldChar w:fldCharType="begin"/>
        </w:r>
        <w:r w:rsidR="001559FC">
          <w:rPr>
            <w:webHidden/>
          </w:rPr>
          <w:instrText xml:space="preserve"> PAGEREF _Toc432164665 \h </w:instrText>
        </w:r>
        <w:r w:rsidR="001559FC">
          <w:rPr>
            <w:webHidden/>
          </w:rPr>
        </w:r>
        <w:r w:rsidR="001559FC">
          <w:rPr>
            <w:webHidden/>
          </w:rPr>
          <w:fldChar w:fldCharType="separate"/>
        </w:r>
        <w:r>
          <w:rPr>
            <w:webHidden/>
          </w:rPr>
          <w:t>3</w:t>
        </w:r>
        <w:r w:rsidR="001559FC">
          <w:rPr>
            <w:webHidden/>
          </w:rPr>
          <w:fldChar w:fldCharType="end"/>
        </w:r>
      </w:hyperlink>
    </w:p>
    <w:p w:rsidR="001559FC" w:rsidRDefault="001A53D9">
      <w:pPr>
        <w:pStyle w:val="TOC3"/>
        <w:rPr>
          <w:rFonts w:asciiTheme="minorHAnsi" w:hAnsiTheme="minorHAnsi" w:cstheme="minorBidi"/>
          <w:i w:val="0"/>
          <w:sz w:val="22"/>
          <w:szCs w:val="22"/>
          <w:lang w:val="fr-CH" w:eastAsia="fr-CH"/>
        </w:rPr>
      </w:pPr>
      <w:hyperlink w:anchor="_Toc432164666" w:history="1">
        <w:r w:rsidR="001559FC" w:rsidRPr="00D0337A">
          <w:rPr>
            <w:rStyle w:val="Hyperlink"/>
            <w:lang w:val="de-DE" w:eastAsia="ja-JP"/>
          </w:rPr>
          <w:t>Nicht akzeptable Begriffe für die Sortenbezeichnung</w:t>
        </w:r>
        <w:r w:rsidR="001559FC">
          <w:rPr>
            <w:webHidden/>
          </w:rPr>
          <w:tab/>
        </w:r>
        <w:r w:rsidR="001559FC">
          <w:rPr>
            <w:webHidden/>
          </w:rPr>
          <w:fldChar w:fldCharType="begin"/>
        </w:r>
        <w:r w:rsidR="001559FC">
          <w:rPr>
            <w:webHidden/>
          </w:rPr>
          <w:instrText xml:space="preserve"> PAGEREF _Toc432164666 \h </w:instrText>
        </w:r>
        <w:r w:rsidR="001559FC">
          <w:rPr>
            <w:webHidden/>
          </w:rPr>
        </w:r>
        <w:r w:rsidR="001559FC">
          <w:rPr>
            <w:webHidden/>
          </w:rPr>
          <w:fldChar w:fldCharType="separate"/>
        </w:r>
        <w:r>
          <w:rPr>
            <w:webHidden/>
          </w:rPr>
          <w:t>4</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67" w:history="1">
        <w:r w:rsidR="001559FC" w:rsidRPr="00D0337A">
          <w:rPr>
            <w:rStyle w:val="Hyperlink"/>
            <w:lang w:val="de-DE" w:eastAsia="ja-JP"/>
          </w:rPr>
          <w:t>Phonetische Aspekte</w:t>
        </w:r>
        <w:r w:rsidR="001559FC">
          <w:rPr>
            <w:webHidden/>
          </w:rPr>
          <w:tab/>
        </w:r>
        <w:r w:rsidR="001559FC">
          <w:rPr>
            <w:webHidden/>
          </w:rPr>
          <w:fldChar w:fldCharType="begin"/>
        </w:r>
        <w:r w:rsidR="001559FC">
          <w:rPr>
            <w:webHidden/>
          </w:rPr>
          <w:instrText xml:space="preserve"> PAGEREF _Toc432164667 \h </w:instrText>
        </w:r>
        <w:r w:rsidR="001559FC">
          <w:rPr>
            <w:webHidden/>
          </w:rPr>
        </w:r>
        <w:r w:rsidR="001559FC">
          <w:rPr>
            <w:webHidden/>
          </w:rPr>
          <w:fldChar w:fldCharType="separate"/>
        </w:r>
        <w:r>
          <w:rPr>
            <w:webHidden/>
          </w:rPr>
          <w:t>4</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68" w:history="1">
        <w:r w:rsidR="001559FC" w:rsidRPr="00D0337A">
          <w:rPr>
            <w:rStyle w:val="Hyperlink"/>
            <w:lang w:val="de-DE" w:eastAsia="ja-JP"/>
          </w:rPr>
          <w:t>Linguistische Aspekte</w:t>
        </w:r>
        <w:r w:rsidR="001559FC">
          <w:rPr>
            <w:webHidden/>
          </w:rPr>
          <w:tab/>
        </w:r>
        <w:r w:rsidR="001559FC">
          <w:rPr>
            <w:webHidden/>
          </w:rPr>
          <w:fldChar w:fldCharType="begin"/>
        </w:r>
        <w:r w:rsidR="001559FC">
          <w:rPr>
            <w:webHidden/>
          </w:rPr>
          <w:instrText xml:space="preserve"> PAGEREF _Toc432164668 \h </w:instrText>
        </w:r>
        <w:r w:rsidR="001559FC">
          <w:rPr>
            <w:webHidden/>
          </w:rPr>
        </w:r>
        <w:r w:rsidR="001559FC">
          <w:rPr>
            <w:webHidden/>
          </w:rPr>
          <w:fldChar w:fldCharType="separate"/>
        </w:r>
        <w:r>
          <w:rPr>
            <w:webHidden/>
          </w:rPr>
          <w:t>4</w:t>
        </w:r>
        <w:r w:rsidR="001559FC">
          <w:rPr>
            <w:webHidden/>
          </w:rPr>
          <w:fldChar w:fldCharType="end"/>
        </w:r>
      </w:hyperlink>
    </w:p>
    <w:p w:rsidR="001559FC" w:rsidRDefault="001A53D9" w:rsidP="00FA0CF1">
      <w:pPr>
        <w:pStyle w:val="TOC1"/>
        <w:rPr>
          <w:rFonts w:asciiTheme="minorHAnsi" w:hAnsiTheme="minorHAnsi" w:cstheme="minorBidi"/>
          <w:sz w:val="22"/>
          <w:szCs w:val="22"/>
          <w:lang w:val="fr-CH" w:eastAsia="fr-CH"/>
        </w:rPr>
      </w:pPr>
      <w:hyperlink w:anchor="_Toc432164669" w:history="1">
        <w:r w:rsidR="001559FC" w:rsidRPr="00D0337A">
          <w:rPr>
            <w:rStyle w:val="Hyperlink"/>
            <w:snapToGrid w:val="0"/>
            <w:lang w:val="de-DE" w:eastAsia="ja-JP"/>
          </w:rPr>
          <w:t>ÜBERARBEITUNG DES DOKUMENTS UPOV/INF/12, „ERLÄUTERUNGEN ZU SORTENBEZEICHNUNGEN NACH DEM UPOV-ÜBEREINKOMMEN“</w:t>
        </w:r>
        <w:r w:rsidR="001559FC">
          <w:rPr>
            <w:webHidden/>
          </w:rPr>
          <w:tab/>
        </w:r>
        <w:r w:rsidR="001559FC">
          <w:rPr>
            <w:webHidden/>
          </w:rPr>
          <w:fldChar w:fldCharType="begin"/>
        </w:r>
        <w:r w:rsidR="001559FC">
          <w:rPr>
            <w:webHidden/>
          </w:rPr>
          <w:instrText xml:space="preserve"> PAGEREF _Toc432164669 \h </w:instrText>
        </w:r>
        <w:r w:rsidR="001559FC">
          <w:rPr>
            <w:webHidden/>
          </w:rPr>
        </w:r>
        <w:r w:rsidR="001559FC">
          <w:rPr>
            <w:webHidden/>
          </w:rPr>
          <w:fldChar w:fldCharType="separate"/>
        </w:r>
        <w:r>
          <w:rPr>
            <w:webHidden/>
          </w:rPr>
          <w:t>4</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0" w:history="1">
        <w:r w:rsidR="001559FC" w:rsidRPr="00D0337A">
          <w:rPr>
            <w:rStyle w:val="Hyperlink"/>
            <w:lang w:val="de-DE" w:eastAsia="ja-JP"/>
          </w:rPr>
          <w:t>Abschnitt 2.2.2 b)</w:t>
        </w:r>
        <w:r w:rsidR="001559FC">
          <w:rPr>
            <w:webHidden/>
          </w:rPr>
          <w:tab/>
        </w:r>
        <w:r w:rsidR="001559FC">
          <w:rPr>
            <w:webHidden/>
          </w:rPr>
          <w:fldChar w:fldCharType="begin"/>
        </w:r>
        <w:r w:rsidR="001559FC">
          <w:rPr>
            <w:webHidden/>
          </w:rPr>
          <w:instrText xml:space="preserve"> PAGEREF _Toc432164670 \h </w:instrText>
        </w:r>
        <w:r w:rsidR="001559FC">
          <w:rPr>
            <w:webHidden/>
          </w:rPr>
        </w:r>
        <w:r w:rsidR="001559FC">
          <w:rPr>
            <w:webHidden/>
          </w:rPr>
          <w:fldChar w:fldCharType="separate"/>
        </w:r>
        <w:r>
          <w:rPr>
            <w:webHidden/>
          </w:rPr>
          <w:t>5</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1" w:history="1">
        <w:r w:rsidR="001559FC" w:rsidRPr="00D0337A">
          <w:rPr>
            <w:rStyle w:val="Hyperlink"/>
            <w:lang w:val="de-DE" w:eastAsia="ja-JP"/>
          </w:rPr>
          <w:t>Abschnitt 2.3.1 c)</w:t>
        </w:r>
        <w:r w:rsidR="001559FC">
          <w:rPr>
            <w:webHidden/>
          </w:rPr>
          <w:tab/>
        </w:r>
        <w:r w:rsidR="001559FC">
          <w:rPr>
            <w:webHidden/>
          </w:rPr>
          <w:fldChar w:fldCharType="begin"/>
        </w:r>
        <w:r w:rsidR="001559FC">
          <w:rPr>
            <w:webHidden/>
          </w:rPr>
          <w:instrText xml:space="preserve"> PAGEREF _Toc432164671 \h </w:instrText>
        </w:r>
        <w:r w:rsidR="001559FC">
          <w:rPr>
            <w:webHidden/>
          </w:rPr>
        </w:r>
        <w:r w:rsidR="001559FC">
          <w:rPr>
            <w:webHidden/>
          </w:rPr>
          <w:fldChar w:fldCharType="separate"/>
        </w:r>
        <w:r>
          <w:rPr>
            <w:webHidden/>
          </w:rPr>
          <w:t>6</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2" w:history="1">
        <w:r w:rsidR="001559FC" w:rsidRPr="00D0337A">
          <w:rPr>
            <w:rStyle w:val="Hyperlink"/>
            <w:lang w:val="de-DE" w:eastAsia="ja-JP"/>
          </w:rPr>
          <w:t>Abschnitt 2.3.1 d)</w:t>
        </w:r>
        <w:r w:rsidR="001559FC">
          <w:rPr>
            <w:webHidden/>
          </w:rPr>
          <w:tab/>
        </w:r>
        <w:r w:rsidR="001559FC">
          <w:rPr>
            <w:webHidden/>
          </w:rPr>
          <w:fldChar w:fldCharType="begin"/>
        </w:r>
        <w:r w:rsidR="001559FC">
          <w:rPr>
            <w:webHidden/>
          </w:rPr>
          <w:instrText xml:space="preserve"> PAGEREF _Toc432164672 \h </w:instrText>
        </w:r>
        <w:r w:rsidR="001559FC">
          <w:rPr>
            <w:webHidden/>
          </w:rPr>
        </w:r>
        <w:r w:rsidR="001559FC">
          <w:rPr>
            <w:webHidden/>
          </w:rPr>
          <w:fldChar w:fldCharType="separate"/>
        </w:r>
        <w:r>
          <w:rPr>
            <w:webHidden/>
          </w:rPr>
          <w:t>6</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3" w:history="1">
        <w:r w:rsidR="001559FC" w:rsidRPr="00D0337A">
          <w:rPr>
            <w:rStyle w:val="Hyperlink"/>
            <w:lang w:val="de-DE" w:eastAsia="ja-JP"/>
          </w:rPr>
          <w:t>Abschnitt 2.3.3 a)</w:t>
        </w:r>
        <w:r w:rsidR="001559FC">
          <w:rPr>
            <w:webHidden/>
          </w:rPr>
          <w:tab/>
        </w:r>
        <w:r w:rsidR="001559FC">
          <w:rPr>
            <w:webHidden/>
          </w:rPr>
          <w:fldChar w:fldCharType="begin"/>
        </w:r>
        <w:r w:rsidR="001559FC">
          <w:rPr>
            <w:webHidden/>
          </w:rPr>
          <w:instrText xml:space="preserve"> PAGEREF _Toc432164673 \h </w:instrText>
        </w:r>
        <w:r w:rsidR="001559FC">
          <w:rPr>
            <w:webHidden/>
          </w:rPr>
        </w:r>
        <w:r w:rsidR="001559FC">
          <w:rPr>
            <w:webHidden/>
          </w:rPr>
          <w:fldChar w:fldCharType="separate"/>
        </w:r>
        <w:r>
          <w:rPr>
            <w:webHidden/>
          </w:rPr>
          <w:t>6</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4" w:history="1">
        <w:r w:rsidR="001559FC" w:rsidRPr="00D0337A">
          <w:rPr>
            <w:rStyle w:val="Hyperlink"/>
            <w:lang w:val="de-DE" w:eastAsia="ja-JP"/>
          </w:rPr>
          <w:t>Abschnitt 2.3.3 b)</w:t>
        </w:r>
        <w:r w:rsidR="001559FC">
          <w:rPr>
            <w:webHidden/>
          </w:rPr>
          <w:tab/>
        </w:r>
        <w:r w:rsidR="001559FC">
          <w:rPr>
            <w:webHidden/>
          </w:rPr>
          <w:fldChar w:fldCharType="begin"/>
        </w:r>
        <w:r w:rsidR="001559FC">
          <w:rPr>
            <w:webHidden/>
          </w:rPr>
          <w:instrText xml:space="preserve"> PAGEREF _Toc432164674 \h </w:instrText>
        </w:r>
        <w:r w:rsidR="001559FC">
          <w:rPr>
            <w:webHidden/>
          </w:rPr>
        </w:r>
        <w:r w:rsidR="001559FC">
          <w:rPr>
            <w:webHidden/>
          </w:rPr>
          <w:fldChar w:fldCharType="separate"/>
        </w:r>
        <w:r>
          <w:rPr>
            <w:webHidden/>
          </w:rPr>
          <w:t>7</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5" w:history="1">
        <w:r w:rsidR="001559FC" w:rsidRPr="00D0337A">
          <w:rPr>
            <w:rStyle w:val="Hyperlink"/>
            <w:lang w:val="de-DE" w:eastAsia="ja-JP"/>
          </w:rPr>
          <w:t>Abschnitt 2.3.3 d)</w:t>
        </w:r>
        <w:r w:rsidR="001559FC">
          <w:rPr>
            <w:webHidden/>
          </w:rPr>
          <w:tab/>
        </w:r>
        <w:r w:rsidR="001559FC">
          <w:rPr>
            <w:webHidden/>
          </w:rPr>
          <w:fldChar w:fldCharType="begin"/>
        </w:r>
        <w:r w:rsidR="001559FC">
          <w:rPr>
            <w:webHidden/>
          </w:rPr>
          <w:instrText xml:space="preserve"> PAGEREF _Toc432164675 \h </w:instrText>
        </w:r>
        <w:r w:rsidR="001559FC">
          <w:rPr>
            <w:webHidden/>
          </w:rPr>
        </w:r>
        <w:r w:rsidR="001559FC">
          <w:rPr>
            <w:webHidden/>
          </w:rPr>
          <w:fldChar w:fldCharType="separate"/>
        </w:r>
        <w:r>
          <w:rPr>
            <w:webHidden/>
          </w:rPr>
          <w:t>7</w:t>
        </w:r>
        <w:r w:rsidR="001559FC">
          <w:rPr>
            <w:webHidden/>
          </w:rPr>
          <w:fldChar w:fldCharType="end"/>
        </w:r>
      </w:hyperlink>
    </w:p>
    <w:p w:rsidR="001559FC" w:rsidRDefault="001A53D9" w:rsidP="00FA0CF1">
      <w:pPr>
        <w:pStyle w:val="TOC2"/>
        <w:rPr>
          <w:rFonts w:asciiTheme="minorHAnsi" w:hAnsiTheme="minorHAnsi" w:cstheme="minorBidi"/>
          <w:sz w:val="22"/>
          <w:szCs w:val="22"/>
          <w:lang w:val="fr-CH" w:eastAsia="fr-CH"/>
        </w:rPr>
      </w:pPr>
      <w:hyperlink w:anchor="_Toc432164676" w:history="1">
        <w:r w:rsidR="001559FC" w:rsidRPr="00D0337A">
          <w:rPr>
            <w:rStyle w:val="Hyperlink"/>
            <w:lang w:val="de-DE"/>
          </w:rPr>
          <w:t>Vorschläge der CAJ-AG zu Abschnitt 2.2.2 c), Abschnitt 4 a) und Abschnitt 4 e) i)</w:t>
        </w:r>
        <w:r w:rsidR="001559FC">
          <w:rPr>
            <w:webHidden/>
          </w:rPr>
          <w:tab/>
        </w:r>
        <w:r w:rsidR="001559FC">
          <w:rPr>
            <w:webHidden/>
          </w:rPr>
          <w:fldChar w:fldCharType="begin"/>
        </w:r>
        <w:r w:rsidR="001559FC">
          <w:rPr>
            <w:webHidden/>
          </w:rPr>
          <w:instrText xml:space="preserve"> PAGEREF _Toc432164676 \h </w:instrText>
        </w:r>
        <w:r w:rsidR="001559FC">
          <w:rPr>
            <w:webHidden/>
          </w:rPr>
        </w:r>
        <w:r w:rsidR="001559FC">
          <w:rPr>
            <w:webHidden/>
          </w:rPr>
          <w:fldChar w:fldCharType="separate"/>
        </w:r>
        <w:r>
          <w:rPr>
            <w:webHidden/>
          </w:rPr>
          <w:t>8</w:t>
        </w:r>
        <w:r w:rsidR="001559FC">
          <w:rPr>
            <w:webHidden/>
          </w:rPr>
          <w:fldChar w:fldCharType="end"/>
        </w:r>
      </w:hyperlink>
    </w:p>
    <w:p w:rsidR="00B734CF" w:rsidRPr="0030125D" w:rsidRDefault="001559FC" w:rsidP="001D320C">
      <w:pPr>
        <w:pStyle w:val="Heading1"/>
      </w:pPr>
      <w:r>
        <w:fldChar w:fldCharType="end"/>
      </w:r>
    </w:p>
    <w:p w:rsidR="00B734CF" w:rsidRPr="0030125D" w:rsidRDefault="00B734CF" w:rsidP="00B734CF">
      <w:pPr>
        <w:keepNext/>
        <w:jc w:val="left"/>
        <w:rPr>
          <w:rFonts w:cs="Arial"/>
          <w:color w:val="000000"/>
          <w:lang w:val="de-DE"/>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EB1975" w:rsidRPr="0030125D">
        <w:rPr>
          <w:lang w:val="de-DE"/>
        </w:rPr>
        <w:t xml:space="preserve">In diesem </w:t>
      </w:r>
      <w:r w:rsidR="00DE47C4" w:rsidRPr="0030125D">
        <w:rPr>
          <w:rFonts w:cs="Arial"/>
          <w:color w:val="000000"/>
          <w:lang w:val="de-DE"/>
        </w:rPr>
        <w:t>Dokument</w:t>
      </w:r>
      <w:r w:rsidR="00EB1975" w:rsidRPr="0030125D">
        <w:rPr>
          <w:rFonts w:cs="Arial"/>
          <w:color w:val="000000"/>
          <w:lang w:val="de-DE"/>
        </w:rPr>
        <w:t xml:space="preserve"> </w:t>
      </w:r>
      <w:r w:rsidR="00AB4B2F" w:rsidRPr="0030125D">
        <w:rPr>
          <w:rFonts w:cs="Arial"/>
          <w:color w:val="000000"/>
          <w:lang w:val="de-DE"/>
        </w:rPr>
        <w:t>werden</w:t>
      </w:r>
      <w:r w:rsidR="00EB1975" w:rsidRPr="0030125D">
        <w:rPr>
          <w:rFonts w:cs="Arial"/>
          <w:color w:val="000000"/>
          <w:lang w:val="de-DE"/>
        </w:rPr>
        <w:t xml:space="preserve"> folgende Abkürzungen verwendet:</w:t>
      </w:r>
    </w:p>
    <w:p w:rsidR="00B734CF" w:rsidRPr="0030125D" w:rsidRDefault="00B734CF" w:rsidP="009175FC">
      <w:pPr>
        <w:keepNext/>
        <w:rPr>
          <w:rFonts w:cs="Arial"/>
          <w:color w:val="000000"/>
          <w:lang w:val="de-DE"/>
        </w:rPr>
      </w:pPr>
    </w:p>
    <w:p w:rsidR="00F73F12" w:rsidRPr="0030125D" w:rsidRDefault="00F73F12" w:rsidP="00F73F12">
      <w:pPr>
        <w:keepNext/>
        <w:ind w:left="567"/>
        <w:rPr>
          <w:rFonts w:cs="Arial"/>
          <w:snapToGrid w:val="0"/>
          <w:lang w:val="de-DE"/>
        </w:rPr>
      </w:pPr>
      <w:r w:rsidRPr="0030125D">
        <w:rPr>
          <w:rFonts w:cs="Arial"/>
          <w:snapToGrid w:val="0"/>
          <w:color w:val="000000"/>
          <w:lang w:val="de-DE"/>
        </w:rPr>
        <w:t>CAJ:</w:t>
      </w:r>
      <w:r w:rsidRPr="0030125D">
        <w:rPr>
          <w:rFonts w:cs="Arial"/>
          <w:snapToGrid w:val="0"/>
          <w:color w:val="000000"/>
          <w:lang w:val="de-DE" w:eastAsia="ja-JP"/>
        </w:rPr>
        <w:tab/>
      </w:r>
      <w:r w:rsidRPr="0030125D">
        <w:rPr>
          <w:rFonts w:cs="Arial"/>
          <w:snapToGrid w:val="0"/>
          <w:color w:val="000000"/>
          <w:lang w:val="de-DE" w:eastAsia="ja-JP"/>
        </w:rPr>
        <w:tab/>
      </w:r>
      <w:r w:rsidR="00A53839" w:rsidRPr="0030125D">
        <w:rPr>
          <w:rFonts w:cs="Arial"/>
          <w:snapToGrid w:val="0"/>
          <w:color w:val="000000"/>
          <w:lang w:val="de-DE" w:eastAsia="ja-JP"/>
        </w:rPr>
        <w:t xml:space="preserve">Verwaltungs- und </w:t>
      </w:r>
      <w:r w:rsidR="00AB4B2F" w:rsidRPr="0030125D">
        <w:rPr>
          <w:rFonts w:cs="Arial"/>
          <w:snapToGrid w:val="0"/>
          <w:color w:val="000000"/>
          <w:lang w:val="de-DE" w:eastAsia="ja-JP"/>
        </w:rPr>
        <w:t>Rechtsausschuß</w:t>
      </w:r>
    </w:p>
    <w:p w:rsidR="004A34E0" w:rsidRPr="0030125D" w:rsidRDefault="00A53839" w:rsidP="004A34E0">
      <w:pPr>
        <w:keepNext/>
        <w:ind w:left="567"/>
        <w:rPr>
          <w:rFonts w:cs="Arial"/>
          <w:snapToGrid w:val="0"/>
          <w:lang w:val="de-DE"/>
        </w:rPr>
      </w:pPr>
      <w:r w:rsidRPr="0030125D">
        <w:rPr>
          <w:rFonts w:cs="Arial"/>
          <w:snapToGrid w:val="0"/>
          <w:lang w:val="de-DE"/>
        </w:rPr>
        <w:t>CAJ-AG:</w:t>
      </w:r>
      <w:r w:rsidR="004A34E0" w:rsidRPr="0030125D">
        <w:rPr>
          <w:rFonts w:cs="Arial"/>
          <w:snapToGrid w:val="0"/>
          <w:lang w:val="de-DE" w:eastAsia="ja-JP"/>
        </w:rPr>
        <w:tab/>
      </w:r>
      <w:r w:rsidRPr="0030125D">
        <w:rPr>
          <w:rFonts w:cs="Arial"/>
          <w:snapToGrid w:val="0"/>
          <w:lang w:val="de-DE" w:eastAsia="ja-JP"/>
        </w:rPr>
        <w:t xml:space="preserve">Beratungsgruppe des </w:t>
      </w:r>
      <w:r w:rsidRPr="0030125D">
        <w:rPr>
          <w:rFonts w:cs="Arial"/>
          <w:snapToGrid w:val="0"/>
          <w:color w:val="000000"/>
          <w:lang w:val="de-DE" w:eastAsia="ja-JP"/>
        </w:rPr>
        <w:t>Verwaltungs- und Rechtsausschusses</w:t>
      </w:r>
    </w:p>
    <w:p w:rsidR="00F73F12" w:rsidRPr="0030125D" w:rsidRDefault="00F73F12" w:rsidP="00A53839">
      <w:pPr>
        <w:ind w:left="1701" w:hanging="1134"/>
        <w:rPr>
          <w:snapToGrid w:val="0"/>
          <w:lang w:val="de-DE" w:eastAsia="ja-JP"/>
        </w:rPr>
      </w:pPr>
      <w:r w:rsidRPr="0030125D">
        <w:rPr>
          <w:snapToGrid w:val="0"/>
          <w:lang w:val="de-DE" w:eastAsia="ja-JP"/>
        </w:rPr>
        <w:t>WG-DST:</w:t>
      </w:r>
      <w:r w:rsidRPr="0030125D">
        <w:rPr>
          <w:snapToGrid w:val="0"/>
          <w:lang w:val="de-DE" w:eastAsia="ja-JP"/>
        </w:rPr>
        <w:tab/>
      </w:r>
      <w:r w:rsidR="00A53839" w:rsidRPr="0030125D">
        <w:rPr>
          <w:rStyle w:val="f21"/>
          <w:lang w:val="de-DE"/>
        </w:rPr>
        <w:t>Arbeitsgruppe für die Entwicklung eines UPOV-Suchinstruments für Ähnlichkeiten zum Zweck der Sortenbezeichnung</w:t>
      </w:r>
    </w:p>
    <w:p w:rsidR="00884CEA" w:rsidRPr="0030125D" w:rsidRDefault="00884CEA" w:rsidP="00884CEA">
      <w:pPr>
        <w:rPr>
          <w:rFonts w:cs="Arial"/>
          <w:szCs w:val="24"/>
          <w:lang w:val="de-DE" w:eastAsia="ja-JP"/>
        </w:rPr>
      </w:pPr>
    </w:p>
    <w:p w:rsidR="008B5ED9" w:rsidRPr="0030125D" w:rsidRDefault="008B5ED9" w:rsidP="00884CEA">
      <w:pPr>
        <w:rPr>
          <w:rFonts w:cs="Arial"/>
          <w:szCs w:val="24"/>
          <w:lang w:val="de-DE" w:eastAsia="ja-JP"/>
        </w:rPr>
      </w:pPr>
    </w:p>
    <w:p w:rsidR="009B1DCB" w:rsidRPr="0030125D" w:rsidRDefault="009B1DCB" w:rsidP="00884CEA">
      <w:pPr>
        <w:rPr>
          <w:rFonts w:cs="Arial"/>
          <w:szCs w:val="24"/>
          <w:lang w:val="de-DE" w:eastAsia="ja-JP"/>
        </w:rPr>
      </w:pPr>
    </w:p>
    <w:p w:rsidR="00E10886" w:rsidRPr="0030125D" w:rsidRDefault="00A53839" w:rsidP="001D320C">
      <w:pPr>
        <w:pStyle w:val="Heading1"/>
      </w:pPr>
      <w:bookmarkStart w:id="15" w:name="_Toc432164662"/>
      <w:r w:rsidRPr="0030125D">
        <w:rPr>
          <w:rStyle w:val="Heading1Char"/>
        </w:rPr>
        <w:t>ZWECK</w:t>
      </w:r>
      <w:bookmarkEnd w:id="15"/>
    </w:p>
    <w:p w:rsidR="00F349B3" w:rsidRPr="0030125D" w:rsidRDefault="00F349B3" w:rsidP="00F349B3">
      <w:pPr>
        <w:rPr>
          <w:lang w:val="de-DE" w:eastAsia="ja-JP"/>
        </w:rPr>
      </w:pPr>
    </w:p>
    <w:p w:rsidR="00A53839" w:rsidRPr="0030125D" w:rsidRDefault="00A53839" w:rsidP="00A53839">
      <w:pPr>
        <w:rPr>
          <w:rFonts w:cs="Arial"/>
          <w:snapToGrid w:val="0"/>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Pr="0030125D">
        <w:rPr>
          <w:rFonts w:cs="Arial"/>
          <w:lang w:val="de-DE"/>
        </w:rPr>
        <w:t>Zweck dieses Dokuments ist es, über die Arbeiten zur etwaigen Entwicklung eines UPOV</w:t>
      </w:r>
      <w:r w:rsidRPr="0030125D">
        <w:rPr>
          <w:rFonts w:cs="Arial"/>
          <w:lang w:val="de-DE"/>
        </w:rPr>
        <w:noBreakHyphen/>
        <w:t>Suchinstruments für Ähnlichkeiten zum Zweck der Sortenbezeichnung und die etwaige Überarbeitung der „Erläuterungen zu Sortenbezeichnungen nach dem UPOV-Übereinkommen“ (Dokument UPOV/INF/12) zu berichten</w:t>
      </w:r>
      <w:r w:rsidRPr="0030125D">
        <w:rPr>
          <w:rFonts w:cs="Arial"/>
          <w:snapToGrid w:val="0"/>
          <w:lang w:val="de-DE"/>
        </w:rPr>
        <w:t>.</w:t>
      </w:r>
    </w:p>
    <w:p w:rsidR="00A53839" w:rsidRPr="0030125D" w:rsidRDefault="00A53839" w:rsidP="00A53839">
      <w:pPr>
        <w:rPr>
          <w:snapToGrid w:val="0"/>
          <w:lang w:val="de-DE" w:eastAsia="ja-JP"/>
        </w:rPr>
      </w:pPr>
    </w:p>
    <w:p w:rsidR="00A53839" w:rsidRPr="0030125D" w:rsidRDefault="00A53839" w:rsidP="00A53839">
      <w:pPr>
        <w:rPr>
          <w:snapToGrid w:val="0"/>
          <w:lang w:val="de-DE"/>
        </w:rPr>
      </w:pPr>
    </w:p>
    <w:p w:rsidR="00A53839" w:rsidRPr="0030125D" w:rsidRDefault="00A53839" w:rsidP="00A53839">
      <w:pPr>
        <w:rPr>
          <w:snapToGrid w:val="0"/>
          <w:lang w:val="de-DE"/>
        </w:rPr>
      </w:pPr>
    </w:p>
    <w:p w:rsidR="00A53839" w:rsidRPr="0030125D" w:rsidRDefault="00A53839" w:rsidP="001D320C">
      <w:pPr>
        <w:pStyle w:val="Heading1"/>
      </w:pPr>
      <w:bookmarkStart w:id="16" w:name="_Toc413652562"/>
      <w:bookmarkStart w:id="17" w:name="_Toc432164663"/>
      <w:r w:rsidRPr="0030125D">
        <w:t>ETWAIGE ENTWICKLUNG EINES UPOV-SUCHINSTRUMENTS FÜR ÄHNLICHKEITEN ZUM ZWECK DER SORTENBEZEICHNUNG</w:t>
      </w:r>
      <w:bookmarkEnd w:id="16"/>
      <w:bookmarkEnd w:id="17"/>
    </w:p>
    <w:p w:rsidR="00A53839" w:rsidRPr="0030125D" w:rsidRDefault="00A53839" w:rsidP="00A53839">
      <w:pPr>
        <w:rPr>
          <w:rFonts w:cs="Arial"/>
          <w:snapToGrid w:val="0"/>
          <w:lang w:val="de-DE"/>
        </w:rPr>
      </w:pPr>
    </w:p>
    <w:p w:rsidR="00A53839" w:rsidRPr="0030125D" w:rsidRDefault="00A53839" w:rsidP="00A53839">
      <w:pPr>
        <w:rPr>
          <w:szCs w:val="24"/>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Pr="0030125D">
        <w:rPr>
          <w:szCs w:val="24"/>
          <w:lang w:val="de-DE"/>
        </w:rPr>
        <w:t>Den Hintergrund zu diesem Thema liefern die Dokumente </w:t>
      </w:r>
      <w:r w:rsidRPr="0030125D">
        <w:rPr>
          <w:szCs w:val="24"/>
          <w:lang w:val="de-DE" w:eastAsia="ja-JP"/>
        </w:rPr>
        <w:t>CAJ/71/3, „Sortenbezeichnungen“, und CAJ/70/4</w:t>
      </w:r>
      <w:r w:rsidR="00DB1EA7" w:rsidRPr="0030125D">
        <w:rPr>
          <w:szCs w:val="24"/>
          <w:lang w:val="de-DE" w:eastAsia="ja-JP"/>
        </w:rPr>
        <w:t> </w:t>
      </w:r>
      <w:r w:rsidRPr="0030125D">
        <w:rPr>
          <w:szCs w:val="24"/>
          <w:lang w:val="de-DE" w:eastAsia="ja-JP"/>
        </w:rPr>
        <w:t>Add., „Ergänzung zu Sortenbezeichnungen“.</w:t>
      </w:r>
    </w:p>
    <w:p w:rsidR="00F349B3" w:rsidRPr="0030125D" w:rsidRDefault="00F349B3" w:rsidP="00E10886">
      <w:pPr>
        <w:rPr>
          <w:snapToGrid w:val="0"/>
          <w:lang w:val="de-DE" w:eastAsia="ja-JP"/>
        </w:rPr>
      </w:pPr>
    </w:p>
    <w:p w:rsidR="008B5ED9" w:rsidRPr="0030125D" w:rsidRDefault="008B5ED9" w:rsidP="00E10886">
      <w:pPr>
        <w:rPr>
          <w:snapToGrid w:val="0"/>
          <w:lang w:val="de-DE" w:eastAsia="ja-JP"/>
        </w:rPr>
      </w:pPr>
    </w:p>
    <w:p w:rsidR="00E419C7" w:rsidRPr="0030125D" w:rsidRDefault="00DC1FE2" w:rsidP="00B26742">
      <w:pPr>
        <w:pStyle w:val="Heading2"/>
        <w:rPr>
          <w:lang w:val="de-DE" w:eastAsia="ja-JP"/>
        </w:rPr>
      </w:pPr>
      <w:bookmarkStart w:id="18" w:name="_Toc427161608"/>
      <w:bookmarkStart w:id="19" w:name="_Toc431309795"/>
      <w:bookmarkStart w:id="20" w:name="_Toc432164664"/>
      <w:r w:rsidRPr="0030125D">
        <w:rPr>
          <w:lang w:val="de-DE" w:eastAsia="ja-JP"/>
        </w:rPr>
        <w:lastRenderedPageBreak/>
        <w:t>Bericht über die Teststudie der</w:t>
      </w:r>
      <w:r w:rsidR="00E419C7" w:rsidRPr="0030125D">
        <w:rPr>
          <w:lang w:val="de-DE" w:eastAsia="ja-JP"/>
        </w:rPr>
        <w:t xml:space="preserve"> WG-DST </w:t>
      </w:r>
      <w:r w:rsidRPr="0030125D">
        <w:rPr>
          <w:lang w:val="de-DE" w:eastAsia="ja-JP"/>
        </w:rPr>
        <w:t xml:space="preserve">und etwaiger Einsatz eines UPOV-Suchinstruments für Ähnlichkeiten zum </w:t>
      </w:r>
      <w:r w:rsidR="00507E7F" w:rsidRPr="0030125D">
        <w:rPr>
          <w:lang w:val="de-DE" w:eastAsia="ja-JP"/>
        </w:rPr>
        <w:t>Zweck</w:t>
      </w:r>
      <w:r w:rsidRPr="0030125D">
        <w:rPr>
          <w:lang w:val="de-DE" w:eastAsia="ja-JP"/>
        </w:rPr>
        <w:t xml:space="preserve"> der Sortenbezeichnung bei der UPOV</w:t>
      </w:r>
      <w:bookmarkEnd w:id="18"/>
      <w:bookmarkEnd w:id="19"/>
      <w:bookmarkEnd w:id="20"/>
    </w:p>
    <w:p w:rsidR="00E419C7" w:rsidRPr="0030125D" w:rsidRDefault="00E419C7" w:rsidP="002E04ED">
      <w:pPr>
        <w:keepNext/>
        <w:rPr>
          <w:lang w:val="de-DE" w:eastAsia="ja-JP"/>
        </w:rPr>
      </w:pPr>
    </w:p>
    <w:p w:rsidR="00E419C7" w:rsidRPr="0030125D" w:rsidRDefault="00E419C7" w:rsidP="008B5ED9">
      <w:pPr>
        <w:pStyle w:val="Heading3"/>
        <w:keepNext/>
        <w:rPr>
          <w:lang w:val="de-DE" w:eastAsia="ja-JP"/>
        </w:rPr>
      </w:pPr>
      <w:bookmarkStart w:id="21" w:name="_Toc427161609"/>
      <w:bookmarkStart w:id="22" w:name="_Toc431309796"/>
      <w:bookmarkStart w:id="23" w:name="_Toc432164665"/>
      <w:r w:rsidRPr="0030125D">
        <w:rPr>
          <w:lang w:val="de-DE" w:eastAsia="ja-JP"/>
        </w:rPr>
        <w:t>Test</w:t>
      </w:r>
      <w:r w:rsidR="00DC1FE2" w:rsidRPr="0030125D">
        <w:rPr>
          <w:lang w:val="de-DE" w:eastAsia="ja-JP"/>
        </w:rPr>
        <w:t>studie</w:t>
      </w:r>
      <w:bookmarkEnd w:id="21"/>
      <w:bookmarkEnd w:id="22"/>
      <w:bookmarkEnd w:id="23"/>
    </w:p>
    <w:p w:rsidR="0038194C" w:rsidRPr="0030125D" w:rsidRDefault="0038194C" w:rsidP="008B5ED9">
      <w:pPr>
        <w:keepNext/>
        <w:autoSpaceDE w:val="0"/>
        <w:autoSpaceDN w:val="0"/>
        <w:adjustRightInd w:val="0"/>
        <w:rPr>
          <w:lang w:val="de-DE"/>
        </w:rPr>
      </w:pPr>
    </w:p>
    <w:p w:rsidR="00E419C7" w:rsidRPr="0030125D" w:rsidRDefault="00E419C7" w:rsidP="00E419C7">
      <w:pPr>
        <w:autoSpaceDE w:val="0"/>
        <w:autoSpaceDN w:val="0"/>
        <w:adjustRightInd w:val="0"/>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C1FE2" w:rsidRPr="0030125D">
        <w:rPr>
          <w:lang w:val="de-DE"/>
        </w:rPr>
        <w:t>Die</w:t>
      </w:r>
      <w:r w:rsidRPr="0030125D">
        <w:rPr>
          <w:lang w:val="de-DE" w:eastAsia="ja-JP"/>
        </w:rPr>
        <w:t xml:space="preserve"> WG-DST</w:t>
      </w:r>
      <w:r w:rsidR="00DC1FE2" w:rsidRPr="0030125D">
        <w:rPr>
          <w:lang w:val="de-DE" w:eastAsia="ja-JP"/>
        </w:rPr>
        <w:t xml:space="preserve"> hörte auf ihrer zweiten Sitzung</w:t>
      </w:r>
      <w:r w:rsidRPr="0030125D">
        <w:rPr>
          <w:rStyle w:val="FootnoteReference"/>
          <w:lang w:val="de-DE" w:eastAsia="ja-JP"/>
        </w:rPr>
        <w:footnoteReference w:id="2"/>
      </w:r>
      <w:r w:rsidRPr="0030125D">
        <w:rPr>
          <w:lang w:val="de-DE" w:eastAsia="ja-JP"/>
        </w:rPr>
        <w:t xml:space="preserve"> </w:t>
      </w:r>
      <w:r w:rsidR="00DC1FE2" w:rsidRPr="0030125D">
        <w:rPr>
          <w:lang w:val="de-DE" w:eastAsia="ja-JP"/>
        </w:rPr>
        <w:t>ein Referat von Herrn </w:t>
      </w:r>
      <w:r w:rsidRPr="0030125D">
        <w:rPr>
          <w:rFonts w:cs="Arial"/>
          <w:lang w:val="de-DE" w:eastAsia="ja-JP"/>
        </w:rPr>
        <w:t>Glenn</w:t>
      </w:r>
      <w:r w:rsidR="00DC1FE2" w:rsidRPr="0030125D">
        <w:rPr>
          <w:rFonts w:cs="Arial"/>
          <w:lang w:val="de-DE" w:eastAsia="ja-JP"/>
        </w:rPr>
        <w:t> </w:t>
      </w:r>
      <w:r w:rsidR="00DB1EA7" w:rsidRPr="0030125D">
        <w:rPr>
          <w:rFonts w:cs="Arial"/>
          <w:lang w:val="de-DE" w:eastAsia="ja-JP"/>
        </w:rPr>
        <w:t>Mac </w:t>
      </w:r>
      <w:r w:rsidRPr="0030125D">
        <w:rPr>
          <w:rFonts w:cs="Arial"/>
          <w:lang w:val="de-DE" w:eastAsia="ja-JP"/>
        </w:rPr>
        <w:t xml:space="preserve">Stravic, </w:t>
      </w:r>
      <w:r w:rsidR="002E3203" w:rsidRPr="0030125D">
        <w:rPr>
          <w:rFonts w:cs="Arial"/>
          <w:color w:val="000000"/>
          <w:lang w:val="de-DE"/>
        </w:rPr>
        <w:t xml:space="preserve">Leiter der Abteilung </w:t>
      </w:r>
      <w:r w:rsidR="002E3203" w:rsidRPr="0030125D">
        <w:rPr>
          <w:rFonts w:cs="Arial"/>
          <w:i/>
          <w:iCs/>
          <w:color w:val="000000"/>
          <w:lang w:val="de-DE"/>
        </w:rPr>
        <w:t>Brand Database,</w:t>
      </w:r>
      <w:r w:rsidR="002E3203" w:rsidRPr="0030125D">
        <w:rPr>
          <w:rFonts w:cs="Arial"/>
          <w:color w:val="000000"/>
          <w:lang w:val="de-DE"/>
        </w:rPr>
        <w:t xml:space="preserve"> </w:t>
      </w:r>
      <w:r w:rsidRPr="0030125D">
        <w:rPr>
          <w:rFonts w:cs="Arial"/>
          <w:i/>
          <w:lang w:val="de-DE" w:eastAsia="ja-JP"/>
        </w:rPr>
        <w:t>Global Databases Service</w:t>
      </w:r>
      <w:r w:rsidRPr="0030125D">
        <w:rPr>
          <w:rFonts w:cs="Arial"/>
          <w:lang w:val="de-DE" w:eastAsia="ja-JP"/>
        </w:rPr>
        <w:t xml:space="preserve">, </w:t>
      </w:r>
      <w:r w:rsidR="00507E7F" w:rsidRPr="0030125D">
        <w:rPr>
          <w:rFonts w:cs="Arial"/>
          <w:lang w:val="de-DE" w:eastAsia="ja-JP"/>
        </w:rPr>
        <w:t>über</w:t>
      </w:r>
      <w:r w:rsidR="002E3203" w:rsidRPr="0030125D">
        <w:rPr>
          <w:rFonts w:cs="Arial"/>
          <w:lang w:val="de-DE" w:eastAsia="ja-JP"/>
        </w:rPr>
        <w:t xml:space="preserve"> die Zwischenergebnisse der Teststudie</w:t>
      </w:r>
      <w:r w:rsidRPr="0030125D">
        <w:rPr>
          <w:rFonts w:cs="Arial"/>
          <w:lang w:val="de-DE" w:eastAsia="ja-JP"/>
        </w:rPr>
        <w:t xml:space="preserve">. </w:t>
      </w:r>
      <w:r w:rsidR="002E3203" w:rsidRPr="0030125D">
        <w:rPr>
          <w:rFonts w:cs="Arial"/>
          <w:lang w:val="de-DE" w:eastAsia="ja-JP"/>
        </w:rPr>
        <w:t xml:space="preserve">Ein </w:t>
      </w:r>
      <w:r w:rsidR="00507E7F" w:rsidRPr="0030125D">
        <w:rPr>
          <w:rFonts w:cs="Arial"/>
          <w:lang w:val="de-DE" w:eastAsia="ja-JP"/>
        </w:rPr>
        <w:t>Exemplar</w:t>
      </w:r>
      <w:r w:rsidR="002E3203" w:rsidRPr="0030125D">
        <w:rPr>
          <w:rFonts w:cs="Arial"/>
          <w:lang w:val="de-DE" w:eastAsia="ja-JP"/>
        </w:rPr>
        <w:t xml:space="preserve"> des </w:t>
      </w:r>
      <w:r w:rsidR="00507E7F" w:rsidRPr="0030125D">
        <w:rPr>
          <w:rFonts w:cs="Arial"/>
          <w:lang w:val="de-DE" w:eastAsia="ja-JP"/>
        </w:rPr>
        <w:t>Referats</w:t>
      </w:r>
      <w:r w:rsidR="002E3203" w:rsidRPr="0030125D">
        <w:rPr>
          <w:rFonts w:cs="Arial"/>
          <w:lang w:val="de-DE" w:eastAsia="ja-JP"/>
        </w:rPr>
        <w:t xml:space="preserve"> ist </w:t>
      </w:r>
      <w:r w:rsidR="00590C7D" w:rsidRPr="0030125D">
        <w:rPr>
          <w:rFonts w:cs="Arial"/>
          <w:lang w:val="de-DE" w:eastAsia="ja-JP"/>
        </w:rPr>
        <w:t xml:space="preserve">in </w:t>
      </w:r>
      <w:r w:rsidR="00DE47C4" w:rsidRPr="0030125D">
        <w:rPr>
          <w:rFonts w:cs="Arial"/>
          <w:lang w:val="de-DE" w:eastAsia="ja-JP"/>
        </w:rPr>
        <w:t>Dokument</w:t>
      </w:r>
      <w:r w:rsidR="002E3203" w:rsidRPr="0030125D">
        <w:rPr>
          <w:rFonts w:cs="Arial"/>
          <w:lang w:val="de-DE" w:eastAsia="ja-JP"/>
        </w:rPr>
        <w:t> </w:t>
      </w:r>
      <w:hyperlink r:id="rId9" w:history="1">
        <w:r w:rsidRPr="0030125D">
          <w:rPr>
            <w:rStyle w:val="Hyperlink"/>
            <w:rFonts w:cs="Arial"/>
            <w:color w:val="auto"/>
            <w:u w:val="none"/>
            <w:lang w:val="de-DE" w:eastAsia="ja-JP"/>
          </w:rPr>
          <w:t>UPOV/WG-DST/2/4</w:t>
        </w:r>
      </w:hyperlink>
      <w:r w:rsidR="002E3203" w:rsidRPr="0030125D">
        <w:rPr>
          <w:rStyle w:val="Hyperlink"/>
          <w:rFonts w:cs="Arial"/>
          <w:color w:val="auto"/>
          <w:u w:val="none"/>
          <w:lang w:val="de-DE" w:eastAsia="ja-JP"/>
        </w:rPr>
        <w:t xml:space="preserve"> verfügbar</w:t>
      </w:r>
      <w:r w:rsidR="00975AD5" w:rsidRPr="0030125D">
        <w:rPr>
          <w:rStyle w:val="Hyperlink"/>
          <w:rFonts w:cs="Arial"/>
          <w:color w:val="auto"/>
          <w:u w:val="none"/>
          <w:lang w:val="de-DE" w:eastAsia="ja-JP"/>
        </w:rPr>
        <w:t>.</w:t>
      </w:r>
      <w:r w:rsidR="0038410B" w:rsidRPr="0030125D">
        <w:rPr>
          <w:rStyle w:val="FootnoteReference"/>
          <w:rFonts w:cs="Arial"/>
          <w:lang w:val="de-DE" w:eastAsia="ja-JP"/>
        </w:rPr>
        <w:footnoteReference w:id="3"/>
      </w:r>
    </w:p>
    <w:p w:rsidR="00E419C7" w:rsidRPr="0030125D" w:rsidRDefault="00E419C7" w:rsidP="00E419C7">
      <w:pPr>
        <w:autoSpaceDE w:val="0"/>
        <w:autoSpaceDN w:val="0"/>
        <w:adjustRightInd w:val="0"/>
        <w:jc w:val="left"/>
        <w:rPr>
          <w:rFonts w:cs="Arial"/>
          <w:lang w:val="de-DE" w:eastAsia="ja-JP"/>
        </w:rPr>
      </w:pPr>
    </w:p>
    <w:p w:rsidR="00466910" w:rsidRPr="0030125D" w:rsidRDefault="00E419C7" w:rsidP="009B1DCB">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2E3203" w:rsidRPr="0030125D">
        <w:rPr>
          <w:lang w:val="de-DE"/>
        </w:rPr>
        <w:t xml:space="preserve">Die Teststudie wies die elf </w:t>
      </w:r>
      <w:r w:rsidR="00507E7F" w:rsidRPr="0030125D">
        <w:rPr>
          <w:lang w:val="de-DE"/>
        </w:rPr>
        <w:t>besten</w:t>
      </w:r>
      <w:r w:rsidR="002E3203" w:rsidRPr="0030125D">
        <w:rPr>
          <w:lang w:val="de-DE"/>
        </w:rPr>
        <w:t xml:space="preserve"> von 15 Algorithmen aus, die nach einem ersten Test besser als alle bestehenden Instrumente, wie </w:t>
      </w:r>
      <w:r w:rsidR="00813702" w:rsidRPr="0030125D">
        <w:rPr>
          <w:lang w:val="de-DE"/>
        </w:rPr>
        <w:t>mit</w:t>
      </w:r>
      <w:r w:rsidR="002E3203" w:rsidRPr="0030125D">
        <w:rPr>
          <w:lang w:val="de-DE"/>
        </w:rPr>
        <w:t xml:space="preserve"> F3</w:t>
      </w:r>
      <w:r w:rsidR="002E3203" w:rsidRPr="0030125D">
        <w:rPr>
          <w:rStyle w:val="FootnoteReference"/>
          <w:lang w:val="de-DE"/>
        </w:rPr>
        <w:footnoteReference w:id="4"/>
      </w:r>
      <w:r w:rsidR="00FE0A6B" w:rsidRPr="0030125D">
        <w:rPr>
          <w:lang w:val="de-DE"/>
        </w:rPr>
        <w:t xml:space="preserve"> </w:t>
      </w:r>
      <w:r w:rsidR="002E3203" w:rsidRPr="0030125D">
        <w:rPr>
          <w:lang w:val="de-DE"/>
        </w:rPr>
        <w:t>gemessen, abschnitten.</w:t>
      </w:r>
      <w:r w:rsidRPr="0030125D">
        <w:rPr>
          <w:lang w:val="de-DE"/>
        </w:rPr>
        <w:t xml:space="preserve"> </w:t>
      </w:r>
      <w:r w:rsidR="00507E7F" w:rsidRPr="0030125D">
        <w:rPr>
          <w:lang w:val="de-DE" w:eastAsia="ja-JP"/>
        </w:rPr>
        <w:t xml:space="preserve">Die </w:t>
      </w:r>
      <w:r w:rsidR="00507E7F" w:rsidRPr="0030125D">
        <w:rPr>
          <w:lang w:val="de-DE"/>
        </w:rPr>
        <w:t>F3-Messung wurde gewählt, weil die Vollständigkeit von größerer Bedeutung als die Genauigkeit war</w:t>
      </w:r>
      <w:r w:rsidR="00507E7F" w:rsidRPr="0030125D">
        <w:rPr>
          <w:lang w:val="de-DE" w:eastAsia="ja-JP"/>
        </w:rPr>
        <w:t>.</w:t>
      </w:r>
      <w:r w:rsidR="00507E7F" w:rsidRPr="0030125D">
        <w:rPr>
          <w:rStyle w:val="FootnoteReference"/>
          <w:lang w:val="de-DE" w:eastAsia="ja-JP"/>
        </w:rPr>
        <w:footnoteReference w:id="5"/>
      </w:r>
    </w:p>
    <w:p w:rsidR="00414FD1" w:rsidRPr="0030125D" w:rsidRDefault="00414FD1" w:rsidP="009175FC">
      <w:pPr>
        <w:rPr>
          <w:lang w:val="de-DE" w:eastAsia="ja-JP"/>
        </w:rPr>
      </w:pPr>
    </w:p>
    <w:p w:rsidR="00E419C7" w:rsidRPr="0030125D" w:rsidRDefault="00E419C7" w:rsidP="009175FC">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91D7D" w:rsidRPr="0030125D">
        <w:rPr>
          <w:lang w:val="de-DE" w:eastAsia="ja-JP"/>
        </w:rPr>
        <w:t xml:space="preserve">Die ausgewählten Algorithmen waren verwendet worden, um </w:t>
      </w:r>
      <w:r w:rsidRPr="0030125D">
        <w:rPr>
          <w:lang w:val="de-DE" w:eastAsia="ja-JP"/>
        </w:rPr>
        <w:t>2</w:t>
      </w:r>
      <w:r w:rsidR="00D91D7D" w:rsidRPr="0030125D">
        <w:rPr>
          <w:lang w:val="de-DE" w:eastAsia="ja-JP"/>
        </w:rPr>
        <w:t> </w:t>
      </w:r>
      <w:r w:rsidRPr="0030125D">
        <w:rPr>
          <w:lang w:val="de-DE" w:eastAsia="ja-JP"/>
        </w:rPr>
        <w:t xml:space="preserve">047 </w:t>
      </w:r>
      <w:r w:rsidR="00D91D7D" w:rsidRPr="0030125D">
        <w:rPr>
          <w:lang w:val="de-DE" w:eastAsia="ja-JP"/>
        </w:rPr>
        <w:t>verschiedene Kombinationen zu bilden und waren mit 100 verschiedenen „Testtrennwerten“</w:t>
      </w:r>
      <w:r w:rsidRPr="0030125D">
        <w:rPr>
          <w:rStyle w:val="FootnoteReference"/>
          <w:lang w:val="de-DE"/>
        </w:rPr>
        <w:footnoteReference w:id="6"/>
      </w:r>
      <w:r w:rsidRPr="0030125D">
        <w:rPr>
          <w:lang w:val="de-DE" w:eastAsia="ja-JP"/>
        </w:rPr>
        <w:t xml:space="preserve"> (</w:t>
      </w:r>
      <w:r w:rsidR="00D91D7D" w:rsidRPr="0030125D">
        <w:rPr>
          <w:lang w:val="de-DE" w:eastAsia="ja-JP"/>
        </w:rPr>
        <w:t xml:space="preserve">Gesamtheit von </w:t>
      </w:r>
      <w:r w:rsidRPr="0030125D">
        <w:rPr>
          <w:lang w:val="de-DE" w:eastAsia="ja-JP"/>
        </w:rPr>
        <w:t>204</w:t>
      </w:r>
      <w:r w:rsidR="00D91D7D" w:rsidRPr="0030125D">
        <w:rPr>
          <w:lang w:val="de-DE" w:eastAsia="ja-JP"/>
        </w:rPr>
        <w:t> </w:t>
      </w:r>
      <w:r w:rsidRPr="0030125D">
        <w:rPr>
          <w:lang w:val="de-DE" w:eastAsia="ja-JP"/>
        </w:rPr>
        <w:t>700</w:t>
      </w:r>
      <w:r w:rsidR="00D91D7D" w:rsidRPr="0030125D">
        <w:rPr>
          <w:lang w:val="de-DE" w:eastAsia="ja-JP"/>
        </w:rPr>
        <w:t> </w:t>
      </w:r>
      <w:r w:rsidR="00507E7F" w:rsidRPr="0030125D">
        <w:rPr>
          <w:lang w:val="de-DE" w:eastAsia="ja-JP"/>
        </w:rPr>
        <w:t>Zusammenstellungen</w:t>
      </w:r>
      <w:r w:rsidRPr="0030125D">
        <w:rPr>
          <w:lang w:val="de-DE" w:eastAsia="ja-JP"/>
        </w:rPr>
        <w:t>)</w:t>
      </w:r>
      <w:r w:rsidR="00D91D7D" w:rsidRPr="0030125D">
        <w:rPr>
          <w:lang w:val="de-DE" w:eastAsia="ja-JP"/>
        </w:rPr>
        <w:t xml:space="preserve"> getestet worden</w:t>
      </w:r>
      <w:r w:rsidRPr="0030125D">
        <w:rPr>
          <w:lang w:val="de-DE" w:eastAsia="ja-JP"/>
        </w:rPr>
        <w:t xml:space="preserve">. </w:t>
      </w:r>
      <w:r w:rsidR="00D91D7D" w:rsidRPr="0030125D">
        <w:rPr>
          <w:lang w:val="de-DE" w:eastAsia="ja-JP"/>
        </w:rPr>
        <w:t xml:space="preserve">Die zehn besten </w:t>
      </w:r>
      <w:r w:rsidR="00507E7F" w:rsidRPr="0030125D">
        <w:rPr>
          <w:lang w:val="de-DE" w:eastAsia="ja-JP"/>
        </w:rPr>
        <w:t>Zusammenstellungen</w:t>
      </w:r>
      <w:r w:rsidR="00D91D7D" w:rsidRPr="0030125D">
        <w:rPr>
          <w:lang w:val="de-DE" w:eastAsia="ja-JP"/>
        </w:rPr>
        <w:t xml:space="preserve">, die die beste </w:t>
      </w:r>
      <w:r w:rsidR="0050462E" w:rsidRPr="0030125D">
        <w:rPr>
          <w:lang w:val="de-DE" w:eastAsia="ja-JP"/>
        </w:rPr>
        <w:t>Effizienz</w:t>
      </w:r>
      <w:r w:rsidR="00D91D7D" w:rsidRPr="0030125D">
        <w:rPr>
          <w:lang w:val="de-DE" w:eastAsia="ja-JP"/>
        </w:rPr>
        <w:t xml:space="preserve"> unter allen mit F3 gemessenen getesteten </w:t>
      </w:r>
      <w:r w:rsidR="00507E7F" w:rsidRPr="0030125D">
        <w:rPr>
          <w:lang w:val="de-DE" w:eastAsia="ja-JP"/>
        </w:rPr>
        <w:t>Zusammenstellungen</w:t>
      </w:r>
      <w:r w:rsidR="00D91D7D" w:rsidRPr="0030125D">
        <w:rPr>
          <w:lang w:val="de-DE" w:eastAsia="ja-JP"/>
        </w:rPr>
        <w:t xml:space="preserve"> zeigten, </w:t>
      </w:r>
      <w:r w:rsidR="00507E7F" w:rsidRPr="0030125D">
        <w:rPr>
          <w:lang w:val="de-DE" w:eastAsia="ja-JP"/>
        </w:rPr>
        <w:t>wurden</w:t>
      </w:r>
      <w:r w:rsidR="00D91D7D" w:rsidRPr="0030125D">
        <w:rPr>
          <w:lang w:val="de-DE" w:eastAsia="ja-JP"/>
        </w:rPr>
        <w:t xml:space="preserve"> </w:t>
      </w:r>
      <w:r w:rsidR="00507E7F" w:rsidRPr="0030125D">
        <w:rPr>
          <w:lang w:val="de-DE" w:eastAsia="ja-JP"/>
        </w:rPr>
        <w:t>im</w:t>
      </w:r>
      <w:r w:rsidR="00D91D7D" w:rsidRPr="0030125D">
        <w:rPr>
          <w:lang w:val="de-DE" w:eastAsia="ja-JP"/>
        </w:rPr>
        <w:t xml:space="preserve"> Referat dargestellt</w:t>
      </w:r>
      <w:r w:rsidR="0038410B" w:rsidRPr="0030125D">
        <w:rPr>
          <w:rStyle w:val="FootnoteReference"/>
          <w:lang w:val="de-DE" w:eastAsia="ja-JP"/>
        </w:rPr>
        <w:footnoteReference w:id="7"/>
      </w:r>
      <w:r w:rsidRPr="0030125D">
        <w:rPr>
          <w:lang w:val="de-DE" w:eastAsia="ja-JP"/>
        </w:rPr>
        <w:t>.</w:t>
      </w:r>
    </w:p>
    <w:p w:rsidR="009175FC" w:rsidRPr="0030125D" w:rsidRDefault="009175FC" w:rsidP="009175FC">
      <w:pPr>
        <w:rPr>
          <w:lang w:val="de-DE" w:eastAsia="ja-JP"/>
        </w:rPr>
      </w:pPr>
    </w:p>
    <w:p w:rsidR="00E419C7" w:rsidRPr="0030125D" w:rsidRDefault="00E419C7" w:rsidP="00E419C7">
      <w:pPr>
        <w:autoSpaceDE w:val="0"/>
        <w:autoSpaceDN w:val="0"/>
        <w:adjustRightInd w:val="0"/>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0462E" w:rsidRPr="0030125D">
        <w:rPr>
          <w:lang w:val="de-DE"/>
        </w:rPr>
        <w:t>Die</w:t>
      </w:r>
      <w:r w:rsidRPr="0030125D">
        <w:rPr>
          <w:lang w:val="de-DE" w:eastAsia="ja-JP"/>
        </w:rPr>
        <w:t xml:space="preserve"> </w:t>
      </w:r>
      <w:r w:rsidRPr="0030125D">
        <w:rPr>
          <w:rFonts w:cs="Arial"/>
          <w:lang w:val="de-DE"/>
        </w:rPr>
        <w:t xml:space="preserve">WG-DST </w:t>
      </w:r>
      <w:r w:rsidR="0050462E" w:rsidRPr="0030125D">
        <w:rPr>
          <w:rFonts w:cs="Arial"/>
          <w:lang w:val="de-DE"/>
        </w:rPr>
        <w:t xml:space="preserve">vereinbarte, wegen der </w:t>
      </w:r>
      <w:r w:rsidR="00507E7F" w:rsidRPr="0030125D">
        <w:rPr>
          <w:rFonts w:cs="Arial"/>
          <w:lang w:val="de-DE"/>
        </w:rPr>
        <w:t>Bedeutung</w:t>
      </w:r>
      <w:r w:rsidR="0050462E" w:rsidRPr="0030125D">
        <w:rPr>
          <w:rFonts w:cs="Arial"/>
          <w:lang w:val="de-DE"/>
        </w:rPr>
        <w:t xml:space="preserve"> der </w:t>
      </w:r>
      <w:r w:rsidR="00507E7F" w:rsidRPr="0030125D">
        <w:rPr>
          <w:rFonts w:cs="Arial"/>
          <w:lang w:val="de-DE"/>
        </w:rPr>
        <w:t>Vollständigkeit</w:t>
      </w:r>
      <w:r w:rsidR="0050462E" w:rsidRPr="0030125D">
        <w:rPr>
          <w:rFonts w:cs="Arial"/>
          <w:lang w:val="de-DE"/>
        </w:rPr>
        <w:t xml:space="preserve"> zum Zweck der Suche nach </w:t>
      </w:r>
      <w:r w:rsidR="00507E7F" w:rsidRPr="0030125D">
        <w:rPr>
          <w:rFonts w:cs="Arial"/>
          <w:lang w:val="de-DE"/>
        </w:rPr>
        <w:t>Ähnlichkeiten</w:t>
      </w:r>
      <w:r w:rsidR="0050462E" w:rsidRPr="0030125D">
        <w:rPr>
          <w:rFonts w:cs="Arial"/>
          <w:lang w:val="de-DE"/>
        </w:rPr>
        <w:t xml:space="preserve"> von Sortenbezeichnungen die F3-Messung als geeignete Grundlage für die Beurteilung der Effizienz zu verwenden</w:t>
      </w:r>
      <w:r w:rsidR="00975AD5" w:rsidRPr="0030125D">
        <w:rPr>
          <w:rFonts w:cs="Arial"/>
          <w:lang w:val="de-DE" w:eastAsia="ja-JP"/>
        </w:rPr>
        <w:t>.</w:t>
      </w:r>
      <w:r w:rsidR="0038410B" w:rsidRPr="0030125D">
        <w:rPr>
          <w:rStyle w:val="FootnoteReference"/>
          <w:rFonts w:cs="Arial"/>
          <w:lang w:val="de-DE" w:eastAsia="ja-JP"/>
        </w:rPr>
        <w:footnoteReference w:id="8"/>
      </w:r>
    </w:p>
    <w:p w:rsidR="00E419C7" w:rsidRPr="0030125D" w:rsidRDefault="00E419C7" w:rsidP="00E419C7">
      <w:pPr>
        <w:autoSpaceDE w:val="0"/>
        <w:autoSpaceDN w:val="0"/>
        <w:adjustRightInd w:val="0"/>
        <w:rPr>
          <w:rFonts w:cs="Arial"/>
          <w:lang w:val="de-DE" w:eastAsia="ja-JP"/>
        </w:rPr>
      </w:pPr>
    </w:p>
    <w:p w:rsidR="00E419C7" w:rsidRPr="0030125D" w:rsidRDefault="00E419C7" w:rsidP="00E419C7">
      <w:pPr>
        <w:autoSpaceDE w:val="0"/>
        <w:autoSpaceDN w:val="0"/>
        <w:adjustRightInd w:val="0"/>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07E7F" w:rsidRPr="0030125D">
        <w:rPr>
          <w:lang w:val="de-DE"/>
        </w:rPr>
        <w:t>Die</w:t>
      </w:r>
      <w:r w:rsidR="00507E7F" w:rsidRPr="0030125D">
        <w:rPr>
          <w:lang w:val="de-DE" w:eastAsia="ja-JP"/>
        </w:rPr>
        <w:t xml:space="preserve"> WG-DST vereinbarte, daß der zweite Schritt der Teststudie darin bestehen sollte zu prüfen, ob eine zusätzliche Ebene phonetischer Kriterien zu den potentiellen Algorithmen hinzugefügt werden sollte, indem beurteilt wird, ob dies die Effizienz verbessern würde. Insbesondere</w:t>
      </w:r>
      <w:r w:rsidR="00551941" w:rsidRPr="0030125D">
        <w:rPr>
          <w:lang w:val="de-DE" w:eastAsia="ja-JP"/>
        </w:rPr>
        <w:t xml:space="preserve"> wurde vereinbart, </w:t>
      </w:r>
      <w:r w:rsidR="00507E7F" w:rsidRPr="0030125D">
        <w:rPr>
          <w:lang w:val="de-DE" w:eastAsia="ja-JP"/>
        </w:rPr>
        <w:t>daß</w:t>
      </w:r>
      <w:r w:rsidR="00551941" w:rsidRPr="0030125D">
        <w:rPr>
          <w:lang w:val="de-DE" w:eastAsia="ja-JP"/>
        </w:rPr>
        <w:t xml:space="preserve"> es notwendig </w:t>
      </w:r>
      <w:r w:rsidR="00507E7F" w:rsidRPr="0030125D">
        <w:rPr>
          <w:lang w:val="de-DE" w:eastAsia="ja-JP"/>
        </w:rPr>
        <w:t>wäre</w:t>
      </w:r>
      <w:r w:rsidR="00551941" w:rsidRPr="0030125D">
        <w:rPr>
          <w:lang w:val="de-DE" w:eastAsia="ja-JP"/>
        </w:rPr>
        <w:t xml:space="preserve"> zu beurteilen, ob </w:t>
      </w:r>
      <w:r w:rsidR="007429C0" w:rsidRPr="0030125D">
        <w:rPr>
          <w:lang w:val="de-DE" w:eastAsia="ja-JP"/>
        </w:rPr>
        <w:t xml:space="preserve">auf </w:t>
      </w:r>
      <w:r w:rsidR="00551941" w:rsidRPr="0030125D">
        <w:rPr>
          <w:lang w:val="de-DE" w:eastAsia="ja-JP"/>
        </w:rPr>
        <w:t xml:space="preserve">die </w:t>
      </w:r>
      <w:r w:rsidR="00507E7F" w:rsidRPr="0030125D">
        <w:rPr>
          <w:lang w:val="de-DE" w:eastAsia="ja-JP"/>
        </w:rPr>
        <w:t>Genauigkeit</w:t>
      </w:r>
      <w:r w:rsidR="00551941" w:rsidRPr="0030125D">
        <w:rPr>
          <w:lang w:val="de-DE" w:eastAsia="ja-JP"/>
        </w:rPr>
        <w:t xml:space="preserve"> </w:t>
      </w:r>
      <w:r w:rsidR="007429C0" w:rsidRPr="0030125D">
        <w:rPr>
          <w:lang w:val="de-DE" w:eastAsia="ja-JP"/>
        </w:rPr>
        <w:t>verzichtet</w:t>
      </w:r>
      <w:r w:rsidR="00551941" w:rsidRPr="0030125D">
        <w:rPr>
          <w:lang w:val="de-DE" w:eastAsia="ja-JP"/>
        </w:rPr>
        <w:t xml:space="preserve"> werden sollte</w:t>
      </w:r>
      <w:r w:rsidR="00975AD5" w:rsidRPr="0030125D">
        <w:rPr>
          <w:rFonts w:cs="Arial"/>
          <w:lang w:val="de-DE"/>
        </w:rPr>
        <w:t>.</w:t>
      </w:r>
      <w:r w:rsidR="0038410B" w:rsidRPr="0030125D">
        <w:rPr>
          <w:rStyle w:val="FootnoteReference"/>
          <w:rFonts w:cs="Arial"/>
          <w:lang w:val="de-DE"/>
        </w:rPr>
        <w:footnoteReference w:id="9"/>
      </w:r>
    </w:p>
    <w:p w:rsidR="00E419C7" w:rsidRPr="0030125D" w:rsidRDefault="00E419C7" w:rsidP="00E419C7">
      <w:pPr>
        <w:autoSpaceDE w:val="0"/>
        <w:autoSpaceDN w:val="0"/>
        <w:adjustRightInd w:val="0"/>
        <w:jc w:val="left"/>
        <w:rPr>
          <w:lang w:val="de-DE" w:eastAsia="ja-JP"/>
        </w:rPr>
      </w:pPr>
    </w:p>
    <w:p w:rsidR="00AA4DD8" w:rsidRPr="0030125D" w:rsidRDefault="00E419C7" w:rsidP="00AA4DD8">
      <w:pPr>
        <w:rPr>
          <w:lang w:val="de-DE"/>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86750A" w:rsidRPr="0030125D">
        <w:rPr>
          <w:lang w:val="de-DE" w:eastAsia="ja-JP"/>
        </w:rPr>
        <w:t>Die</w:t>
      </w:r>
      <w:r w:rsidR="00AA4DD8" w:rsidRPr="0030125D">
        <w:rPr>
          <w:lang w:val="de-DE" w:eastAsia="ja-JP"/>
        </w:rPr>
        <w:t xml:space="preserve"> WG-DST </w:t>
      </w:r>
      <w:r w:rsidR="0086750A" w:rsidRPr="0030125D">
        <w:rPr>
          <w:lang w:val="de-DE" w:eastAsia="ja-JP"/>
        </w:rPr>
        <w:t xml:space="preserve">vereinbarte, zwei oder drei Algorithmen mit einer phonetischen Ebene auszuarbeiten und die Ergebnisse mit </w:t>
      </w:r>
      <w:r w:rsidR="00507E7F" w:rsidRPr="0030125D">
        <w:rPr>
          <w:lang w:val="de-DE" w:eastAsia="ja-JP"/>
        </w:rPr>
        <w:t>den</w:t>
      </w:r>
      <w:r w:rsidR="0086750A" w:rsidRPr="0030125D">
        <w:rPr>
          <w:lang w:val="de-DE" w:eastAsia="ja-JP"/>
        </w:rPr>
        <w:t xml:space="preserve"> Algorithmen </w:t>
      </w:r>
      <w:r w:rsidR="00507E7F" w:rsidRPr="0030125D">
        <w:rPr>
          <w:lang w:val="de-DE" w:eastAsia="ja-JP"/>
        </w:rPr>
        <w:t>ohne</w:t>
      </w:r>
      <w:r w:rsidR="0086750A" w:rsidRPr="0030125D">
        <w:rPr>
          <w:lang w:val="de-DE" w:eastAsia="ja-JP"/>
        </w:rPr>
        <w:t xml:space="preserve"> </w:t>
      </w:r>
      <w:r w:rsidR="00507E7F" w:rsidRPr="0030125D">
        <w:rPr>
          <w:lang w:val="de-DE" w:eastAsia="ja-JP"/>
        </w:rPr>
        <w:t>phonetische</w:t>
      </w:r>
      <w:r w:rsidR="0086750A" w:rsidRPr="0030125D">
        <w:rPr>
          <w:lang w:val="de-DE" w:eastAsia="ja-JP"/>
        </w:rPr>
        <w:t xml:space="preserve"> </w:t>
      </w:r>
      <w:r w:rsidR="00507E7F" w:rsidRPr="0030125D">
        <w:rPr>
          <w:lang w:val="de-DE" w:eastAsia="ja-JP"/>
        </w:rPr>
        <w:t>Ebene</w:t>
      </w:r>
      <w:r w:rsidR="0086750A" w:rsidRPr="0030125D">
        <w:rPr>
          <w:lang w:val="de-DE" w:eastAsia="ja-JP"/>
        </w:rPr>
        <w:t xml:space="preserve"> zu vergleichen. Ferner wurde vereinbart, </w:t>
      </w:r>
      <w:r w:rsidR="00507E7F" w:rsidRPr="0030125D">
        <w:rPr>
          <w:lang w:val="de-DE" w:eastAsia="ja-JP"/>
        </w:rPr>
        <w:t>daß</w:t>
      </w:r>
      <w:r w:rsidR="0086750A" w:rsidRPr="0030125D">
        <w:rPr>
          <w:lang w:val="de-DE" w:eastAsia="ja-JP"/>
        </w:rPr>
        <w:t xml:space="preserve"> der zweite Schritt der Teststudie auf der PLUTO-Datenbank unter </w:t>
      </w:r>
      <w:r w:rsidR="007429C0" w:rsidRPr="0030125D">
        <w:rPr>
          <w:lang w:val="de-DE" w:eastAsia="ja-JP"/>
        </w:rPr>
        <w:t>Einsatz</w:t>
      </w:r>
      <w:r w:rsidR="0086750A" w:rsidRPr="0030125D">
        <w:rPr>
          <w:lang w:val="de-DE" w:eastAsia="ja-JP"/>
        </w:rPr>
        <w:t xml:space="preserve"> einer spezifischen Testsite erfolgen sollte. Die</w:t>
      </w:r>
      <w:r w:rsidR="00AA4DD8" w:rsidRPr="0030125D">
        <w:rPr>
          <w:lang w:val="de-DE" w:eastAsia="ja-JP"/>
        </w:rPr>
        <w:t xml:space="preserve"> WG-DST </w:t>
      </w:r>
      <w:r w:rsidR="0086750A" w:rsidRPr="0030125D">
        <w:rPr>
          <w:lang w:val="de-DE" w:eastAsia="ja-JP"/>
        </w:rPr>
        <w:t xml:space="preserve">schlug vor, die Mitglieder und Beobachter des CAJ, vorbehaltlich der </w:t>
      </w:r>
      <w:r w:rsidR="00507E7F" w:rsidRPr="0030125D">
        <w:rPr>
          <w:lang w:val="de-DE" w:eastAsia="ja-JP"/>
        </w:rPr>
        <w:t>Rücksprache</w:t>
      </w:r>
      <w:r w:rsidR="0086750A" w:rsidRPr="0030125D">
        <w:rPr>
          <w:lang w:val="de-DE" w:eastAsia="ja-JP"/>
        </w:rPr>
        <w:t xml:space="preserve"> mit </w:t>
      </w:r>
      <w:r w:rsidR="00507E7F" w:rsidRPr="0030125D">
        <w:rPr>
          <w:lang w:val="de-DE" w:eastAsia="ja-JP"/>
        </w:rPr>
        <w:t>dem</w:t>
      </w:r>
      <w:r w:rsidR="0086750A" w:rsidRPr="0030125D">
        <w:rPr>
          <w:lang w:val="de-DE" w:eastAsia="ja-JP"/>
        </w:rPr>
        <w:t xml:space="preserve"> Vorsitzenden des CAJ, zur Teilnahme am zweiten Schritt der Teststudie einzuladen. Der Vorsitzende des CAJ,</w:t>
      </w:r>
      <w:r w:rsidR="00AA4DD8" w:rsidRPr="0030125D">
        <w:rPr>
          <w:lang w:val="de-DE"/>
        </w:rPr>
        <w:t xml:space="preserve"> </w:t>
      </w:r>
      <w:r w:rsidR="0086750A" w:rsidRPr="0030125D">
        <w:rPr>
          <w:lang w:val="de-DE"/>
        </w:rPr>
        <w:t>Herr </w:t>
      </w:r>
      <w:r w:rsidR="00AA4DD8" w:rsidRPr="0030125D">
        <w:rPr>
          <w:lang w:val="de-DE"/>
        </w:rPr>
        <w:t>Martin</w:t>
      </w:r>
      <w:r w:rsidR="0086750A" w:rsidRPr="0030125D">
        <w:rPr>
          <w:lang w:val="de-DE"/>
        </w:rPr>
        <w:t> </w:t>
      </w:r>
      <w:r w:rsidR="00AA4DD8" w:rsidRPr="0030125D">
        <w:rPr>
          <w:lang w:val="de-DE"/>
        </w:rPr>
        <w:t xml:space="preserve">Ekvad, </w:t>
      </w:r>
      <w:r w:rsidR="0086750A" w:rsidRPr="0030125D">
        <w:rPr>
          <w:lang w:val="de-DE"/>
        </w:rPr>
        <w:t xml:space="preserve">stimmte dem Vorhaben und dem Zeitplan </w:t>
      </w:r>
      <w:r w:rsidR="00DF4AA7" w:rsidRPr="0030125D">
        <w:rPr>
          <w:lang w:val="de-DE"/>
        </w:rPr>
        <w:t>d</w:t>
      </w:r>
      <w:r w:rsidR="0086750A" w:rsidRPr="0030125D">
        <w:rPr>
          <w:lang w:val="de-DE"/>
        </w:rPr>
        <w:t xml:space="preserve">es zweiten </w:t>
      </w:r>
      <w:r w:rsidR="00507E7F" w:rsidRPr="0030125D">
        <w:rPr>
          <w:lang w:val="de-DE"/>
        </w:rPr>
        <w:t>Schrittes</w:t>
      </w:r>
      <w:r w:rsidR="0086750A" w:rsidRPr="0030125D">
        <w:rPr>
          <w:lang w:val="de-DE"/>
        </w:rPr>
        <w:t xml:space="preserve"> der Teststudie und der Einladung zur Teilnahme an die </w:t>
      </w:r>
      <w:r w:rsidR="00507E7F" w:rsidRPr="0030125D">
        <w:rPr>
          <w:lang w:val="de-DE"/>
        </w:rPr>
        <w:t>Mitglieder</w:t>
      </w:r>
      <w:r w:rsidR="0086750A" w:rsidRPr="0030125D">
        <w:rPr>
          <w:lang w:val="de-DE"/>
        </w:rPr>
        <w:t xml:space="preserve"> und Beobachter des CAJ zur Teilnahme zu.</w:t>
      </w:r>
      <w:r w:rsidR="0038410B" w:rsidRPr="0030125D">
        <w:rPr>
          <w:rStyle w:val="FootnoteReference"/>
          <w:lang w:val="de-DE"/>
        </w:rPr>
        <w:footnoteReference w:id="10"/>
      </w:r>
    </w:p>
    <w:p w:rsidR="00E419C7" w:rsidRPr="0030125D" w:rsidRDefault="00E419C7" w:rsidP="00E419C7">
      <w:pPr>
        <w:rPr>
          <w:rFonts w:cs="Arial"/>
          <w:lang w:val="de-DE" w:eastAsia="ja-JP"/>
        </w:rPr>
      </w:pPr>
    </w:p>
    <w:p w:rsidR="00E419C7" w:rsidRPr="0030125D" w:rsidRDefault="00E419C7" w:rsidP="00E419C7">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86750A" w:rsidRPr="0030125D">
        <w:rPr>
          <w:rFonts w:cs="Arial"/>
          <w:lang w:val="de-DE" w:eastAsia="ja-JP"/>
        </w:rPr>
        <w:t>Die</w:t>
      </w:r>
      <w:r w:rsidRPr="0030125D">
        <w:rPr>
          <w:rFonts w:cs="Arial"/>
          <w:lang w:val="de-DE" w:eastAsia="ja-JP"/>
        </w:rPr>
        <w:t xml:space="preserve"> WG-DST </w:t>
      </w:r>
      <w:r w:rsidR="0086750A" w:rsidRPr="0030125D">
        <w:rPr>
          <w:rFonts w:cs="Arial"/>
          <w:lang w:val="de-DE" w:eastAsia="ja-JP"/>
        </w:rPr>
        <w:t xml:space="preserve">vereinbarte, </w:t>
      </w:r>
      <w:r w:rsidR="00507E7F" w:rsidRPr="0030125D">
        <w:rPr>
          <w:rFonts w:cs="Arial"/>
          <w:lang w:val="de-DE" w:eastAsia="ja-JP"/>
        </w:rPr>
        <w:t>daß</w:t>
      </w:r>
      <w:r w:rsidR="0086750A" w:rsidRPr="0030125D">
        <w:rPr>
          <w:rFonts w:cs="Arial"/>
          <w:lang w:val="de-DE" w:eastAsia="ja-JP"/>
        </w:rPr>
        <w:t xml:space="preserve"> die Reihe von Algorithmen für den Test bis spätestens 1.</w:t>
      </w:r>
      <w:r w:rsidR="007429C0" w:rsidRPr="0030125D">
        <w:rPr>
          <w:rFonts w:cs="Arial"/>
          <w:lang w:val="de-DE" w:eastAsia="ja-JP"/>
        </w:rPr>
        <w:t> </w:t>
      </w:r>
      <w:r w:rsidR="0086750A" w:rsidRPr="0030125D">
        <w:rPr>
          <w:rFonts w:cs="Arial"/>
          <w:lang w:val="de-DE" w:eastAsia="ja-JP"/>
        </w:rPr>
        <w:t>September</w:t>
      </w:r>
      <w:r w:rsidR="007429C0" w:rsidRPr="0030125D">
        <w:rPr>
          <w:rFonts w:cs="Arial"/>
          <w:lang w:val="de-DE" w:eastAsia="ja-JP"/>
        </w:rPr>
        <w:t> </w:t>
      </w:r>
      <w:r w:rsidR="0086750A" w:rsidRPr="0030125D">
        <w:rPr>
          <w:rFonts w:cs="Arial"/>
          <w:lang w:val="de-DE" w:eastAsia="ja-JP"/>
        </w:rPr>
        <w:t xml:space="preserve">2015 verfügbar sein sollte und </w:t>
      </w:r>
      <w:r w:rsidR="0053767D" w:rsidRPr="0030125D">
        <w:rPr>
          <w:rFonts w:cs="Arial"/>
          <w:lang w:val="de-DE" w:eastAsia="ja-JP"/>
        </w:rPr>
        <w:t>daß</w:t>
      </w:r>
      <w:r w:rsidR="00497AE4" w:rsidRPr="0030125D">
        <w:rPr>
          <w:rFonts w:cs="Arial"/>
          <w:lang w:val="de-DE" w:eastAsia="ja-JP"/>
        </w:rPr>
        <w:t xml:space="preserve"> der WG-DST auf ihrer dritten Sitzung vom 2.</w:t>
      </w:r>
      <w:r w:rsidR="007429C0" w:rsidRPr="0030125D">
        <w:rPr>
          <w:rFonts w:cs="Arial"/>
          <w:lang w:val="de-DE" w:eastAsia="ja-JP"/>
        </w:rPr>
        <w:t> </w:t>
      </w:r>
      <w:r w:rsidR="00497AE4" w:rsidRPr="0030125D">
        <w:rPr>
          <w:rFonts w:cs="Arial"/>
          <w:lang w:val="de-DE" w:eastAsia="ja-JP"/>
        </w:rPr>
        <w:t>Oktober</w:t>
      </w:r>
      <w:r w:rsidR="007429C0" w:rsidRPr="0030125D">
        <w:rPr>
          <w:rFonts w:cs="Arial"/>
          <w:lang w:val="de-DE" w:eastAsia="ja-JP"/>
        </w:rPr>
        <w:t> </w:t>
      </w:r>
      <w:r w:rsidR="00497AE4" w:rsidRPr="0030125D">
        <w:rPr>
          <w:rFonts w:cs="Arial"/>
          <w:lang w:val="de-DE" w:eastAsia="ja-JP"/>
        </w:rPr>
        <w:t xml:space="preserve">2015 in </w:t>
      </w:r>
      <w:r w:rsidR="0053767D" w:rsidRPr="0030125D">
        <w:rPr>
          <w:rFonts w:cs="Arial"/>
          <w:lang w:val="de-DE" w:eastAsia="ja-JP"/>
        </w:rPr>
        <w:t>Genf</w:t>
      </w:r>
      <w:r w:rsidR="00497AE4" w:rsidRPr="0030125D">
        <w:rPr>
          <w:rFonts w:cs="Arial"/>
          <w:lang w:val="de-DE" w:eastAsia="ja-JP"/>
        </w:rPr>
        <w:t xml:space="preserve"> über das </w:t>
      </w:r>
      <w:r w:rsidR="0053767D" w:rsidRPr="0030125D">
        <w:rPr>
          <w:rFonts w:cs="Arial"/>
          <w:lang w:val="de-DE" w:eastAsia="ja-JP"/>
        </w:rPr>
        <w:t>Ergebnis</w:t>
      </w:r>
      <w:r w:rsidR="00497AE4" w:rsidRPr="0030125D">
        <w:rPr>
          <w:rFonts w:cs="Arial"/>
          <w:lang w:val="de-DE" w:eastAsia="ja-JP"/>
        </w:rPr>
        <w:t xml:space="preserve"> Bericht erstattet </w:t>
      </w:r>
      <w:r w:rsidR="0053767D" w:rsidRPr="0030125D">
        <w:rPr>
          <w:rFonts w:cs="Arial"/>
          <w:lang w:val="de-DE" w:eastAsia="ja-JP"/>
        </w:rPr>
        <w:t>werden</w:t>
      </w:r>
      <w:r w:rsidR="00497AE4" w:rsidRPr="0030125D">
        <w:rPr>
          <w:rFonts w:cs="Arial"/>
          <w:lang w:val="de-DE" w:eastAsia="ja-JP"/>
        </w:rPr>
        <w:t xml:space="preserve"> solle.</w:t>
      </w:r>
      <w:r w:rsidR="0038410B" w:rsidRPr="0030125D">
        <w:rPr>
          <w:rStyle w:val="FootnoteReference"/>
          <w:rFonts w:cs="Arial"/>
          <w:lang w:val="de-DE" w:eastAsia="ja-JP"/>
        </w:rPr>
        <w:footnoteReference w:id="11"/>
      </w:r>
    </w:p>
    <w:p w:rsidR="00E419C7" w:rsidRPr="0030125D" w:rsidRDefault="00E419C7" w:rsidP="00E419C7">
      <w:pPr>
        <w:rPr>
          <w:rFonts w:cs="Arial"/>
          <w:lang w:val="de-DE" w:eastAsia="ja-JP"/>
        </w:rPr>
      </w:pPr>
    </w:p>
    <w:p w:rsidR="00E419C7" w:rsidRPr="0030125D" w:rsidRDefault="00E419C7" w:rsidP="00E419C7">
      <w:pPr>
        <w:autoSpaceDE w:val="0"/>
        <w:autoSpaceDN w:val="0"/>
        <w:adjustRightInd w:val="0"/>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Pr="0030125D">
        <w:rPr>
          <w:lang w:val="de-DE" w:eastAsia="ja-JP"/>
        </w:rPr>
        <w:t xml:space="preserve">In </w:t>
      </w:r>
      <w:r w:rsidR="00497AE4" w:rsidRPr="0030125D">
        <w:rPr>
          <w:lang w:val="de-DE" w:eastAsia="ja-JP"/>
        </w:rPr>
        <w:t xml:space="preserve">Beantwortung eines </w:t>
      </w:r>
      <w:r w:rsidR="0053767D" w:rsidRPr="0030125D">
        <w:rPr>
          <w:lang w:val="de-DE" w:eastAsia="ja-JP"/>
        </w:rPr>
        <w:t>Ersuchens</w:t>
      </w:r>
      <w:r w:rsidR="00497AE4" w:rsidRPr="0030125D">
        <w:rPr>
          <w:lang w:val="de-DE" w:eastAsia="ja-JP"/>
        </w:rPr>
        <w:t xml:space="preserve"> des </w:t>
      </w:r>
      <w:r w:rsidR="0053767D" w:rsidRPr="0030125D">
        <w:rPr>
          <w:lang w:val="de-DE" w:eastAsia="ja-JP"/>
        </w:rPr>
        <w:t>Gemeinschaftlichen</w:t>
      </w:r>
      <w:r w:rsidR="00497AE4" w:rsidRPr="0030125D">
        <w:rPr>
          <w:lang w:val="de-DE" w:eastAsia="ja-JP"/>
        </w:rPr>
        <w:t xml:space="preserve"> Sortenamts der Europäischen Union </w:t>
      </w:r>
      <w:r w:rsidRPr="0030125D">
        <w:rPr>
          <w:lang w:val="de-DE" w:eastAsia="ja-JP"/>
        </w:rPr>
        <w:t>(CPVO)</w:t>
      </w:r>
      <w:r w:rsidR="00497AE4" w:rsidRPr="0030125D">
        <w:rPr>
          <w:lang w:val="de-DE" w:eastAsia="ja-JP"/>
        </w:rPr>
        <w:t xml:space="preserve">, die Reihe von </w:t>
      </w:r>
      <w:r w:rsidR="0053767D" w:rsidRPr="0030125D">
        <w:rPr>
          <w:lang w:val="de-DE" w:eastAsia="ja-JP"/>
        </w:rPr>
        <w:t>Algorithmen</w:t>
      </w:r>
      <w:r w:rsidR="00497AE4" w:rsidRPr="0030125D">
        <w:rPr>
          <w:lang w:val="de-DE" w:eastAsia="ja-JP"/>
        </w:rPr>
        <w:t xml:space="preserve"> auf ihrem eigenen System zu testen, vereinbarte die </w:t>
      </w:r>
      <w:r w:rsidRPr="0030125D">
        <w:rPr>
          <w:lang w:val="de-DE" w:eastAsia="ja-JP"/>
        </w:rPr>
        <w:t>WG-DST</w:t>
      </w:r>
      <w:r w:rsidR="00497AE4" w:rsidRPr="0030125D">
        <w:rPr>
          <w:lang w:val="de-DE" w:eastAsia="ja-JP"/>
        </w:rPr>
        <w:t xml:space="preserve">, </w:t>
      </w:r>
      <w:r w:rsidR="00507E7F" w:rsidRPr="0030125D">
        <w:rPr>
          <w:lang w:val="de-DE" w:eastAsia="ja-JP"/>
        </w:rPr>
        <w:t>daß</w:t>
      </w:r>
      <w:r w:rsidR="00497AE4" w:rsidRPr="0030125D">
        <w:rPr>
          <w:lang w:val="de-DE" w:eastAsia="ja-JP"/>
        </w:rPr>
        <w:t xml:space="preserve"> der Quellencode der Reihe von in JAVA geschriebenen Algorithmen</w:t>
      </w:r>
      <w:r w:rsidRPr="0030125D">
        <w:rPr>
          <w:lang w:val="de-DE" w:eastAsia="ja-JP"/>
        </w:rPr>
        <w:t xml:space="preserve"> </w:t>
      </w:r>
      <w:r w:rsidR="00497AE4" w:rsidRPr="0030125D">
        <w:rPr>
          <w:lang w:val="de-DE" w:eastAsia="ja-JP"/>
        </w:rPr>
        <w:t>den Mitgliedern der</w:t>
      </w:r>
      <w:r w:rsidRPr="0030125D">
        <w:rPr>
          <w:rFonts w:cs="Arial"/>
          <w:lang w:val="de-DE"/>
        </w:rPr>
        <w:t xml:space="preserve"> </w:t>
      </w:r>
      <w:r w:rsidR="00497AE4" w:rsidRPr="0030125D">
        <w:rPr>
          <w:rFonts w:cs="Arial"/>
          <w:lang w:val="de-DE" w:eastAsia="ja-JP"/>
        </w:rPr>
        <w:t xml:space="preserve">WG-DST auf Anfrage verfügbar gemacht </w:t>
      </w:r>
      <w:r w:rsidR="0053767D" w:rsidRPr="0030125D">
        <w:rPr>
          <w:rFonts w:cs="Arial"/>
          <w:lang w:val="de-DE" w:eastAsia="ja-JP"/>
        </w:rPr>
        <w:t>würde</w:t>
      </w:r>
      <w:r w:rsidR="00975AD5" w:rsidRPr="0030125D">
        <w:rPr>
          <w:rFonts w:cs="Arial"/>
          <w:lang w:val="de-DE" w:eastAsia="ja-JP"/>
        </w:rPr>
        <w:t>.</w:t>
      </w:r>
      <w:r w:rsidR="0038410B" w:rsidRPr="0030125D">
        <w:rPr>
          <w:rStyle w:val="FootnoteReference"/>
          <w:rFonts w:cs="Arial"/>
          <w:lang w:val="de-DE" w:eastAsia="ja-JP"/>
        </w:rPr>
        <w:footnoteReference w:id="12"/>
      </w:r>
    </w:p>
    <w:p w:rsidR="00E419C7" w:rsidRPr="0030125D" w:rsidRDefault="00E419C7" w:rsidP="00E419C7">
      <w:pPr>
        <w:autoSpaceDE w:val="0"/>
        <w:autoSpaceDN w:val="0"/>
        <w:adjustRightInd w:val="0"/>
        <w:jc w:val="left"/>
        <w:rPr>
          <w:lang w:val="de-DE" w:eastAsia="ja-JP"/>
        </w:rPr>
      </w:pPr>
    </w:p>
    <w:p w:rsidR="00911B1D" w:rsidRPr="0030125D" w:rsidRDefault="00911B1D" w:rsidP="00911B1D">
      <w:pPr>
        <w:rPr>
          <w:lang w:val="de-DE" w:eastAsia="ja-JP"/>
        </w:rPr>
      </w:pPr>
      <w:r w:rsidRPr="0030125D">
        <w:rPr>
          <w:rFonts w:cs="Arial"/>
          <w:lang w:val="de-DE"/>
        </w:rPr>
        <w:lastRenderedPageBreak/>
        <w:fldChar w:fldCharType="begin"/>
      </w:r>
      <w:r w:rsidRPr="0030125D">
        <w:rPr>
          <w:rFonts w:cs="Arial"/>
          <w:lang w:val="de-DE"/>
        </w:rPr>
        <w:instrText xml:space="preserve"> AUTONUM  </w:instrText>
      </w:r>
      <w:r w:rsidRPr="0030125D">
        <w:rPr>
          <w:rFonts w:cs="Arial"/>
          <w:lang w:val="de-DE"/>
        </w:rPr>
        <w:fldChar w:fldCharType="end"/>
      </w:r>
      <w:r w:rsidRPr="0030125D">
        <w:rPr>
          <w:lang w:val="de-DE"/>
        </w:rPr>
        <w:tab/>
      </w:r>
      <w:r w:rsidR="00497AE4" w:rsidRPr="0030125D">
        <w:rPr>
          <w:lang w:val="de-DE"/>
        </w:rPr>
        <w:t xml:space="preserve">Im Laufe des Prozesses zur Vorbereitung der ausgewählten Algorithmen </w:t>
      </w:r>
      <w:r w:rsidR="00497AE4" w:rsidRPr="0030125D">
        <w:rPr>
          <w:lang w:val="de-DE" w:eastAsia="ja-JP"/>
        </w:rPr>
        <w:t xml:space="preserve">mit </w:t>
      </w:r>
      <w:r w:rsidR="0053767D" w:rsidRPr="0030125D">
        <w:rPr>
          <w:lang w:val="de-DE" w:eastAsia="ja-JP"/>
        </w:rPr>
        <w:t>einer phonetischen</w:t>
      </w:r>
      <w:r w:rsidR="00497AE4" w:rsidRPr="0030125D">
        <w:rPr>
          <w:lang w:val="de-DE" w:eastAsia="ja-JP"/>
        </w:rPr>
        <w:t xml:space="preserve"> Ebene wurde festgestellt, </w:t>
      </w:r>
      <w:r w:rsidR="0053767D" w:rsidRPr="0030125D">
        <w:rPr>
          <w:lang w:val="de-DE" w:eastAsia="ja-JP"/>
        </w:rPr>
        <w:t>daß</w:t>
      </w:r>
      <w:r w:rsidR="00497AE4" w:rsidRPr="0030125D">
        <w:rPr>
          <w:lang w:val="de-DE" w:eastAsia="ja-JP"/>
        </w:rPr>
        <w:t xml:space="preserve"> die ausgewählten Algorithmen eine erheblich geringere Effizienz zeigten, wenn </w:t>
      </w:r>
      <w:r w:rsidR="008A7330" w:rsidRPr="0030125D">
        <w:rPr>
          <w:lang w:val="de-DE" w:eastAsia="ja-JP"/>
        </w:rPr>
        <w:t>s</w:t>
      </w:r>
      <w:r w:rsidR="00497AE4" w:rsidRPr="0030125D">
        <w:rPr>
          <w:lang w:val="de-DE" w:eastAsia="ja-JP"/>
        </w:rPr>
        <w:t>ie auf d</w:t>
      </w:r>
      <w:r w:rsidR="008A7330" w:rsidRPr="0030125D">
        <w:rPr>
          <w:lang w:val="de-DE" w:eastAsia="ja-JP"/>
        </w:rPr>
        <w:t>ie</w:t>
      </w:r>
      <w:r w:rsidR="00497AE4" w:rsidRPr="0030125D">
        <w:rPr>
          <w:lang w:val="de-DE" w:eastAsia="ja-JP"/>
        </w:rPr>
        <w:t xml:space="preserve"> PLUTO-Datenbank angewandt wurden</w:t>
      </w:r>
      <w:r w:rsidR="00644738" w:rsidRPr="0030125D">
        <w:rPr>
          <w:lang w:val="de-DE" w:eastAsia="ja-JP"/>
        </w:rPr>
        <w:t xml:space="preserve">. </w:t>
      </w:r>
      <w:r w:rsidR="00497AE4" w:rsidRPr="0030125D">
        <w:rPr>
          <w:lang w:val="de-DE" w:eastAsia="ja-JP"/>
        </w:rPr>
        <w:t xml:space="preserve">Die Algorithmen erzeugten </w:t>
      </w:r>
      <w:r w:rsidR="0053767D" w:rsidRPr="0030125D">
        <w:rPr>
          <w:lang w:val="de-DE" w:eastAsia="ja-JP"/>
        </w:rPr>
        <w:t>insbesondere</w:t>
      </w:r>
      <w:r w:rsidR="00497AE4" w:rsidRPr="0030125D">
        <w:rPr>
          <w:lang w:val="de-DE" w:eastAsia="ja-JP"/>
        </w:rPr>
        <w:t xml:space="preserve"> zu viele Bezeichnungen, die über dem </w:t>
      </w:r>
      <w:r w:rsidR="0053767D" w:rsidRPr="0030125D">
        <w:rPr>
          <w:lang w:val="de-DE" w:eastAsia="ja-JP"/>
        </w:rPr>
        <w:t>Testtrennwert</w:t>
      </w:r>
      <w:r w:rsidR="008A7330" w:rsidRPr="0030125D">
        <w:rPr>
          <w:lang w:val="de-DE" w:eastAsia="ja-JP"/>
        </w:rPr>
        <w:t xml:space="preserve"> für Ähnlichkeit lag</w:t>
      </w:r>
      <w:r w:rsidR="00497AE4" w:rsidRPr="0030125D">
        <w:rPr>
          <w:lang w:val="de-DE" w:eastAsia="ja-JP"/>
        </w:rPr>
        <w:t>en (geringe Genauigkeit).</w:t>
      </w:r>
    </w:p>
    <w:p w:rsidR="00911B1D" w:rsidRPr="0030125D" w:rsidRDefault="00911B1D" w:rsidP="00E419C7">
      <w:pPr>
        <w:autoSpaceDE w:val="0"/>
        <w:autoSpaceDN w:val="0"/>
        <w:adjustRightInd w:val="0"/>
        <w:jc w:val="left"/>
        <w:rPr>
          <w:lang w:val="de-DE" w:eastAsia="ja-JP"/>
        </w:rPr>
      </w:pPr>
    </w:p>
    <w:p w:rsidR="00911B1D" w:rsidRPr="0030125D" w:rsidRDefault="00911B1D" w:rsidP="00911B1D">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3767D" w:rsidRPr="0030125D">
        <w:rPr>
          <w:lang w:val="de-DE"/>
        </w:rPr>
        <w:t>Auf dieser Grundlage wird die</w:t>
      </w:r>
      <w:r w:rsidR="0053767D" w:rsidRPr="0030125D">
        <w:rPr>
          <w:lang w:val="de-DE" w:eastAsia="ja-JP"/>
        </w:rPr>
        <w:t xml:space="preserve"> WG-DST auf ihrer dritten Sitzung ersucht werden, einen neuen Vorschlag für einen nächsten Schritt zu prüfen, und dem CAJ wird auf seiner zweiundsiebzigsten Tagung über ihre Schlußfolgerung Bericht erstattet werden.</w:t>
      </w:r>
    </w:p>
    <w:p w:rsidR="00C151E1" w:rsidRPr="0030125D" w:rsidRDefault="00C151E1" w:rsidP="008B5ED9">
      <w:pPr>
        <w:autoSpaceDE w:val="0"/>
        <w:autoSpaceDN w:val="0"/>
        <w:adjustRightInd w:val="0"/>
        <w:spacing w:line="360" w:lineRule="auto"/>
        <w:jc w:val="left"/>
        <w:rPr>
          <w:lang w:val="de-DE" w:eastAsia="ja-JP"/>
        </w:rPr>
      </w:pPr>
    </w:p>
    <w:p w:rsidR="00E419C7" w:rsidRPr="0030125D" w:rsidRDefault="00E419C7" w:rsidP="008B5ED9">
      <w:pPr>
        <w:pStyle w:val="Heading3"/>
        <w:rPr>
          <w:lang w:val="de-DE" w:eastAsia="ja-JP"/>
        </w:rPr>
      </w:pPr>
      <w:bookmarkStart w:id="24" w:name="_Toc427161610"/>
      <w:bookmarkStart w:id="25" w:name="_Toc431309797"/>
      <w:bookmarkStart w:id="26" w:name="_Toc432164666"/>
      <w:r w:rsidRPr="0030125D">
        <w:rPr>
          <w:lang w:val="de-DE" w:eastAsia="ja-JP"/>
        </w:rPr>
        <w:t>N</w:t>
      </w:r>
      <w:r w:rsidR="00497AE4" w:rsidRPr="0030125D">
        <w:rPr>
          <w:lang w:val="de-DE" w:eastAsia="ja-JP"/>
        </w:rPr>
        <w:t>icht akzeptable Begriffe für die Sortenbe</w:t>
      </w:r>
      <w:r w:rsidR="00745DAB" w:rsidRPr="0030125D">
        <w:rPr>
          <w:lang w:val="de-DE" w:eastAsia="ja-JP"/>
        </w:rPr>
        <w:t>z</w:t>
      </w:r>
      <w:r w:rsidR="00497AE4" w:rsidRPr="0030125D">
        <w:rPr>
          <w:lang w:val="de-DE" w:eastAsia="ja-JP"/>
        </w:rPr>
        <w:t>eichnung</w:t>
      </w:r>
      <w:bookmarkEnd w:id="24"/>
      <w:bookmarkEnd w:id="25"/>
      <w:bookmarkEnd w:id="26"/>
    </w:p>
    <w:p w:rsidR="00E419C7" w:rsidRPr="0030125D" w:rsidRDefault="00E419C7" w:rsidP="00E419C7">
      <w:pPr>
        <w:autoSpaceDE w:val="0"/>
        <w:autoSpaceDN w:val="0"/>
        <w:adjustRightInd w:val="0"/>
        <w:jc w:val="left"/>
        <w:rPr>
          <w:lang w:val="de-DE" w:eastAsia="ja-JP"/>
        </w:rPr>
      </w:pPr>
    </w:p>
    <w:p w:rsidR="00E419C7" w:rsidRPr="0030125D" w:rsidRDefault="00E419C7" w:rsidP="00E419C7">
      <w:pPr>
        <w:autoSpaceDE w:val="0"/>
        <w:autoSpaceDN w:val="0"/>
        <w:adjustRightInd w:val="0"/>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3767D" w:rsidRPr="0030125D">
        <w:rPr>
          <w:lang w:val="de-DE"/>
        </w:rPr>
        <w:t>Die</w:t>
      </w:r>
      <w:r w:rsidR="0053767D" w:rsidRPr="0030125D">
        <w:rPr>
          <w:lang w:val="de-DE" w:eastAsia="ja-JP"/>
        </w:rPr>
        <w:t xml:space="preserve"> WG-DST vereinbarte auf ihrer zweiten Sitzung, den CAJ zu ersuchen, daß er prüfe, ob eine </w:t>
      </w:r>
      <w:r w:rsidR="00DE21EA" w:rsidRPr="0030125D">
        <w:rPr>
          <w:lang w:val="de-DE" w:eastAsia="ja-JP"/>
        </w:rPr>
        <w:t>L</w:t>
      </w:r>
      <w:r w:rsidR="0053767D" w:rsidRPr="0030125D">
        <w:rPr>
          <w:lang w:val="de-DE" w:eastAsia="ja-JP"/>
        </w:rPr>
        <w:t>iste der nicht akzeptablen Begriffe für Sortenbezeichnungen als zusätzliche Eigenschaft für das UPOV</w:t>
      </w:r>
      <w:r w:rsidR="0053767D" w:rsidRPr="0030125D">
        <w:rPr>
          <w:lang w:val="de-DE" w:eastAsia="ja-JP"/>
        </w:rPr>
        <w:noBreakHyphen/>
        <w:t>Suchinstrument für Ähnlichkeiten zum Zweck der Sortenbezeichnung erstellt werden solle</w:t>
      </w:r>
      <w:r w:rsidR="0053767D" w:rsidRPr="0030125D">
        <w:rPr>
          <w:rStyle w:val="FootnoteReference"/>
          <w:rFonts w:cs="Arial"/>
          <w:lang w:val="de-DE" w:eastAsia="ja-JP"/>
        </w:rPr>
        <w:footnoteReference w:id="13"/>
      </w:r>
      <w:r w:rsidR="0053767D" w:rsidRPr="0030125D">
        <w:rPr>
          <w:rFonts w:cs="Arial"/>
          <w:lang w:val="de-DE" w:eastAsia="ja-JP"/>
        </w:rPr>
        <w:t>.</w:t>
      </w:r>
    </w:p>
    <w:p w:rsidR="00E419C7" w:rsidRPr="0030125D" w:rsidRDefault="00E419C7" w:rsidP="00E419C7">
      <w:pPr>
        <w:autoSpaceDE w:val="0"/>
        <w:autoSpaceDN w:val="0"/>
        <w:adjustRightInd w:val="0"/>
        <w:jc w:val="left"/>
        <w:rPr>
          <w:rFonts w:cs="Arial"/>
          <w:lang w:val="de-DE" w:eastAsia="ja-JP"/>
        </w:rPr>
      </w:pPr>
    </w:p>
    <w:p w:rsidR="00E419C7" w:rsidRPr="0030125D" w:rsidRDefault="00E419C7" w:rsidP="00E419C7">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745DAB" w:rsidRPr="0030125D">
        <w:rPr>
          <w:lang w:val="de-DE"/>
        </w:rPr>
        <w:t>Die</w:t>
      </w:r>
      <w:r w:rsidRPr="0030125D">
        <w:rPr>
          <w:lang w:val="de-DE" w:eastAsia="ja-JP"/>
        </w:rPr>
        <w:t xml:space="preserve"> WG-DST </w:t>
      </w:r>
      <w:r w:rsidR="00745DAB" w:rsidRPr="0030125D">
        <w:rPr>
          <w:lang w:val="de-DE" w:eastAsia="ja-JP"/>
        </w:rPr>
        <w:t xml:space="preserve">vereinbarte, </w:t>
      </w:r>
      <w:r w:rsidR="0053767D" w:rsidRPr="0030125D">
        <w:rPr>
          <w:lang w:val="de-DE" w:eastAsia="ja-JP"/>
        </w:rPr>
        <w:t>daß</w:t>
      </w:r>
      <w:r w:rsidR="00745DAB" w:rsidRPr="0030125D">
        <w:rPr>
          <w:lang w:val="de-DE" w:eastAsia="ja-JP"/>
        </w:rPr>
        <w:t xml:space="preserve"> die Liste der nicht akzeptablen </w:t>
      </w:r>
      <w:r w:rsidR="00DF4AA7" w:rsidRPr="0030125D">
        <w:rPr>
          <w:lang w:val="de-DE" w:eastAsia="ja-JP"/>
        </w:rPr>
        <w:t xml:space="preserve">Begriffe beispielsweise </w:t>
      </w:r>
      <w:r w:rsidR="0053767D" w:rsidRPr="0030125D">
        <w:rPr>
          <w:lang w:val="de-DE" w:eastAsia="ja-JP"/>
        </w:rPr>
        <w:t>botanische</w:t>
      </w:r>
      <w:r w:rsidR="00DF4AA7" w:rsidRPr="0030125D">
        <w:rPr>
          <w:lang w:val="de-DE" w:eastAsia="ja-JP"/>
        </w:rPr>
        <w:t xml:space="preserve"> Namen </w:t>
      </w:r>
      <w:r w:rsidR="0053767D" w:rsidRPr="0030125D">
        <w:rPr>
          <w:lang w:val="de-DE" w:eastAsia="ja-JP"/>
        </w:rPr>
        <w:t>einbeziehen</w:t>
      </w:r>
      <w:r w:rsidR="00DF4AA7" w:rsidRPr="0030125D">
        <w:rPr>
          <w:lang w:val="de-DE" w:eastAsia="ja-JP"/>
        </w:rPr>
        <w:t xml:space="preserve"> könnte. In bezug auf die Einbeziehungen offensiver Begriffe vereinbarte sie, </w:t>
      </w:r>
      <w:r w:rsidR="0053767D" w:rsidRPr="0030125D">
        <w:rPr>
          <w:lang w:val="de-DE" w:eastAsia="ja-JP"/>
        </w:rPr>
        <w:t>daß</w:t>
      </w:r>
      <w:r w:rsidR="00DF4AA7" w:rsidRPr="0030125D">
        <w:rPr>
          <w:lang w:val="de-DE" w:eastAsia="ja-JP"/>
        </w:rPr>
        <w:t xml:space="preserve"> es problematisch sein könnte, eine </w:t>
      </w:r>
      <w:r w:rsidR="0053767D" w:rsidRPr="0030125D">
        <w:rPr>
          <w:lang w:val="de-DE" w:eastAsia="ja-JP"/>
        </w:rPr>
        <w:t>derartige</w:t>
      </w:r>
      <w:r w:rsidR="00DF4AA7" w:rsidRPr="0030125D">
        <w:rPr>
          <w:lang w:val="de-DE" w:eastAsia="ja-JP"/>
        </w:rPr>
        <w:t xml:space="preserve"> Liste zu </w:t>
      </w:r>
      <w:r w:rsidR="0053767D" w:rsidRPr="0030125D">
        <w:rPr>
          <w:lang w:val="de-DE" w:eastAsia="ja-JP"/>
        </w:rPr>
        <w:t>erstellen</w:t>
      </w:r>
      <w:r w:rsidR="00B70BD3" w:rsidRPr="0030125D">
        <w:rPr>
          <w:rFonts w:cs="Arial"/>
          <w:lang w:val="de-DE" w:eastAsia="ja-JP"/>
        </w:rPr>
        <w:t>.</w:t>
      </w:r>
      <w:r w:rsidR="00414FD1" w:rsidRPr="0030125D">
        <w:rPr>
          <w:rStyle w:val="FootnoteReference"/>
          <w:rFonts w:cs="Arial"/>
          <w:lang w:val="de-DE" w:eastAsia="ja-JP"/>
        </w:rPr>
        <w:footnoteReference w:id="14"/>
      </w:r>
    </w:p>
    <w:p w:rsidR="00280FCF" w:rsidRPr="0030125D" w:rsidRDefault="00280FCF" w:rsidP="00E419C7">
      <w:pPr>
        <w:rPr>
          <w:rFonts w:cs="Arial"/>
          <w:lang w:val="de-DE" w:eastAsia="ja-JP"/>
        </w:rPr>
      </w:pPr>
    </w:p>
    <w:p w:rsidR="00280FCF" w:rsidRPr="0030125D" w:rsidRDefault="00280FCF" w:rsidP="00E419C7">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3767D" w:rsidRPr="0030125D">
        <w:rPr>
          <w:lang w:val="de-DE"/>
        </w:rPr>
        <w:t>Die Angelegenheit wird von der</w:t>
      </w:r>
      <w:r w:rsidR="0053767D" w:rsidRPr="0030125D">
        <w:rPr>
          <w:lang w:val="de-DE" w:eastAsia="ja-JP"/>
        </w:rPr>
        <w:t xml:space="preserve"> WG-DST auf ihrer dritten Sitzung weiter geprüft werden, und dem CAJ wird über </w:t>
      </w:r>
      <w:r w:rsidR="00DE21EA" w:rsidRPr="0030125D">
        <w:rPr>
          <w:lang w:val="de-DE" w:eastAsia="ja-JP"/>
        </w:rPr>
        <w:t>etwaige Überlegung</w:t>
      </w:r>
      <w:r w:rsidR="0053767D" w:rsidRPr="0030125D">
        <w:rPr>
          <w:lang w:val="de-DE" w:eastAsia="ja-JP"/>
        </w:rPr>
        <w:t>en auf seiner zweiundsiebzigsten Tagung Bericht erstattet werden.</w:t>
      </w:r>
    </w:p>
    <w:p w:rsidR="00467CF9" w:rsidRPr="0030125D" w:rsidRDefault="00467CF9" w:rsidP="00E419C7">
      <w:pPr>
        <w:rPr>
          <w:rFonts w:cs="Arial"/>
          <w:lang w:val="de-DE" w:eastAsia="ja-JP"/>
        </w:rPr>
      </w:pPr>
    </w:p>
    <w:p w:rsidR="008B5ED9" w:rsidRPr="0030125D" w:rsidRDefault="008B5ED9" w:rsidP="00E419C7">
      <w:pPr>
        <w:rPr>
          <w:rFonts w:cs="Arial"/>
          <w:lang w:val="de-DE" w:eastAsia="ja-JP"/>
        </w:rPr>
      </w:pPr>
    </w:p>
    <w:p w:rsidR="00331016" w:rsidRPr="0030125D" w:rsidRDefault="00331016" w:rsidP="00CA3196">
      <w:pPr>
        <w:pStyle w:val="Heading2"/>
        <w:rPr>
          <w:rFonts w:cs="Arial"/>
          <w:lang w:val="de-DE" w:eastAsia="ja-JP"/>
        </w:rPr>
      </w:pPr>
      <w:bookmarkStart w:id="27" w:name="_Toc431309798"/>
      <w:bookmarkStart w:id="28" w:name="_Toc432164667"/>
      <w:r w:rsidRPr="0030125D">
        <w:rPr>
          <w:lang w:val="de-DE" w:eastAsia="ja-JP"/>
        </w:rPr>
        <w:t>Phoneti</w:t>
      </w:r>
      <w:r w:rsidR="00DF4AA7" w:rsidRPr="0030125D">
        <w:rPr>
          <w:lang w:val="de-DE" w:eastAsia="ja-JP"/>
        </w:rPr>
        <w:t>s</w:t>
      </w:r>
      <w:r w:rsidRPr="0030125D">
        <w:rPr>
          <w:lang w:val="de-DE" w:eastAsia="ja-JP"/>
        </w:rPr>
        <w:t>c</w:t>
      </w:r>
      <w:r w:rsidR="00DF4AA7" w:rsidRPr="0030125D">
        <w:rPr>
          <w:lang w:val="de-DE" w:eastAsia="ja-JP"/>
        </w:rPr>
        <w:t>he Aspekte</w:t>
      </w:r>
      <w:bookmarkEnd w:id="27"/>
      <w:bookmarkEnd w:id="28"/>
    </w:p>
    <w:p w:rsidR="00331016" w:rsidRPr="0030125D" w:rsidRDefault="00331016" w:rsidP="00331016">
      <w:pPr>
        <w:rPr>
          <w:lang w:val="de-DE" w:eastAsia="ja-JP"/>
        </w:rPr>
      </w:pPr>
    </w:p>
    <w:p w:rsidR="00257ACE" w:rsidRPr="0030125D" w:rsidRDefault="00331016" w:rsidP="00820F72">
      <w:pPr>
        <w:rPr>
          <w:u w:val="single"/>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F4AA7" w:rsidRPr="0030125D">
        <w:rPr>
          <w:lang w:val="de-DE"/>
        </w:rPr>
        <w:t>Di</w:t>
      </w:r>
      <w:r w:rsidRPr="0030125D">
        <w:rPr>
          <w:lang w:val="de-DE" w:eastAsia="ja-JP"/>
        </w:rPr>
        <w:t>e WG-DST</w:t>
      </w:r>
      <w:r w:rsidR="00DF4AA7" w:rsidRPr="0030125D">
        <w:rPr>
          <w:lang w:val="de-DE" w:eastAsia="ja-JP"/>
        </w:rPr>
        <w:t xml:space="preserve"> vereinbarte auf ihrer zweiten Sitzung, </w:t>
      </w:r>
      <w:r w:rsidR="0053767D" w:rsidRPr="0030125D">
        <w:rPr>
          <w:lang w:val="de-DE" w:eastAsia="ja-JP"/>
        </w:rPr>
        <w:t>daß</w:t>
      </w:r>
      <w:r w:rsidR="00DF4AA7" w:rsidRPr="0030125D">
        <w:rPr>
          <w:lang w:val="de-DE" w:eastAsia="ja-JP"/>
        </w:rPr>
        <w:t xml:space="preserve"> die Prüfung phonetischer Element</w:t>
      </w:r>
      <w:r w:rsidR="00DE21EA" w:rsidRPr="0030125D">
        <w:rPr>
          <w:lang w:val="de-DE" w:eastAsia="ja-JP"/>
        </w:rPr>
        <w:t>e</w:t>
      </w:r>
      <w:r w:rsidR="00DF4AA7" w:rsidRPr="0030125D">
        <w:rPr>
          <w:lang w:val="de-DE" w:eastAsia="ja-JP"/>
        </w:rPr>
        <w:t xml:space="preserve"> im UPOV</w:t>
      </w:r>
      <w:r w:rsidR="00DF4AA7" w:rsidRPr="0030125D">
        <w:rPr>
          <w:lang w:val="de-DE" w:eastAsia="ja-JP"/>
        </w:rPr>
        <w:noBreakHyphen/>
        <w:t xml:space="preserve">Suchinstrument für Ähnlichkeiten zum </w:t>
      </w:r>
      <w:r w:rsidR="0053767D" w:rsidRPr="0030125D">
        <w:rPr>
          <w:lang w:val="de-DE" w:eastAsia="ja-JP"/>
        </w:rPr>
        <w:t>Zweck</w:t>
      </w:r>
      <w:r w:rsidR="00DF4AA7" w:rsidRPr="0030125D">
        <w:rPr>
          <w:lang w:val="de-DE" w:eastAsia="ja-JP"/>
        </w:rPr>
        <w:t xml:space="preserve"> der Sortenbezeichnung</w:t>
      </w:r>
      <w:r w:rsidR="00C406C5" w:rsidRPr="0030125D">
        <w:rPr>
          <w:lang w:val="de-DE" w:eastAsia="ja-JP"/>
        </w:rPr>
        <w:t xml:space="preserve">, </w:t>
      </w:r>
      <w:r w:rsidR="00DF4AA7" w:rsidRPr="0030125D">
        <w:rPr>
          <w:lang w:val="de-DE" w:eastAsia="ja-JP"/>
        </w:rPr>
        <w:t xml:space="preserve">wie in </w:t>
      </w:r>
      <w:r w:rsidR="0053767D" w:rsidRPr="0030125D">
        <w:rPr>
          <w:lang w:val="de-DE" w:eastAsia="ja-JP"/>
        </w:rPr>
        <w:t>den</w:t>
      </w:r>
      <w:r w:rsidR="00DF4AA7" w:rsidRPr="0030125D">
        <w:rPr>
          <w:lang w:val="de-DE" w:eastAsia="ja-JP"/>
        </w:rPr>
        <w:t xml:space="preserve"> obigen </w:t>
      </w:r>
      <w:r w:rsidR="0053767D" w:rsidRPr="0030125D">
        <w:rPr>
          <w:lang w:val="de-DE" w:eastAsia="ja-JP"/>
        </w:rPr>
        <w:t>Absätzen</w:t>
      </w:r>
      <w:r w:rsidR="00DE21EA" w:rsidRPr="0030125D">
        <w:rPr>
          <w:lang w:val="de-DE" w:eastAsia="ja-JP"/>
        </w:rPr>
        <w:t> </w:t>
      </w:r>
      <w:r w:rsidR="00DF4AA7" w:rsidRPr="0030125D">
        <w:rPr>
          <w:lang w:val="de-DE" w:eastAsia="ja-JP"/>
        </w:rPr>
        <w:t xml:space="preserve">13 bis 16 dargelegt, das effizienteste Vorgehen wäre und </w:t>
      </w:r>
      <w:r w:rsidR="0053767D" w:rsidRPr="0030125D">
        <w:rPr>
          <w:lang w:val="de-DE" w:eastAsia="ja-JP"/>
        </w:rPr>
        <w:t>daß</w:t>
      </w:r>
      <w:r w:rsidR="00DF4AA7" w:rsidRPr="0030125D">
        <w:rPr>
          <w:lang w:val="de-DE" w:eastAsia="ja-JP"/>
        </w:rPr>
        <w:t xml:space="preserve"> weitere </w:t>
      </w:r>
      <w:r w:rsidR="0053767D" w:rsidRPr="0030125D">
        <w:rPr>
          <w:lang w:val="de-DE" w:eastAsia="ja-JP"/>
        </w:rPr>
        <w:t>Maßnahmen</w:t>
      </w:r>
      <w:r w:rsidR="00DF4AA7" w:rsidRPr="0030125D">
        <w:rPr>
          <w:lang w:val="de-DE" w:eastAsia="ja-JP"/>
        </w:rPr>
        <w:t xml:space="preserve"> nicht angebracht wären.</w:t>
      </w:r>
      <w:r w:rsidR="00414FD1" w:rsidRPr="0030125D">
        <w:rPr>
          <w:rStyle w:val="FootnoteReference"/>
          <w:lang w:val="de-DE" w:eastAsia="ja-JP"/>
        </w:rPr>
        <w:footnoteReference w:id="15"/>
      </w:r>
    </w:p>
    <w:p w:rsidR="00467CF9" w:rsidRPr="0030125D" w:rsidRDefault="00467CF9">
      <w:pPr>
        <w:jc w:val="left"/>
        <w:rPr>
          <w:u w:val="single"/>
          <w:lang w:val="de-DE" w:eastAsia="ja-JP"/>
        </w:rPr>
      </w:pPr>
    </w:p>
    <w:p w:rsidR="008B5ED9" w:rsidRPr="0030125D" w:rsidRDefault="008B5ED9">
      <w:pPr>
        <w:jc w:val="left"/>
        <w:rPr>
          <w:u w:val="single"/>
          <w:lang w:val="de-DE" w:eastAsia="ja-JP"/>
        </w:rPr>
      </w:pPr>
    </w:p>
    <w:p w:rsidR="00331016" w:rsidRPr="0030125D" w:rsidRDefault="00331016" w:rsidP="00CA3196">
      <w:pPr>
        <w:pStyle w:val="Heading2"/>
        <w:rPr>
          <w:rFonts w:cs="Arial"/>
          <w:lang w:val="de-DE" w:eastAsia="ja-JP"/>
        </w:rPr>
      </w:pPr>
      <w:bookmarkStart w:id="29" w:name="_Toc431309799"/>
      <w:bookmarkStart w:id="30" w:name="_Toc432164668"/>
      <w:r w:rsidRPr="0030125D">
        <w:rPr>
          <w:lang w:val="de-DE" w:eastAsia="ja-JP"/>
        </w:rPr>
        <w:t>Linguisti</w:t>
      </w:r>
      <w:r w:rsidR="00DF4AA7" w:rsidRPr="0030125D">
        <w:rPr>
          <w:lang w:val="de-DE" w:eastAsia="ja-JP"/>
        </w:rPr>
        <w:t>s</w:t>
      </w:r>
      <w:r w:rsidRPr="0030125D">
        <w:rPr>
          <w:lang w:val="de-DE" w:eastAsia="ja-JP"/>
        </w:rPr>
        <w:t>c</w:t>
      </w:r>
      <w:r w:rsidR="00DF4AA7" w:rsidRPr="0030125D">
        <w:rPr>
          <w:lang w:val="de-DE" w:eastAsia="ja-JP"/>
        </w:rPr>
        <w:t>he Aspekte</w:t>
      </w:r>
      <w:bookmarkEnd w:id="29"/>
      <w:bookmarkEnd w:id="30"/>
    </w:p>
    <w:p w:rsidR="00331016" w:rsidRPr="0030125D" w:rsidRDefault="00331016" w:rsidP="009175FC">
      <w:pPr>
        <w:keepNext/>
        <w:rPr>
          <w:lang w:val="de-DE" w:eastAsia="ja-JP"/>
        </w:rPr>
      </w:pPr>
    </w:p>
    <w:p w:rsidR="00331016" w:rsidRPr="0030125D" w:rsidRDefault="00331016" w:rsidP="00331016">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F4AA7" w:rsidRPr="0030125D">
        <w:rPr>
          <w:lang w:val="de-DE"/>
        </w:rPr>
        <w:t xml:space="preserve">Die linguistischen Aspekte </w:t>
      </w:r>
      <w:r w:rsidR="0053767D" w:rsidRPr="0030125D">
        <w:rPr>
          <w:lang w:val="de-DE"/>
        </w:rPr>
        <w:t>werden</w:t>
      </w:r>
      <w:r w:rsidR="00DF4AA7" w:rsidRPr="0030125D">
        <w:rPr>
          <w:lang w:val="de-DE"/>
        </w:rPr>
        <w:t xml:space="preserve"> </w:t>
      </w:r>
      <w:r w:rsidR="00041C75" w:rsidRPr="0030125D">
        <w:rPr>
          <w:lang w:val="de-DE" w:eastAsia="ja-JP"/>
        </w:rPr>
        <w:t xml:space="preserve">in </w:t>
      </w:r>
      <w:r w:rsidR="00DE47C4" w:rsidRPr="0030125D">
        <w:rPr>
          <w:lang w:val="de-DE" w:eastAsia="ja-JP"/>
        </w:rPr>
        <w:t>Dokument</w:t>
      </w:r>
      <w:r w:rsidR="00DF4AA7" w:rsidRPr="0030125D">
        <w:rPr>
          <w:lang w:val="de-DE" w:eastAsia="ja-JP"/>
        </w:rPr>
        <w:t> </w:t>
      </w:r>
      <w:r w:rsidRPr="0030125D">
        <w:rPr>
          <w:lang w:val="de-DE" w:eastAsia="ja-JP"/>
        </w:rPr>
        <w:t>CAJ/72/6</w:t>
      </w:r>
      <w:r w:rsidR="00DF4AA7" w:rsidRPr="0030125D">
        <w:rPr>
          <w:lang w:val="de-DE" w:eastAsia="ja-JP"/>
        </w:rPr>
        <w:t>,</w:t>
      </w:r>
      <w:r w:rsidRPr="0030125D">
        <w:rPr>
          <w:lang w:val="de-DE" w:eastAsia="ja-JP"/>
        </w:rPr>
        <w:t xml:space="preserve"> </w:t>
      </w:r>
      <w:r w:rsidR="00DF4AA7" w:rsidRPr="0030125D">
        <w:rPr>
          <w:lang w:val="de-DE" w:eastAsia="ja-JP"/>
        </w:rPr>
        <w:t>„</w:t>
      </w:r>
      <w:r w:rsidRPr="0030125D">
        <w:rPr>
          <w:lang w:val="de-DE" w:eastAsia="ja-JP"/>
        </w:rPr>
        <w:t>UPOV</w:t>
      </w:r>
      <w:r w:rsidR="00DE21EA" w:rsidRPr="0030125D">
        <w:rPr>
          <w:lang w:val="de-DE" w:eastAsia="ja-JP"/>
        </w:rPr>
        <w:noBreakHyphen/>
      </w:r>
      <w:r w:rsidRPr="0030125D">
        <w:rPr>
          <w:lang w:val="de-DE" w:eastAsia="ja-JP"/>
        </w:rPr>
        <w:t>Information</w:t>
      </w:r>
      <w:r w:rsidR="00DF4AA7" w:rsidRPr="0030125D">
        <w:rPr>
          <w:lang w:val="de-DE" w:eastAsia="ja-JP"/>
        </w:rPr>
        <w:t>sdatenbank</w:t>
      </w:r>
      <w:r w:rsidR="00DE21EA" w:rsidRPr="0030125D">
        <w:rPr>
          <w:lang w:val="de-DE" w:eastAsia="ja-JP"/>
        </w:rPr>
        <w:t>en</w:t>
      </w:r>
      <w:r w:rsidR="00DF4AA7" w:rsidRPr="0030125D">
        <w:rPr>
          <w:lang w:val="de-DE" w:eastAsia="ja-JP"/>
        </w:rPr>
        <w:t>“</w:t>
      </w:r>
      <w:r w:rsidR="00DE21EA" w:rsidRPr="0030125D">
        <w:rPr>
          <w:lang w:val="de-DE" w:eastAsia="ja-JP"/>
        </w:rPr>
        <w:t>,</w:t>
      </w:r>
      <w:r w:rsidR="00DF4AA7" w:rsidRPr="0030125D">
        <w:rPr>
          <w:lang w:val="de-DE" w:eastAsia="ja-JP"/>
        </w:rPr>
        <w:t xml:space="preserve"> behandelt </w:t>
      </w:r>
      <w:r w:rsidR="00041C75" w:rsidRPr="0030125D">
        <w:rPr>
          <w:lang w:val="de-DE" w:eastAsia="ja-JP"/>
        </w:rPr>
        <w:t>(</w:t>
      </w:r>
      <w:r w:rsidR="00DF4AA7" w:rsidRPr="0030125D">
        <w:rPr>
          <w:lang w:val="de-DE" w:eastAsia="ja-JP"/>
        </w:rPr>
        <w:t>Tagesordnungspunkt</w:t>
      </w:r>
      <w:r w:rsidR="00041C75" w:rsidRPr="0030125D">
        <w:rPr>
          <w:lang w:val="de-DE" w:eastAsia="ja-JP"/>
        </w:rPr>
        <w:t> 6</w:t>
      </w:r>
      <w:r w:rsidR="00DE21EA" w:rsidRPr="0030125D">
        <w:rPr>
          <w:lang w:val="de-DE" w:eastAsia="ja-JP"/>
        </w:rPr>
        <w:t> </w:t>
      </w:r>
      <w:r w:rsidR="00041C75" w:rsidRPr="0030125D">
        <w:rPr>
          <w:lang w:val="de-DE" w:eastAsia="ja-JP"/>
        </w:rPr>
        <w:t>b))</w:t>
      </w:r>
      <w:r w:rsidRPr="0030125D">
        <w:rPr>
          <w:lang w:val="de-DE" w:eastAsia="ja-JP"/>
        </w:rPr>
        <w:t>.</w:t>
      </w:r>
    </w:p>
    <w:p w:rsidR="00B26742" w:rsidRPr="0030125D" w:rsidRDefault="00B26742" w:rsidP="00331016">
      <w:pPr>
        <w:rPr>
          <w:lang w:val="de-DE" w:eastAsia="ja-JP"/>
        </w:rPr>
      </w:pPr>
    </w:p>
    <w:p w:rsidR="00097BB4" w:rsidRPr="0030125D" w:rsidRDefault="009C5A31" w:rsidP="00097BB4">
      <w:pPr>
        <w:pStyle w:val="DecisionParagraphs"/>
        <w:tabs>
          <w:tab w:val="clear" w:pos="5387"/>
          <w:tab w:val="left" w:pos="5400"/>
        </w:tabs>
        <w:rPr>
          <w:snapToGrid w:val="0"/>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F4AA7" w:rsidRPr="0030125D">
        <w:rPr>
          <w:lang w:val="de-DE"/>
        </w:rPr>
        <w:t>Der</w:t>
      </w:r>
      <w:r w:rsidRPr="0030125D">
        <w:rPr>
          <w:iCs/>
          <w:spacing w:val="-4"/>
          <w:lang w:val="de-DE"/>
        </w:rPr>
        <w:t xml:space="preserve"> </w:t>
      </w:r>
      <w:r w:rsidRPr="0030125D">
        <w:rPr>
          <w:iCs/>
          <w:spacing w:val="-4"/>
          <w:lang w:val="de-DE" w:eastAsia="ja-JP"/>
        </w:rPr>
        <w:t>CAJ</w:t>
      </w:r>
      <w:r w:rsidR="00097BB4" w:rsidRPr="0030125D">
        <w:rPr>
          <w:iCs/>
          <w:spacing w:val="-4"/>
          <w:lang w:val="de-DE"/>
        </w:rPr>
        <w:t xml:space="preserve"> </w:t>
      </w:r>
      <w:r w:rsidR="00DF4AA7" w:rsidRPr="0030125D">
        <w:rPr>
          <w:iCs/>
          <w:spacing w:val="-4"/>
          <w:lang w:val="de-DE"/>
        </w:rPr>
        <w:t xml:space="preserve">wird ersucht, </w:t>
      </w:r>
      <w:r w:rsidR="00DF4AA7" w:rsidRPr="0030125D">
        <w:rPr>
          <w:rFonts w:cs="Arial"/>
          <w:lang w:val="de-DE"/>
        </w:rPr>
        <w:t>die Arbeit der WG-DST betreffend die etwaige Entwicklung eines UPOV</w:t>
      </w:r>
      <w:r w:rsidR="00DF4AA7" w:rsidRPr="0030125D">
        <w:rPr>
          <w:rFonts w:cs="Arial"/>
          <w:lang w:val="de-DE"/>
        </w:rPr>
        <w:noBreakHyphen/>
        <w:t xml:space="preserve">Suchinstruments für Ähnlichkeiten zum Zweck der Sortenbezeichnung </w:t>
      </w:r>
      <w:r w:rsidR="00DF4AA7" w:rsidRPr="0030125D">
        <w:rPr>
          <w:iCs/>
          <w:spacing w:val="-4"/>
          <w:lang w:val="de-DE"/>
        </w:rPr>
        <w:t>zur Kenntnis zu nehmen</w:t>
      </w:r>
      <w:r w:rsidR="00097BB4" w:rsidRPr="0030125D">
        <w:rPr>
          <w:snapToGrid w:val="0"/>
          <w:lang w:val="de-DE" w:eastAsia="ja-JP"/>
        </w:rPr>
        <w:t>.</w:t>
      </w:r>
    </w:p>
    <w:p w:rsidR="00C406C5" w:rsidRPr="0030125D" w:rsidRDefault="00C406C5" w:rsidP="001D320C">
      <w:pPr>
        <w:pStyle w:val="Heading1"/>
      </w:pPr>
    </w:p>
    <w:p w:rsidR="008B5ED9" w:rsidRPr="0030125D" w:rsidRDefault="008B5ED9" w:rsidP="008B5ED9">
      <w:pPr>
        <w:rPr>
          <w:lang w:val="de-DE" w:eastAsia="ja-JP"/>
        </w:rPr>
      </w:pPr>
    </w:p>
    <w:p w:rsidR="009175FC" w:rsidRPr="0030125D" w:rsidRDefault="009175FC">
      <w:pPr>
        <w:jc w:val="left"/>
        <w:rPr>
          <w:caps/>
          <w:snapToGrid w:val="0"/>
          <w:lang w:val="de-DE" w:eastAsia="ja-JP"/>
        </w:rPr>
      </w:pPr>
      <w:bookmarkStart w:id="31" w:name="_Toc427161611"/>
    </w:p>
    <w:p w:rsidR="00E10886" w:rsidRPr="001D320C" w:rsidRDefault="00DF4AA7" w:rsidP="001D320C">
      <w:pPr>
        <w:pStyle w:val="Heading1"/>
      </w:pPr>
      <w:bookmarkStart w:id="32" w:name="_Toc431309800"/>
      <w:bookmarkStart w:id="33" w:name="_Toc432164669"/>
      <w:r w:rsidRPr="001D320C">
        <w:t xml:space="preserve">ÜBERARBEITUNG DES </w:t>
      </w:r>
      <w:r w:rsidR="00DE47C4" w:rsidRPr="001D320C">
        <w:t>DOKUMENT</w:t>
      </w:r>
      <w:r w:rsidRPr="001D320C">
        <w:t>S </w:t>
      </w:r>
      <w:r w:rsidR="00E10886" w:rsidRPr="001D320C">
        <w:t>UPOV/INF/12</w:t>
      </w:r>
      <w:r w:rsidRPr="001D320C">
        <w:t>,</w:t>
      </w:r>
      <w:r w:rsidR="00E10886" w:rsidRPr="001D320C">
        <w:t xml:space="preserve"> </w:t>
      </w:r>
      <w:r w:rsidRPr="001D320C">
        <w:t>„ERLÄUTERUNGEN ZU SORTENBEZEICHNUNGEN NACH DEM UPOV-ÜBEREINKOMMEN</w:t>
      </w:r>
      <w:bookmarkEnd w:id="31"/>
      <w:bookmarkEnd w:id="32"/>
      <w:r w:rsidRPr="001D320C">
        <w:t>“</w:t>
      </w:r>
      <w:bookmarkEnd w:id="33"/>
    </w:p>
    <w:p w:rsidR="00E10886" w:rsidRPr="0030125D" w:rsidRDefault="00E10886" w:rsidP="00E10886">
      <w:pPr>
        <w:rPr>
          <w:snapToGrid w:val="0"/>
          <w:lang w:val="de-DE" w:eastAsia="ja-JP"/>
        </w:rPr>
      </w:pPr>
    </w:p>
    <w:p w:rsidR="00037A85" w:rsidRPr="0030125D" w:rsidRDefault="00037A85" w:rsidP="00037A85">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DF4AA7" w:rsidRPr="0030125D">
        <w:rPr>
          <w:lang w:val="de-DE"/>
        </w:rPr>
        <w:t xml:space="preserve">Der Hintergrund </w:t>
      </w:r>
      <w:r w:rsidR="0053767D" w:rsidRPr="0030125D">
        <w:rPr>
          <w:lang w:val="de-DE"/>
        </w:rPr>
        <w:t>zu</w:t>
      </w:r>
      <w:r w:rsidR="00DF4AA7" w:rsidRPr="0030125D">
        <w:rPr>
          <w:lang w:val="de-DE"/>
        </w:rPr>
        <w:t xml:space="preserve"> dieser Angelegenheit ist </w:t>
      </w:r>
      <w:r w:rsidRPr="0030125D">
        <w:rPr>
          <w:lang w:val="de-DE"/>
        </w:rPr>
        <w:t xml:space="preserve">in </w:t>
      </w:r>
      <w:r w:rsidR="00DE47C4" w:rsidRPr="0030125D">
        <w:rPr>
          <w:lang w:val="de-DE"/>
        </w:rPr>
        <w:t>Dokument</w:t>
      </w:r>
      <w:r w:rsidR="00DF4AA7" w:rsidRPr="0030125D">
        <w:rPr>
          <w:lang w:val="de-DE"/>
        </w:rPr>
        <w:t> </w:t>
      </w:r>
      <w:r w:rsidRPr="0030125D">
        <w:rPr>
          <w:lang w:val="de-DE"/>
        </w:rPr>
        <w:t>CAJ/7</w:t>
      </w:r>
      <w:r w:rsidRPr="0030125D">
        <w:rPr>
          <w:lang w:val="de-DE" w:eastAsia="ja-JP"/>
        </w:rPr>
        <w:t>1</w:t>
      </w:r>
      <w:r w:rsidRPr="0030125D">
        <w:rPr>
          <w:lang w:val="de-DE"/>
        </w:rPr>
        <w:t>/</w:t>
      </w:r>
      <w:r w:rsidRPr="0030125D">
        <w:rPr>
          <w:lang w:val="de-DE" w:eastAsia="ja-JP"/>
        </w:rPr>
        <w:t>3</w:t>
      </w:r>
      <w:r w:rsidR="0053767D" w:rsidRPr="0030125D">
        <w:rPr>
          <w:lang w:val="de-DE" w:eastAsia="ja-JP"/>
        </w:rPr>
        <w:t>, „Sortenbezeichnungen“</w:t>
      </w:r>
      <w:r w:rsidR="003C6B65" w:rsidRPr="0030125D">
        <w:rPr>
          <w:lang w:val="de-DE" w:eastAsia="ja-JP"/>
        </w:rPr>
        <w:t>,</w:t>
      </w:r>
      <w:r w:rsidR="00DE21EA" w:rsidRPr="0030125D">
        <w:rPr>
          <w:lang w:val="de-DE" w:eastAsia="ja-JP"/>
        </w:rPr>
        <w:t xml:space="preserve"> dargelegt</w:t>
      </w:r>
      <w:r w:rsidRPr="0030125D">
        <w:rPr>
          <w:lang w:val="de-DE"/>
        </w:rPr>
        <w:t>.</w:t>
      </w:r>
    </w:p>
    <w:p w:rsidR="00C406C5" w:rsidRPr="0030125D" w:rsidRDefault="00C406C5" w:rsidP="00E10886">
      <w:pPr>
        <w:rPr>
          <w:snapToGrid w:val="0"/>
          <w:lang w:val="de-DE" w:eastAsia="ja-JP"/>
        </w:rPr>
      </w:pPr>
    </w:p>
    <w:p w:rsidR="00037A85" w:rsidRPr="0030125D" w:rsidRDefault="00037A85" w:rsidP="00037A85">
      <w:pPr>
        <w:rPr>
          <w:snapToGrid w:val="0"/>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3E2505" w:rsidRPr="0030125D">
        <w:rPr>
          <w:lang w:val="de-DE"/>
        </w:rPr>
        <w:t>Der</w:t>
      </w:r>
      <w:r w:rsidRPr="0030125D">
        <w:rPr>
          <w:lang w:val="de-DE" w:eastAsia="ja-JP"/>
        </w:rPr>
        <w:t xml:space="preserve"> CAJ</w:t>
      </w:r>
      <w:r w:rsidR="003E2505" w:rsidRPr="0030125D">
        <w:rPr>
          <w:lang w:val="de-DE" w:eastAsia="ja-JP"/>
        </w:rPr>
        <w:t xml:space="preserve"> entschi</w:t>
      </w:r>
      <w:r w:rsidR="00DE21EA" w:rsidRPr="0030125D">
        <w:rPr>
          <w:lang w:val="de-DE" w:eastAsia="ja-JP"/>
        </w:rPr>
        <w:t>e</w:t>
      </w:r>
      <w:r w:rsidR="003E2505" w:rsidRPr="0030125D">
        <w:rPr>
          <w:lang w:val="de-DE" w:eastAsia="ja-JP"/>
        </w:rPr>
        <w:t>d auf seiner einundsiebzigsten Tagung</w:t>
      </w:r>
      <w:r w:rsidRPr="0030125D">
        <w:rPr>
          <w:rStyle w:val="FootnoteReference"/>
          <w:lang w:val="de-DE" w:eastAsia="ja-JP"/>
        </w:rPr>
        <w:footnoteReference w:id="16"/>
      </w:r>
      <w:r w:rsidR="003E2505" w:rsidRPr="0030125D">
        <w:rPr>
          <w:lang w:val="de-DE" w:eastAsia="ja-JP"/>
        </w:rPr>
        <w:t>, die</w:t>
      </w:r>
      <w:r w:rsidR="00123458" w:rsidRPr="0030125D">
        <w:rPr>
          <w:lang w:val="de-DE" w:eastAsia="ja-JP"/>
        </w:rPr>
        <w:t xml:space="preserve"> </w:t>
      </w:r>
      <w:r w:rsidRPr="0030125D">
        <w:rPr>
          <w:lang w:val="de-DE" w:eastAsia="ja-JP"/>
        </w:rPr>
        <w:t xml:space="preserve">WG-DST </w:t>
      </w:r>
      <w:r w:rsidR="003E2505" w:rsidRPr="0030125D">
        <w:rPr>
          <w:lang w:val="de-DE" w:eastAsia="ja-JP"/>
        </w:rPr>
        <w:t>zu ersuchen, folgende Bemerkungen der C</w:t>
      </w:r>
      <w:r w:rsidRPr="0030125D">
        <w:rPr>
          <w:lang w:val="de-DE"/>
        </w:rPr>
        <w:t>AJ</w:t>
      </w:r>
      <w:r w:rsidR="003E2505" w:rsidRPr="0030125D">
        <w:rPr>
          <w:lang w:val="de-DE"/>
        </w:rPr>
        <w:noBreakHyphen/>
      </w:r>
      <w:r w:rsidRPr="0030125D">
        <w:rPr>
          <w:lang w:val="de-DE"/>
        </w:rPr>
        <w:t>AG</w:t>
      </w:r>
      <w:r w:rsidR="003E2505" w:rsidRPr="0030125D">
        <w:rPr>
          <w:lang w:val="de-DE"/>
        </w:rPr>
        <w:t xml:space="preserve"> auf de</w:t>
      </w:r>
      <w:r w:rsidR="00DE21EA" w:rsidRPr="0030125D">
        <w:rPr>
          <w:lang w:val="de-DE"/>
        </w:rPr>
        <w:t>r</w:t>
      </w:r>
      <w:r w:rsidR="003E2505" w:rsidRPr="0030125D">
        <w:rPr>
          <w:lang w:val="de-DE"/>
        </w:rPr>
        <w:t>en neunter Tagung</w:t>
      </w:r>
      <w:r w:rsidRPr="0030125D">
        <w:rPr>
          <w:rStyle w:val="FootnoteReference"/>
          <w:lang w:val="de-DE"/>
        </w:rPr>
        <w:footnoteReference w:id="17"/>
      </w:r>
      <w:r w:rsidRPr="0030125D">
        <w:rPr>
          <w:lang w:val="de-DE"/>
        </w:rPr>
        <w:t xml:space="preserve"> </w:t>
      </w:r>
      <w:r w:rsidR="003E2505" w:rsidRPr="0030125D">
        <w:rPr>
          <w:lang w:val="de-DE"/>
        </w:rPr>
        <w:t>zu den Vorschlägen</w:t>
      </w:r>
      <w:r w:rsidRPr="0030125D">
        <w:rPr>
          <w:lang w:val="de-DE"/>
        </w:rPr>
        <w:t xml:space="preserve"> in </w:t>
      </w:r>
      <w:r w:rsidR="00DE47C4" w:rsidRPr="0030125D">
        <w:rPr>
          <w:lang w:val="de-DE"/>
        </w:rPr>
        <w:t>Dokument</w:t>
      </w:r>
      <w:r w:rsidR="003E2505" w:rsidRPr="0030125D">
        <w:rPr>
          <w:lang w:val="de-DE"/>
        </w:rPr>
        <w:t> </w:t>
      </w:r>
      <w:r w:rsidRPr="0030125D">
        <w:rPr>
          <w:lang w:val="de-DE"/>
        </w:rPr>
        <w:t>UPOV/INF/12/5 Draft</w:t>
      </w:r>
      <w:r w:rsidR="00123458" w:rsidRPr="0030125D">
        <w:rPr>
          <w:lang w:val="de-DE"/>
        </w:rPr>
        <w:t> </w:t>
      </w:r>
      <w:r w:rsidRPr="0030125D">
        <w:rPr>
          <w:lang w:val="de-DE"/>
        </w:rPr>
        <w:t xml:space="preserve">2 </w:t>
      </w:r>
      <w:r w:rsidR="003E2505" w:rsidRPr="0030125D">
        <w:rPr>
          <w:lang w:val="de-DE"/>
        </w:rPr>
        <w:t xml:space="preserve">betreffend die </w:t>
      </w:r>
      <w:r w:rsidR="00DE47C4" w:rsidRPr="0030125D">
        <w:rPr>
          <w:lang w:val="de-DE"/>
        </w:rPr>
        <w:t>Abschnitte</w:t>
      </w:r>
      <w:r w:rsidR="00DE21EA" w:rsidRPr="0030125D">
        <w:rPr>
          <w:lang w:val="de-DE"/>
        </w:rPr>
        <w:t> </w:t>
      </w:r>
      <w:r w:rsidRPr="0030125D">
        <w:rPr>
          <w:lang w:val="de-DE"/>
        </w:rPr>
        <w:t>2.2.2</w:t>
      </w:r>
      <w:r w:rsidR="00DE21EA" w:rsidRPr="0030125D">
        <w:rPr>
          <w:lang w:val="de-DE"/>
        </w:rPr>
        <w:t> </w:t>
      </w:r>
      <w:r w:rsidRPr="0030125D">
        <w:rPr>
          <w:lang w:val="de-DE"/>
        </w:rPr>
        <w:t>b), 2.3.1</w:t>
      </w:r>
      <w:r w:rsidR="00DE21EA" w:rsidRPr="0030125D">
        <w:rPr>
          <w:lang w:val="de-DE"/>
        </w:rPr>
        <w:t> </w:t>
      </w:r>
      <w:r w:rsidRPr="0030125D">
        <w:rPr>
          <w:lang w:val="de-DE"/>
        </w:rPr>
        <w:t xml:space="preserve">c) </w:t>
      </w:r>
      <w:r w:rsidR="003E2505" w:rsidRPr="0030125D">
        <w:rPr>
          <w:lang w:val="de-DE"/>
        </w:rPr>
        <w:t>u</w:t>
      </w:r>
      <w:r w:rsidRPr="0030125D">
        <w:rPr>
          <w:lang w:val="de-DE"/>
        </w:rPr>
        <w:t xml:space="preserve">nd d) </w:t>
      </w:r>
      <w:r w:rsidR="003E2505" w:rsidRPr="0030125D">
        <w:rPr>
          <w:lang w:val="de-DE"/>
        </w:rPr>
        <w:t>u</w:t>
      </w:r>
      <w:r w:rsidRPr="0030125D">
        <w:rPr>
          <w:lang w:val="de-DE"/>
        </w:rPr>
        <w:t>nd 2.3.3</w:t>
      </w:r>
      <w:r w:rsidR="003E2505" w:rsidRPr="0030125D">
        <w:rPr>
          <w:lang w:val="de-DE"/>
        </w:rPr>
        <w:t xml:space="preserve"> in Verbindung mit der </w:t>
      </w:r>
      <w:r w:rsidR="0053767D" w:rsidRPr="0030125D">
        <w:rPr>
          <w:lang w:val="de-DE"/>
        </w:rPr>
        <w:t>Entwicklung</w:t>
      </w:r>
      <w:r w:rsidR="003E2505" w:rsidRPr="0030125D">
        <w:rPr>
          <w:lang w:val="de-DE"/>
        </w:rPr>
        <w:t xml:space="preserve"> eines effizienten UPOV-Suchinstruments für Ähnlichkeiten zum Zweck der Sortenbezeichnung und gegebenenfalls etwaige </w:t>
      </w:r>
      <w:r w:rsidR="0053767D" w:rsidRPr="0030125D">
        <w:rPr>
          <w:lang w:val="de-DE"/>
        </w:rPr>
        <w:t>Schlußfolgerungen</w:t>
      </w:r>
      <w:r w:rsidR="003E2505" w:rsidRPr="0030125D">
        <w:rPr>
          <w:lang w:val="de-DE"/>
        </w:rPr>
        <w:t xml:space="preserve"> der</w:t>
      </w:r>
      <w:r w:rsidRPr="0030125D">
        <w:rPr>
          <w:lang w:val="de-DE"/>
        </w:rPr>
        <w:t xml:space="preserve"> WG-DST </w:t>
      </w:r>
      <w:r w:rsidR="003E2505" w:rsidRPr="0030125D">
        <w:rPr>
          <w:lang w:val="de-DE"/>
        </w:rPr>
        <w:t xml:space="preserve">zur Überarbeitung des </w:t>
      </w:r>
      <w:r w:rsidR="00DE47C4" w:rsidRPr="0030125D">
        <w:rPr>
          <w:lang w:val="de-DE"/>
        </w:rPr>
        <w:t>Dokument</w:t>
      </w:r>
      <w:r w:rsidR="003E2505" w:rsidRPr="0030125D">
        <w:rPr>
          <w:lang w:val="de-DE"/>
        </w:rPr>
        <w:t>s </w:t>
      </w:r>
      <w:r w:rsidRPr="0030125D">
        <w:rPr>
          <w:lang w:val="de-DE"/>
        </w:rPr>
        <w:t>UPOV/INF/12</w:t>
      </w:r>
      <w:r w:rsidR="003E2505" w:rsidRPr="0030125D">
        <w:rPr>
          <w:lang w:val="de-DE"/>
        </w:rPr>
        <w:t xml:space="preserve"> zu prüfen.</w:t>
      </w:r>
      <w:r w:rsidRPr="0030125D">
        <w:rPr>
          <w:rStyle w:val="FootnoteReference"/>
          <w:lang w:val="de-DE"/>
        </w:rPr>
        <w:footnoteReference w:id="18"/>
      </w:r>
    </w:p>
    <w:p w:rsidR="00863EBE" w:rsidRPr="0030125D" w:rsidRDefault="00863EBE" w:rsidP="00863EBE">
      <w:pPr>
        <w:rPr>
          <w:lang w:val="de-DE"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DE47C4" w:rsidRPr="0030125D" w:rsidTr="00952258">
        <w:trPr>
          <w:cantSplit/>
        </w:trPr>
        <w:tc>
          <w:tcPr>
            <w:tcW w:w="1391" w:type="dxa"/>
          </w:tcPr>
          <w:p w:rsidR="00DE47C4" w:rsidRPr="0030125D" w:rsidRDefault="00DE47C4" w:rsidP="00DE47C4">
            <w:pPr>
              <w:rPr>
                <w:rFonts w:cs="Arial"/>
                <w:lang w:val="de-DE"/>
              </w:rPr>
            </w:pPr>
            <w:r w:rsidRPr="0030125D">
              <w:rPr>
                <w:lang w:val="de-DE"/>
              </w:rPr>
              <w:t>2.2.2 b)</w:t>
            </w:r>
          </w:p>
        </w:tc>
        <w:tc>
          <w:tcPr>
            <w:tcW w:w="7789" w:type="dxa"/>
          </w:tcPr>
          <w:p w:rsidR="00DE47C4" w:rsidRPr="0030125D" w:rsidRDefault="00DE47C4" w:rsidP="00DE47C4">
            <w:pPr>
              <w:rPr>
                <w:snapToGrid w:val="0"/>
                <w:lang w:val="de-DE"/>
              </w:rPr>
            </w:pPr>
            <w:r w:rsidRPr="0030125D">
              <w:rPr>
                <w:snapToGrid w:val="0"/>
                <w:lang w:val="de-DE"/>
              </w:rPr>
              <w:t>Die Terminologie in 2.2.2</w:t>
            </w:r>
            <w:r w:rsidR="00DE21EA" w:rsidRPr="0030125D">
              <w:rPr>
                <w:snapToGrid w:val="0"/>
                <w:lang w:val="de-DE"/>
              </w:rPr>
              <w:t> </w:t>
            </w:r>
            <w:r w:rsidRPr="0030125D">
              <w:rPr>
                <w:snapToGrid w:val="0"/>
                <w:lang w:val="de-DE"/>
              </w:rPr>
              <w:t>b) ist zu klären.</w:t>
            </w:r>
            <w:r w:rsidRPr="0030125D">
              <w:rPr>
                <w:lang w:val="de-DE"/>
              </w:rPr>
              <w:t xml:space="preserve"> </w:t>
            </w:r>
            <w:r w:rsidRPr="0030125D">
              <w:rPr>
                <w:snapToGrid w:val="0"/>
                <w:lang w:val="de-DE"/>
              </w:rPr>
              <w:t xml:space="preserve">Insbesondere ist zu prüfen, ob </w:t>
            </w:r>
            <w:r w:rsidR="00DE21EA" w:rsidRPr="0030125D">
              <w:rPr>
                <w:snapToGrid w:val="0"/>
                <w:lang w:val="de-DE"/>
              </w:rPr>
              <w:t xml:space="preserve">in folgendem Satz </w:t>
            </w:r>
            <w:r w:rsidRPr="0030125D">
              <w:rPr>
                <w:snapToGrid w:val="0"/>
                <w:lang w:val="de-DE"/>
              </w:rPr>
              <w:t xml:space="preserve">die Beispiele geändert werden </w:t>
            </w:r>
            <w:r w:rsidR="003E2505" w:rsidRPr="0030125D">
              <w:rPr>
                <w:snapToGrid w:val="0"/>
                <w:lang w:val="de-DE"/>
              </w:rPr>
              <w:t xml:space="preserve">sollen </w:t>
            </w:r>
            <w:r w:rsidRPr="0030125D">
              <w:rPr>
                <w:snapToGrid w:val="0"/>
                <w:lang w:val="de-DE"/>
              </w:rPr>
              <w:t>oder ob „Arten“ durch „Gattungen“ o</w:t>
            </w:r>
            <w:r w:rsidR="003E2505" w:rsidRPr="0030125D">
              <w:rPr>
                <w:snapToGrid w:val="0"/>
                <w:lang w:val="de-DE"/>
              </w:rPr>
              <w:t>der „Taxa“ ersetzt werden soll:</w:t>
            </w:r>
          </w:p>
          <w:p w:rsidR="00DE47C4" w:rsidRPr="0030125D" w:rsidRDefault="00DE47C4" w:rsidP="00DE47C4">
            <w:pPr>
              <w:rPr>
                <w:snapToGrid w:val="0"/>
                <w:lang w:val="de-DE"/>
              </w:rPr>
            </w:pPr>
          </w:p>
          <w:p w:rsidR="00DE47C4" w:rsidRPr="0030125D" w:rsidRDefault="00DE47C4" w:rsidP="00DE47C4">
            <w:pPr>
              <w:rPr>
                <w:snapToGrid w:val="0"/>
                <w:lang w:val="de-DE"/>
              </w:rPr>
            </w:pPr>
            <w:r w:rsidRPr="0030125D">
              <w:rPr>
                <w:snapToGrid w:val="0"/>
                <w:lang w:val="de-DE"/>
              </w:rPr>
              <w:t>„</w:t>
            </w:r>
            <w:r w:rsidRPr="0030125D">
              <w:rPr>
                <w:color w:val="000000"/>
                <w:lang w:val="de-DE"/>
              </w:rPr>
              <w:t>b)</w:t>
            </w:r>
            <w:r w:rsidRPr="0030125D">
              <w:rPr>
                <w:color w:val="000000"/>
                <w:lang w:val="de-DE"/>
              </w:rPr>
              <w:tab/>
              <w:t>die anerkannte Marktpraxis für bestimmte Sortentypen (z. B. Hybriden) und bestimmte Arten (z. B. Medicago, Helianthus)“.</w:t>
            </w:r>
          </w:p>
        </w:tc>
      </w:tr>
      <w:tr w:rsidR="00DE47C4" w:rsidRPr="0030125D" w:rsidTr="00952258">
        <w:trPr>
          <w:cantSplit/>
        </w:trPr>
        <w:tc>
          <w:tcPr>
            <w:tcW w:w="1391" w:type="dxa"/>
          </w:tcPr>
          <w:p w:rsidR="00DE47C4" w:rsidRPr="0030125D" w:rsidRDefault="00DE47C4" w:rsidP="00DE47C4">
            <w:pPr>
              <w:rPr>
                <w:rFonts w:cs="Arial"/>
                <w:lang w:val="de-DE"/>
              </w:rPr>
            </w:pPr>
            <w:r w:rsidRPr="0030125D">
              <w:rPr>
                <w:lang w:val="de-DE"/>
              </w:rPr>
              <w:t>2.3.1 c)</w:t>
            </w:r>
          </w:p>
        </w:tc>
        <w:tc>
          <w:tcPr>
            <w:tcW w:w="7789" w:type="dxa"/>
          </w:tcPr>
          <w:p w:rsidR="00DE47C4" w:rsidRPr="0030125D" w:rsidRDefault="00DE47C4" w:rsidP="00DE47C4">
            <w:pPr>
              <w:rPr>
                <w:lang w:val="de-DE"/>
              </w:rPr>
            </w:pPr>
            <w:r w:rsidRPr="0030125D">
              <w:rPr>
                <w:lang w:val="de-DE"/>
              </w:rPr>
              <w:t>Es ist weitere Anleitung zu 2.3.1</w:t>
            </w:r>
            <w:r w:rsidR="00DE21EA" w:rsidRPr="0030125D">
              <w:rPr>
                <w:lang w:val="de-DE"/>
              </w:rPr>
              <w:t> </w:t>
            </w:r>
            <w:r w:rsidRPr="0030125D">
              <w:rPr>
                <w:lang w:val="de-DE"/>
              </w:rPr>
              <w:t>c) zu erarbeiten, und es sind weitere</w:t>
            </w:r>
            <w:r w:rsidR="003E2505" w:rsidRPr="0030125D">
              <w:rPr>
                <w:lang w:val="de-DE"/>
              </w:rPr>
              <w:t>,</w:t>
            </w:r>
            <w:r w:rsidRPr="0030125D">
              <w:rPr>
                <w:lang w:val="de-DE"/>
              </w:rPr>
              <w:t xml:space="preserve"> zwe</w:t>
            </w:r>
            <w:r w:rsidR="003E2505" w:rsidRPr="0030125D">
              <w:rPr>
                <w:lang w:val="de-DE"/>
              </w:rPr>
              <w:t>ckmäßigere Beispiele anzuführen</w:t>
            </w:r>
          </w:p>
          <w:p w:rsidR="00DE47C4" w:rsidRPr="0030125D" w:rsidRDefault="00DE47C4" w:rsidP="00DE47C4">
            <w:pPr>
              <w:keepNext/>
              <w:rPr>
                <w:lang w:val="de-DE"/>
              </w:rPr>
            </w:pPr>
          </w:p>
          <w:p w:rsidR="00DE47C4" w:rsidRPr="0030125D" w:rsidRDefault="00DE47C4" w:rsidP="00DE47C4">
            <w:pPr>
              <w:keepNext/>
              <w:rPr>
                <w:lang w:val="de-DE"/>
              </w:rPr>
            </w:pPr>
            <w:r w:rsidRPr="0030125D">
              <w:rPr>
                <w:lang w:val="de-DE"/>
              </w:rPr>
              <w:t>„c)</w:t>
            </w:r>
            <w:r w:rsidRPr="0030125D">
              <w:rPr>
                <w:lang w:val="de-DE"/>
              </w:rPr>
              <w:tab/>
              <w:t xml:space="preserve">den Eindruck erwecken, </w:t>
            </w:r>
            <w:r w:rsidR="0053767D" w:rsidRPr="0030125D">
              <w:rPr>
                <w:lang w:val="de-DE"/>
              </w:rPr>
              <w:t>daß</w:t>
            </w:r>
            <w:r w:rsidRPr="0030125D">
              <w:rPr>
                <w:lang w:val="de-DE"/>
              </w:rPr>
              <w:t xml:space="preserve"> die Sorte von einer anderen Sorte ab</w:t>
            </w:r>
            <w:r w:rsidR="003E2505" w:rsidRPr="0030125D">
              <w:rPr>
                <w:lang w:val="de-DE"/>
              </w:rPr>
              <w:t>geleitet</w:t>
            </w:r>
            <w:r w:rsidRPr="0030125D">
              <w:rPr>
                <w:lang w:val="de-DE"/>
              </w:rPr>
              <w:t xml:space="preserve"> oder mit ihr verwandt ist, wenn dies tatsächlich nicht der Fall ist;</w:t>
            </w:r>
          </w:p>
          <w:p w:rsidR="00DE47C4" w:rsidRPr="0030125D" w:rsidRDefault="00DE47C4" w:rsidP="00DE47C4">
            <w:pPr>
              <w:keepNext/>
              <w:rPr>
                <w:lang w:val="de-DE"/>
              </w:rPr>
            </w:pPr>
          </w:p>
          <w:p w:rsidR="00DE47C4" w:rsidRPr="0030125D" w:rsidRDefault="00DE47C4" w:rsidP="00B45E58">
            <w:pPr>
              <w:rPr>
                <w:rFonts w:cs="Arial"/>
                <w:lang w:val="de-DE"/>
              </w:rPr>
            </w:pPr>
            <w:r w:rsidRPr="0030125D">
              <w:rPr>
                <w:i/>
                <w:lang w:val="de-DE"/>
              </w:rPr>
              <w:t>Beispiel:</w:t>
            </w:r>
            <w:r w:rsidRPr="0030125D">
              <w:rPr>
                <w:lang w:val="de-DE"/>
              </w:rPr>
              <w:t xml:space="preserve"> </w:t>
            </w:r>
            <w:r w:rsidR="00B45E58" w:rsidRPr="0030125D">
              <w:rPr>
                <w:lang w:val="de-DE"/>
              </w:rPr>
              <w:t>e</w:t>
            </w:r>
            <w:r w:rsidRPr="0030125D">
              <w:rPr>
                <w:lang w:val="de-DE"/>
              </w:rPr>
              <w:t xml:space="preserve">ine Sortenbezeichnung, die derjenigen einer anderen Sorte derselben Art oder einer </w:t>
            </w:r>
            <w:r w:rsidR="003E2505" w:rsidRPr="0030125D">
              <w:rPr>
                <w:lang w:val="de-DE"/>
              </w:rPr>
              <w:t xml:space="preserve">eng </w:t>
            </w:r>
            <w:r w:rsidRPr="0030125D">
              <w:rPr>
                <w:lang w:val="de-DE"/>
              </w:rPr>
              <w:t xml:space="preserve">verwandten Art ähnlich ist, z. B. „Kreuz des Südens 1“; „Kreuz des Südens 2“ usw., was den Eindruck erweckt, </w:t>
            </w:r>
            <w:r w:rsidR="0053767D" w:rsidRPr="0030125D">
              <w:rPr>
                <w:lang w:val="de-DE"/>
              </w:rPr>
              <w:t>daß</w:t>
            </w:r>
            <w:r w:rsidRPr="0030125D">
              <w:rPr>
                <w:lang w:val="de-DE"/>
              </w:rPr>
              <w:t xml:space="preserve"> es sich hierbei um eine Serie verwandter Sorten mit ähnlichen </w:t>
            </w:r>
            <w:r w:rsidR="00B45E58" w:rsidRPr="0030125D">
              <w:rPr>
                <w:lang w:val="de-DE"/>
              </w:rPr>
              <w:t>Merkmal</w:t>
            </w:r>
            <w:r w:rsidRPr="0030125D">
              <w:rPr>
                <w:lang w:val="de-DE"/>
              </w:rPr>
              <w:t xml:space="preserve">en handelt, wenn dies tatsächlich nicht der Fall ist.“ </w:t>
            </w:r>
          </w:p>
        </w:tc>
      </w:tr>
      <w:tr w:rsidR="00DE47C4" w:rsidRPr="0030125D" w:rsidTr="00952258">
        <w:trPr>
          <w:cantSplit/>
        </w:trPr>
        <w:tc>
          <w:tcPr>
            <w:tcW w:w="1391" w:type="dxa"/>
          </w:tcPr>
          <w:p w:rsidR="00DE47C4" w:rsidRPr="0030125D" w:rsidRDefault="00DE47C4" w:rsidP="00DE47C4">
            <w:pPr>
              <w:rPr>
                <w:lang w:val="de-DE"/>
              </w:rPr>
            </w:pPr>
            <w:r w:rsidRPr="0030125D">
              <w:rPr>
                <w:lang w:val="de-DE"/>
              </w:rPr>
              <w:t>2.3.1 d)</w:t>
            </w:r>
          </w:p>
        </w:tc>
        <w:tc>
          <w:tcPr>
            <w:tcW w:w="7789" w:type="dxa"/>
          </w:tcPr>
          <w:p w:rsidR="00DE47C4" w:rsidRPr="0030125D" w:rsidRDefault="00DE47C4" w:rsidP="00DE47C4">
            <w:pPr>
              <w:rPr>
                <w:lang w:val="de-DE"/>
              </w:rPr>
            </w:pPr>
            <w:r w:rsidRPr="0030125D">
              <w:rPr>
                <w:lang w:val="de-DE"/>
              </w:rPr>
              <w:t>2.3.1</w:t>
            </w:r>
            <w:r w:rsidR="00B45E58" w:rsidRPr="0030125D">
              <w:rPr>
                <w:lang w:val="de-DE"/>
              </w:rPr>
              <w:t> </w:t>
            </w:r>
            <w:r w:rsidRPr="0030125D">
              <w:rPr>
                <w:lang w:val="de-DE"/>
              </w:rPr>
              <w:t>d) ist wie folgt hinzuzufügen:</w:t>
            </w:r>
          </w:p>
          <w:p w:rsidR="00DE47C4" w:rsidRPr="0030125D" w:rsidRDefault="00DE47C4" w:rsidP="00DE47C4">
            <w:pPr>
              <w:rPr>
                <w:lang w:val="de-DE"/>
              </w:rPr>
            </w:pPr>
          </w:p>
          <w:p w:rsidR="00DE47C4" w:rsidRPr="0030125D" w:rsidRDefault="00AC362D" w:rsidP="00DE47C4">
            <w:pPr>
              <w:rPr>
                <w:lang w:val="de-DE"/>
              </w:rPr>
            </w:pPr>
            <w:r w:rsidRPr="0030125D">
              <w:rPr>
                <w:lang w:val="de-DE"/>
              </w:rPr>
              <w:t>„d)</w:t>
            </w:r>
            <w:r w:rsidR="00DE47C4" w:rsidRPr="0030125D">
              <w:rPr>
                <w:lang w:val="de-DE"/>
              </w:rPr>
              <w:tab/>
              <w:t>den botanischen oder landesüblichen Namen der Gattung enthalten, der die Sorte angehört. Welches die Sortenbezeichnung bzw. der Name der zugehörigen Gattung ist, könnte unklar sein oder verwechselt werden.“</w:t>
            </w:r>
          </w:p>
          <w:p w:rsidR="00DE47C4" w:rsidRPr="0030125D" w:rsidRDefault="00DE47C4" w:rsidP="00DE47C4">
            <w:pPr>
              <w:rPr>
                <w:highlight w:val="lightGray"/>
                <w:lang w:val="de-DE"/>
              </w:rPr>
            </w:pPr>
          </w:p>
          <w:p w:rsidR="00DE47C4" w:rsidRPr="0030125D" w:rsidRDefault="00DE47C4" w:rsidP="00DE47C4">
            <w:pPr>
              <w:rPr>
                <w:lang w:val="de-DE"/>
              </w:rPr>
            </w:pPr>
            <w:r w:rsidRPr="0030125D">
              <w:rPr>
                <w:lang w:val="de-DE"/>
              </w:rPr>
              <w:t>Folgendes Beispiel ist klarer zu fassen:</w:t>
            </w:r>
          </w:p>
          <w:p w:rsidR="00DE47C4" w:rsidRPr="0030125D" w:rsidRDefault="00DE47C4" w:rsidP="00DE47C4">
            <w:pPr>
              <w:rPr>
                <w:lang w:val="de-DE"/>
              </w:rPr>
            </w:pPr>
          </w:p>
          <w:p w:rsidR="00DE47C4" w:rsidRPr="0030125D" w:rsidRDefault="00DE47C4" w:rsidP="00DE47C4">
            <w:pPr>
              <w:ind w:left="567"/>
              <w:rPr>
                <w:lang w:val="de-DE"/>
              </w:rPr>
            </w:pPr>
            <w:r w:rsidRPr="0030125D">
              <w:rPr>
                <w:i/>
                <w:lang w:val="de-DE"/>
              </w:rPr>
              <w:t>Beispiel</w:t>
            </w:r>
            <w:r w:rsidRPr="0030125D">
              <w:rPr>
                <w:lang w:val="de-DE"/>
              </w:rPr>
              <w:t xml:space="preserve">: </w:t>
            </w:r>
            <w:r w:rsidRPr="0030125D">
              <w:rPr>
                <w:i/>
                <w:lang w:val="de-DE"/>
              </w:rPr>
              <w:t xml:space="preserve">Carex </w:t>
            </w:r>
            <w:r w:rsidRPr="0030125D">
              <w:rPr>
                <w:lang w:val="de-DE"/>
              </w:rPr>
              <w:t xml:space="preserve">Sorte </w:t>
            </w:r>
            <w:r w:rsidR="00AC362D" w:rsidRPr="0030125D">
              <w:rPr>
                <w:lang w:val="de-DE"/>
              </w:rPr>
              <w:t>‚</w:t>
            </w:r>
            <w:r w:rsidR="00583B02" w:rsidRPr="0030125D">
              <w:rPr>
                <w:lang w:val="de-DE"/>
              </w:rPr>
              <w:t>Segge</w:t>
            </w:r>
            <w:r w:rsidR="00AC362D" w:rsidRPr="0030125D">
              <w:rPr>
                <w:lang w:val="de-DE"/>
              </w:rPr>
              <w:t>‘</w:t>
            </w:r>
            <w:r w:rsidRPr="0030125D">
              <w:rPr>
                <w:lang w:val="de-DE"/>
              </w:rPr>
              <w:t xml:space="preserve">. Darauf könnte möglicherweise als </w:t>
            </w:r>
            <w:r w:rsidR="00AC362D" w:rsidRPr="0030125D">
              <w:rPr>
                <w:lang w:val="de-DE"/>
              </w:rPr>
              <w:t>‚</w:t>
            </w:r>
            <w:r w:rsidR="00583B02" w:rsidRPr="0030125D">
              <w:rPr>
                <w:lang w:val="de-DE"/>
              </w:rPr>
              <w:t>Segge</w:t>
            </w:r>
            <w:r w:rsidR="00AC362D" w:rsidRPr="0030125D">
              <w:rPr>
                <w:lang w:val="de-DE"/>
              </w:rPr>
              <w:t>‘</w:t>
            </w:r>
            <w:r w:rsidRPr="0030125D">
              <w:rPr>
                <w:lang w:val="de-DE"/>
              </w:rPr>
              <w:t xml:space="preserve"> </w:t>
            </w:r>
            <w:r w:rsidRPr="0030125D">
              <w:rPr>
                <w:i/>
                <w:lang w:val="de-DE"/>
              </w:rPr>
              <w:t>Carex</w:t>
            </w:r>
            <w:r w:rsidRPr="0030125D">
              <w:rPr>
                <w:lang w:val="de-DE"/>
              </w:rPr>
              <w:t xml:space="preserve"> Bezug genommen werden, und ohne Verwendung von Kursivdruck oder einfachen Anführungszeichen könnte unklar sein, welches die Sortenbezeichnung bzw. der Gattungsname ist.</w:t>
            </w:r>
          </w:p>
          <w:p w:rsidR="00DE47C4" w:rsidRPr="0030125D" w:rsidRDefault="00DE47C4" w:rsidP="00DE47C4">
            <w:pPr>
              <w:rPr>
                <w:lang w:val="de-DE"/>
              </w:rPr>
            </w:pPr>
          </w:p>
          <w:p w:rsidR="00DE47C4" w:rsidRPr="0030125D" w:rsidRDefault="00DE47C4" w:rsidP="00DE47C4">
            <w:pPr>
              <w:rPr>
                <w:lang w:val="de-DE"/>
              </w:rPr>
            </w:pPr>
            <w:r w:rsidRPr="0030125D">
              <w:rPr>
                <w:lang w:val="de-DE"/>
              </w:rPr>
              <w:t xml:space="preserve">Es ist Anleitung zu einer möglichen Verwechslungsgefahr bezüglich des botanischen oder landesüblichen Namens einer Gattung, zu der die Sorte </w:t>
            </w:r>
            <w:r w:rsidRPr="0030125D">
              <w:rPr>
                <w:u w:val="single"/>
                <w:lang w:val="de-DE"/>
              </w:rPr>
              <w:t>nicht</w:t>
            </w:r>
            <w:r w:rsidRPr="0030125D">
              <w:rPr>
                <w:lang w:val="de-DE"/>
              </w:rPr>
              <w:t xml:space="preserve"> gehört, zu erarbeiten – von Fall zu Fall.</w:t>
            </w:r>
          </w:p>
        </w:tc>
      </w:tr>
      <w:tr w:rsidR="00DE47C4" w:rsidRPr="0030125D" w:rsidTr="00952258">
        <w:trPr>
          <w:cantSplit/>
        </w:trPr>
        <w:tc>
          <w:tcPr>
            <w:tcW w:w="1391" w:type="dxa"/>
          </w:tcPr>
          <w:p w:rsidR="00DE47C4" w:rsidRPr="0030125D" w:rsidRDefault="00DE47C4" w:rsidP="00DE47C4">
            <w:pPr>
              <w:rPr>
                <w:lang w:val="de-DE"/>
              </w:rPr>
            </w:pPr>
            <w:r w:rsidRPr="0030125D">
              <w:rPr>
                <w:lang w:val="de-DE"/>
              </w:rPr>
              <w:t>2.3.3</w:t>
            </w:r>
          </w:p>
        </w:tc>
        <w:tc>
          <w:tcPr>
            <w:tcW w:w="7789" w:type="dxa"/>
          </w:tcPr>
          <w:p w:rsidR="00DE47C4" w:rsidRPr="0030125D" w:rsidRDefault="00DE47C4" w:rsidP="00B45E58">
            <w:pPr>
              <w:rPr>
                <w:snapToGrid w:val="0"/>
                <w:lang w:val="de-DE"/>
              </w:rPr>
            </w:pPr>
            <w:r w:rsidRPr="0030125D">
              <w:rPr>
                <w:snapToGrid w:val="0"/>
                <w:lang w:val="de-DE"/>
              </w:rPr>
              <w:t xml:space="preserve">Die Vorschläge in </w:t>
            </w:r>
            <w:r w:rsidR="00B45E58" w:rsidRPr="0030125D">
              <w:rPr>
                <w:snapToGrid w:val="0"/>
                <w:lang w:val="de-DE"/>
              </w:rPr>
              <w:t>Abschnitt </w:t>
            </w:r>
            <w:r w:rsidRPr="0030125D">
              <w:rPr>
                <w:snapToGrid w:val="0"/>
                <w:lang w:val="de-DE"/>
              </w:rPr>
              <w:t xml:space="preserve">2.3.3 </w:t>
            </w:r>
            <w:r w:rsidR="00AC362D" w:rsidRPr="0030125D">
              <w:rPr>
                <w:snapToGrid w:val="0"/>
                <w:lang w:val="de-DE"/>
              </w:rPr>
              <w:t>des</w:t>
            </w:r>
            <w:r w:rsidRPr="0030125D">
              <w:rPr>
                <w:snapToGrid w:val="0"/>
                <w:lang w:val="de-DE"/>
              </w:rPr>
              <w:t xml:space="preserve"> Dokument</w:t>
            </w:r>
            <w:r w:rsidR="00AC362D" w:rsidRPr="0030125D">
              <w:rPr>
                <w:snapToGrid w:val="0"/>
                <w:lang w:val="de-DE"/>
              </w:rPr>
              <w:t>s </w:t>
            </w:r>
            <w:r w:rsidRPr="0030125D">
              <w:rPr>
                <w:snapToGrid w:val="0"/>
                <w:lang w:val="de-DE"/>
              </w:rPr>
              <w:t>UPOV/INF/12/5 Draft 2 sind als erster Schritt zur Ausarbeitung weiterer Anleitung und zweckmäßiger Beispiele in Verbindung mit der Entwicklung eines effektiven UPOV-Such</w:t>
            </w:r>
            <w:r w:rsidR="00B45E58" w:rsidRPr="0030125D">
              <w:rPr>
                <w:snapToGrid w:val="0"/>
                <w:lang w:val="de-DE"/>
              </w:rPr>
              <w:t>instrument</w:t>
            </w:r>
            <w:r w:rsidRPr="0030125D">
              <w:rPr>
                <w:snapToGrid w:val="0"/>
                <w:lang w:val="de-DE"/>
              </w:rPr>
              <w:t>s für Ähnlichkeiten zu prüfen.</w:t>
            </w:r>
          </w:p>
        </w:tc>
      </w:tr>
    </w:tbl>
    <w:p w:rsidR="00461F5D" w:rsidRPr="0030125D" w:rsidRDefault="00461F5D" w:rsidP="00E10886">
      <w:pPr>
        <w:rPr>
          <w:snapToGrid w:val="0"/>
          <w:lang w:val="de-DE" w:eastAsia="ja-JP"/>
        </w:rPr>
      </w:pPr>
    </w:p>
    <w:p w:rsidR="00097BB4" w:rsidRPr="0030125D" w:rsidRDefault="00097BB4" w:rsidP="00097BB4">
      <w:pPr>
        <w:rPr>
          <w:snapToGrid w:val="0"/>
          <w:lang w:val="de-DE" w:eastAsia="ja-JP"/>
        </w:rPr>
      </w:pPr>
    </w:p>
    <w:p w:rsidR="00461F5D" w:rsidRPr="0030125D" w:rsidRDefault="00461F5D" w:rsidP="00E95D7F">
      <w:pPr>
        <w:rPr>
          <w:snapToGrid w:val="0"/>
          <w:lang w:val="de-DE" w:eastAsia="ja-JP"/>
        </w:rPr>
      </w:pPr>
      <w:r w:rsidRPr="0030125D">
        <w:rPr>
          <w:snapToGrid w:val="0"/>
          <w:lang w:val="de-DE" w:eastAsia="ja-JP"/>
        </w:rPr>
        <w:fldChar w:fldCharType="begin"/>
      </w:r>
      <w:r w:rsidRPr="0030125D">
        <w:rPr>
          <w:snapToGrid w:val="0"/>
          <w:lang w:val="de-DE" w:eastAsia="ja-JP"/>
        </w:rPr>
        <w:instrText xml:space="preserve"> AUTONUM  </w:instrText>
      </w:r>
      <w:r w:rsidRPr="0030125D">
        <w:rPr>
          <w:snapToGrid w:val="0"/>
          <w:lang w:val="de-DE" w:eastAsia="ja-JP"/>
        </w:rPr>
        <w:fldChar w:fldCharType="end"/>
      </w:r>
      <w:r w:rsidRPr="0030125D">
        <w:rPr>
          <w:snapToGrid w:val="0"/>
          <w:lang w:val="de-DE" w:eastAsia="ja-JP"/>
        </w:rPr>
        <w:tab/>
      </w:r>
      <w:r w:rsidR="00AC362D" w:rsidRPr="0030125D">
        <w:rPr>
          <w:snapToGrid w:val="0"/>
          <w:lang w:val="de-DE" w:eastAsia="ja-JP"/>
        </w:rPr>
        <w:t>Die WG-DST prüf</w:t>
      </w:r>
      <w:r w:rsidR="00B45E58" w:rsidRPr="0030125D">
        <w:rPr>
          <w:snapToGrid w:val="0"/>
          <w:lang w:val="de-DE" w:eastAsia="ja-JP"/>
        </w:rPr>
        <w:t>t</w:t>
      </w:r>
      <w:r w:rsidR="00AC362D" w:rsidRPr="0030125D">
        <w:rPr>
          <w:snapToGrid w:val="0"/>
          <w:lang w:val="de-DE" w:eastAsia="ja-JP"/>
        </w:rPr>
        <w:t>e auf ihrer zweiten Sitzung</w:t>
      </w:r>
      <w:r w:rsidRPr="0030125D">
        <w:rPr>
          <w:rStyle w:val="FootnoteReference"/>
          <w:lang w:val="de-DE" w:eastAsia="ja-JP"/>
        </w:rPr>
        <w:footnoteReference w:id="19"/>
      </w:r>
      <w:r w:rsidRPr="0030125D">
        <w:rPr>
          <w:snapToGrid w:val="0"/>
          <w:lang w:val="de-DE" w:eastAsia="ja-JP"/>
        </w:rPr>
        <w:t xml:space="preserve"> </w:t>
      </w:r>
      <w:r w:rsidR="00AC362D" w:rsidRPr="0030125D">
        <w:rPr>
          <w:snapToGrid w:val="0"/>
          <w:lang w:val="de-DE" w:eastAsia="ja-JP"/>
        </w:rPr>
        <w:t>die Bemerkungen der</w:t>
      </w:r>
      <w:r w:rsidRPr="0030125D">
        <w:rPr>
          <w:snapToGrid w:val="0"/>
          <w:lang w:val="de-DE" w:eastAsia="ja-JP"/>
        </w:rPr>
        <w:t xml:space="preserve"> CAJ-AG</w:t>
      </w:r>
      <w:r w:rsidR="00AC362D" w:rsidRPr="0030125D">
        <w:rPr>
          <w:snapToGrid w:val="0"/>
          <w:lang w:val="de-DE" w:eastAsia="ja-JP"/>
        </w:rPr>
        <w:t xml:space="preserve"> auf deren neunter Tagung zu den Vorschlägen in </w:t>
      </w:r>
      <w:r w:rsidR="00DE47C4" w:rsidRPr="0030125D">
        <w:rPr>
          <w:snapToGrid w:val="0"/>
          <w:lang w:val="de-DE" w:eastAsia="ja-JP"/>
        </w:rPr>
        <w:t>Dokument</w:t>
      </w:r>
      <w:r w:rsidR="00AC362D" w:rsidRPr="0030125D">
        <w:rPr>
          <w:snapToGrid w:val="0"/>
          <w:lang w:val="de-DE" w:eastAsia="ja-JP"/>
        </w:rPr>
        <w:t> </w:t>
      </w:r>
      <w:r w:rsidRPr="0030125D">
        <w:rPr>
          <w:snapToGrid w:val="0"/>
          <w:lang w:val="de-DE" w:eastAsia="ja-JP"/>
        </w:rPr>
        <w:t xml:space="preserve">UPOV/INF/12/5 Draft 2 </w:t>
      </w:r>
      <w:r w:rsidR="00AC362D" w:rsidRPr="0030125D">
        <w:rPr>
          <w:snapToGrid w:val="0"/>
          <w:lang w:val="de-DE" w:eastAsia="ja-JP"/>
        </w:rPr>
        <w:t>betreffend die</w:t>
      </w:r>
      <w:r w:rsidRPr="0030125D">
        <w:rPr>
          <w:snapToGrid w:val="0"/>
          <w:lang w:val="de-DE" w:eastAsia="ja-JP"/>
        </w:rPr>
        <w:t xml:space="preserve"> </w:t>
      </w:r>
      <w:r w:rsidR="00DE47C4" w:rsidRPr="0030125D">
        <w:rPr>
          <w:snapToGrid w:val="0"/>
          <w:lang w:val="de-DE" w:eastAsia="ja-JP"/>
        </w:rPr>
        <w:t>Abschnitte</w:t>
      </w:r>
      <w:r w:rsidRPr="0030125D">
        <w:rPr>
          <w:snapToGrid w:val="0"/>
          <w:lang w:val="de-DE" w:eastAsia="ja-JP"/>
        </w:rPr>
        <w:t xml:space="preserve"> 2.2.2 b), 2.3.1 c) </w:t>
      </w:r>
      <w:r w:rsidR="00AC362D" w:rsidRPr="0030125D">
        <w:rPr>
          <w:snapToGrid w:val="0"/>
          <w:lang w:val="de-DE" w:eastAsia="ja-JP"/>
        </w:rPr>
        <w:t>u</w:t>
      </w:r>
      <w:r w:rsidRPr="0030125D">
        <w:rPr>
          <w:snapToGrid w:val="0"/>
          <w:lang w:val="de-DE" w:eastAsia="ja-JP"/>
        </w:rPr>
        <w:t>nd d)</w:t>
      </w:r>
      <w:r w:rsidR="00AC362D" w:rsidRPr="0030125D">
        <w:rPr>
          <w:snapToGrid w:val="0"/>
          <w:lang w:val="de-DE" w:eastAsia="ja-JP"/>
        </w:rPr>
        <w:t xml:space="preserve"> u</w:t>
      </w:r>
      <w:r w:rsidRPr="0030125D">
        <w:rPr>
          <w:snapToGrid w:val="0"/>
          <w:lang w:val="de-DE" w:eastAsia="ja-JP"/>
        </w:rPr>
        <w:t xml:space="preserve">nd 2.3.3, </w:t>
      </w:r>
      <w:r w:rsidR="00AC362D" w:rsidRPr="0030125D">
        <w:rPr>
          <w:snapToGrid w:val="0"/>
          <w:lang w:val="de-DE" w:eastAsia="ja-JP"/>
        </w:rPr>
        <w:t>wie in den nachstehenden</w:t>
      </w:r>
      <w:r w:rsidR="00F91828" w:rsidRPr="0030125D">
        <w:rPr>
          <w:snapToGrid w:val="0"/>
          <w:lang w:val="de-DE" w:eastAsia="ja-JP"/>
        </w:rPr>
        <w:t xml:space="preserve"> </w:t>
      </w:r>
      <w:r w:rsidR="00DE47C4" w:rsidRPr="0030125D">
        <w:rPr>
          <w:snapToGrid w:val="0"/>
          <w:lang w:val="de-DE" w:eastAsia="ja-JP"/>
        </w:rPr>
        <w:t>Absätze</w:t>
      </w:r>
      <w:r w:rsidR="00AC362D" w:rsidRPr="0030125D">
        <w:rPr>
          <w:snapToGrid w:val="0"/>
          <w:lang w:val="de-DE" w:eastAsia="ja-JP"/>
        </w:rPr>
        <w:t>n enthalten</w:t>
      </w:r>
      <w:r w:rsidR="00F91828" w:rsidRPr="0030125D">
        <w:rPr>
          <w:snapToGrid w:val="0"/>
          <w:lang w:val="de-DE" w:eastAsia="ja-JP"/>
        </w:rPr>
        <w:t>.</w:t>
      </w:r>
    </w:p>
    <w:p w:rsidR="00461F5D" w:rsidRPr="0030125D" w:rsidRDefault="00461F5D" w:rsidP="00E10886">
      <w:pPr>
        <w:rPr>
          <w:snapToGrid w:val="0"/>
          <w:lang w:val="de-DE" w:eastAsia="ja-JP"/>
        </w:rPr>
      </w:pPr>
    </w:p>
    <w:p w:rsidR="008B5ED9" w:rsidRPr="0030125D" w:rsidRDefault="008B5ED9" w:rsidP="00E10886">
      <w:pPr>
        <w:rPr>
          <w:snapToGrid w:val="0"/>
          <w:lang w:val="de-DE" w:eastAsia="ja-JP"/>
        </w:rPr>
      </w:pPr>
    </w:p>
    <w:p w:rsidR="00140C66" w:rsidRPr="0030125D" w:rsidRDefault="00DE47C4" w:rsidP="00280FCF">
      <w:pPr>
        <w:pStyle w:val="Heading2"/>
        <w:rPr>
          <w:lang w:val="de-DE" w:eastAsia="ja-JP"/>
        </w:rPr>
      </w:pPr>
      <w:bookmarkStart w:id="34" w:name="_Toc427161613"/>
      <w:bookmarkStart w:id="35" w:name="_Toc431309801"/>
      <w:bookmarkStart w:id="36" w:name="_Toc432164670"/>
      <w:r w:rsidRPr="0030125D">
        <w:rPr>
          <w:lang w:val="de-DE" w:eastAsia="ja-JP"/>
        </w:rPr>
        <w:t>Abschnitt</w:t>
      </w:r>
      <w:r w:rsidR="00140C66" w:rsidRPr="0030125D">
        <w:rPr>
          <w:lang w:val="de-DE" w:eastAsia="ja-JP"/>
        </w:rPr>
        <w:t xml:space="preserve"> 2.2.2 b)</w:t>
      </w:r>
      <w:bookmarkEnd w:id="34"/>
      <w:bookmarkEnd w:id="35"/>
      <w:bookmarkEnd w:id="36"/>
    </w:p>
    <w:p w:rsidR="00140C66" w:rsidRPr="0030125D" w:rsidRDefault="00140C66" w:rsidP="002E04ED">
      <w:pPr>
        <w:keepNext/>
        <w:rPr>
          <w:lang w:val="de-DE" w:eastAsia="ja-JP"/>
        </w:rPr>
      </w:pPr>
    </w:p>
    <w:p w:rsidR="00140C66" w:rsidRPr="0030125D" w:rsidRDefault="00140C66" w:rsidP="00140C66">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AC362D" w:rsidRPr="0030125D">
        <w:rPr>
          <w:lang w:val="de-DE"/>
        </w:rPr>
        <w:t>Di</w:t>
      </w:r>
      <w:r w:rsidRPr="0030125D">
        <w:rPr>
          <w:lang w:val="de-DE" w:eastAsia="ja-JP"/>
        </w:rPr>
        <w:t>e WG-DST</w:t>
      </w:r>
      <w:r w:rsidR="00C406C5" w:rsidRPr="0030125D">
        <w:rPr>
          <w:lang w:val="de-DE" w:eastAsia="ja-JP"/>
        </w:rPr>
        <w:t xml:space="preserve"> </w:t>
      </w:r>
      <w:r w:rsidR="00AC362D" w:rsidRPr="0030125D">
        <w:rPr>
          <w:lang w:val="de-DE" w:eastAsia="ja-JP"/>
        </w:rPr>
        <w:t xml:space="preserve">vereinbarte, folgende Änderung des </w:t>
      </w:r>
      <w:r w:rsidR="0053767D" w:rsidRPr="0030125D">
        <w:rPr>
          <w:lang w:val="de-DE" w:eastAsia="ja-JP"/>
        </w:rPr>
        <w:t>Wortlauts</w:t>
      </w:r>
      <w:r w:rsidR="00AC362D" w:rsidRPr="0030125D">
        <w:rPr>
          <w:lang w:val="de-DE" w:eastAsia="ja-JP"/>
        </w:rPr>
        <w:t xml:space="preserve"> vorzuschlagen </w:t>
      </w:r>
      <w:r w:rsidRPr="0030125D">
        <w:rPr>
          <w:lang w:val="de-DE" w:eastAsia="ja-JP"/>
        </w:rPr>
        <w:t>(</w:t>
      </w:r>
      <w:r w:rsidR="00AC362D" w:rsidRPr="0030125D">
        <w:rPr>
          <w:lang w:val="de-DE" w:eastAsia="ja-JP"/>
        </w:rPr>
        <w:t xml:space="preserve">Unterstreichung gibt Einfügung in den </w:t>
      </w:r>
      <w:r w:rsidR="0053767D" w:rsidRPr="0030125D">
        <w:rPr>
          <w:lang w:val="de-DE" w:eastAsia="ja-JP"/>
        </w:rPr>
        <w:t>Wortlaut</w:t>
      </w:r>
      <w:r w:rsidR="00AC362D" w:rsidRPr="0030125D">
        <w:rPr>
          <w:lang w:val="de-DE" w:eastAsia="ja-JP"/>
        </w:rPr>
        <w:t xml:space="preserve"> an)</w:t>
      </w:r>
      <w:r w:rsidR="00C406C5" w:rsidRPr="0030125D">
        <w:rPr>
          <w:lang w:val="de-DE" w:eastAsia="ja-JP"/>
        </w:rPr>
        <w:t>:</w:t>
      </w:r>
    </w:p>
    <w:p w:rsidR="00140C66" w:rsidRPr="0030125D" w:rsidRDefault="00140C66" w:rsidP="00140C66">
      <w:pPr>
        <w:rPr>
          <w:lang w:val="de-DE" w:eastAsia="ja-JP"/>
        </w:rPr>
      </w:pPr>
    </w:p>
    <w:p w:rsidR="00140C66" w:rsidRPr="0030125D" w:rsidRDefault="00AC362D" w:rsidP="00CA3196">
      <w:pPr>
        <w:ind w:left="567" w:right="567"/>
        <w:rPr>
          <w:rFonts w:cs="Arial"/>
          <w:lang w:val="de-DE" w:eastAsia="ja-JP"/>
        </w:rPr>
      </w:pPr>
      <w:r w:rsidRPr="0030125D">
        <w:rPr>
          <w:snapToGrid w:val="0"/>
          <w:lang w:val="de-DE"/>
        </w:rPr>
        <w:t>„</w:t>
      </w:r>
      <w:r w:rsidR="00140C66" w:rsidRPr="0030125D">
        <w:rPr>
          <w:color w:val="000000"/>
          <w:lang w:val="de-DE"/>
        </w:rPr>
        <w:t>b)</w:t>
      </w:r>
      <w:r w:rsidR="00140C66" w:rsidRPr="0030125D">
        <w:rPr>
          <w:color w:val="000000"/>
          <w:lang w:val="de-DE"/>
        </w:rPr>
        <w:tab/>
      </w:r>
      <w:r w:rsidRPr="0030125D">
        <w:rPr>
          <w:color w:val="000000"/>
          <w:lang w:val="de-DE"/>
        </w:rPr>
        <w:t xml:space="preserve">die anerkannte Marktpraxis für bestimmte Sortentypen (z. B. Hybriden) und bestimmte </w:t>
      </w:r>
      <w:r w:rsidRPr="0030125D">
        <w:rPr>
          <w:color w:val="000000"/>
          <w:highlight w:val="lightGray"/>
          <w:u w:val="single"/>
          <w:lang w:val="de-DE" w:eastAsia="ja-JP"/>
        </w:rPr>
        <w:t>Gattungen</w:t>
      </w:r>
      <w:r w:rsidRPr="0030125D">
        <w:rPr>
          <w:color w:val="000000"/>
          <w:lang w:val="de-DE"/>
        </w:rPr>
        <w:t>/Arten (z. B. Medicago, Helianthus)</w:t>
      </w:r>
      <w:r w:rsidR="00140C66" w:rsidRPr="0030125D">
        <w:rPr>
          <w:color w:val="000000"/>
          <w:lang w:val="de-DE"/>
        </w:rPr>
        <w:t>.</w:t>
      </w:r>
      <w:r w:rsidRPr="0030125D">
        <w:rPr>
          <w:color w:val="000000"/>
          <w:lang w:val="de-DE"/>
        </w:rPr>
        <w:t>“</w:t>
      </w:r>
      <w:r w:rsidR="00414FD1" w:rsidRPr="0030125D">
        <w:rPr>
          <w:rStyle w:val="FootnoteReference"/>
          <w:color w:val="000000"/>
          <w:lang w:val="de-DE" w:eastAsia="ja-JP"/>
        </w:rPr>
        <w:footnoteReference w:id="20"/>
      </w:r>
    </w:p>
    <w:p w:rsidR="00CA3196" w:rsidRPr="0030125D" w:rsidRDefault="00CA3196" w:rsidP="00CA3196">
      <w:pPr>
        <w:rPr>
          <w:lang w:val="de-DE"/>
        </w:rPr>
      </w:pPr>
    </w:p>
    <w:p w:rsidR="008B5ED9" w:rsidRPr="0030125D" w:rsidRDefault="008B5ED9" w:rsidP="00CA3196">
      <w:pPr>
        <w:rPr>
          <w:lang w:val="de-DE"/>
        </w:rPr>
      </w:pPr>
    </w:p>
    <w:p w:rsidR="004470F7" w:rsidRDefault="004470F7">
      <w:pPr>
        <w:jc w:val="left"/>
        <w:rPr>
          <w:u w:val="single"/>
          <w:lang w:val="de-DE" w:eastAsia="ja-JP"/>
        </w:rPr>
      </w:pPr>
      <w:bookmarkStart w:id="37" w:name="_Toc427161614"/>
      <w:bookmarkStart w:id="38" w:name="_Toc431309802"/>
      <w:r>
        <w:rPr>
          <w:lang w:val="de-DE" w:eastAsia="ja-JP"/>
        </w:rPr>
        <w:br w:type="page"/>
      </w:r>
    </w:p>
    <w:p w:rsidR="00140C66" w:rsidRPr="0030125D" w:rsidRDefault="00DE47C4" w:rsidP="00280FCF">
      <w:pPr>
        <w:pStyle w:val="Heading2"/>
        <w:rPr>
          <w:lang w:val="de-DE" w:eastAsia="ja-JP"/>
        </w:rPr>
      </w:pPr>
      <w:bookmarkStart w:id="39" w:name="_Toc432164671"/>
      <w:r w:rsidRPr="0030125D">
        <w:rPr>
          <w:lang w:val="de-DE" w:eastAsia="ja-JP"/>
        </w:rPr>
        <w:lastRenderedPageBreak/>
        <w:t>Abschnitt</w:t>
      </w:r>
      <w:r w:rsidR="00140C66" w:rsidRPr="0030125D">
        <w:rPr>
          <w:lang w:val="de-DE" w:eastAsia="ja-JP"/>
        </w:rPr>
        <w:t xml:space="preserve"> 2.3.1 c)</w:t>
      </w:r>
      <w:bookmarkEnd w:id="37"/>
      <w:bookmarkEnd w:id="38"/>
      <w:bookmarkEnd w:id="39"/>
    </w:p>
    <w:p w:rsidR="00414FD1" w:rsidRPr="0030125D" w:rsidRDefault="00414FD1" w:rsidP="00414FD1">
      <w:pPr>
        <w:rPr>
          <w:lang w:val="de-DE" w:eastAsia="ja-JP"/>
        </w:rPr>
      </w:pPr>
    </w:p>
    <w:p w:rsidR="00140C66" w:rsidRPr="0030125D" w:rsidRDefault="00140C66"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AC362D" w:rsidRPr="0030125D">
        <w:rPr>
          <w:lang w:val="de-DE"/>
        </w:rPr>
        <w:t>Di</w:t>
      </w:r>
      <w:r w:rsidRPr="0030125D">
        <w:rPr>
          <w:lang w:val="de-DE" w:eastAsia="ja-JP"/>
        </w:rPr>
        <w:t xml:space="preserve">e WG-DST </w:t>
      </w:r>
      <w:r w:rsidR="00AC362D" w:rsidRPr="0030125D">
        <w:rPr>
          <w:lang w:val="de-DE" w:eastAsia="ja-JP"/>
        </w:rPr>
        <w:t xml:space="preserve">vereinbarte, neue </w:t>
      </w:r>
      <w:r w:rsidR="0053767D" w:rsidRPr="0030125D">
        <w:rPr>
          <w:lang w:val="de-DE" w:eastAsia="ja-JP"/>
        </w:rPr>
        <w:t>Beispiele</w:t>
      </w:r>
      <w:r w:rsidR="00AC362D" w:rsidRPr="0030125D">
        <w:rPr>
          <w:lang w:val="de-DE" w:eastAsia="ja-JP"/>
        </w:rPr>
        <w:t xml:space="preserve"> für Bezeichnungen </w:t>
      </w:r>
      <w:r w:rsidR="0053767D" w:rsidRPr="0030125D">
        <w:rPr>
          <w:lang w:val="de-DE" w:eastAsia="ja-JP"/>
        </w:rPr>
        <w:t>vorzuschlagen</w:t>
      </w:r>
      <w:r w:rsidR="00AC362D" w:rsidRPr="0030125D">
        <w:rPr>
          <w:lang w:val="de-DE" w:eastAsia="ja-JP"/>
        </w:rPr>
        <w:t>, die</w:t>
      </w:r>
      <w:r w:rsidRPr="0030125D">
        <w:rPr>
          <w:rFonts w:cs="Arial"/>
          <w:lang w:val="de-DE" w:eastAsia="ja-JP"/>
        </w:rPr>
        <w:t>:</w:t>
      </w:r>
    </w:p>
    <w:p w:rsidR="00140C66" w:rsidRPr="0030125D" w:rsidRDefault="00140C66" w:rsidP="00140C66">
      <w:pPr>
        <w:rPr>
          <w:rFonts w:cs="Arial"/>
          <w:lang w:val="de-DE" w:eastAsia="ja-JP"/>
        </w:rPr>
      </w:pPr>
    </w:p>
    <w:p w:rsidR="00140C66" w:rsidRPr="0030125D" w:rsidRDefault="00140C66" w:rsidP="009175FC">
      <w:pPr>
        <w:keepNext/>
        <w:ind w:left="540" w:firstLine="27"/>
        <w:rPr>
          <w:rFonts w:cs="Arial"/>
          <w:lang w:val="de-DE" w:eastAsia="ja-JP"/>
        </w:rPr>
      </w:pPr>
      <w:r w:rsidRPr="0030125D">
        <w:rPr>
          <w:rFonts w:cs="Arial"/>
          <w:lang w:val="de-DE" w:eastAsia="ja-JP"/>
        </w:rPr>
        <w:t>i</w:t>
      </w:r>
      <w:r w:rsidRPr="0030125D">
        <w:rPr>
          <w:rFonts w:cs="Arial"/>
          <w:lang w:val="de-DE"/>
        </w:rPr>
        <w:t>)</w:t>
      </w:r>
      <w:r w:rsidR="00123458" w:rsidRPr="0030125D">
        <w:rPr>
          <w:rFonts w:cs="Arial"/>
          <w:lang w:val="de-DE"/>
        </w:rPr>
        <w:tab/>
      </w:r>
      <w:r w:rsidR="00AC362D" w:rsidRPr="0030125D">
        <w:rPr>
          <w:rFonts w:cs="Arial"/>
          <w:lang w:val="de-DE"/>
        </w:rPr>
        <w:t xml:space="preserve">irrtümlich eine </w:t>
      </w:r>
      <w:r w:rsidR="00B45E58" w:rsidRPr="0030125D">
        <w:rPr>
          <w:rFonts w:cs="Arial"/>
          <w:lang w:val="de-DE"/>
        </w:rPr>
        <w:t>Verwandtschaft mit</w:t>
      </w:r>
      <w:r w:rsidR="00AC362D" w:rsidRPr="0030125D">
        <w:rPr>
          <w:rFonts w:cs="Arial"/>
          <w:lang w:val="de-DE"/>
        </w:rPr>
        <w:t xml:space="preserve"> oder Ableitung von einer andere Sorten beinhalten könnte</w:t>
      </w:r>
      <w:r w:rsidR="00007760" w:rsidRPr="0030125D">
        <w:rPr>
          <w:rFonts w:cs="Arial"/>
          <w:lang w:val="de-DE"/>
        </w:rPr>
        <w:t>n</w:t>
      </w:r>
      <w:r w:rsidRPr="0030125D">
        <w:rPr>
          <w:rFonts w:cs="Arial"/>
          <w:lang w:val="de-DE" w:eastAsia="ja-JP"/>
        </w:rPr>
        <w:t>;</w:t>
      </w:r>
    </w:p>
    <w:p w:rsidR="00140C66" w:rsidRPr="0030125D" w:rsidRDefault="00140C66" w:rsidP="009175FC">
      <w:pPr>
        <w:keepNext/>
        <w:rPr>
          <w:lang w:val="de-DE"/>
        </w:rPr>
      </w:pPr>
    </w:p>
    <w:p w:rsidR="00140C66" w:rsidRPr="0030125D" w:rsidRDefault="00AC362D" w:rsidP="00E95D7F">
      <w:pPr>
        <w:ind w:left="1134" w:firstLine="27"/>
        <w:rPr>
          <w:rFonts w:cs="Arial"/>
          <w:lang w:val="de-DE" w:eastAsia="ja-JP"/>
        </w:rPr>
      </w:pPr>
      <w:r w:rsidRPr="0030125D">
        <w:rPr>
          <w:rFonts w:cs="Arial"/>
          <w:lang w:val="de-DE" w:eastAsia="ja-JP"/>
        </w:rPr>
        <w:t>Beispiel</w:t>
      </w:r>
      <w:r w:rsidR="00140C66" w:rsidRPr="0030125D">
        <w:rPr>
          <w:rFonts w:cs="Arial"/>
          <w:lang w:val="de-DE" w:eastAsia="ja-JP"/>
        </w:rPr>
        <w:t xml:space="preserve">: </w:t>
      </w:r>
      <w:r w:rsidR="00B45E58" w:rsidRPr="0030125D">
        <w:rPr>
          <w:rFonts w:cs="Arial"/>
          <w:lang w:val="de-DE" w:eastAsia="ja-JP"/>
        </w:rPr>
        <w:t>„</w:t>
      </w:r>
      <w:r w:rsidR="00140C66" w:rsidRPr="0030125D">
        <w:rPr>
          <w:rFonts w:cs="Arial"/>
          <w:lang w:val="de-DE" w:eastAsia="ja-JP"/>
        </w:rPr>
        <w:t>alpha</w:t>
      </w:r>
      <w:r w:rsidR="00B45E58" w:rsidRPr="0030125D">
        <w:rPr>
          <w:rFonts w:cs="Arial"/>
          <w:lang w:val="de-DE" w:eastAsia="ja-JP"/>
        </w:rPr>
        <w:t>“</w:t>
      </w:r>
      <w:r w:rsidR="00140C66" w:rsidRPr="0030125D">
        <w:rPr>
          <w:rFonts w:cs="Arial"/>
          <w:lang w:val="de-DE" w:eastAsia="ja-JP"/>
        </w:rPr>
        <w:t xml:space="preserve"> </w:t>
      </w:r>
      <w:r w:rsidRPr="0030125D">
        <w:rPr>
          <w:rFonts w:cs="Arial"/>
          <w:lang w:val="de-DE" w:eastAsia="ja-JP"/>
        </w:rPr>
        <w:t>u</w:t>
      </w:r>
      <w:r w:rsidR="00140C66" w:rsidRPr="0030125D">
        <w:rPr>
          <w:rFonts w:cs="Arial"/>
          <w:lang w:val="de-DE" w:eastAsia="ja-JP"/>
        </w:rPr>
        <w:t xml:space="preserve">nd </w:t>
      </w:r>
      <w:r w:rsidR="00B45E58" w:rsidRPr="0030125D">
        <w:rPr>
          <w:rFonts w:cs="Arial"/>
          <w:lang w:val="de-DE" w:eastAsia="ja-JP"/>
        </w:rPr>
        <w:t>„</w:t>
      </w:r>
      <w:r w:rsidR="00140C66" w:rsidRPr="0030125D">
        <w:rPr>
          <w:rFonts w:cs="Arial"/>
          <w:lang w:val="de-DE" w:eastAsia="ja-JP"/>
        </w:rPr>
        <w:t>alpha-</w:t>
      </w:r>
      <w:r w:rsidR="00B45E58" w:rsidRPr="0030125D">
        <w:rPr>
          <w:rFonts w:cs="Arial"/>
          <w:lang w:val="de-DE" w:eastAsia="ja-JP"/>
        </w:rPr>
        <w:t>HT“</w:t>
      </w:r>
      <w:r w:rsidR="00140C66" w:rsidRPr="0030125D">
        <w:rPr>
          <w:rFonts w:cs="Arial"/>
          <w:lang w:val="de-DE" w:eastAsia="ja-JP"/>
        </w:rPr>
        <w:t xml:space="preserve"> (in </w:t>
      </w:r>
      <w:r w:rsidRPr="0030125D">
        <w:rPr>
          <w:rFonts w:cs="Arial"/>
          <w:lang w:val="de-DE" w:eastAsia="ja-JP"/>
        </w:rPr>
        <w:t xml:space="preserve">einem Fall, in dem </w:t>
      </w:r>
      <w:r w:rsidR="00B45E58" w:rsidRPr="0030125D">
        <w:rPr>
          <w:rFonts w:cs="Arial"/>
          <w:lang w:val="de-DE" w:eastAsia="ja-JP"/>
        </w:rPr>
        <w:t>„</w:t>
      </w:r>
      <w:r w:rsidR="00140C66" w:rsidRPr="0030125D">
        <w:rPr>
          <w:rFonts w:cs="Arial"/>
          <w:lang w:val="de-DE" w:eastAsia="ja-JP"/>
        </w:rPr>
        <w:t>alpha-</w:t>
      </w:r>
      <w:r w:rsidR="00B45E58" w:rsidRPr="0030125D">
        <w:rPr>
          <w:rFonts w:cs="Arial"/>
          <w:lang w:val="de-DE" w:eastAsia="ja-JP"/>
        </w:rPr>
        <w:t>HT“</w:t>
      </w:r>
      <w:r w:rsidR="00140C66" w:rsidRPr="0030125D">
        <w:rPr>
          <w:rFonts w:cs="Arial"/>
          <w:lang w:val="de-DE" w:eastAsia="ja-JP"/>
        </w:rPr>
        <w:t xml:space="preserve"> </w:t>
      </w:r>
      <w:r w:rsidRPr="0030125D">
        <w:rPr>
          <w:rFonts w:cs="Arial"/>
          <w:lang w:val="de-DE" w:eastAsia="ja-JP"/>
        </w:rPr>
        <w:t>von</w:t>
      </w:r>
      <w:r w:rsidR="00140C66" w:rsidRPr="0030125D">
        <w:rPr>
          <w:rFonts w:cs="Arial"/>
          <w:lang w:val="de-DE" w:eastAsia="ja-JP"/>
        </w:rPr>
        <w:t xml:space="preserve"> </w:t>
      </w:r>
      <w:r w:rsidR="00B45E58" w:rsidRPr="0030125D">
        <w:rPr>
          <w:rFonts w:cs="Arial"/>
          <w:lang w:val="de-DE" w:eastAsia="ja-JP"/>
        </w:rPr>
        <w:t>“a</w:t>
      </w:r>
      <w:r w:rsidR="00140C66" w:rsidRPr="0030125D">
        <w:rPr>
          <w:rFonts w:cs="Arial"/>
          <w:lang w:val="de-DE" w:eastAsia="ja-JP"/>
        </w:rPr>
        <w:t>lpha</w:t>
      </w:r>
      <w:r w:rsidR="00B45E58" w:rsidRPr="0030125D">
        <w:rPr>
          <w:rFonts w:cs="Arial"/>
          <w:lang w:val="de-DE" w:eastAsia="ja-JP"/>
        </w:rPr>
        <w:t>“</w:t>
      </w:r>
      <w:r w:rsidR="00140C66" w:rsidRPr="0030125D">
        <w:rPr>
          <w:rFonts w:cs="Arial"/>
          <w:lang w:val="de-DE" w:eastAsia="ja-JP"/>
        </w:rPr>
        <w:t xml:space="preserve"> in </w:t>
      </w:r>
      <w:r w:rsidR="0053767D" w:rsidRPr="0030125D">
        <w:rPr>
          <w:rFonts w:cs="Arial"/>
          <w:lang w:val="de-DE" w:eastAsia="ja-JP"/>
        </w:rPr>
        <w:t>anderen Merkmalen</w:t>
      </w:r>
      <w:r w:rsidRPr="0030125D">
        <w:rPr>
          <w:rFonts w:cs="Arial"/>
          <w:lang w:val="de-DE" w:eastAsia="ja-JP"/>
        </w:rPr>
        <w:t xml:space="preserve"> als Herbizidtoleranz </w:t>
      </w:r>
      <w:r w:rsidR="00140C66" w:rsidRPr="0030125D">
        <w:rPr>
          <w:rFonts w:cs="Arial"/>
          <w:lang w:val="de-DE" w:eastAsia="ja-JP"/>
        </w:rPr>
        <w:t>(HT)</w:t>
      </w:r>
      <w:r w:rsidR="00F91828" w:rsidRPr="0030125D">
        <w:rPr>
          <w:rFonts w:cs="Arial"/>
          <w:lang w:val="de-DE" w:eastAsia="ja-JP"/>
        </w:rPr>
        <w:t xml:space="preserve"> </w:t>
      </w:r>
      <w:r w:rsidR="00007760" w:rsidRPr="0030125D">
        <w:rPr>
          <w:rFonts w:cs="Arial"/>
          <w:lang w:val="de-DE" w:eastAsia="ja-JP"/>
        </w:rPr>
        <w:t>verschieden und nicht eng mit</w:t>
      </w:r>
      <w:r w:rsidR="00F91828" w:rsidRPr="0030125D">
        <w:rPr>
          <w:color w:val="000000"/>
          <w:lang w:val="de-DE"/>
        </w:rPr>
        <w:t xml:space="preserve"> Alpha</w:t>
      </w:r>
      <w:r w:rsidR="00007760" w:rsidRPr="0030125D">
        <w:rPr>
          <w:color w:val="000000"/>
          <w:lang w:val="de-DE"/>
        </w:rPr>
        <w:t xml:space="preserve"> verwandt ist</w:t>
      </w:r>
      <w:r w:rsidR="00B45E58" w:rsidRPr="0030125D">
        <w:rPr>
          <w:color w:val="000000"/>
          <w:lang w:val="de-DE"/>
        </w:rPr>
        <w:t>)</w:t>
      </w:r>
      <w:r w:rsidR="00007760" w:rsidRPr="0030125D">
        <w:rPr>
          <w:color w:val="000000"/>
          <w:lang w:val="de-DE"/>
        </w:rPr>
        <w:t>, und</w:t>
      </w:r>
    </w:p>
    <w:p w:rsidR="00140C66" w:rsidRPr="0030125D" w:rsidRDefault="00140C66" w:rsidP="00140C66">
      <w:pPr>
        <w:rPr>
          <w:rFonts w:cs="Arial"/>
          <w:lang w:val="de-DE" w:eastAsia="ja-JP"/>
        </w:rPr>
      </w:pPr>
    </w:p>
    <w:p w:rsidR="00140C66" w:rsidRPr="0030125D" w:rsidRDefault="00140C66" w:rsidP="009175FC">
      <w:pPr>
        <w:keepNext/>
        <w:ind w:left="540" w:firstLine="27"/>
        <w:rPr>
          <w:rFonts w:cs="Arial"/>
          <w:lang w:val="de-DE" w:eastAsia="ja-JP"/>
        </w:rPr>
      </w:pPr>
      <w:r w:rsidRPr="0030125D">
        <w:rPr>
          <w:rFonts w:cs="Arial"/>
          <w:lang w:val="de-DE" w:eastAsia="ja-JP"/>
        </w:rPr>
        <w:t>ii</w:t>
      </w:r>
      <w:r w:rsidRPr="0030125D">
        <w:rPr>
          <w:rFonts w:cs="Arial"/>
          <w:lang w:val="de-DE"/>
        </w:rPr>
        <w:t>)</w:t>
      </w:r>
      <w:r w:rsidR="00123458" w:rsidRPr="0030125D">
        <w:rPr>
          <w:rFonts w:cs="Arial"/>
          <w:lang w:val="de-DE"/>
        </w:rPr>
        <w:tab/>
      </w:r>
      <w:r w:rsidR="00007760" w:rsidRPr="0030125D">
        <w:rPr>
          <w:rFonts w:cs="Arial"/>
          <w:lang w:val="de-DE"/>
        </w:rPr>
        <w:t xml:space="preserve">keine </w:t>
      </w:r>
      <w:r w:rsidR="00B45E58" w:rsidRPr="0030125D">
        <w:rPr>
          <w:rFonts w:cs="Arial"/>
          <w:lang w:val="de-DE"/>
        </w:rPr>
        <w:t>Verwandtschaft mit</w:t>
      </w:r>
      <w:r w:rsidR="00007760" w:rsidRPr="0030125D">
        <w:rPr>
          <w:rFonts w:cs="Arial"/>
          <w:lang w:val="de-DE"/>
        </w:rPr>
        <w:t xml:space="preserve"> oder Ableitung von anderen </w:t>
      </w:r>
      <w:r w:rsidR="0053767D" w:rsidRPr="0030125D">
        <w:rPr>
          <w:rFonts w:cs="Arial"/>
          <w:lang w:val="de-DE"/>
        </w:rPr>
        <w:t>Sorten</w:t>
      </w:r>
      <w:r w:rsidR="00007760" w:rsidRPr="0030125D">
        <w:rPr>
          <w:rFonts w:cs="Arial"/>
          <w:lang w:val="de-DE"/>
        </w:rPr>
        <w:t xml:space="preserve"> beinhalten </w:t>
      </w:r>
      <w:r w:rsidR="0053767D" w:rsidRPr="0030125D">
        <w:rPr>
          <w:rFonts w:cs="Arial"/>
          <w:lang w:val="de-DE"/>
        </w:rPr>
        <w:t>würden</w:t>
      </w:r>
      <w:r w:rsidR="00007760" w:rsidRPr="0030125D">
        <w:rPr>
          <w:rFonts w:cs="Arial"/>
          <w:lang w:val="de-DE" w:eastAsia="ja-JP"/>
        </w:rPr>
        <w:t>;</w:t>
      </w:r>
    </w:p>
    <w:p w:rsidR="00140C66" w:rsidRPr="0030125D" w:rsidRDefault="00140C66" w:rsidP="009175FC">
      <w:pPr>
        <w:keepNext/>
        <w:rPr>
          <w:lang w:val="de-DE"/>
        </w:rPr>
      </w:pPr>
    </w:p>
    <w:p w:rsidR="00140C66" w:rsidRPr="0030125D" w:rsidRDefault="00007760" w:rsidP="002113CC">
      <w:pPr>
        <w:spacing w:after="480"/>
        <w:ind w:left="1134" w:firstLine="28"/>
        <w:rPr>
          <w:lang w:val="de-DE" w:eastAsia="ja-JP"/>
        </w:rPr>
      </w:pPr>
      <w:r w:rsidRPr="0030125D">
        <w:rPr>
          <w:rFonts w:cs="Arial"/>
          <w:lang w:val="de-DE" w:eastAsia="ja-JP"/>
        </w:rPr>
        <w:t>Beispiel</w:t>
      </w:r>
      <w:r w:rsidR="00140C66" w:rsidRPr="0030125D">
        <w:rPr>
          <w:rFonts w:cs="Arial"/>
          <w:lang w:val="de-DE" w:eastAsia="ja-JP"/>
        </w:rPr>
        <w:t xml:space="preserve">: </w:t>
      </w:r>
      <w:r w:rsidR="00B45E58" w:rsidRPr="0030125D">
        <w:rPr>
          <w:rFonts w:cs="Arial"/>
          <w:lang w:val="de-DE" w:eastAsia="ja-JP"/>
        </w:rPr>
        <w:t>„</w:t>
      </w:r>
      <w:r w:rsidR="00140C66" w:rsidRPr="0030125D">
        <w:rPr>
          <w:lang w:val="de-DE"/>
        </w:rPr>
        <w:t>Prince Albert</w:t>
      </w:r>
      <w:r w:rsidR="00B45E58" w:rsidRPr="0030125D">
        <w:rPr>
          <w:lang w:val="de-DE"/>
        </w:rPr>
        <w:t>“</w:t>
      </w:r>
      <w:r w:rsidR="00140C66" w:rsidRPr="0030125D">
        <w:rPr>
          <w:lang w:val="de-DE"/>
        </w:rPr>
        <w:t xml:space="preserve"> </w:t>
      </w:r>
      <w:r w:rsidRPr="0030125D">
        <w:rPr>
          <w:lang w:val="de-DE"/>
        </w:rPr>
        <w:t>u</w:t>
      </w:r>
      <w:r w:rsidR="00140C66" w:rsidRPr="0030125D">
        <w:rPr>
          <w:lang w:val="de-DE"/>
        </w:rPr>
        <w:t xml:space="preserve">nd </w:t>
      </w:r>
      <w:r w:rsidR="00B45E58" w:rsidRPr="0030125D">
        <w:rPr>
          <w:lang w:val="de-DE"/>
        </w:rPr>
        <w:t>„</w:t>
      </w:r>
      <w:r w:rsidR="00140C66" w:rsidRPr="0030125D">
        <w:rPr>
          <w:lang w:val="de-DE"/>
        </w:rPr>
        <w:t>Prince Alex</w:t>
      </w:r>
      <w:r w:rsidR="00140C66" w:rsidRPr="0030125D">
        <w:rPr>
          <w:lang w:val="de-DE" w:eastAsia="ja-JP"/>
        </w:rPr>
        <w:t>ander</w:t>
      </w:r>
      <w:r w:rsidR="00B45E58" w:rsidRPr="0030125D">
        <w:rPr>
          <w:lang w:val="de-DE" w:eastAsia="ja-JP"/>
        </w:rPr>
        <w:t>“</w:t>
      </w:r>
      <w:r w:rsidRPr="0030125D">
        <w:rPr>
          <w:lang w:val="de-DE" w:eastAsia="ja-JP"/>
        </w:rPr>
        <w:t xml:space="preserve"> sowie</w:t>
      </w:r>
      <w:r w:rsidR="00140C66" w:rsidRPr="0030125D">
        <w:rPr>
          <w:lang w:val="de-DE" w:eastAsia="ja-JP"/>
        </w:rPr>
        <w:t xml:space="preserve"> </w:t>
      </w:r>
      <w:r w:rsidR="00B45E58" w:rsidRPr="0030125D">
        <w:rPr>
          <w:lang w:val="de-DE" w:eastAsia="ja-JP"/>
        </w:rPr>
        <w:t>„</w:t>
      </w:r>
      <w:r w:rsidR="00140C66" w:rsidRPr="0030125D">
        <w:rPr>
          <w:lang w:val="de-DE" w:eastAsia="ja-JP"/>
        </w:rPr>
        <w:t>Ivory Bells</w:t>
      </w:r>
      <w:r w:rsidR="00B45E58" w:rsidRPr="0030125D">
        <w:rPr>
          <w:lang w:val="de-DE" w:eastAsia="ja-JP"/>
        </w:rPr>
        <w:t>“</w:t>
      </w:r>
      <w:r w:rsidR="00140C66" w:rsidRPr="0030125D">
        <w:rPr>
          <w:lang w:val="de-DE" w:eastAsia="ja-JP"/>
        </w:rPr>
        <w:t xml:space="preserve"> </w:t>
      </w:r>
      <w:r w:rsidRPr="0030125D">
        <w:rPr>
          <w:lang w:val="de-DE" w:eastAsia="ja-JP"/>
        </w:rPr>
        <w:t>u</w:t>
      </w:r>
      <w:r w:rsidR="00140C66" w:rsidRPr="0030125D">
        <w:rPr>
          <w:lang w:val="de-DE" w:eastAsia="ja-JP"/>
        </w:rPr>
        <w:t xml:space="preserve">nd </w:t>
      </w:r>
      <w:r w:rsidR="00B45E58" w:rsidRPr="0030125D">
        <w:rPr>
          <w:lang w:val="de-DE" w:eastAsia="ja-JP"/>
        </w:rPr>
        <w:t>„</w:t>
      </w:r>
      <w:r w:rsidR="00140C66" w:rsidRPr="0030125D">
        <w:rPr>
          <w:lang w:val="de-DE" w:eastAsia="ja-JP"/>
        </w:rPr>
        <w:t>Lilac Bells</w:t>
      </w:r>
      <w:r w:rsidR="00B45E58" w:rsidRPr="0030125D">
        <w:rPr>
          <w:lang w:val="de-DE" w:eastAsia="ja-JP"/>
        </w:rPr>
        <w:t>“</w:t>
      </w:r>
      <w:r w:rsidRPr="0030125D">
        <w:rPr>
          <w:lang w:val="de-DE" w:eastAsia="ja-JP"/>
        </w:rPr>
        <w:t xml:space="preserve">, bei denen die </w:t>
      </w:r>
      <w:r w:rsidR="0053767D" w:rsidRPr="0030125D">
        <w:rPr>
          <w:lang w:val="de-DE" w:eastAsia="ja-JP"/>
        </w:rPr>
        <w:t>Begriffe</w:t>
      </w:r>
      <w:r w:rsidRPr="0030125D">
        <w:rPr>
          <w:lang w:val="de-DE" w:eastAsia="ja-JP"/>
        </w:rPr>
        <w:t xml:space="preserve"> </w:t>
      </w:r>
      <w:r w:rsidR="00B45E58" w:rsidRPr="0030125D">
        <w:rPr>
          <w:lang w:val="de-DE" w:eastAsia="ja-JP"/>
        </w:rPr>
        <w:t>„</w:t>
      </w:r>
      <w:r w:rsidR="00F91828" w:rsidRPr="0030125D">
        <w:rPr>
          <w:lang w:val="de-DE" w:eastAsia="ja-JP"/>
        </w:rPr>
        <w:t>Prince</w:t>
      </w:r>
      <w:r w:rsidR="00B45E58" w:rsidRPr="0030125D">
        <w:rPr>
          <w:lang w:val="de-DE" w:eastAsia="ja-JP"/>
        </w:rPr>
        <w:t>“</w:t>
      </w:r>
      <w:r w:rsidR="00F91828" w:rsidRPr="0030125D">
        <w:rPr>
          <w:lang w:val="de-DE" w:eastAsia="ja-JP"/>
        </w:rPr>
        <w:t xml:space="preserve"> </w:t>
      </w:r>
      <w:r w:rsidRPr="0030125D">
        <w:rPr>
          <w:lang w:val="de-DE" w:eastAsia="ja-JP"/>
        </w:rPr>
        <w:t>u</w:t>
      </w:r>
      <w:r w:rsidR="00F91828" w:rsidRPr="0030125D">
        <w:rPr>
          <w:lang w:val="de-DE" w:eastAsia="ja-JP"/>
        </w:rPr>
        <w:t xml:space="preserve">nd </w:t>
      </w:r>
      <w:r w:rsidR="00B45E58" w:rsidRPr="0030125D">
        <w:rPr>
          <w:lang w:val="de-DE" w:eastAsia="ja-JP"/>
        </w:rPr>
        <w:t>„</w:t>
      </w:r>
      <w:r w:rsidR="00F91828" w:rsidRPr="0030125D">
        <w:rPr>
          <w:lang w:val="de-DE" w:eastAsia="ja-JP"/>
        </w:rPr>
        <w:t>Bells</w:t>
      </w:r>
      <w:r w:rsidR="00B45E58" w:rsidRPr="0030125D">
        <w:rPr>
          <w:lang w:val="de-DE" w:eastAsia="ja-JP"/>
        </w:rPr>
        <w:t>“</w:t>
      </w:r>
      <w:r w:rsidR="00F91828" w:rsidRPr="0030125D">
        <w:rPr>
          <w:lang w:val="de-DE" w:eastAsia="ja-JP"/>
        </w:rPr>
        <w:t xml:space="preserve"> </w:t>
      </w:r>
      <w:r w:rsidRPr="0030125D">
        <w:rPr>
          <w:lang w:val="de-DE" w:eastAsia="ja-JP"/>
        </w:rPr>
        <w:t xml:space="preserve">für nicht </w:t>
      </w:r>
      <w:r w:rsidR="0053767D" w:rsidRPr="0030125D">
        <w:rPr>
          <w:lang w:val="de-DE" w:eastAsia="ja-JP"/>
        </w:rPr>
        <w:t>verwandte</w:t>
      </w:r>
      <w:r w:rsidRPr="0030125D">
        <w:rPr>
          <w:lang w:val="de-DE" w:eastAsia="ja-JP"/>
        </w:rPr>
        <w:t xml:space="preserve"> Sorten und für Sorten, die von verschiedenen Züchtern </w:t>
      </w:r>
      <w:r w:rsidR="0053767D" w:rsidRPr="0030125D">
        <w:rPr>
          <w:lang w:val="de-DE" w:eastAsia="ja-JP"/>
        </w:rPr>
        <w:t>hervorgebracht</w:t>
      </w:r>
      <w:r w:rsidRPr="0030125D">
        <w:rPr>
          <w:lang w:val="de-DE" w:eastAsia="ja-JP"/>
        </w:rPr>
        <w:t xml:space="preserve"> wurden, verwendet </w:t>
      </w:r>
      <w:r w:rsidR="0053767D" w:rsidRPr="0030125D">
        <w:rPr>
          <w:lang w:val="de-DE" w:eastAsia="ja-JP"/>
        </w:rPr>
        <w:t>wurden</w:t>
      </w:r>
      <w:r w:rsidR="00F91828" w:rsidRPr="0030125D">
        <w:rPr>
          <w:lang w:val="de-DE" w:eastAsia="ja-JP"/>
        </w:rPr>
        <w:t>.</w:t>
      </w:r>
      <w:r w:rsidR="00B608C7" w:rsidRPr="0030125D">
        <w:rPr>
          <w:rStyle w:val="FootnoteReference"/>
          <w:lang w:val="de-DE" w:eastAsia="ja-JP"/>
        </w:rPr>
        <w:footnoteReference w:id="21"/>
      </w:r>
    </w:p>
    <w:p w:rsidR="00140C66" w:rsidRPr="0030125D" w:rsidRDefault="00DE47C4" w:rsidP="00280FCF">
      <w:pPr>
        <w:pStyle w:val="Heading2"/>
        <w:rPr>
          <w:lang w:val="de-DE" w:eastAsia="ja-JP"/>
        </w:rPr>
      </w:pPr>
      <w:bookmarkStart w:id="40" w:name="_Toc427161615"/>
      <w:bookmarkStart w:id="41" w:name="_Toc431309803"/>
      <w:bookmarkStart w:id="42" w:name="_Toc432164672"/>
      <w:r w:rsidRPr="0030125D">
        <w:rPr>
          <w:lang w:val="de-DE" w:eastAsia="ja-JP"/>
        </w:rPr>
        <w:t>Abschnitt</w:t>
      </w:r>
      <w:r w:rsidR="00140C66" w:rsidRPr="0030125D">
        <w:rPr>
          <w:lang w:val="de-DE" w:eastAsia="ja-JP"/>
        </w:rPr>
        <w:t xml:space="preserve"> 2.3.1 d)</w:t>
      </w:r>
      <w:bookmarkEnd w:id="40"/>
      <w:bookmarkEnd w:id="41"/>
      <w:bookmarkEnd w:id="42"/>
    </w:p>
    <w:p w:rsidR="00140C66" w:rsidRPr="0030125D" w:rsidRDefault="00140C66" w:rsidP="00140C66">
      <w:pPr>
        <w:rPr>
          <w:lang w:val="de-DE" w:eastAsia="ja-JP"/>
        </w:rPr>
      </w:pPr>
    </w:p>
    <w:p w:rsidR="00140C66" w:rsidRPr="0030125D" w:rsidRDefault="00140C66"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007760" w:rsidRPr="0030125D">
        <w:rPr>
          <w:lang w:val="de-DE"/>
        </w:rPr>
        <w:t>Di</w:t>
      </w:r>
      <w:r w:rsidRPr="0030125D">
        <w:rPr>
          <w:lang w:val="de-DE" w:eastAsia="ja-JP"/>
        </w:rPr>
        <w:t>e WG-DST</w:t>
      </w:r>
      <w:r w:rsidRPr="0030125D">
        <w:rPr>
          <w:rFonts w:cs="Arial"/>
          <w:lang w:val="de-DE"/>
        </w:rPr>
        <w:t xml:space="preserve"> </w:t>
      </w:r>
      <w:r w:rsidR="00007760" w:rsidRPr="0030125D">
        <w:rPr>
          <w:rFonts w:cs="Arial"/>
          <w:lang w:val="de-DE"/>
        </w:rPr>
        <w:t>stimmte dem Zusatz zum neuen Abschnitt</w:t>
      </w:r>
      <w:r w:rsidR="00B45E58" w:rsidRPr="0030125D">
        <w:rPr>
          <w:rFonts w:cs="Arial"/>
          <w:lang w:val="de-DE"/>
        </w:rPr>
        <w:t> </w:t>
      </w:r>
      <w:r w:rsidRPr="0030125D">
        <w:rPr>
          <w:rFonts w:cs="Arial"/>
          <w:lang w:val="de-DE" w:eastAsia="ja-JP"/>
        </w:rPr>
        <w:t xml:space="preserve">2.3.1 d) </w:t>
      </w:r>
      <w:r w:rsidR="00007760" w:rsidRPr="0030125D">
        <w:rPr>
          <w:rFonts w:cs="Arial"/>
          <w:lang w:val="de-DE" w:eastAsia="ja-JP"/>
        </w:rPr>
        <w:t>zu</w:t>
      </w:r>
      <w:r w:rsidRPr="0030125D">
        <w:rPr>
          <w:rFonts w:cs="Arial"/>
          <w:lang w:val="de-DE" w:eastAsia="ja-JP"/>
        </w:rPr>
        <w:t xml:space="preserve"> </w:t>
      </w:r>
      <w:r w:rsidR="00DE47C4" w:rsidRPr="0030125D">
        <w:rPr>
          <w:rFonts w:cs="Arial"/>
          <w:lang w:val="de-DE" w:eastAsia="ja-JP"/>
        </w:rPr>
        <w:t>Dokument</w:t>
      </w:r>
      <w:r w:rsidR="00007760" w:rsidRPr="0030125D">
        <w:rPr>
          <w:rFonts w:cs="Arial"/>
          <w:lang w:val="de-DE" w:eastAsia="ja-JP"/>
        </w:rPr>
        <w:t> </w:t>
      </w:r>
      <w:r w:rsidRPr="0030125D">
        <w:rPr>
          <w:rFonts w:cs="Arial"/>
          <w:lang w:val="de-DE" w:eastAsia="ja-JP"/>
        </w:rPr>
        <w:t>UPOV/INF/12</w:t>
      </w:r>
      <w:r w:rsidR="00007760" w:rsidRPr="0030125D">
        <w:rPr>
          <w:rFonts w:cs="Arial"/>
          <w:lang w:val="de-DE" w:eastAsia="ja-JP"/>
        </w:rPr>
        <w:t xml:space="preserve"> zu.</w:t>
      </w:r>
      <w:r w:rsidR="0038410B" w:rsidRPr="0030125D">
        <w:rPr>
          <w:rStyle w:val="FootnoteReference"/>
          <w:rFonts w:cs="Arial"/>
          <w:lang w:val="de-DE" w:eastAsia="ja-JP"/>
        </w:rPr>
        <w:footnoteReference w:id="22"/>
      </w:r>
    </w:p>
    <w:p w:rsidR="00140C66" w:rsidRPr="0030125D" w:rsidRDefault="00140C66" w:rsidP="00140C66">
      <w:pPr>
        <w:rPr>
          <w:rFonts w:cs="Arial"/>
          <w:lang w:val="de-DE" w:eastAsia="ja-JP"/>
        </w:rPr>
      </w:pPr>
    </w:p>
    <w:p w:rsidR="00140C66" w:rsidRPr="0030125D" w:rsidRDefault="00140C66" w:rsidP="00140C66">
      <w:pPr>
        <w:rPr>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007760" w:rsidRPr="0030125D">
        <w:rPr>
          <w:lang w:val="de-DE"/>
        </w:rPr>
        <w:t>Die</w:t>
      </w:r>
      <w:r w:rsidRPr="0030125D">
        <w:rPr>
          <w:lang w:val="de-DE" w:eastAsia="ja-JP"/>
        </w:rPr>
        <w:t xml:space="preserve"> WG-DST</w:t>
      </w:r>
      <w:r w:rsidRPr="0030125D">
        <w:rPr>
          <w:rFonts w:cs="Arial"/>
          <w:lang w:val="de-DE"/>
        </w:rPr>
        <w:t xml:space="preserve"> </w:t>
      </w:r>
      <w:r w:rsidR="00007760" w:rsidRPr="0030125D">
        <w:rPr>
          <w:rFonts w:cs="Arial"/>
          <w:lang w:val="de-DE"/>
        </w:rPr>
        <w:t xml:space="preserve">vereinbarte, </w:t>
      </w:r>
      <w:r w:rsidR="00B45E58" w:rsidRPr="0030125D">
        <w:rPr>
          <w:rFonts w:cs="Arial"/>
          <w:lang w:val="de-DE" w:eastAsia="ja-JP"/>
        </w:rPr>
        <w:t>in</w:t>
      </w:r>
      <w:r w:rsidR="00B45E58" w:rsidRPr="0030125D">
        <w:rPr>
          <w:rFonts w:cs="Arial"/>
          <w:lang w:val="de-DE"/>
        </w:rPr>
        <w:t xml:space="preserve"> Abschnitt 2.3.1 d) </w:t>
      </w:r>
      <w:r w:rsidR="00007760" w:rsidRPr="0030125D">
        <w:rPr>
          <w:rFonts w:cs="Arial"/>
          <w:lang w:val="de-DE"/>
        </w:rPr>
        <w:t xml:space="preserve">eine </w:t>
      </w:r>
      <w:r w:rsidR="0053767D" w:rsidRPr="0030125D">
        <w:rPr>
          <w:rFonts w:cs="Arial"/>
          <w:lang w:val="de-DE"/>
        </w:rPr>
        <w:t>Erläuterung</w:t>
      </w:r>
      <w:r w:rsidRPr="0030125D">
        <w:rPr>
          <w:rFonts w:cs="Arial"/>
          <w:lang w:val="de-DE"/>
        </w:rPr>
        <w:t xml:space="preserve"> </w:t>
      </w:r>
      <w:r w:rsidR="0053767D" w:rsidRPr="0030125D">
        <w:rPr>
          <w:rFonts w:cs="Arial"/>
          <w:lang w:val="de-DE"/>
        </w:rPr>
        <w:t>hinzuzufügen</w:t>
      </w:r>
      <w:r w:rsidR="00007760" w:rsidRPr="0030125D">
        <w:rPr>
          <w:rFonts w:cs="Arial"/>
          <w:lang w:val="de-DE"/>
        </w:rPr>
        <w:t xml:space="preserve">, </w:t>
      </w:r>
      <w:r w:rsidR="0053767D" w:rsidRPr="0030125D">
        <w:rPr>
          <w:rFonts w:cs="Arial"/>
          <w:lang w:val="de-DE"/>
        </w:rPr>
        <w:t>daß</w:t>
      </w:r>
      <w:r w:rsidRPr="0030125D">
        <w:rPr>
          <w:rFonts w:cs="Arial"/>
          <w:lang w:val="de-DE"/>
        </w:rPr>
        <w:t xml:space="preserve"> </w:t>
      </w:r>
      <w:r w:rsidRPr="0030125D">
        <w:rPr>
          <w:i/>
          <w:lang w:val="de-DE"/>
        </w:rPr>
        <w:t>Carex</w:t>
      </w:r>
      <w:r w:rsidRPr="0030125D">
        <w:rPr>
          <w:lang w:val="de-DE"/>
        </w:rPr>
        <w:t xml:space="preserve"> </w:t>
      </w:r>
      <w:r w:rsidR="00007760" w:rsidRPr="0030125D">
        <w:rPr>
          <w:lang w:val="de-DE"/>
        </w:rPr>
        <w:t>der</w:t>
      </w:r>
      <w:r w:rsidRPr="0030125D">
        <w:rPr>
          <w:lang w:val="de-DE" w:eastAsia="ja-JP"/>
        </w:rPr>
        <w:t xml:space="preserve"> botani</w:t>
      </w:r>
      <w:r w:rsidR="00007760" w:rsidRPr="0030125D">
        <w:rPr>
          <w:lang w:val="de-DE" w:eastAsia="ja-JP"/>
        </w:rPr>
        <w:t xml:space="preserve">sche Name der Gattung ist, für die der landesübliche Name </w:t>
      </w:r>
      <w:r w:rsidR="00583B02" w:rsidRPr="0030125D">
        <w:rPr>
          <w:lang w:val="de-DE" w:eastAsia="ja-JP"/>
        </w:rPr>
        <w:t>Segge</w:t>
      </w:r>
      <w:r w:rsidR="00007760" w:rsidRPr="0030125D">
        <w:rPr>
          <w:lang w:val="de-DE" w:eastAsia="ja-JP"/>
        </w:rPr>
        <w:t xml:space="preserve"> lautet</w:t>
      </w:r>
      <w:r w:rsidR="00524589" w:rsidRPr="0030125D">
        <w:rPr>
          <w:lang w:val="de-DE" w:eastAsia="ja-JP"/>
        </w:rPr>
        <w:t>.</w:t>
      </w:r>
      <w:r w:rsidR="0038410B" w:rsidRPr="0030125D">
        <w:rPr>
          <w:rStyle w:val="FootnoteReference"/>
          <w:lang w:val="de-DE" w:eastAsia="ja-JP"/>
        </w:rPr>
        <w:footnoteReference w:id="23"/>
      </w:r>
    </w:p>
    <w:p w:rsidR="00140C66" w:rsidRPr="0030125D" w:rsidRDefault="00140C66" w:rsidP="00140C66">
      <w:pPr>
        <w:rPr>
          <w:rFonts w:cs="Arial"/>
          <w:lang w:val="de-DE" w:eastAsia="ja-JP"/>
        </w:rPr>
      </w:pPr>
    </w:p>
    <w:p w:rsidR="00140C66" w:rsidRPr="0030125D" w:rsidRDefault="00140C66"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007760" w:rsidRPr="0030125D">
        <w:rPr>
          <w:lang w:val="de-DE"/>
        </w:rPr>
        <w:t>Di</w:t>
      </w:r>
      <w:r w:rsidRPr="0030125D">
        <w:rPr>
          <w:lang w:val="de-DE" w:eastAsia="ja-JP"/>
        </w:rPr>
        <w:t xml:space="preserve">e WG-DST </w:t>
      </w:r>
      <w:r w:rsidR="00007760" w:rsidRPr="0030125D">
        <w:rPr>
          <w:lang w:val="de-DE" w:eastAsia="ja-JP"/>
        </w:rPr>
        <w:t xml:space="preserve">vereinbarte, </w:t>
      </w:r>
      <w:r w:rsidR="0053767D" w:rsidRPr="0030125D">
        <w:rPr>
          <w:lang w:val="de-DE" w:eastAsia="ja-JP"/>
        </w:rPr>
        <w:t>daß</w:t>
      </w:r>
      <w:r w:rsidR="00007760" w:rsidRPr="0030125D">
        <w:rPr>
          <w:lang w:val="de-DE" w:eastAsia="ja-JP"/>
        </w:rPr>
        <w:t xml:space="preserve"> die </w:t>
      </w:r>
      <w:r w:rsidR="0053767D" w:rsidRPr="0030125D">
        <w:rPr>
          <w:lang w:val="de-DE" w:eastAsia="ja-JP"/>
        </w:rPr>
        <w:t>Verwendung</w:t>
      </w:r>
      <w:r w:rsidR="00007760" w:rsidRPr="0030125D">
        <w:rPr>
          <w:lang w:val="de-DE" w:eastAsia="ja-JP"/>
        </w:rPr>
        <w:t xml:space="preserve"> des botanischen oder landesüblichen Namens einer </w:t>
      </w:r>
      <w:r w:rsidR="0053767D" w:rsidRPr="0030125D">
        <w:rPr>
          <w:lang w:val="de-DE" w:eastAsia="ja-JP"/>
        </w:rPr>
        <w:t>Gattung</w:t>
      </w:r>
      <w:r w:rsidR="00007760" w:rsidRPr="0030125D">
        <w:rPr>
          <w:lang w:val="de-DE" w:eastAsia="ja-JP"/>
        </w:rPr>
        <w:t xml:space="preserve">, der eine Sorte </w:t>
      </w:r>
      <w:r w:rsidR="00007760" w:rsidRPr="0030125D">
        <w:rPr>
          <w:u w:val="single"/>
          <w:lang w:val="de-DE" w:eastAsia="ja-JP"/>
        </w:rPr>
        <w:t>nicht</w:t>
      </w:r>
      <w:r w:rsidR="00007760" w:rsidRPr="0030125D">
        <w:rPr>
          <w:lang w:val="de-DE" w:eastAsia="ja-JP"/>
        </w:rPr>
        <w:t xml:space="preserve"> angehört, </w:t>
      </w:r>
      <w:r w:rsidR="0053767D" w:rsidRPr="0030125D">
        <w:rPr>
          <w:lang w:val="de-DE" w:eastAsia="ja-JP"/>
        </w:rPr>
        <w:t>vermieden</w:t>
      </w:r>
      <w:r w:rsidR="00007760" w:rsidRPr="0030125D">
        <w:rPr>
          <w:lang w:val="de-DE" w:eastAsia="ja-JP"/>
        </w:rPr>
        <w:t xml:space="preserve"> werden sollte, es sei </w:t>
      </w:r>
      <w:r w:rsidR="0053767D" w:rsidRPr="0030125D">
        <w:rPr>
          <w:lang w:val="de-DE" w:eastAsia="ja-JP"/>
        </w:rPr>
        <w:t>denn</w:t>
      </w:r>
      <w:r w:rsidR="00007760" w:rsidRPr="0030125D">
        <w:rPr>
          <w:lang w:val="de-DE" w:eastAsia="ja-JP"/>
        </w:rPr>
        <w:t xml:space="preserve">, der </w:t>
      </w:r>
      <w:r w:rsidR="0053767D" w:rsidRPr="0030125D">
        <w:rPr>
          <w:lang w:val="de-DE" w:eastAsia="ja-JP"/>
        </w:rPr>
        <w:t>botanische</w:t>
      </w:r>
      <w:r w:rsidR="00007760" w:rsidRPr="0030125D">
        <w:rPr>
          <w:lang w:val="de-DE" w:eastAsia="ja-JP"/>
        </w:rPr>
        <w:t xml:space="preserve"> oder landesübliche Name hätte eine </w:t>
      </w:r>
      <w:r w:rsidR="00527901" w:rsidRPr="0030125D">
        <w:rPr>
          <w:lang w:val="de-DE" w:eastAsia="ja-JP"/>
        </w:rPr>
        <w:t>umfassender</w:t>
      </w:r>
      <w:r w:rsidR="00007760" w:rsidRPr="0030125D">
        <w:rPr>
          <w:lang w:val="de-DE" w:eastAsia="ja-JP"/>
        </w:rPr>
        <w:t>e Bedeutung, z. B. „Rose“, „</w:t>
      </w:r>
      <w:r w:rsidR="00527901" w:rsidRPr="0030125D">
        <w:rPr>
          <w:lang w:val="de-DE" w:eastAsia="ja-JP"/>
        </w:rPr>
        <w:t>K</w:t>
      </w:r>
      <w:r w:rsidR="00007760" w:rsidRPr="0030125D">
        <w:rPr>
          <w:lang w:val="de-DE" w:eastAsia="ja-JP"/>
        </w:rPr>
        <w:t>osm</w:t>
      </w:r>
      <w:r w:rsidR="00527901" w:rsidRPr="0030125D">
        <w:rPr>
          <w:lang w:val="de-DE" w:eastAsia="ja-JP"/>
        </w:rPr>
        <w:t>ee</w:t>
      </w:r>
      <w:r w:rsidR="00007760" w:rsidRPr="0030125D">
        <w:rPr>
          <w:lang w:val="de-DE" w:eastAsia="ja-JP"/>
        </w:rPr>
        <w:t>“, „</w:t>
      </w:r>
      <w:r w:rsidR="00527901" w:rsidRPr="0030125D">
        <w:rPr>
          <w:lang w:val="de-DE" w:eastAsia="ja-JP"/>
        </w:rPr>
        <w:t>Flieder</w:t>
      </w:r>
      <w:r w:rsidR="00007760" w:rsidRPr="0030125D">
        <w:rPr>
          <w:lang w:val="de-DE" w:eastAsia="ja-JP"/>
        </w:rPr>
        <w:t xml:space="preserve">“, </w:t>
      </w:r>
      <w:r w:rsidRPr="0030125D">
        <w:rPr>
          <w:rFonts w:cs="Arial"/>
          <w:lang w:val="de-DE" w:eastAsia="ja-JP"/>
        </w:rPr>
        <w:t>“</w:t>
      </w:r>
      <w:r w:rsidR="00527901" w:rsidRPr="0030125D">
        <w:rPr>
          <w:rFonts w:cs="Arial"/>
          <w:lang w:val="de-DE" w:eastAsia="ja-JP"/>
        </w:rPr>
        <w:t>Ehrenpreis</w:t>
      </w:r>
      <w:r w:rsidRPr="0030125D">
        <w:rPr>
          <w:rFonts w:cs="Arial"/>
          <w:lang w:val="de-DE" w:eastAsia="ja-JP"/>
        </w:rPr>
        <w:t xml:space="preserve">” </w:t>
      </w:r>
      <w:r w:rsidR="00007760" w:rsidRPr="0030125D">
        <w:rPr>
          <w:rFonts w:cs="Arial"/>
          <w:lang w:val="de-DE" w:eastAsia="ja-JP"/>
        </w:rPr>
        <w:t>u</w:t>
      </w:r>
      <w:r w:rsidRPr="0030125D">
        <w:rPr>
          <w:rFonts w:cs="Arial"/>
          <w:lang w:val="de-DE" w:eastAsia="ja-JP"/>
        </w:rPr>
        <w:t xml:space="preserve">nd </w:t>
      </w:r>
      <w:r w:rsidR="00527901" w:rsidRPr="0030125D">
        <w:rPr>
          <w:rFonts w:cs="Arial"/>
          <w:lang w:val="de-DE" w:eastAsia="ja-JP"/>
        </w:rPr>
        <w:t>„</w:t>
      </w:r>
      <w:r w:rsidRPr="0030125D">
        <w:rPr>
          <w:rFonts w:cs="Arial"/>
          <w:lang w:val="de-DE"/>
        </w:rPr>
        <w:t>Bianca</w:t>
      </w:r>
      <w:r w:rsidR="00527901" w:rsidRPr="0030125D">
        <w:rPr>
          <w:rFonts w:cs="Arial"/>
          <w:lang w:val="de-DE"/>
        </w:rPr>
        <w:t>“</w:t>
      </w:r>
      <w:r w:rsidR="00524589" w:rsidRPr="0030125D">
        <w:rPr>
          <w:rFonts w:cs="Arial"/>
          <w:lang w:val="de-DE"/>
        </w:rPr>
        <w:t>.</w:t>
      </w:r>
      <w:r w:rsidR="00B608C7" w:rsidRPr="0030125D">
        <w:rPr>
          <w:rStyle w:val="FootnoteReference"/>
          <w:rFonts w:cs="Arial"/>
          <w:lang w:val="de-DE"/>
        </w:rPr>
        <w:footnoteReference w:id="24"/>
      </w:r>
    </w:p>
    <w:p w:rsidR="00140C66" w:rsidRPr="0030125D" w:rsidRDefault="00140C66" w:rsidP="00140C66">
      <w:pPr>
        <w:rPr>
          <w:lang w:val="de-DE" w:eastAsia="ja-JP"/>
        </w:rPr>
      </w:pPr>
    </w:p>
    <w:p w:rsidR="008B5ED9" w:rsidRPr="0030125D" w:rsidRDefault="008B5ED9" w:rsidP="00140C66">
      <w:pPr>
        <w:rPr>
          <w:lang w:val="de-DE" w:eastAsia="ja-JP"/>
        </w:rPr>
      </w:pPr>
    </w:p>
    <w:p w:rsidR="00140C66" w:rsidRPr="0030125D" w:rsidRDefault="00DE47C4" w:rsidP="00280FCF">
      <w:pPr>
        <w:pStyle w:val="Heading2"/>
        <w:rPr>
          <w:rFonts w:cs="Arial"/>
          <w:lang w:val="de-DE" w:eastAsia="ja-JP"/>
        </w:rPr>
      </w:pPr>
      <w:bookmarkStart w:id="43" w:name="_Toc427161616"/>
      <w:bookmarkStart w:id="44" w:name="_Toc431309804"/>
      <w:bookmarkStart w:id="45" w:name="_Toc432164673"/>
      <w:r w:rsidRPr="0030125D">
        <w:rPr>
          <w:lang w:val="de-DE" w:eastAsia="ja-JP"/>
        </w:rPr>
        <w:t>Abschnitt</w:t>
      </w:r>
      <w:r w:rsidR="00140C66" w:rsidRPr="0030125D">
        <w:rPr>
          <w:lang w:val="de-DE" w:eastAsia="ja-JP"/>
        </w:rPr>
        <w:t xml:space="preserve"> 2.3.3 a)</w:t>
      </w:r>
      <w:bookmarkEnd w:id="43"/>
      <w:bookmarkEnd w:id="44"/>
      <w:bookmarkEnd w:id="45"/>
    </w:p>
    <w:p w:rsidR="00140C66" w:rsidRPr="0030125D" w:rsidRDefault="00140C66" w:rsidP="00E95D7F">
      <w:pPr>
        <w:keepNext/>
        <w:rPr>
          <w:rFonts w:cs="Arial"/>
          <w:i/>
          <w:lang w:val="de-DE"/>
        </w:rPr>
      </w:pPr>
    </w:p>
    <w:p w:rsidR="00140C66" w:rsidRPr="0030125D" w:rsidRDefault="00140C66"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007760" w:rsidRPr="0030125D">
        <w:rPr>
          <w:lang w:val="de-DE"/>
        </w:rPr>
        <w:t>Di</w:t>
      </w:r>
      <w:r w:rsidRPr="0030125D">
        <w:rPr>
          <w:lang w:val="de-DE" w:eastAsia="ja-JP"/>
        </w:rPr>
        <w:t>e WG-DST</w:t>
      </w:r>
      <w:r w:rsidRPr="0030125D">
        <w:rPr>
          <w:rFonts w:cs="Arial"/>
          <w:lang w:val="de-DE"/>
        </w:rPr>
        <w:t xml:space="preserve"> </w:t>
      </w:r>
      <w:r w:rsidR="00007760" w:rsidRPr="0030125D">
        <w:rPr>
          <w:rFonts w:cs="Arial"/>
          <w:lang w:val="de-DE"/>
        </w:rPr>
        <w:t xml:space="preserve">vereinbarte, </w:t>
      </w:r>
      <w:r w:rsidR="0053767D" w:rsidRPr="0030125D">
        <w:rPr>
          <w:rFonts w:cs="Arial"/>
          <w:lang w:val="de-DE"/>
        </w:rPr>
        <w:t>daß</w:t>
      </w:r>
      <w:r w:rsidR="00007760" w:rsidRPr="0030125D">
        <w:rPr>
          <w:rFonts w:cs="Arial"/>
          <w:lang w:val="de-DE"/>
        </w:rPr>
        <w:t xml:space="preserve"> es </w:t>
      </w:r>
      <w:r w:rsidR="0053767D" w:rsidRPr="0030125D">
        <w:rPr>
          <w:rFonts w:cs="Arial"/>
          <w:lang w:val="de-DE"/>
        </w:rPr>
        <w:t>notwendig</w:t>
      </w:r>
      <w:r w:rsidR="00007760" w:rsidRPr="0030125D">
        <w:rPr>
          <w:rFonts w:cs="Arial"/>
          <w:lang w:val="de-DE"/>
        </w:rPr>
        <w:t xml:space="preserve"> sei, zwischen Buchstaben in Form von Wörtern und anderen Fällen zu </w:t>
      </w:r>
      <w:r w:rsidR="0053767D" w:rsidRPr="0030125D">
        <w:rPr>
          <w:rFonts w:cs="Arial"/>
          <w:lang w:val="de-DE"/>
        </w:rPr>
        <w:t>unterscheiden</w:t>
      </w:r>
      <w:r w:rsidR="00007760" w:rsidRPr="0030125D">
        <w:rPr>
          <w:rFonts w:cs="Arial"/>
          <w:lang w:val="de-DE"/>
        </w:rPr>
        <w:t xml:space="preserve">, und </w:t>
      </w:r>
      <w:r w:rsidR="0053767D" w:rsidRPr="0030125D">
        <w:rPr>
          <w:rFonts w:cs="Arial"/>
          <w:lang w:val="de-DE"/>
        </w:rPr>
        <w:t>einigte</w:t>
      </w:r>
      <w:r w:rsidR="00007760" w:rsidRPr="0030125D">
        <w:rPr>
          <w:rFonts w:cs="Arial"/>
          <w:lang w:val="de-DE"/>
        </w:rPr>
        <w:t xml:space="preserve"> sich auf folgendes:</w:t>
      </w:r>
    </w:p>
    <w:p w:rsidR="00506F0C" w:rsidRPr="0030125D" w:rsidRDefault="00506F0C" w:rsidP="00140C66">
      <w:pPr>
        <w:rPr>
          <w:rFonts w:cs="Arial"/>
          <w:lang w:val="de-DE" w:eastAsia="ja-JP"/>
        </w:rPr>
      </w:pPr>
    </w:p>
    <w:p w:rsidR="00140C66" w:rsidRPr="0030125D" w:rsidRDefault="00140C66" w:rsidP="00140C66">
      <w:pPr>
        <w:rPr>
          <w:rFonts w:cs="Arial"/>
          <w:lang w:val="de-DE" w:eastAsia="ja-JP"/>
        </w:rPr>
      </w:pPr>
      <w:r w:rsidRPr="0030125D">
        <w:rPr>
          <w:rFonts w:cs="Arial"/>
          <w:lang w:val="de-DE"/>
        </w:rPr>
        <w:tab/>
      </w:r>
      <w:r w:rsidR="0053767D" w:rsidRPr="0030125D">
        <w:rPr>
          <w:rFonts w:cs="Arial"/>
          <w:lang w:val="de-DE"/>
        </w:rPr>
        <w:t>i)</w:t>
      </w:r>
      <w:r w:rsidR="0053767D" w:rsidRPr="0030125D">
        <w:rPr>
          <w:rFonts w:cs="Arial"/>
          <w:lang w:val="de-DE"/>
        </w:rPr>
        <w:tab/>
        <w:t>im Falle von Bezeichnungen, die aus Buchstaben nicht in Form von Wörtern bestehen, sollte ein Unterschied eines einzigen Buchstabens als deutlicher Unterschied angesehen werden, wobei Beispiele anzugeben sind;</w:t>
      </w:r>
    </w:p>
    <w:p w:rsidR="00140C66" w:rsidRPr="0030125D" w:rsidRDefault="00140C66" w:rsidP="00140C66">
      <w:pPr>
        <w:rPr>
          <w:rFonts w:cs="Arial"/>
          <w:lang w:val="de-DE"/>
        </w:rPr>
      </w:pPr>
    </w:p>
    <w:p w:rsidR="00140C66" w:rsidRPr="0030125D" w:rsidRDefault="00140C66" w:rsidP="00140C66">
      <w:pPr>
        <w:rPr>
          <w:rFonts w:cs="Arial"/>
          <w:lang w:val="de-DE" w:eastAsia="ja-JP"/>
        </w:rPr>
      </w:pPr>
      <w:r w:rsidRPr="0030125D">
        <w:rPr>
          <w:rFonts w:cs="Arial"/>
          <w:lang w:val="de-DE"/>
        </w:rPr>
        <w:tab/>
      </w:r>
      <w:r w:rsidR="004D07FA" w:rsidRPr="0030125D">
        <w:rPr>
          <w:rFonts w:cs="Arial"/>
          <w:lang w:val="de-DE"/>
        </w:rPr>
        <w:t>ii)</w:t>
      </w:r>
      <w:r w:rsidR="00123458" w:rsidRPr="0030125D">
        <w:rPr>
          <w:rFonts w:cs="Arial"/>
          <w:lang w:val="de-DE"/>
        </w:rPr>
        <w:tab/>
      </w:r>
      <w:r w:rsidRPr="0030125D">
        <w:rPr>
          <w:rFonts w:cs="Arial"/>
          <w:lang w:val="de-DE"/>
        </w:rPr>
        <w:t>i</w:t>
      </w:r>
      <w:r w:rsidR="004D07FA" w:rsidRPr="0030125D">
        <w:rPr>
          <w:rFonts w:cs="Arial"/>
          <w:lang w:val="de-DE"/>
        </w:rPr>
        <w:t xml:space="preserve">m Falle von </w:t>
      </w:r>
      <w:r w:rsidR="0053767D" w:rsidRPr="0030125D">
        <w:rPr>
          <w:rFonts w:cs="Arial"/>
          <w:lang w:val="de-DE"/>
        </w:rPr>
        <w:t>Bezeichnungen</w:t>
      </w:r>
      <w:r w:rsidR="004D07FA" w:rsidRPr="0030125D">
        <w:rPr>
          <w:rFonts w:cs="Arial"/>
          <w:lang w:val="de-DE"/>
        </w:rPr>
        <w:t xml:space="preserve">, die aus Zahlen bestehen, </w:t>
      </w:r>
      <w:r w:rsidR="0053767D" w:rsidRPr="0030125D">
        <w:rPr>
          <w:rFonts w:cs="Arial"/>
          <w:lang w:val="de-DE"/>
        </w:rPr>
        <w:t>sollte</w:t>
      </w:r>
      <w:r w:rsidR="004D07FA" w:rsidRPr="0030125D">
        <w:rPr>
          <w:rFonts w:cs="Arial"/>
          <w:lang w:val="de-DE"/>
        </w:rPr>
        <w:t xml:space="preserve"> ein Unterschied einer einzigen Zahl als deutlicher </w:t>
      </w:r>
      <w:r w:rsidR="0053767D" w:rsidRPr="0030125D">
        <w:rPr>
          <w:rFonts w:cs="Arial"/>
          <w:lang w:val="de-DE"/>
        </w:rPr>
        <w:t>Unterschied</w:t>
      </w:r>
      <w:r w:rsidR="004D07FA" w:rsidRPr="0030125D">
        <w:rPr>
          <w:rFonts w:cs="Arial"/>
          <w:lang w:val="de-DE"/>
        </w:rPr>
        <w:t xml:space="preserve"> angesehen </w:t>
      </w:r>
      <w:r w:rsidR="0053767D" w:rsidRPr="0030125D">
        <w:rPr>
          <w:rFonts w:cs="Arial"/>
          <w:lang w:val="de-DE"/>
        </w:rPr>
        <w:t>werden</w:t>
      </w:r>
      <w:r w:rsidR="004D07FA" w:rsidRPr="0030125D">
        <w:rPr>
          <w:rFonts w:cs="Arial"/>
          <w:lang w:val="de-DE"/>
        </w:rPr>
        <w:t>, wobei Beispiele anzugeben sind, und</w:t>
      </w:r>
    </w:p>
    <w:p w:rsidR="00140C66" w:rsidRPr="0030125D" w:rsidRDefault="00140C66" w:rsidP="00140C66">
      <w:pPr>
        <w:rPr>
          <w:rFonts w:cs="Arial"/>
          <w:lang w:val="de-DE"/>
        </w:rPr>
      </w:pPr>
    </w:p>
    <w:p w:rsidR="00140C66" w:rsidRPr="0030125D" w:rsidRDefault="00140C66" w:rsidP="00140C66">
      <w:pPr>
        <w:rPr>
          <w:rFonts w:cs="Arial"/>
          <w:lang w:val="de-DE" w:eastAsia="ja-JP"/>
        </w:rPr>
      </w:pPr>
      <w:r w:rsidRPr="0030125D">
        <w:rPr>
          <w:rFonts w:cs="Arial"/>
          <w:lang w:val="de-DE"/>
        </w:rPr>
        <w:tab/>
      </w:r>
      <w:r w:rsidR="004D07FA" w:rsidRPr="0030125D">
        <w:rPr>
          <w:rFonts w:cs="Arial"/>
          <w:lang w:val="de-DE"/>
        </w:rPr>
        <w:t>iii)</w:t>
      </w:r>
      <w:r w:rsidR="00123458" w:rsidRPr="0030125D">
        <w:rPr>
          <w:rFonts w:cs="Arial"/>
          <w:lang w:val="de-DE"/>
        </w:rPr>
        <w:tab/>
      </w:r>
      <w:r w:rsidRPr="0030125D">
        <w:rPr>
          <w:rFonts w:cs="Arial"/>
          <w:lang w:val="de-DE"/>
        </w:rPr>
        <w:t>i</w:t>
      </w:r>
      <w:r w:rsidR="004D07FA" w:rsidRPr="0030125D">
        <w:rPr>
          <w:rFonts w:cs="Arial"/>
          <w:lang w:val="de-DE"/>
        </w:rPr>
        <w:t>m Falle von Bezeichnungen, die aus Zahlen und Buchstaben nicht in Form von Wörtern bestehen</w:t>
      </w:r>
      <w:r w:rsidRPr="0030125D">
        <w:rPr>
          <w:rFonts w:cs="Arial"/>
          <w:lang w:val="de-DE"/>
        </w:rPr>
        <w:t xml:space="preserve">, </w:t>
      </w:r>
      <w:r w:rsidR="0053767D" w:rsidRPr="0030125D">
        <w:rPr>
          <w:rFonts w:cs="Arial"/>
          <w:lang w:val="de-DE"/>
        </w:rPr>
        <w:t>sollte</w:t>
      </w:r>
      <w:r w:rsidR="004D07FA" w:rsidRPr="0030125D">
        <w:rPr>
          <w:rFonts w:cs="Arial"/>
          <w:lang w:val="de-DE"/>
        </w:rPr>
        <w:t xml:space="preserve"> ein Unterschied eines Buchstabens oder einer Zahl als deutlicher </w:t>
      </w:r>
      <w:r w:rsidR="0053767D" w:rsidRPr="0030125D">
        <w:rPr>
          <w:rFonts w:cs="Arial"/>
          <w:lang w:val="de-DE"/>
        </w:rPr>
        <w:t>Unterschied</w:t>
      </w:r>
      <w:r w:rsidR="004D07FA" w:rsidRPr="0030125D">
        <w:rPr>
          <w:rFonts w:cs="Arial"/>
          <w:lang w:val="de-DE"/>
        </w:rPr>
        <w:t xml:space="preserve"> angesehen </w:t>
      </w:r>
      <w:r w:rsidR="0053767D" w:rsidRPr="0030125D">
        <w:rPr>
          <w:rFonts w:cs="Arial"/>
          <w:lang w:val="de-DE"/>
        </w:rPr>
        <w:t>werden</w:t>
      </w:r>
      <w:r w:rsidR="004D07FA" w:rsidRPr="0030125D">
        <w:rPr>
          <w:rFonts w:cs="Arial"/>
          <w:lang w:val="de-DE"/>
        </w:rPr>
        <w:t>, wobei Beispiele anzugeben sind</w:t>
      </w:r>
      <w:r w:rsidR="000825CE" w:rsidRPr="0030125D">
        <w:rPr>
          <w:rStyle w:val="FootnoteReference"/>
          <w:rFonts w:cs="Arial"/>
          <w:lang w:val="de-DE"/>
        </w:rPr>
        <w:footnoteReference w:id="25"/>
      </w:r>
      <w:r w:rsidR="00FB19DE" w:rsidRPr="0030125D">
        <w:rPr>
          <w:rFonts w:cs="Arial"/>
          <w:lang w:val="de-DE" w:eastAsia="ja-JP"/>
        </w:rPr>
        <w:t>.</w:t>
      </w:r>
    </w:p>
    <w:p w:rsidR="00FB19DE" w:rsidRPr="0030125D" w:rsidRDefault="00FB19DE" w:rsidP="00140C66">
      <w:pPr>
        <w:rPr>
          <w:rFonts w:cs="Arial"/>
          <w:lang w:val="de-DE" w:eastAsia="ja-JP"/>
        </w:rPr>
      </w:pPr>
    </w:p>
    <w:p w:rsidR="00140C66" w:rsidRPr="0030125D" w:rsidRDefault="00140C66"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4D07FA" w:rsidRPr="0030125D">
        <w:rPr>
          <w:lang w:val="de-DE"/>
        </w:rPr>
        <w:t>Di</w:t>
      </w:r>
      <w:r w:rsidRPr="0030125D">
        <w:rPr>
          <w:lang w:val="de-DE" w:eastAsia="ja-JP"/>
        </w:rPr>
        <w:t>e WG-DST</w:t>
      </w:r>
      <w:r w:rsidRPr="0030125D">
        <w:rPr>
          <w:rFonts w:cs="Arial"/>
          <w:lang w:val="de-DE"/>
        </w:rPr>
        <w:t xml:space="preserve"> </w:t>
      </w:r>
      <w:r w:rsidR="004D07FA" w:rsidRPr="0030125D">
        <w:rPr>
          <w:rFonts w:cs="Arial"/>
          <w:lang w:val="de-DE"/>
        </w:rPr>
        <w:t xml:space="preserve">vereinbarte, </w:t>
      </w:r>
      <w:r w:rsidR="00DE47C4" w:rsidRPr="0030125D">
        <w:rPr>
          <w:rFonts w:cs="Arial"/>
          <w:lang w:val="de-DE" w:eastAsia="ja-JP"/>
        </w:rPr>
        <w:t>Abschnitt</w:t>
      </w:r>
      <w:r w:rsidR="00527901" w:rsidRPr="0030125D">
        <w:rPr>
          <w:rFonts w:cs="Arial"/>
          <w:lang w:val="de-DE" w:eastAsia="ja-JP"/>
        </w:rPr>
        <w:t> </w:t>
      </w:r>
      <w:r w:rsidRPr="0030125D">
        <w:rPr>
          <w:rFonts w:cs="Arial"/>
          <w:lang w:val="de-DE" w:eastAsia="ja-JP"/>
        </w:rPr>
        <w:t>2.3.3</w:t>
      </w:r>
      <w:r w:rsidR="00527901" w:rsidRPr="0030125D">
        <w:rPr>
          <w:rFonts w:cs="Arial"/>
          <w:lang w:val="de-DE" w:eastAsia="ja-JP"/>
        </w:rPr>
        <w:t> </w:t>
      </w:r>
      <w:r w:rsidRPr="0030125D">
        <w:rPr>
          <w:rFonts w:cs="Arial"/>
          <w:lang w:val="de-DE" w:eastAsia="ja-JP"/>
        </w:rPr>
        <w:t xml:space="preserve">a) </w:t>
      </w:r>
      <w:r w:rsidR="004D07FA" w:rsidRPr="0030125D">
        <w:rPr>
          <w:rFonts w:cs="Arial"/>
          <w:lang w:val="de-DE" w:eastAsia="ja-JP"/>
        </w:rPr>
        <w:t xml:space="preserve">auf ihrer </w:t>
      </w:r>
      <w:r w:rsidR="0053767D" w:rsidRPr="0030125D">
        <w:rPr>
          <w:rFonts w:cs="Arial"/>
          <w:lang w:val="de-DE" w:eastAsia="ja-JP"/>
        </w:rPr>
        <w:t>vierten</w:t>
      </w:r>
      <w:r w:rsidR="004D07FA" w:rsidRPr="0030125D">
        <w:rPr>
          <w:rFonts w:cs="Arial"/>
          <w:lang w:val="de-DE" w:eastAsia="ja-JP"/>
        </w:rPr>
        <w:t xml:space="preserve"> Sitzung auf der Grundlage der </w:t>
      </w:r>
      <w:r w:rsidR="0053767D" w:rsidRPr="0030125D">
        <w:rPr>
          <w:rFonts w:cs="Arial"/>
          <w:lang w:val="de-DE" w:eastAsia="ja-JP"/>
        </w:rPr>
        <w:t>Schlußfolgerungen</w:t>
      </w:r>
      <w:r w:rsidR="004D07FA" w:rsidRPr="0030125D">
        <w:rPr>
          <w:rFonts w:cs="Arial"/>
          <w:lang w:val="de-DE" w:eastAsia="ja-JP"/>
        </w:rPr>
        <w:t xml:space="preserve"> des CAJ auf seiner zweiundsiebzigsten Tagung</w:t>
      </w:r>
      <w:r w:rsidR="004D07FA" w:rsidRPr="0030125D">
        <w:rPr>
          <w:rStyle w:val="FootnoteReference"/>
          <w:rFonts w:cs="Arial"/>
          <w:lang w:val="de-DE" w:eastAsia="ja-JP"/>
        </w:rPr>
        <w:footnoteReference w:id="26"/>
      </w:r>
      <w:r w:rsidR="004D07FA" w:rsidRPr="0030125D">
        <w:rPr>
          <w:rFonts w:cs="Arial"/>
          <w:lang w:val="de-DE" w:eastAsia="ja-JP"/>
        </w:rPr>
        <w:t xml:space="preserve"> zu </w:t>
      </w:r>
      <w:r w:rsidR="0053767D" w:rsidRPr="0030125D">
        <w:rPr>
          <w:rFonts w:cs="Arial"/>
          <w:lang w:val="de-DE" w:eastAsia="ja-JP"/>
        </w:rPr>
        <w:t>den</w:t>
      </w:r>
      <w:r w:rsidR="004D07FA" w:rsidRPr="0030125D">
        <w:rPr>
          <w:rFonts w:cs="Arial"/>
          <w:lang w:val="de-DE" w:eastAsia="ja-JP"/>
        </w:rPr>
        <w:t xml:space="preserve"> Vorschlägen der WG-DST weiter zu prüfen</w:t>
      </w:r>
      <w:r w:rsidR="00AA2C2B" w:rsidRPr="0030125D">
        <w:rPr>
          <w:rFonts w:cs="Arial"/>
          <w:lang w:val="de-DE" w:eastAsia="ja-JP"/>
        </w:rPr>
        <w:t>.</w:t>
      </w:r>
      <w:r w:rsidR="00B608C7" w:rsidRPr="0030125D">
        <w:rPr>
          <w:rStyle w:val="FootnoteReference"/>
          <w:rFonts w:cs="Arial"/>
          <w:lang w:val="de-DE" w:eastAsia="ja-JP"/>
        </w:rPr>
        <w:footnoteReference w:id="27"/>
      </w:r>
    </w:p>
    <w:p w:rsidR="00140C66" w:rsidRPr="0030125D" w:rsidRDefault="00140C66" w:rsidP="00140C66">
      <w:pPr>
        <w:rPr>
          <w:rFonts w:cs="Arial"/>
          <w:lang w:val="de-DE" w:eastAsia="ja-JP"/>
        </w:rPr>
      </w:pPr>
    </w:p>
    <w:p w:rsidR="008B5ED9" w:rsidRPr="0030125D" w:rsidRDefault="008B5ED9" w:rsidP="00140C66">
      <w:pPr>
        <w:rPr>
          <w:rFonts w:cs="Arial"/>
          <w:lang w:val="de-DE" w:eastAsia="ja-JP"/>
        </w:rPr>
      </w:pPr>
    </w:p>
    <w:p w:rsidR="004470F7" w:rsidRDefault="004470F7">
      <w:pPr>
        <w:jc w:val="left"/>
        <w:rPr>
          <w:u w:val="single"/>
          <w:lang w:val="de-DE" w:eastAsia="ja-JP"/>
        </w:rPr>
      </w:pPr>
      <w:bookmarkStart w:id="46" w:name="_Toc427161617"/>
      <w:bookmarkStart w:id="47" w:name="_Toc431309805"/>
      <w:r>
        <w:rPr>
          <w:lang w:val="de-DE" w:eastAsia="ja-JP"/>
        </w:rPr>
        <w:br w:type="page"/>
      </w:r>
    </w:p>
    <w:p w:rsidR="00004C35" w:rsidRPr="0030125D" w:rsidRDefault="00DE47C4" w:rsidP="00280FCF">
      <w:pPr>
        <w:pStyle w:val="Heading2"/>
        <w:rPr>
          <w:lang w:val="de-DE" w:eastAsia="ja-JP"/>
        </w:rPr>
      </w:pPr>
      <w:bookmarkStart w:id="48" w:name="_Toc432164674"/>
      <w:r w:rsidRPr="0030125D">
        <w:rPr>
          <w:lang w:val="de-DE" w:eastAsia="ja-JP"/>
        </w:rPr>
        <w:lastRenderedPageBreak/>
        <w:t>Abschnitt</w:t>
      </w:r>
      <w:r w:rsidR="00004C35" w:rsidRPr="0030125D">
        <w:rPr>
          <w:lang w:val="de-DE" w:eastAsia="ja-JP"/>
        </w:rPr>
        <w:t xml:space="preserve"> 2.3.3 b)</w:t>
      </w:r>
      <w:bookmarkEnd w:id="46"/>
      <w:bookmarkEnd w:id="47"/>
      <w:bookmarkEnd w:id="48"/>
    </w:p>
    <w:p w:rsidR="00004C35" w:rsidRPr="0030125D" w:rsidRDefault="00004C35" w:rsidP="00004C35">
      <w:pPr>
        <w:rPr>
          <w:i/>
          <w:lang w:val="de-DE" w:eastAsia="ja-JP"/>
        </w:rPr>
      </w:pPr>
    </w:p>
    <w:p w:rsidR="00004C35" w:rsidRPr="0030125D" w:rsidRDefault="00004C35" w:rsidP="00004C35">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4D07FA" w:rsidRPr="0030125D">
        <w:rPr>
          <w:lang w:val="de-DE"/>
        </w:rPr>
        <w:t>Di</w:t>
      </w:r>
      <w:r w:rsidRPr="0030125D">
        <w:rPr>
          <w:lang w:val="de-DE" w:eastAsia="ja-JP"/>
        </w:rPr>
        <w:t>e WG-DST</w:t>
      </w:r>
      <w:r w:rsidRPr="0030125D">
        <w:rPr>
          <w:rFonts w:cs="Arial"/>
          <w:lang w:val="de-DE"/>
        </w:rPr>
        <w:t xml:space="preserve"> </w:t>
      </w:r>
      <w:r w:rsidR="0053767D" w:rsidRPr="0030125D">
        <w:rPr>
          <w:rFonts w:cs="Arial"/>
          <w:lang w:val="de-DE"/>
        </w:rPr>
        <w:t>vereinbarte</w:t>
      </w:r>
      <w:r w:rsidR="00527901" w:rsidRPr="0030125D">
        <w:rPr>
          <w:rFonts w:cs="Arial"/>
          <w:lang w:val="de-DE"/>
        </w:rPr>
        <w:t xml:space="preserve"> vorzuschlagen</w:t>
      </w:r>
      <w:r w:rsidR="004D07FA" w:rsidRPr="0030125D">
        <w:rPr>
          <w:rFonts w:cs="Arial"/>
          <w:lang w:val="de-DE"/>
        </w:rPr>
        <w:t xml:space="preserve">, das Beispiel </w:t>
      </w:r>
      <w:r w:rsidR="00527901" w:rsidRPr="0030125D">
        <w:rPr>
          <w:rFonts w:cs="Arial"/>
          <w:lang w:val="de-DE"/>
        </w:rPr>
        <w:t>„</w:t>
      </w:r>
      <w:r w:rsidRPr="0030125D">
        <w:rPr>
          <w:rFonts w:cs="Arial"/>
          <w:lang w:val="de-DE"/>
        </w:rPr>
        <w:t>Helena</w:t>
      </w:r>
      <w:r w:rsidR="00527901" w:rsidRPr="0030125D">
        <w:rPr>
          <w:rFonts w:cs="Arial"/>
          <w:lang w:val="de-DE"/>
        </w:rPr>
        <w:t>“</w:t>
      </w:r>
      <w:r w:rsidRPr="0030125D">
        <w:rPr>
          <w:rFonts w:cs="Arial"/>
          <w:lang w:val="de-DE" w:eastAsia="ja-JP"/>
        </w:rPr>
        <w:t xml:space="preserve"> </w:t>
      </w:r>
      <w:r w:rsidR="004D07FA" w:rsidRPr="0030125D">
        <w:rPr>
          <w:rFonts w:cs="Arial"/>
          <w:lang w:val="de-DE" w:eastAsia="ja-JP"/>
        </w:rPr>
        <w:t>u</w:t>
      </w:r>
      <w:r w:rsidRPr="0030125D">
        <w:rPr>
          <w:rFonts w:cs="Arial"/>
          <w:lang w:val="de-DE" w:eastAsia="ja-JP"/>
        </w:rPr>
        <w:t xml:space="preserve">nd </w:t>
      </w:r>
      <w:r w:rsidR="00527901" w:rsidRPr="0030125D">
        <w:rPr>
          <w:rFonts w:cs="Arial"/>
          <w:lang w:val="de-DE" w:eastAsia="ja-JP"/>
        </w:rPr>
        <w:t>„</w:t>
      </w:r>
      <w:r w:rsidRPr="0030125D">
        <w:rPr>
          <w:rFonts w:cs="Arial"/>
          <w:lang w:val="de-DE"/>
        </w:rPr>
        <w:t>Elena</w:t>
      </w:r>
      <w:r w:rsidR="00527901" w:rsidRPr="0030125D">
        <w:rPr>
          <w:rFonts w:cs="Arial"/>
          <w:lang w:val="de-DE"/>
        </w:rPr>
        <w:t>“</w:t>
      </w:r>
      <w:r w:rsidRPr="0030125D">
        <w:rPr>
          <w:rFonts w:cs="Arial"/>
          <w:lang w:val="de-DE" w:eastAsia="ja-JP"/>
        </w:rPr>
        <w:t xml:space="preserve"> a</w:t>
      </w:r>
      <w:r w:rsidR="004D07FA" w:rsidRPr="0030125D">
        <w:rPr>
          <w:rFonts w:cs="Arial"/>
          <w:lang w:val="de-DE" w:eastAsia="ja-JP"/>
        </w:rPr>
        <w:t>l</w:t>
      </w:r>
      <w:r w:rsidRPr="0030125D">
        <w:rPr>
          <w:rFonts w:cs="Arial"/>
          <w:lang w:val="de-DE" w:eastAsia="ja-JP"/>
        </w:rPr>
        <w:t xml:space="preserve">s </w:t>
      </w:r>
      <w:r w:rsidR="004D07FA" w:rsidRPr="0030125D">
        <w:rPr>
          <w:rFonts w:cs="Arial"/>
          <w:lang w:val="de-DE" w:eastAsia="ja-JP"/>
        </w:rPr>
        <w:t xml:space="preserve">Beispiel dafür </w:t>
      </w:r>
      <w:r w:rsidR="0053767D" w:rsidRPr="0030125D">
        <w:rPr>
          <w:rFonts w:cs="Arial"/>
          <w:lang w:val="de-DE" w:eastAsia="ja-JP"/>
        </w:rPr>
        <w:t>hinzuzufügen</w:t>
      </w:r>
      <w:r w:rsidR="004D07FA" w:rsidRPr="0030125D">
        <w:rPr>
          <w:rFonts w:cs="Arial"/>
          <w:lang w:val="de-DE" w:eastAsia="ja-JP"/>
        </w:rPr>
        <w:t xml:space="preserve">, </w:t>
      </w:r>
      <w:r w:rsidR="0053767D" w:rsidRPr="0030125D">
        <w:rPr>
          <w:rFonts w:cs="Arial"/>
          <w:lang w:val="de-DE" w:eastAsia="ja-JP"/>
        </w:rPr>
        <w:t>daß</w:t>
      </w:r>
      <w:r w:rsidR="004D07FA" w:rsidRPr="0030125D">
        <w:rPr>
          <w:rFonts w:cs="Arial"/>
          <w:lang w:val="de-DE" w:eastAsia="ja-JP"/>
        </w:rPr>
        <w:t xml:space="preserve"> ein klarer visueller Unterschied keinen deutlichen phonetischen Unterschied in </w:t>
      </w:r>
      <w:r w:rsidR="0053767D" w:rsidRPr="0030125D">
        <w:rPr>
          <w:rFonts w:cs="Arial"/>
          <w:lang w:val="de-DE" w:eastAsia="ja-JP"/>
        </w:rPr>
        <w:t>einer anderen</w:t>
      </w:r>
      <w:r w:rsidR="004D07FA" w:rsidRPr="0030125D">
        <w:rPr>
          <w:rFonts w:cs="Arial"/>
          <w:lang w:val="de-DE" w:eastAsia="ja-JP"/>
        </w:rPr>
        <w:t xml:space="preserve"> Sprache als Englisch (in Spanisch) ergeben könnte</w:t>
      </w:r>
      <w:r w:rsidR="00AA2C2B" w:rsidRPr="0030125D">
        <w:rPr>
          <w:rFonts w:cs="Arial"/>
          <w:lang w:val="de-DE" w:eastAsia="ja-JP"/>
        </w:rPr>
        <w:t>.</w:t>
      </w:r>
      <w:r w:rsidR="000825CE" w:rsidRPr="0030125D">
        <w:rPr>
          <w:rStyle w:val="FootnoteReference"/>
          <w:rFonts w:cs="Arial"/>
          <w:lang w:val="de-DE" w:eastAsia="ja-JP"/>
        </w:rPr>
        <w:footnoteReference w:id="28"/>
      </w:r>
    </w:p>
    <w:p w:rsidR="00004C35" w:rsidRPr="0030125D" w:rsidRDefault="00004C35" w:rsidP="00004C35">
      <w:pPr>
        <w:rPr>
          <w:lang w:val="de-DE" w:eastAsia="ja-JP"/>
        </w:rPr>
      </w:pPr>
    </w:p>
    <w:p w:rsidR="00004C35" w:rsidRPr="0030125D" w:rsidRDefault="00004C35" w:rsidP="00140C6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4D07FA" w:rsidRPr="0030125D">
        <w:rPr>
          <w:lang w:val="de-DE"/>
        </w:rPr>
        <w:t>Di</w:t>
      </w:r>
      <w:r w:rsidRPr="0030125D">
        <w:rPr>
          <w:lang w:val="de-DE" w:eastAsia="ja-JP"/>
        </w:rPr>
        <w:t>e WG-DST</w:t>
      </w:r>
      <w:r w:rsidRPr="0030125D">
        <w:rPr>
          <w:rFonts w:cs="Arial"/>
          <w:lang w:val="de-DE"/>
        </w:rPr>
        <w:t xml:space="preserve"> </w:t>
      </w:r>
      <w:r w:rsidR="004D07FA" w:rsidRPr="0030125D">
        <w:rPr>
          <w:rFonts w:cs="Arial"/>
          <w:lang w:val="de-DE"/>
        </w:rPr>
        <w:t xml:space="preserve">erinnerte daran, </w:t>
      </w:r>
      <w:r w:rsidR="0053767D" w:rsidRPr="0030125D">
        <w:rPr>
          <w:rFonts w:cs="Arial"/>
          <w:lang w:val="de-DE"/>
        </w:rPr>
        <w:t>daß</w:t>
      </w:r>
      <w:r w:rsidR="004D07FA" w:rsidRPr="0030125D">
        <w:rPr>
          <w:rFonts w:cs="Arial"/>
          <w:lang w:val="de-DE"/>
        </w:rPr>
        <w:t xml:space="preserve"> die Akzeptanz von Bezeichnungen </w:t>
      </w:r>
      <w:r w:rsidR="005A16C1" w:rsidRPr="0030125D">
        <w:rPr>
          <w:rFonts w:cs="Arial"/>
          <w:lang w:val="de-DE"/>
        </w:rPr>
        <w:t>i</w:t>
      </w:r>
      <w:r w:rsidR="0040126D" w:rsidRPr="0030125D">
        <w:rPr>
          <w:rFonts w:cs="Arial"/>
          <w:lang w:val="de-DE"/>
        </w:rPr>
        <w:t xml:space="preserve">n deren ursprünglichem Alphabet für das betreffende Hoheitsgebiet </w:t>
      </w:r>
      <w:r w:rsidR="004D07FA" w:rsidRPr="0030125D">
        <w:rPr>
          <w:rFonts w:cs="Arial"/>
          <w:lang w:val="de-DE"/>
        </w:rPr>
        <w:t xml:space="preserve">geprüft würde und </w:t>
      </w:r>
      <w:r w:rsidR="0053767D" w:rsidRPr="0030125D">
        <w:rPr>
          <w:rFonts w:cs="Arial"/>
          <w:lang w:val="de-DE"/>
        </w:rPr>
        <w:t>daß</w:t>
      </w:r>
      <w:r w:rsidR="004D07FA" w:rsidRPr="0030125D">
        <w:rPr>
          <w:rFonts w:cs="Arial"/>
          <w:lang w:val="de-DE"/>
        </w:rPr>
        <w:t xml:space="preserve"> </w:t>
      </w:r>
      <w:r w:rsidR="0022126B" w:rsidRPr="0030125D">
        <w:rPr>
          <w:rFonts w:cs="Arial"/>
          <w:lang w:val="de-DE"/>
        </w:rPr>
        <w:t>Transkriptionen und/oder Transliterationen</w:t>
      </w:r>
      <w:r w:rsidR="0022126B" w:rsidRPr="0030125D">
        <w:rPr>
          <w:rFonts w:cs="Arial"/>
          <w:lang w:val="de-DE" w:eastAsia="ja-JP"/>
        </w:rPr>
        <w:t xml:space="preserve"> für Ähnlichkeitszwecke nicht berücksichtigt würden. Die WG-DST vereinbarte auf dieser Grundlage, die </w:t>
      </w:r>
      <w:r w:rsidR="0053767D" w:rsidRPr="0030125D">
        <w:rPr>
          <w:rFonts w:cs="Arial"/>
          <w:lang w:val="de-DE" w:eastAsia="ja-JP"/>
        </w:rPr>
        <w:t>Streichung</w:t>
      </w:r>
      <w:r w:rsidR="0022126B" w:rsidRPr="0030125D">
        <w:rPr>
          <w:rFonts w:cs="Arial"/>
          <w:lang w:val="de-DE" w:eastAsia="ja-JP"/>
        </w:rPr>
        <w:t xml:space="preserve"> des Beispiels „Raion“ und „Lion“ </w:t>
      </w:r>
      <w:r w:rsidR="0053767D" w:rsidRPr="0030125D">
        <w:rPr>
          <w:rFonts w:cs="Arial"/>
          <w:lang w:val="de-DE" w:eastAsia="ja-JP"/>
        </w:rPr>
        <w:t>vorzuschlagen</w:t>
      </w:r>
      <w:r w:rsidR="0022126B" w:rsidRPr="0030125D">
        <w:rPr>
          <w:rFonts w:cs="Arial"/>
          <w:lang w:val="de-DE" w:eastAsia="ja-JP"/>
        </w:rPr>
        <w:t xml:space="preserve">, weil sie im römischen Alphabet nicht verwechselt </w:t>
      </w:r>
      <w:r w:rsidR="0053767D" w:rsidRPr="0030125D">
        <w:rPr>
          <w:rFonts w:cs="Arial"/>
          <w:lang w:val="de-DE" w:eastAsia="ja-JP"/>
        </w:rPr>
        <w:t>würden</w:t>
      </w:r>
      <w:r w:rsidR="00AA2C2B" w:rsidRPr="0030125D">
        <w:rPr>
          <w:lang w:val="de-DE" w:eastAsia="ja-JP"/>
        </w:rPr>
        <w:t>.</w:t>
      </w:r>
      <w:r w:rsidR="00D06623" w:rsidRPr="0030125D">
        <w:rPr>
          <w:rStyle w:val="FootnoteReference"/>
          <w:lang w:val="de-DE" w:eastAsia="ja-JP"/>
        </w:rPr>
        <w:footnoteReference w:id="29"/>
      </w:r>
    </w:p>
    <w:p w:rsidR="00BF29F6" w:rsidRPr="0030125D" w:rsidRDefault="00BF29F6" w:rsidP="00BF29F6">
      <w:pPr>
        <w:rPr>
          <w:lang w:val="de-DE" w:eastAsia="ja-JP"/>
        </w:rPr>
      </w:pPr>
    </w:p>
    <w:p w:rsidR="008B5ED9" w:rsidRPr="0030125D" w:rsidRDefault="008B5ED9" w:rsidP="00BF29F6">
      <w:pPr>
        <w:rPr>
          <w:lang w:val="de-DE" w:eastAsia="ja-JP"/>
        </w:rPr>
      </w:pPr>
    </w:p>
    <w:p w:rsidR="00BF29F6" w:rsidRPr="0030125D" w:rsidRDefault="00DE47C4" w:rsidP="00280FCF">
      <w:pPr>
        <w:pStyle w:val="Heading2"/>
        <w:rPr>
          <w:lang w:val="de-DE" w:eastAsia="ja-JP"/>
        </w:rPr>
      </w:pPr>
      <w:bookmarkStart w:id="49" w:name="_Toc427161618"/>
      <w:bookmarkStart w:id="50" w:name="_Toc431309806"/>
      <w:bookmarkStart w:id="51" w:name="_Toc432164675"/>
      <w:r w:rsidRPr="0030125D">
        <w:rPr>
          <w:lang w:val="de-DE" w:eastAsia="ja-JP"/>
        </w:rPr>
        <w:t>Abschnitt</w:t>
      </w:r>
      <w:r w:rsidR="005A16C1" w:rsidRPr="0030125D">
        <w:rPr>
          <w:lang w:val="de-DE" w:eastAsia="ja-JP"/>
        </w:rPr>
        <w:t xml:space="preserve"> 2.3.3 </w:t>
      </w:r>
      <w:r w:rsidR="00BF29F6" w:rsidRPr="0030125D">
        <w:rPr>
          <w:lang w:val="de-DE" w:eastAsia="ja-JP"/>
        </w:rPr>
        <w:t>d)</w:t>
      </w:r>
      <w:bookmarkEnd w:id="49"/>
      <w:bookmarkEnd w:id="50"/>
      <w:bookmarkEnd w:id="51"/>
    </w:p>
    <w:p w:rsidR="00BF29F6" w:rsidRPr="0030125D" w:rsidRDefault="00BF29F6" w:rsidP="002E04ED">
      <w:pPr>
        <w:keepNext/>
        <w:rPr>
          <w:lang w:val="de-DE" w:eastAsia="ja-JP"/>
        </w:rPr>
      </w:pPr>
    </w:p>
    <w:p w:rsidR="00BF29F6" w:rsidRPr="0030125D" w:rsidRDefault="00BF29F6" w:rsidP="00524589">
      <w:pPr>
        <w:spacing w:after="240"/>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22126B" w:rsidRPr="0030125D">
        <w:rPr>
          <w:lang w:val="de-DE"/>
        </w:rPr>
        <w:t>Di</w:t>
      </w:r>
      <w:r w:rsidRPr="0030125D">
        <w:rPr>
          <w:lang w:val="de-DE" w:eastAsia="ja-JP"/>
        </w:rPr>
        <w:t xml:space="preserve">e WG-DST </w:t>
      </w:r>
      <w:r w:rsidR="0022126B" w:rsidRPr="0030125D">
        <w:rPr>
          <w:lang w:val="de-DE" w:eastAsia="ja-JP"/>
        </w:rPr>
        <w:t xml:space="preserve">vereinbarte zu empfehlen, </w:t>
      </w:r>
      <w:r w:rsidR="0053767D" w:rsidRPr="0030125D">
        <w:rPr>
          <w:lang w:val="de-DE" w:eastAsia="ja-JP"/>
        </w:rPr>
        <w:t>daß</w:t>
      </w:r>
      <w:r w:rsidR="0022126B" w:rsidRPr="0030125D">
        <w:rPr>
          <w:lang w:val="de-DE" w:eastAsia="ja-JP"/>
        </w:rPr>
        <w:t xml:space="preserve"> erwogen </w:t>
      </w:r>
      <w:r w:rsidR="0053767D" w:rsidRPr="0030125D">
        <w:rPr>
          <w:lang w:val="de-DE" w:eastAsia="ja-JP"/>
        </w:rPr>
        <w:t>werden</w:t>
      </w:r>
      <w:r w:rsidR="0022126B" w:rsidRPr="0030125D">
        <w:rPr>
          <w:lang w:val="de-DE" w:eastAsia="ja-JP"/>
        </w:rPr>
        <w:t xml:space="preserve"> sollte, die Wiederverwendung von </w:t>
      </w:r>
      <w:r w:rsidR="0040126D" w:rsidRPr="0030125D">
        <w:rPr>
          <w:lang w:val="de-DE" w:eastAsia="ja-JP"/>
        </w:rPr>
        <w:t>Sortenb</w:t>
      </w:r>
      <w:r w:rsidR="0053767D" w:rsidRPr="0030125D">
        <w:rPr>
          <w:lang w:val="de-DE" w:eastAsia="ja-JP"/>
        </w:rPr>
        <w:t>ezeichnungen</w:t>
      </w:r>
      <w:r w:rsidR="0022126B" w:rsidRPr="0030125D">
        <w:rPr>
          <w:lang w:val="de-DE" w:eastAsia="ja-JP"/>
        </w:rPr>
        <w:t xml:space="preserve"> in allen Fällen zu vermeiden</w:t>
      </w:r>
      <w:r w:rsidRPr="0030125D">
        <w:rPr>
          <w:rFonts w:cs="Arial"/>
          <w:lang w:val="de-DE" w:eastAsia="ja-JP"/>
        </w:rPr>
        <w:t xml:space="preserve">. </w:t>
      </w:r>
      <w:r w:rsidR="0022126B" w:rsidRPr="0030125D">
        <w:rPr>
          <w:rFonts w:cs="Arial"/>
          <w:lang w:val="de-DE" w:eastAsia="ja-JP"/>
        </w:rPr>
        <w:t xml:space="preserve">Sie stellte jedoch klar, </w:t>
      </w:r>
      <w:r w:rsidR="0053767D" w:rsidRPr="0030125D">
        <w:rPr>
          <w:rFonts w:cs="Arial"/>
          <w:lang w:val="de-DE" w:eastAsia="ja-JP"/>
        </w:rPr>
        <w:t>daß</w:t>
      </w:r>
      <w:r w:rsidR="0022126B" w:rsidRPr="0030125D">
        <w:rPr>
          <w:rFonts w:cs="Arial"/>
          <w:lang w:val="de-DE" w:eastAsia="ja-JP"/>
        </w:rPr>
        <w:t xml:space="preserve"> es wichtig sei, nur Bezeichnungen von Sorten (d. h. Pflanzengruppen, die die Begriffsbestimmung der Sorte in </w:t>
      </w:r>
      <w:r w:rsidR="0053767D" w:rsidRPr="0030125D">
        <w:rPr>
          <w:rFonts w:cs="Arial"/>
          <w:lang w:val="de-DE" w:eastAsia="ja-JP"/>
        </w:rPr>
        <w:t>Artikel</w:t>
      </w:r>
      <w:r w:rsidR="0022126B" w:rsidRPr="0030125D">
        <w:rPr>
          <w:rFonts w:cs="Arial"/>
          <w:lang w:val="de-DE" w:eastAsia="ja-JP"/>
        </w:rPr>
        <w:t xml:space="preserve"> </w:t>
      </w:r>
      <w:r w:rsidR="00FB19DE" w:rsidRPr="0030125D">
        <w:rPr>
          <w:rFonts w:cs="Arial"/>
          <w:lang w:val="de-DE" w:eastAsia="ja-JP"/>
        </w:rPr>
        <w:t>1</w:t>
      </w:r>
      <w:r w:rsidR="0040126D" w:rsidRPr="0030125D">
        <w:rPr>
          <w:rFonts w:cs="Arial"/>
          <w:lang w:val="de-DE" w:eastAsia="ja-JP"/>
        </w:rPr>
        <w:t> </w:t>
      </w:r>
      <w:r w:rsidR="00FB19DE" w:rsidRPr="0030125D">
        <w:rPr>
          <w:rFonts w:cs="Arial"/>
          <w:lang w:val="de-DE" w:eastAsia="ja-JP"/>
        </w:rPr>
        <w:t xml:space="preserve">vi) </w:t>
      </w:r>
      <w:r w:rsidR="0022126B" w:rsidRPr="0030125D">
        <w:rPr>
          <w:rFonts w:cs="Arial"/>
          <w:lang w:val="de-DE" w:eastAsia="ja-JP"/>
        </w:rPr>
        <w:t>der A</w:t>
      </w:r>
      <w:r w:rsidR="0040126D" w:rsidRPr="0030125D">
        <w:rPr>
          <w:rFonts w:cs="Arial"/>
          <w:lang w:val="de-DE" w:eastAsia="ja-JP"/>
        </w:rPr>
        <w:t>k</w:t>
      </w:r>
      <w:r w:rsidR="0022126B" w:rsidRPr="0030125D">
        <w:rPr>
          <w:rFonts w:cs="Arial"/>
          <w:lang w:val="de-DE" w:eastAsia="ja-JP"/>
        </w:rPr>
        <w:t xml:space="preserve">te von </w:t>
      </w:r>
      <w:r w:rsidR="00FB19DE" w:rsidRPr="0030125D">
        <w:rPr>
          <w:rFonts w:cs="Arial"/>
          <w:lang w:val="de-DE" w:eastAsia="ja-JP"/>
        </w:rPr>
        <w:t xml:space="preserve">1991 </w:t>
      </w:r>
      <w:r w:rsidR="0022126B" w:rsidRPr="0030125D">
        <w:rPr>
          <w:rFonts w:cs="Arial"/>
          <w:lang w:val="de-DE" w:eastAsia="ja-JP"/>
        </w:rPr>
        <w:t>erfüllen</w:t>
      </w:r>
      <w:r w:rsidRPr="0030125D">
        <w:rPr>
          <w:rFonts w:cs="Arial"/>
          <w:lang w:val="de-DE" w:eastAsia="ja-JP"/>
        </w:rPr>
        <w:t xml:space="preserve">) </w:t>
      </w:r>
      <w:r w:rsidR="0022126B" w:rsidRPr="0030125D">
        <w:rPr>
          <w:rFonts w:cs="Arial"/>
          <w:lang w:val="de-DE" w:eastAsia="ja-JP"/>
        </w:rPr>
        <w:t>zu berücksichtigen u</w:t>
      </w:r>
      <w:r w:rsidRPr="0030125D">
        <w:rPr>
          <w:rFonts w:cs="Arial"/>
          <w:lang w:val="de-DE" w:eastAsia="ja-JP"/>
        </w:rPr>
        <w:t>nd</w:t>
      </w:r>
      <w:r w:rsidR="0022126B" w:rsidRPr="0030125D">
        <w:rPr>
          <w:rFonts w:cs="Arial"/>
          <w:lang w:val="de-DE" w:eastAsia="ja-JP"/>
        </w:rPr>
        <w:t xml:space="preserve"> </w:t>
      </w:r>
      <w:r w:rsidR="0053767D" w:rsidRPr="0030125D">
        <w:rPr>
          <w:rFonts w:cs="Arial"/>
          <w:lang w:val="de-DE" w:eastAsia="ja-JP"/>
        </w:rPr>
        <w:t>außerdem</w:t>
      </w:r>
      <w:r w:rsidR="0022126B" w:rsidRPr="0030125D">
        <w:rPr>
          <w:rFonts w:cs="Arial"/>
          <w:lang w:val="de-DE" w:eastAsia="ja-JP"/>
        </w:rPr>
        <w:t xml:space="preserve"> den Inhalt der </w:t>
      </w:r>
      <w:r w:rsidRPr="0030125D">
        <w:rPr>
          <w:rFonts w:cs="Arial"/>
          <w:lang w:val="de-DE"/>
        </w:rPr>
        <w:t>PLUTO</w:t>
      </w:r>
      <w:r w:rsidR="0022126B" w:rsidRPr="0030125D">
        <w:rPr>
          <w:rFonts w:cs="Arial"/>
          <w:lang w:val="de-DE"/>
        </w:rPr>
        <w:t xml:space="preserve">-Datenbank zu erweitern, um alle </w:t>
      </w:r>
      <w:r w:rsidR="0053767D" w:rsidRPr="0030125D">
        <w:rPr>
          <w:rFonts w:cs="Arial"/>
          <w:lang w:val="de-DE"/>
        </w:rPr>
        <w:t>Sorten</w:t>
      </w:r>
      <w:r w:rsidR="0022126B" w:rsidRPr="0030125D">
        <w:rPr>
          <w:rFonts w:cs="Arial"/>
          <w:lang w:val="de-DE"/>
        </w:rPr>
        <w:t xml:space="preserve"> einzubeziehen, </w:t>
      </w:r>
      <w:r w:rsidR="0053767D" w:rsidRPr="0030125D">
        <w:rPr>
          <w:rFonts w:cs="Arial"/>
          <w:lang w:val="de-DE"/>
        </w:rPr>
        <w:t>einschließlich</w:t>
      </w:r>
      <w:r w:rsidR="0022126B" w:rsidRPr="0030125D">
        <w:rPr>
          <w:rFonts w:cs="Arial"/>
          <w:lang w:val="de-DE"/>
        </w:rPr>
        <w:t xml:space="preserve"> derjenigen, die nicht eingetragen/geschützt </w:t>
      </w:r>
      <w:r w:rsidR="0040126D" w:rsidRPr="0030125D">
        <w:rPr>
          <w:rFonts w:cs="Arial"/>
          <w:lang w:val="de-DE"/>
        </w:rPr>
        <w:t>worden waren oder es nicht mehr sind</w:t>
      </w:r>
      <w:r w:rsidR="0022126B" w:rsidRPr="0030125D">
        <w:rPr>
          <w:rFonts w:cs="Arial"/>
          <w:lang w:val="de-DE"/>
        </w:rPr>
        <w:t>.</w:t>
      </w:r>
      <w:r w:rsidR="00D06623" w:rsidRPr="0030125D">
        <w:rPr>
          <w:rStyle w:val="FootnoteReference"/>
          <w:rFonts w:cs="Arial"/>
          <w:lang w:val="de-DE" w:eastAsia="ja-JP"/>
        </w:rPr>
        <w:footnoteReference w:id="30"/>
      </w:r>
    </w:p>
    <w:p w:rsidR="001449AB" w:rsidRPr="0030125D" w:rsidRDefault="001449AB" w:rsidP="00BF29F6">
      <w:pPr>
        <w:rPr>
          <w:rFonts w:cs="Arial"/>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3767D" w:rsidRPr="0030125D">
        <w:rPr>
          <w:lang w:val="de-DE"/>
        </w:rPr>
        <w:t xml:space="preserve">Der Vorschlag der </w:t>
      </w:r>
      <w:r w:rsidR="0053767D" w:rsidRPr="0030125D">
        <w:rPr>
          <w:lang w:val="de-DE" w:eastAsia="ja-JP"/>
        </w:rPr>
        <w:t>WG-DST, den Inhalt der</w:t>
      </w:r>
      <w:r w:rsidR="0053767D" w:rsidRPr="0030125D">
        <w:rPr>
          <w:rFonts w:cs="Arial"/>
          <w:lang w:val="de-DE"/>
        </w:rPr>
        <w:t xml:space="preserve"> PLUTO Datenbank zu erweitern, um alle anerkannten Sorten einzubeziehen, einschließlich derjenigen, </w:t>
      </w:r>
      <w:r w:rsidR="0040126D" w:rsidRPr="0030125D">
        <w:rPr>
          <w:rFonts w:cs="Arial"/>
          <w:lang w:val="de-DE"/>
        </w:rPr>
        <w:t>die nicht eingetragen/geschützt worden waren oder es nicht mehr sind</w:t>
      </w:r>
      <w:r w:rsidR="0053767D" w:rsidRPr="0030125D">
        <w:rPr>
          <w:rFonts w:cs="Arial"/>
          <w:lang w:val="de-DE"/>
        </w:rPr>
        <w:t xml:space="preserve">, wird </w:t>
      </w:r>
      <w:r w:rsidR="0053767D" w:rsidRPr="0030125D">
        <w:rPr>
          <w:rFonts w:cs="Arial"/>
          <w:lang w:val="de-DE" w:eastAsia="ja-JP"/>
        </w:rPr>
        <w:t>in Dokument CAJ/72/6, „UPOV-Informationsdatenbanken“, behandelt.</w:t>
      </w:r>
    </w:p>
    <w:p w:rsidR="00BF29F6" w:rsidRPr="0030125D" w:rsidRDefault="00BF29F6" w:rsidP="00BF29F6">
      <w:pPr>
        <w:rPr>
          <w:lang w:val="de-DE" w:eastAsia="ja-JP"/>
        </w:rPr>
      </w:pPr>
    </w:p>
    <w:p w:rsidR="00AA2C2B" w:rsidRPr="0030125D" w:rsidRDefault="00532FB6" w:rsidP="003C7F21">
      <w:pPr>
        <w:pStyle w:val="DecisionParagraphs"/>
        <w:keepLines/>
        <w:rPr>
          <w:iCs/>
          <w:spacing w:val="-4"/>
          <w:lang w:val="de-DE"/>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562920" w:rsidRPr="0030125D">
        <w:rPr>
          <w:lang w:val="de-DE"/>
        </w:rPr>
        <w:t>D</w:t>
      </w:r>
      <w:r w:rsidR="0022126B" w:rsidRPr="0030125D">
        <w:rPr>
          <w:lang w:val="de-DE"/>
        </w:rPr>
        <w:t>er</w:t>
      </w:r>
      <w:r w:rsidRPr="0030125D">
        <w:rPr>
          <w:iCs/>
          <w:spacing w:val="-4"/>
          <w:lang w:val="de-DE"/>
        </w:rPr>
        <w:t xml:space="preserve"> </w:t>
      </w:r>
      <w:r w:rsidRPr="0030125D">
        <w:rPr>
          <w:iCs/>
          <w:spacing w:val="-4"/>
          <w:lang w:val="de-DE" w:eastAsia="ja-JP"/>
        </w:rPr>
        <w:t>CAJ</w:t>
      </w:r>
      <w:r w:rsidRPr="0030125D">
        <w:rPr>
          <w:iCs/>
          <w:spacing w:val="-4"/>
          <w:lang w:val="de-DE"/>
        </w:rPr>
        <w:t xml:space="preserve"> </w:t>
      </w:r>
      <w:r w:rsidR="0022126B" w:rsidRPr="0030125D">
        <w:rPr>
          <w:iCs/>
          <w:spacing w:val="-4"/>
          <w:lang w:val="de-DE"/>
        </w:rPr>
        <w:t>wird ersucht,</w:t>
      </w:r>
    </w:p>
    <w:p w:rsidR="00AA2C2B" w:rsidRPr="0030125D" w:rsidRDefault="00AA2C2B" w:rsidP="003C7F21">
      <w:pPr>
        <w:pStyle w:val="DecisionParagraphs"/>
        <w:keepLines/>
        <w:rPr>
          <w:iCs/>
          <w:spacing w:val="-4"/>
          <w:lang w:val="de-DE"/>
        </w:rPr>
      </w:pPr>
    </w:p>
    <w:p w:rsidR="00BF786F" w:rsidRPr="0030125D" w:rsidRDefault="00AA2C2B" w:rsidP="00FF1931">
      <w:pPr>
        <w:pStyle w:val="DecisionParagraphs"/>
        <w:keepLines/>
        <w:tabs>
          <w:tab w:val="left" w:pos="5954"/>
        </w:tabs>
        <w:rPr>
          <w:lang w:val="de-DE" w:eastAsia="ja-JP"/>
        </w:rPr>
      </w:pPr>
      <w:r w:rsidRPr="0030125D">
        <w:rPr>
          <w:iCs/>
          <w:spacing w:val="-4"/>
          <w:lang w:val="de-DE"/>
        </w:rPr>
        <w:tab/>
        <w:t>a)</w:t>
      </w:r>
      <w:r w:rsidR="00FF1931" w:rsidRPr="0030125D">
        <w:rPr>
          <w:iCs/>
          <w:spacing w:val="-4"/>
          <w:lang w:val="de-DE" w:eastAsia="ja-JP"/>
        </w:rPr>
        <w:tab/>
      </w:r>
      <w:r w:rsidR="00562920" w:rsidRPr="0030125D">
        <w:rPr>
          <w:iCs/>
          <w:lang w:val="de-DE"/>
        </w:rPr>
        <w:t>eine erste Prüfung der Vorschläge der WG-DST betreffend eine etwaige Überarbeitung des Dokuments UPOV/INF/12 vorzunehmen, insbesondere in bezug auf folgende Angelegenheiten</w:t>
      </w:r>
      <w:r w:rsidR="00BF786F" w:rsidRPr="0030125D">
        <w:rPr>
          <w:lang w:val="de-DE" w:eastAsia="ja-JP"/>
        </w:rPr>
        <w:t>:</w:t>
      </w:r>
    </w:p>
    <w:p w:rsidR="00BF786F" w:rsidRPr="0030125D" w:rsidRDefault="00BF786F" w:rsidP="00562920">
      <w:pPr>
        <w:pStyle w:val="DecisionParagraphs"/>
        <w:keepLines/>
        <w:tabs>
          <w:tab w:val="clear" w:pos="5387"/>
          <w:tab w:val="left" w:pos="5670"/>
          <w:tab w:val="left" w:pos="6237"/>
        </w:tabs>
        <w:rPr>
          <w:lang w:val="de-DE" w:eastAsia="ja-JP"/>
        </w:rPr>
      </w:pPr>
    </w:p>
    <w:p w:rsidR="00BF786F" w:rsidRPr="0030125D" w:rsidRDefault="0022126B" w:rsidP="00562920">
      <w:pPr>
        <w:tabs>
          <w:tab w:val="left" w:pos="4820"/>
        </w:tabs>
        <w:autoSpaceDE w:val="0"/>
        <w:autoSpaceDN w:val="0"/>
        <w:adjustRightInd w:val="0"/>
        <w:ind w:left="4820" w:firstLine="850"/>
        <w:rPr>
          <w:i/>
          <w:lang w:val="de-DE"/>
        </w:rPr>
      </w:pPr>
      <w:r w:rsidRPr="0030125D">
        <w:rPr>
          <w:i/>
          <w:lang w:val="de-DE" w:eastAsia="ja-JP"/>
        </w:rPr>
        <w:t xml:space="preserve">  </w:t>
      </w:r>
      <w:r w:rsidR="00746A02" w:rsidRPr="0030125D">
        <w:rPr>
          <w:i/>
          <w:lang w:val="de-DE" w:eastAsia="ja-JP"/>
        </w:rPr>
        <w:t>i</w:t>
      </w:r>
      <w:r w:rsidR="00746A02" w:rsidRPr="0030125D">
        <w:rPr>
          <w:i/>
          <w:lang w:val="de-DE"/>
        </w:rPr>
        <w:t>)</w:t>
      </w:r>
      <w:r w:rsidR="00746A02" w:rsidRPr="0030125D">
        <w:rPr>
          <w:i/>
          <w:lang w:val="de-DE"/>
        </w:rPr>
        <w:tab/>
        <w:t xml:space="preserve">Abschnitt 2.2.2 b), </w:t>
      </w:r>
      <w:r w:rsidR="00746A02" w:rsidRPr="0030125D">
        <w:rPr>
          <w:i/>
          <w:iCs/>
          <w:lang w:val="de-DE"/>
        </w:rPr>
        <w:t xml:space="preserve">Vorschlag zur Klärung der Terminologie betreffend die </w:t>
      </w:r>
      <w:r w:rsidR="00746A02" w:rsidRPr="0030125D">
        <w:rPr>
          <w:rFonts w:cs="Arial"/>
          <w:i/>
          <w:lang w:val="de-DE"/>
        </w:rPr>
        <w:t xml:space="preserve">anerkannte Marktpraxis </w:t>
      </w:r>
      <w:r w:rsidR="00746A02" w:rsidRPr="0030125D">
        <w:rPr>
          <w:i/>
          <w:iCs/>
          <w:lang w:val="de-DE"/>
        </w:rPr>
        <w:t>im Kontext der „</w:t>
      </w:r>
      <w:r w:rsidR="005F30E5" w:rsidRPr="0030125D">
        <w:rPr>
          <w:i/>
          <w:iCs/>
          <w:lang w:val="de-DE"/>
        </w:rPr>
        <w:t>feststehend</w:t>
      </w:r>
      <w:r w:rsidR="00746A02" w:rsidRPr="0030125D">
        <w:rPr>
          <w:i/>
          <w:iCs/>
          <w:lang w:val="de-DE"/>
        </w:rPr>
        <w:t>en Praxis“ (vergleiche Absatz 28);</w:t>
      </w:r>
    </w:p>
    <w:p w:rsidR="00BF786F" w:rsidRPr="0030125D" w:rsidRDefault="00BF786F" w:rsidP="00562920">
      <w:pPr>
        <w:pStyle w:val="DecisionParagraphs"/>
        <w:tabs>
          <w:tab w:val="clear" w:pos="5387"/>
          <w:tab w:val="left" w:pos="5670"/>
          <w:tab w:val="left" w:pos="6237"/>
        </w:tabs>
        <w:ind w:firstLine="709"/>
        <w:rPr>
          <w:lang w:val="de-DE"/>
        </w:rPr>
      </w:pPr>
    </w:p>
    <w:p w:rsidR="00BF786F" w:rsidRPr="0030125D" w:rsidRDefault="0022126B" w:rsidP="00FF1931">
      <w:pPr>
        <w:pStyle w:val="DecisionParagraphs"/>
        <w:tabs>
          <w:tab w:val="clear" w:pos="5387"/>
          <w:tab w:val="left" w:pos="5670"/>
          <w:tab w:val="left" w:pos="6237"/>
        </w:tabs>
        <w:ind w:firstLine="850"/>
        <w:rPr>
          <w:lang w:val="de-DE"/>
        </w:rPr>
      </w:pPr>
      <w:r w:rsidRPr="0030125D">
        <w:rPr>
          <w:lang w:val="de-DE" w:eastAsia="ja-JP"/>
        </w:rPr>
        <w:t xml:space="preserve"> </w:t>
      </w:r>
      <w:r w:rsidR="00852407" w:rsidRPr="0030125D">
        <w:rPr>
          <w:lang w:val="de-DE" w:eastAsia="ja-JP"/>
        </w:rPr>
        <w:t>ii</w:t>
      </w:r>
      <w:r w:rsidR="00BF786F" w:rsidRPr="0030125D">
        <w:rPr>
          <w:lang w:val="de-DE"/>
        </w:rPr>
        <w:t>)</w:t>
      </w:r>
      <w:r w:rsidR="00BF786F" w:rsidRPr="0030125D">
        <w:rPr>
          <w:lang w:val="de-DE"/>
        </w:rPr>
        <w:tab/>
      </w:r>
      <w:r w:rsidR="00DE47C4" w:rsidRPr="0030125D">
        <w:rPr>
          <w:lang w:val="de-DE"/>
        </w:rPr>
        <w:t>Abschnitt</w:t>
      </w:r>
      <w:r w:rsidR="0040126D" w:rsidRPr="0030125D">
        <w:rPr>
          <w:lang w:val="de-DE"/>
        </w:rPr>
        <w:t> </w:t>
      </w:r>
      <w:r w:rsidR="00562920" w:rsidRPr="0030125D">
        <w:rPr>
          <w:lang w:val="de-DE"/>
        </w:rPr>
        <w:t>2.3.1 </w:t>
      </w:r>
      <w:r w:rsidR="00BF786F" w:rsidRPr="0030125D">
        <w:rPr>
          <w:lang w:val="de-DE"/>
        </w:rPr>
        <w:t xml:space="preserve">c), </w:t>
      </w:r>
      <w:r w:rsidR="00562920" w:rsidRPr="0030125D">
        <w:rPr>
          <w:iCs/>
          <w:lang w:val="de-DE"/>
        </w:rPr>
        <w:t>vorgeschlagene Beispiele, die „</w:t>
      </w:r>
      <w:r w:rsidR="00562920" w:rsidRPr="0030125D">
        <w:rPr>
          <w:rFonts w:cs="Arial"/>
          <w:lang w:val="de-DE"/>
        </w:rPr>
        <w:t>den Eindruck erwecken, daß die Sorte von einer anderen Sorte abgeleitet oder mit ihr verwandt sei, wenn dies tatsächlich nicht der Fall ist“</w:t>
      </w:r>
      <w:r w:rsidR="00562920" w:rsidRPr="0030125D">
        <w:rPr>
          <w:iCs/>
          <w:lang w:val="de-DE"/>
        </w:rPr>
        <w:t xml:space="preserve"> </w:t>
      </w:r>
      <w:r w:rsidR="000861F9" w:rsidRPr="0030125D">
        <w:rPr>
          <w:lang w:val="de-DE"/>
        </w:rPr>
        <w:t>(</w:t>
      </w:r>
      <w:r w:rsidR="00DD0FB9" w:rsidRPr="0030125D">
        <w:rPr>
          <w:lang w:val="de-DE"/>
        </w:rPr>
        <w:t>vergleiche Absatz</w:t>
      </w:r>
      <w:r w:rsidR="00BF786F" w:rsidRPr="0030125D">
        <w:rPr>
          <w:lang w:val="de-DE"/>
        </w:rPr>
        <w:t> 2</w:t>
      </w:r>
      <w:r w:rsidR="00BF786F" w:rsidRPr="0030125D">
        <w:rPr>
          <w:lang w:val="de-DE" w:eastAsia="ja-JP"/>
        </w:rPr>
        <w:t>9</w:t>
      </w:r>
      <w:r w:rsidR="000861F9" w:rsidRPr="0030125D">
        <w:rPr>
          <w:lang w:val="de-DE" w:eastAsia="ja-JP"/>
        </w:rPr>
        <w:t>)</w:t>
      </w:r>
      <w:r w:rsidR="00BF786F" w:rsidRPr="0030125D">
        <w:rPr>
          <w:lang w:val="de-DE"/>
        </w:rPr>
        <w:t>;</w:t>
      </w:r>
    </w:p>
    <w:p w:rsidR="00BF786F" w:rsidRPr="0030125D" w:rsidRDefault="00BF786F" w:rsidP="00FF1931">
      <w:pPr>
        <w:pStyle w:val="DecisionParagraphs"/>
        <w:tabs>
          <w:tab w:val="clear" w:pos="5387"/>
          <w:tab w:val="left" w:pos="5670"/>
          <w:tab w:val="left" w:pos="6237"/>
        </w:tabs>
        <w:ind w:firstLine="709"/>
        <w:rPr>
          <w:lang w:val="de-DE"/>
        </w:rPr>
      </w:pPr>
    </w:p>
    <w:p w:rsidR="00BF786F" w:rsidRPr="0030125D" w:rsidRDefault="00852407" w:rsidP="00FF1931">
      <w:pPr>
        <w:pStyle w:val="DecisionParagraphs"/>
        <w:tabs>
          <w:tab w:val="clear" w:pos="5387"/>
          <w:tab w:val="left" w:pos="5670"/>
          <w:tab w:val="left" w:pos="6237"/>
        </w:tabs>
        <w:ind w:firstLine="850"/>
        <w:rPr>
          <w:lang w:val="de-DE"/>
        </w:rPr>
      </w:pPr>
      <w:r w:rsidRPr="0030125D">
        <w:rPr>
          <w:lang w:val="de-DE"/>
        </w:rPr>
        <w:t>iii</w:t>
      </w:r>
      <w:r w:rsidR="00BF786F" w:rsidRPr="0030125D">
        <w:rPr>
          <w:lang w:val="de-DE"/>
        </w:rPr>
        <w:t>)</w:t>
      </w:r>
      <w:r w:rsidR="00BF786F" w:rsidRPr="0030125D">
        <w:rPr>
          <w:lang w:val="de-DE"/>
        </w:rPr>
        <w:tab/>
        <w:t>ne</w:t>
      </w:r>
      <w:r w:rsidR="00562920" w:rsidRPr="0030125D">
        <w:rPr>
          <w:lang w:val="de-DE"/>
        </w:rPr>
        <w:t>uer</w:t>
      </w:r>
      <w:r w:rsidR="00BF786F" w:rsidRPr="0030125D">
        <w:rPr>
          <w:lang w:val="de-DE"/>
        </w:rPr>
        <w:t xml:space="preserve"> </w:t>
      </w:r>
      <w:r w:rsidR="00DE47C4" w:rsidRPr="0030125D">
        <w:rPr>
          <w:lang w:val="de-DE"/>
        </w:rPr>
        <w:t>Abschnitt</w:t>
      </w:r>
      <w:r w:rsidR="00BF786F" w:rsidRPr="0030125D">
        <w:rPr>
          <w:lang w:val="de-DE"/>
        </w:rPr>
        <w:t xml:space="preserve"> 2.3.1 d), </w:t>
      </w:r>
      <w:r w:rsidR="00562920" w:rsidRPr="0030125D">
        <w:rPr>
          <w:iCs/>
          <w:lang w:val="de-DE"/>
        </w:rPr>
        <w:t xml:space="preserve">betreffend eine neue Anleitung zu einer möglichen Verwechslung der Verwendung des botanischen oder landesüblichen Namens einer Gattung, der diese Sorte angehört oder nicht </w:t>
      </w:r>
      <w:r w:rsidR="007F6A17" w:rsidRPr="0030125D">
        <w:rPr>
          <w:lang w:val="de-DE"/>
        </w:rPr>
        <w:t>(</w:t>
      </w:r>
      <w:r w:rsidR="006902CB" w:rsidRPr="0030125D">
        <w:rPr>
          <w:lang w:val="de-DE"/>
        </w:rPr>
        <w:t>vergleiche Absätze</w:t>
      </w:r>
      <w:r w:rsidR="00562920" w:rsidRPr="0030125D">
        <w:rPr>
          <w:lang w:val="de-DE"/>
        </w:rPr>
        <w:t> </w:t>
      </w:r>
      <w:r w:rsidR="00BF786F" w:rsidRPr="0030125D">
        <w:rPr>
          <w:lang w:val="de-DE" w:eastAsia="ja-JP"/>
        </w:rPr>
        <w:t>30</w:t>
      </w:r>
      <w:r w:rsidR="00BF786F" w:rsidRPr="0030125D">
        <w:rPr>
          <w:lang w:val="de-DE"/>
        </w:rPr>
        <w:t xml:space="preserve"> </w:t>
      </w:r>
      <w:r w:rsidR="00562920" w:rsidRPr="0030125D">
        <w:rPr>
          <w:lang w:val="de-DE"/>
        </w:rPr>
        <w:t>bis </w:t>
      </w:r>
      <w:r w:rsidR="00BF786F" w:rsidRPr="0030125D">
        <w:rPr>
          <w:lang w:val="de-DE" w:eastAsia="ja-JP"/>
        </w:rPr>
        <w:t>32</w:t>
      </w:r>
      <w:r w:rsidR="007F6A17" w:rsidRPr="0030125D">
        <w:rPr>
          <w:lang w:val="de-DE" w:eastAsia="ja-JP"/>
        </w:rPr>
        <w:t>)</w:t>
      </w:r>
      <w:r w:rsidR="00BF786F" w:rsidRPr="0030125D">
        <w:rPr>
          <w:lang w:val="de-DE"/>
        </w:rPr>
        <w:t>;</w:t>
      </w:r>
    </w:p>
    <w:p w:rsidR="00BF786F" w:rsidRPr="0030125D" w:rsidRDefault="00BF786F" w:rsidP="00FF1931">
      <w:pPr>
        <w:pStyle w:val="DecisionParagraphs"/>
        <w:tabs>
          <w:tab w:val="clear" w:pos="5387"/>
          <w:tab w:val="left" w:pos="5670"/>
          <w:tab w:val="left" w:pos="6237"/>
        </w:tabs>
        <w:ind w:firstLine="709"/>
        <w:rPr>
          <w:lang w:val="de-DE"/>
        </w:rPr>
      </w:pPr>
    </w:p>
    <w:p w:rsidR="00BF786F" w:rsidRPr="0030125D" w:rsidRDefault="0022126B" w:rsidP="00FF1931">
      <w:pPr>
        <w:pStyle w:val="DecisionParagraphs"/>
        <w:tabs>
          <w:tab w:val="clear" w:pos="5387"/>
          <w:tab w:val="left" w:pos="5670"/>
          <w:tab w:val="left" w:pos="6237"/>
        </w:tabs>
        <w:ind w:firstLine="850"/>
        <w:rPr>
          <w:lang w:val="de-DE"/>
        </w:rPr>
      </w:pPr>
      <w:r w:rsidRPr="0030125D">
        <w:rPr>
          <w:lang w:val="de-DE" w:eastAsia="ja-JP"/>
        </w:rPr>
        <w:t xml:space="preserve"> </w:t>
      </w:r>
      <w:r w:rsidR="00852407" w:rsidRPr="0030125D">
        <w:rPr>
          <w:lang w:val="de-DE" w:eastAsia="ja-JP"/>
        </w:rPr>
        <w:t>iv</w:t>
      </w:r>
      <w:r w:rsidR="00BF786F" w:rsidRPr="0030125D">
        <w:rPr>
          <w:lang w:val="de-DE"/>
        </w:rPr>
        <w:t>)</w:t>
      </w:r>
      <w:r w:rsidR="00BF786F" w:rsidRPr="0030125D">
        <w:rPr>
          <w:lang w:val="de-DE"/>
        </w:rPr>
        <w:tab/>
      </w:r>
      <w:r w:rsidR="00DE47C4" w:rsidRPr="0030125D">
        <w:rPr>
          <w:lang w:val="de-DE"/>
        </w:rPr>
        <w:t>Abschnitt</w:t>
      </w:r>
      <w:r w:rsidR="00313CFE" w:rsidRPr="0030125D">
        <w:rPr>
          <w:lang w:val="de-DE"/>
        </w:rPr>
        <w:t xml:space="preserve"> 2.3.3 </w:t>
      </w:r>
      <w:r w:rsidR="00BF786F" w:rsidRPr="0030125D">
        <w:rPr>
          <w:lang w:val="de-DE"/>
        </w:rPr>
        <w:t xml:space="preserve">a), </w:t>
      </w:r>
      <w:r w:rsidR="00562920" w:rsidRPr="0030125D">
        <w:rPr>
          <w:iCs/>
          <w:lang w:val="de-DE"/>
        </w:rPr>
        <w:t>vorgeschlagene erste Anleitung und Beispiele für eine etwaige Verwechslung betreffend „die</w:t>
      </w:r>
      <w:r w:rsidR="00562920" w:rsidRPr="0030125D">
        <w:rPr>
          <w:rFonts w:cs="Arial"/>
          <w:lang w:val="de-DE"/>
        </w:rPr>
        <w:t xml:space="preserve"> Identität der Sorte“, und ob es angebracht wäre, zwischen Buchstaben in Form von Wörtern und sonstigen Fällen zu unterscheiden </w:t>
      </w:r>
      <w:r w:rsidR="00562920" w:rsidRPr="0030125D">
        <w:rPr>
          <w:iCs/>
          <w:lang w:val="de-DE"/>
        </w:rPr>
        <w:t>(vergleiche Absatz</w:t>
      </w:r>
      <w:r w:rsidR="0040126D" w:rsidRPr="0030125D">
        <w:rPr>
          <w:iCs/>
          <w:lang w:val="de-DE"/>
        </w:rPr>
        <w:t> </w:t>
      </w:r>
      <w:r w:rsidR="00562920" w:rsidRPr="0030125D">
        <w:rPr>
          <w:iCs/>
          <w:lang w:val="de-DE"/>
        </w:rPr>
        <w:t>33 i) bis iii)</w:t>
      </w:r>
      <w:r w:rsidR="007F6A17" w:rsidRPr="0030125D">
        <w:rPr>
          <w:lang w:val="de-DE"/>
        </w:rPr>
        <w:t>)</w:t>
      </w:r>
      <w:r w:rsidR="00BF786F" w:rsidRPr="0030125D">
        <w:rPr>
          <w:lang w:val="de-DE"/>
        </w:rPr>
        <w:t>;</w:t>
      </w:r>
    </w:p>
    <w:p w:rsidR="00BF786F" w:rsidRPr="0030125D" w:rsidRDefault="00BF786F" w:rsidP="00FF1931">
      <w:pPr>
        <w:pStyle w:val="DecisionParagraphs"/>
        <w:tabs>
          <w:tab w:val="clear" w:pos="5387"/>
          <w:tab w:val="left" w:pos="5670"/>
          <w:tab w:val="left" w:pos="6237"/>
        </w:tabs>
        <w:ind w:firstLine="709"/>
        <w:rPr>
          <w:lang w:val="de-DE"/>
        </w:rPr>
      </w:pPr>
    </w:p>
    <w:p w:rsidR="00BF786F" w:rsidRPr="0030125D" w:rsidRDefault="0022126B" w:rsidP="00FF1931">
      <w:pPr>
        <w:pStyle w:val="DecisionParagraphs"/>
        <w:tabs>
          <w:tab w:val="clear" w:pos="5387"/>
          <w:tab w:val="left" w:pos="5670"/>
          <w:tab w:val="left" w:pos="6237"/>
        </w:tabs>
        <w:ind w:firstLine="850"/>
        <w:rPr>
          <w:lang w:val="de-DE"/>
        </w:rPr>
      </w:pPr>
      <w:r w:rsidRPr="0030125D">
        <w:rPr>
          <w:lang w:val="de-DE" w:eastAsia="ja-JP"/>
        </w:rPr>
        <w:t xml:space="preserve">  </w:t>
      </w:r>
      <w:r w:rsidR="00852407" w:rsidRPr="0030125D">
        <w:rPr>
          <w:lang w:val="de-DE" w:eastAsia="ja-JP"/>
        </w:rPr>
        <w:t>v</w:t>
      </w:r>
      <w:r w:rsidR="00BF786F" w:rsidRPr="0030125D">
        <w:rPr>
          <w:lang w:val="de-DE"/>
        </w:rPr>
        <w:t>)</w:t>
      </w:r>
      <w:r w:rsidR="00BF786F" w:rsidRPr="0030125D">
        <w:rPr>
          <w:lang w:val="de-DE"/>
        </w:rPr>
        <w:tab/>
      </w:r>
      <w:r w:rsidR="00DE47C4" w:rsidRPr="0030125D">
        <w:rPr>
          <w:lang w:val="de-DE"/>
        </w:rPr>
        <w:t>Abschnitt</w:t>
      </w:r>
      <w:r w:rsidR="0040126D" w:rsidRPr="0030125D">
        <w:rPr>
          <w:lang w:val="de-DE"/>
        </w:rPr>
        <w:t> </w:t>
      </w:r>
      <w:r w:rsidR="007F6A17" w:rsidRPr="0030125D">
        <w:rPr>
          <w:lang w:val="de-DE"/>
        </w:rPr>
        <w:t>2.3.3 b)</w:t>
      </w:r>
      <w:r w:rsidR="00852407" w:rsidRPr="0030125D">
        <w:rPr>
          <w:lang w:val="de-DE"/>
        </w:rPr>
        <w:t xml:space="preserve">, </w:t>
      </w:r>
      <w:r w:rsidR="00562920" w:rsidRPr="0030125D">
        <w:rPr>
          <w:iCs/>
          <w:lang w:val="de-DE"/>
        </w:rPr>
        <w:t xml:space="preserve">vorgeschlagenes zusätzliches Beispiel für „Helena“ und „Elena“ und Streichung des Beispiels „Raion“ und „Lion“, um zu verdeutlichen, daß ein klarer visueller Unterschied möglicherweise keinen klaren phonetischen Unterschied </w:t>
      </w:r>
      <w:r w:rsidR="0040126D" w:rsidRPr="0030125D">
        <w:rPr>
          <w:iCs/>
          <w:lang w:val="de-DE"/>
        </w:rPr>
        <w:t>zeigt</w:t>
      </w:r>
      <w:r w:rsidR="00562920" w:rsidRPr="0030125D">
        <w:rPr>
          <w:iCs/>
          <w:lang w:val="de-DE"/>
        </w:rPr>
        <w:t xml:space="preserve"> (vergleiche Absätze</w:t>
      </w:r>
      <w:r w:rsidR="0040126D" w:rsidRPr="0030125D">
        <w:rPr>
          <w:iCs/>
          <w:lang w:val="de-DE"/>
        </w:rPr>
        <w:t> </w:t>
      </w:r>
      <w:r w:rsidR="00562920" w:rsidRPr="0030125D">
        <w:rPr>
          <w:iCs/>
          <w:lang w:val="de-DE"/>
        </w:rPr>
        <w:t>35 und 36), und</w:t>
      </w:r>
    </w:p>
    <w:p w:rsidR="00BF786F" w:rsidRPr="0030125D" w:rsidRDefault="00BF786F" w:rsidP="00FF1931">
      <w:pPr>
        <w:pStyle w:val="DecisionParagraphs"/>
        <w:tabs>
          <w:tab w:val="clear" w:pos="5387"/>
          <w:tab w:val="left" w:pos="5670"/>
          <w:tab w:val="left" w:pos="6237"/>
        </w:tabs>
        <w:ind w:firstLine="709"/>
        <w:rPr>
          <w:lang w:val="de-DE"/>
        </w:rPr>
      </w:pPr>
    </w:p>
    <w:p w:rsidR="00BF786F" w:rsidRPr="0030125D" w:rsidRDefault="0022126B" w:rsidP="00FF1931">
      <w:pPr>
        <w:pStyle w:val="DecisionParagraphs"/>
        <w:tabs>
          <w:tab w:val="clear" w:pos="5387"/>
          <w:tab w:val="left" w:pos="5670"/>
          <w:tab w:val="left" w:pos="6237"/>
        </w:tabs>
        <w:ind w:firstLine="850"/>
        <w:rPr>
          <w:lang w:val="de-DE" w:eastAsia="ja-JP"/>
        </w:rPr>
      </w:pPr>
      <w:r w:rsidRPr="0030125D">
        <w:rPr>
          <w:lang w:val="de-DE"/>
        </w:rPr>
        <w:t xml:space="preserve"> </w:t>
      </w:r>
      <w:r w:rsidR="00852407" w:rsidRPr="0030125D">
        <w:rPr>
          <w:lang w:val="de-DE" w:eastAsia="ja-JP"/>
        </w:rPr>
        <w:t>vi</w:t>
      </w:r>
      <w:r w:rsidR="00BF786F" w:rsidRPr="0030125D">
        <w:rPr>
          <w:lang w:val="de-DE"/>
        </w:rPr>
        <w:t>)</w:t>
      </w:r>
      <w:r w:rsidR="00BF786F" w:rsidRPr="0030125D">
        <w:rPr>
          <w:lang w:val="de-DE"/>
        </w:rPr>
        <w:tab/>
      </w:r>
      <w:r w:rsidR="00DE47C4" w:rsidRPr="0030125D">
        <w:rPr>
          <w:lang w:val="de-DE"/>
        </w:rPr>
        <w:t>Abschnitt</w:t>
      </w:r>
      <w:r w:rsidR="001254F0" w:rsidRPr="0030125D">
        <w:rPr>
          <w:lang w:val="de-DE"/>
        </w:rPr>
        <w:t> </w:t>
      </w:r>
      <w:r w:rsidR="00852407" w:rsidRPr="0030125D">
        <w:rPr>
          <w:lang w:val="de-DE"/>
        </w:rPr>
        <w:t>2.3.3</w:t>
      </w:r>
      <w:r w:rsidR="00313CFE" w:rsidRPr="0030125D">
        <w:rPr>
          <w:lang w:val="de-DE"/>
        </w:rPr>
        <w:t> </w:t>
      </w:r>
      <w:r w:rsidR="00852407" w:rsidRPr="0030125D">
        <w:rPr>
          <w:lang w:val="de-DE"/>
        </w:rPr>
        <w:t xml:space="preserve">d), </w:t>
      </w:r>
      <w:r w:rsidR="00562920" w:rsidRPr="0030125D">
        <w:rPr>
          <w:iCs/>
          <w:lang w:val="de-DE"/>
        </w:rPr>
        <w:t xml:space="preserve">vorgeschlagene Empfehlung, </w:t>
      </w:r>
      <w:r w:rsidR="005F30E5" w:rsidRPr="0030125D">
        <w:rPr>
          <w:iCs/>
          <w:lang w:val="de-DE"/>
        </w:rPr>
        <w:t xml:space="preserve">daß erwogen werden soll, eine erneute Verwendung von Sortenbezeichnungen in allen Fällen zu vermeiden </w:t>
      </w:r>
      <w:r w:rsidR="00562920" w:rsidRPr="0030125D">
        <w:rPr>
          <w:iCs/>
          <w:lang w:val="de-DE"/>
        </w:rPr>
        <w:t>(vergleiche Absatz</w:t>
      </w:r>
      <w:r w:rsidR="005F30E5" w:rsidRPr="0030125D">
        <w:rPr>
          <w:iCs/>
          <w:lang w:val="de-DE"/>
        </w:rPr>
        <w:t> </w:t>
      </w:r>
      <w:r w:rsidR="00562920" w:rsidRPr="0030125D">
        <w:rPr>
          <w:iCs/>
          <w:lang w:val="de-DE"/>
        </w:rPr>
        <w:t>37 und de</w:t>
      </w:r>
      <w:r w:rsidR="001254F0" w:rsidRPr="0030125D">
        <w:rPr>
          <w:iCs/>
          <w:lang w:val="de-DE"/>
        </w:rPr>
        <w:t>n</w:t>
      </w:r>
      <w:r w:rsidR="00562920" w:rsidRPr="0030125D">
        <w:rPr>
          <w:iCs/>
          <w:lang w:val="de-DE"/>
        </w:rPr>
        <w:t xml:space="preserve"> Vorschlag, die PLUTO-Datenbank zu erweitern, Absatz </w:t>
      </w:r>
      <w:r w:rsidR="005F30E5" w:rsidRPr="0030125D">
        <w:rPr>
          <w:iCs/>
          <w:lang w:val="de-DE"/>
        </w:rPr>
        <w:t> </w:t>
      </w:r>
      <w:r w:rsidR="00562920" w:rsidRPr="0030125D">
        <w:rPr>
          <w:iCs/>
          <w:lang w:val="de-DE"/>
        </w:rPr>
        <w:t>8), und</w:t>
      </w:r>
    </w:p>
    <w:p w:rsidR="00BF786F" w:rsidRPr="0030125D" w:rsidRDefault="00BF786F" w:rsidP="00FF1931">
      <w:pPr>
        <w:pStyle w:val="DecisionParagraphs"/>
        <w:keepLines/>
        <w:tabs>
          <w:tab w:val="left" w:pos="5954"/>
        </w:tabs>
        <w:ind w:left="5103" w:firstLine="426"/>
        <w:rPr>
          <w:lang w:val="de-DE" w:eastAsia="ja-JP"/>
        </w:rPr>
      </w:pPr>
    </w:p>
    <w:p w:rsidR="00097BB4" w:rsidRPr="0030125D" w:rsidRDefault="00BF786F" w:rsidP="00FF1931">
      <w:pPr>
        <w:pStyle w:val="DecisionParagraphs"/>
        <w:keepLines/>
        <w:tabs>
          <w:tab w:val="left" w:pos="5954"/>
        </w:tabs>
        <w:rPr>
          <w:lang w:val="de-DE"/>
        </w:rPr>
      </w:pPr>
      <w:r w:rsidRPr="0030125D">
        <w:rPr>
          <w:rFonts w:cs="Arial"/>
          <w:lang w:val="de-DE" w:eastAsia="ja-JP"/>
        </w:rPr>
        <w:tab/>
        <w:t>b)</w:t>
      </w:r>
      <w:r w:rsidRPr="0030125D">
        <w:rPr>
          <w:rFonts w:cs="Arial"/>
          <w:lang w:val="de-DE" w:eastAsia="ja-JP"/>
        </w:rPr>
        <w:tab/>
      </w:r>
      <w:r w:rsidR="00B40AB1" w:rsidRPr="0030125D">
        <w:rPr>
          <w:iCs/>
          <w:lang w:val="de-DE"/>
        </w:rPr>
        <w:t>einen möglichen künftigen Weg für die Überarbeitung des Dokuments UPOV/INF/12 unter Berücksichtigung der ersten Bemerkungen des CAJ zu den obigen Angelegenheiten und in Verbindung mit der Arbeit der WG</w:t>
      </w:r>
      <w:r w:rsidR="00B40AB1" w:rsidRPr="0030125D">
        <w:rPr>
          <w:iCs/>
          <w:lang w:val="de-DE"/>
        </w:rPr>
        <w:noBreakHyphen/>
        <w:t xml:space="preserve">DST zur Entwicklung eines </w:t>
      </w:r>
      <w:r w:rsidR="00C70070" w:rsidRPr="0030125D">
        <w:rPr>
          <w:iCs/>
          <w:lang w:val="de-DE"/>
        </w:rPr>
        <w:t>effizienten</w:t>
      </w:r>
      <w:r w:rsidR="00B40AB1" w:rsidRPr="0030125D">
        <w:rPr>
          <w:iCs/>
          <w:lang w:val="de-DE"/>
        </w:rPr>
        <w:t xml:space="preserve"> UPOV-Suchinstruments für Ähnlichkeiten zum Zweck der Sortenbezeichnung zu prüfen</w:t>
      </w:r>
      <w:r w:rsidR="0077424B" w:rsidRPr="0030125D">
        <w:rPr>
          <w:lang w:val="de-DE"/>
        </w:rPr>
        <w:t>.</w:t>
      </w:r>
    </w:p>
    <w:p w:rsidR="00D201F5" w:rsidRPr="0030125D" w:rsidRDefault="00D201F5" w:rsidP="00FF1931">
      <w:pPr>
        <w:pStyle w:val="DecisionParagraphs"/>
        <w:tabs>
          <w:tab w:val="clear" w:pos="5387"/>
          <w:tab w:val="left" w:pos="5400"/>
          <w:tab w:val="left" w:pos="5954"/>
        </w:tabs>
        <w:rPr>
          <w:iCs/>
          <w:spacing w:val="-4"/>
          <w:lang w:val="de-DE" w:eastAsia="ja-JP"/>
        </w:rPr>
      </w:pPr>
    </w:p>
    <w:p w:rsidR="000955BC" w:rsidRPr="0030125D" w:rsidRDefault="003C7F21" w:rsidP="003C7F21">
      <w:pPr>
        <w:pStyle w:val="DecisionParagraphs"/>
        <w:rPr>
          <w:lang w:val="de-DE"/>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B40AB1" w:rsidRPr="0030125D">
        <w:rPr>
          <w:lang w:val="de-DE"/>
        </w:rPr>
        <w:t>Der</w:t>
      </w:r>
      <w:r w:rsidR="00B40AB1" w:rsidRPr="0030125D">
        <w:rPr>
          <w:iCs/>
          <w:lang w:val="de-DE"/>
        </w:rPr>
        <w:t xml:space="preserve"> CAJ wird ersucht, zur Kenntnis zu nehmen, daß der Vorschlag für die Erweiterung der PLUTO</w:t>
      </w:r>
      <w:r w:rsidR="00B40AB1" w:rsidRPr="0030125D">
        <w:rPr>
          <w:iCs/>
          <w:lang w:val="de-DE"/>
        </w:rPr>
        <w:noBreakHyphen/>
        <w:t xml:space="preserve">Datenbank zur Aufnahme aller Sorten, einschließlich derjenigen, </w:t>
      </w:r>
      <w:r w:rsidR="001254F0" w:rsidRPr="0030125D">
        <w:rPr>
          <w:rFonts w:cs="Arial"/>
          <w:lang w:val="de-DE"/>
        </w:rPr>
        <w:t>die nicht eingetragen/geschützt worden waren oder es nicht mehr sind</w:t>
      </w:r>
      <w:r w:rsidR="00B40AB1" w:rsidRPr="0030125D">
        <w:rPr>
          <w:iCs/>
          <w:lang w:val="de-DE"/>
        </w:rPr>
        <w:t>, in Dokument CAJ/72/6, „UPOV</w:t>
      </w:r>
      <w:r w:rsidR="001254F0" w:rsidRPr="0030125D">
        <w:rPr>
          <w:iCs/>
          <w:lang w:val="de-DE"/>
        </w:rPr>
        <w:noBreakHyphen/>
      </w:r>
      <w:r w:rsidR="00B40AB1" w:rsidRPr="0030125D">
        <w:rPr>
          <w:iCs/>
          <w:lang w:val="de-DE"/>
        </w:rPr>
        <w:t>Informationsdatenbanken“</w:t>
      </w:r>
      <w:r w:rsidR="005F30E5" w:rsidRPr="0030125D">
        <w:rPr>
          <w:iCs/>
          <w:lang w:val="de-DE"/>
        </w:rPr>
        <w:t>,</w:t>
      </w:r>
      <w:r w:rsidR="00B40AB1" w:rsidRPr="0030125D">
        <w:rPr>
          <w:iCs/>
          <w:lang w:val="de-DE"/>
        </w:rPr>
        <w:t xml:space="preserve"> behandelt werden wird, wie in Absatz</w:t>
      </w:r>
      <w:r w:rsidR="001254F0" w:rsidRPr="0030125D">
        <w:rPr>
          <w:iCs/>
          <w:lang w:val="de-DE"/>
        </w:rPr>
        <w:t> </w:t>
      </w:r>
      <w:r w:rsidR="00B40AB1" w:rsidRPr="0030125D">
        <w:rPr>
          <w:iCs/>
          <w:lang w:val="de-DE"/>
        </w:rPr>
        <w:t>3</w:t>
      </w:r>
      <w:r w:rsidR="00B40AB1" w:rsidRPr="0030125D">
        <w:rPr>
          <w:iCs/>
          <w:lang w:val="de-DE" w:eastAsia="ja-JP"/>
        </w:rPr>
        <w:t>8 dargelegt.</w:t>
      </w:r>
      <w:bookmarkStart w:id="52" w:name="_Toc427161619"/>
    </w:p>
    <w:p w:rsidR="007A6AF5" w:rsidRPr="0030125D" w:rsidRDefault="007A6AF5" w:rsidP="0077424B">
      <w:pPr>
        <w:rPr>
          <w:lang w:val="de-DE"/>
        </w:rPr>
      </w:pPr>
    </w:p>
    <w:p w:rsidR="00467CF9" w:rsidRPr="0030125D" w:rsidRDefault="00467CF9" w:rsidP="00313CFE">
      <w:pPr>
        <w:rPr>
          <w:lang w:val="de-DE"/>
        </w:rPr>
      </w:pPr>
    </w:p>
    <w:p w:rsidR="000955BC" w:rsidRPr="0030125D" w:rsidRDefault="00B40AB1" w:rsidP="000955BC">
      <w:pPr>
        <w:pStyle w:val="Heading2"/>
        <w:rPr>
          <w:lang w:val="de-DE" w:eastAsia="ja-JP"/>
        </w:rPr>
      </w:pPr>
      <w:bookmarkStart w:id="53" w:name="_Toc431309807"/>
      <w:bookmarkStart w:id="54" w:name="_Toc432164676"/>
      <w:r w:rsidRPr="0030125D">
        <w:rPr>
          <w:lang w:val="de-DE"/>
        </w:rPr>
        <w:t xml:space="preserve">Vorschläge der </w:t>
      </w:r>
      <w:r w:rsidR="000955BC" w:rsidRPr="0030125D">
        <w:rPr>
          <w:lang w:val="de-DE"/>
        </w:rPr>
        <w:t xml:space="preserve">CAJ-AG </w:t>
      </w:r>
      <w:r w:rsidRPr="0030125D">
        <w:rPr>
          <w:lang w:val="de-DE"/>
        </w:rPr>
        <w:t>zu</w:t>
      </w:r>
      <w:r w:rsidR="000955BC" w:rsidRPr="0030125D">
        <w:rPr>
          <w:lang w:val="de-DE"/>
        </w:rPr>
        <w:t xml:space="preserve"> </w:t>
      </w:r>
      <w:r w:rsidR="00DE47C4" w:rsidRPr="0030125D">
        <w:rPr>
          <w:lang w:val="de-DE"/>
        </w:rPr>
        <w:t>Abschnitt</w:t>
      </w:r>
      <w:r w:rsidR="000955BC" w:rsidRPr="0030125D">
        <w:rPr>
          <w:lang w:val="de-DE"/>
        </w:rPr>
        <w:t xml:space="preserve"> 2.2.2 c), </w:t>
      </w:r>
      <w:r w:rsidR="00DE47C4" w:rsidRPr="0030125D">
        <w:rPr>
          <w:lang w:val="de-DE"/>
        </w:rPr>
        <w:t>Abschnitt</w:t>
      </w:r>
      <w:r w:rsidR="000D1EA8" w:rsidRPr="0030125D">
        <w:rPr>
          <w:lang w:val="de-DE"/>
        </w:rPr>
        <w:t xml:space="preserve"> </w:t>
      </w:r>
      <w:r w:rsidR="000955BC" w:rsidRPr="0030125D">
        <w:rPr>
          <w:lang w:val="de-DE"/>
        </w:rPr>
        <w:t>4</w:t>
      </w:r>
      <w:r w:rsidRPr="0030125D">
        <w:rPr>
          <w:lang w:val="de-DE"/>
        </w:rPr>
        <w:t> </w:t>
      </w:r>
      <w:r w:rsidR="000955BC" w:rsidRPr="0030125D">
        <w:rPr>
          <w:lang w:val="de-DE"/>
        </w:rPr>
        <w:t xml:space="preserve">a) </w:t>
      </w:r>
      <w:r w:rsidRPr="0030125D">
        <w:rPr>
          <w:lang w:val="de-DE"/>
        </w:rPr>
        <w:t>u</w:t>
      </w:r>
      <w:r w:rsidR="000955BC" w:rsidRPr="0030125D">
        <w:rPr>
          <w:lang w:val="de-DE"/>
        </w:rPr>
        <w:t xml:space="preserve">nd </w:t>
      </w:r>
      <w:r w:rsidR="00DE47C4" w:rsidRPr="0030125D">
        <w:rPr>
          <w:lang w:val="de-DE"/>
        </w:rPr>
        <w:t>Abschnitt</w:t>
      </w:r>
      <w:r w:rsidR="000D1EA8" w:rsidRPr="0030125D">
        <w:rPr>
          <w:lang w:val="de-DE"/>
        </w:rPr>
        <w:t xml:space="preserve"> </w:t>
      </w:r>
      <w:r w:rsidR="000955BC" w:rsidRPr="0030125D">
        <w:rPr>
          <w:lang w:val="de-DE"/>
        </w:rPr>
        <w:t>4</w:t>
      </w:r>
      <w:r w:rsidRPr="0030125D">
        <w:rPr>
          <w:lang w:val="de-DE"/>
        </w:rPr>
        <w:t> </w:t>
      </w:r>
      <w:r w:rsidR="000955BC" w:rsidRPr="0030125D">
        <w:rPr>
          <w:lang w:val="de-DE"/>
        </w:rPr>
        <w:t>e)</w:t>
      </w:r>
      <w:r w:rsidRPr="0030125D">
        <w:rPr>
          <w:lang w:val="de-DE"/>
        </w:rPr>
        <w:t> </w:t>
      </w:r>
      <w:r w:rsidR="000955BC" w:rsidRPr="0030125D">
        <w:rPr>
          <w:lang w:val="de-DE"/>
        </w:rPr>
        <w:t>i)</w:t>
      </w:r>
      <w:bookmarkEnd w:id="52"/>
      <w:bookmarkEnd w:id="53"/>
      <w:bookmarkEnd w:id="54"/>
    </w:p>
    <w:p w:rsidR="000955BC" w:rsidRPr="0030125D" w:rsidRDefault="000955BC" w:rsidP="008B5ED9">
      <w:pPr>
        <w:keepNext/>
        <w:rPr>
          <w:lang w:val="de-DE" w:eastAsia="ja-JP"/>
        </w:rPr>
      </w:pPr>
    </w:p>
    <w:p w:rsidR="000955BC" w:rsidRPr="0030125D" w:rsidRDefault="000955BC" w:rsidP="000955BC">
      <w:pPr>
        <w:rPr>
          <w:lang w:val="de-DE"/>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B40AB1" w:rsidRPr="0030125D">
        <w:rPr>
          <w:lang w:val="de-DE"/>
        </w:rPr>
        <w:t>Der CAJ vereinbarte auf seiner einundsiebzigsten Tagung</w:t>
      </w:r>
      <w:r w:rsidR="000D1EA8" w:rsidRPr="0030125D">
        <w:rPr>
          <w:rStyle w:val="FootnoteReference"/>
          <w:lang w:val="de-DE"/>
        </w:rPr>
        <w:footnoteReference w:id="31"/>
      </w:r>
      <w:r w:rsidR="00B40AB1" w:rsidRPr="0030125D">
        <w:rPr>
          <w:lang w:val="de-DE"/>
        </w:rPr>
        <w:t xml:space="preserve">, folgende Vorschläge der </w:t>
      </w:r>
      <w:r w:rsidRPr="0030125D">
        <w:rPr>
          <w:lang w:val="de-DE"/>
        </w:rPr>
        <w:t xml:space="preserve">CAJ-AG </w:t>
      </w:r>
      <w:r w:rsidR="00B40AB1" w:rsidRPr="0030125D">
        <w:rPr>
          <w:lang w:val="de-DE"/>
        </w:rPr>
        <w:t>zu</w:t>
      </w:r>
      <w:r w:rsidRPr="0030125D">
        <w:rPr>
          <w:lang w:val="de-DE"/>
        </w:rPr>
        <w:t xml:space="preserve"> </w:t>
      </w:r>
      <w:r w:rsidR="00DE47C4" w:rsidRPr="0030125D">
        <w:rPr>
          <w:lang w:val="de-DE"/>
        </w:rPr>
        <w:t>Dokument</w:t>
      </w:r>
      <w:r w:rsidR="00B40AB1" w:rsidRPr="0030125D">
        <w:rPr>
          <w:lang w:val="de-DE"/>
        </w:rPr>
        <w:t> </w:t>
      </w:r>
      <w:r w:rsidRPr="0030125D">
        <w:rPr>
          <w:lang w:val="de-DE"/>
        </w:rPr>
        <w:t>UPOV/INF/12/5 Draft</w:t>
      </w:r>
      <w:r w:rsidR="001254F0" w:rsidRPr="0030125D">
        <w:rPr>
          <w:lang w:val="de-DE"/>
        </w:rPr>
        <w:t> </w:t>
      </w:r>
      <w:r w:rsidRPr="0030125D">
        <w:rPr>
          <w:lang w:val="de-DE"/>
        </w:rPr>
        <w:t xml:space="preserve">2, </w:t>
      </w:r>
      <w:r w:rsidR="00DE47C4" w:rsidRPr="0030125D">
        <w:rPr>
          <w:lang w:val="de-DE"/>
        </w:rPr>
        <w:t>Abschnitt</w:t>
      </w:r>
      <w:r w:rsidRPr="0030125D">
        <w:rPr>
          <w:lang w:val="de-DE"/>
        </w:rPr>
        <w:t xml:space="preserve"> 2.2.2 c), </w:t>
      </w:r>
      <w:r w:rsidR="00DE47C4" w:rsidRPr="0030125D">
        <w:rPr>
          <w:lang w:val="de-DE"/>
        </w:rPr>
        <w:t>Abschnitt</w:t>
      </w:r>
      <w:r w:rsidR="000D1EA8" w:rsidRPr="0030125D">
        <w:rPr>
          <w:lang w:val="de-DE"/>
        </w:rPr>
        <w:t xml:space="preserve"> </w:t>
      </w:r>
      <w:r w:rsidRPr="0030125D">
        <w:rPr>
          <w:lang w:val="de-DE"/>
        </w:rPr>
        <w:t>4</w:t>
      </w:r>
      <w:r w:rsidR="00B40AB1" w:rsidRPr="0030125D">
        <w:rPr>
          <w:lang w:val="de-DE"/>
        </w:rPr>
        <w:t> </w:t>
      </w:r>
      <w:r w:rsidRPr="0030125D">
        <w:rPr>
          <w:lang w:val="de-DE"/>
        </w:rPr>
        <w:t xml:space="preserve">a) </w:t>
      </w:r>
      <w:r w:rsidR="00B40AB1" w:rsidRPr="0030125D">
        <w:rPr>
          <w:lang w:val="de-DE"/>
        </w:rPr>
        <w:t>u</w:t>
      </w:r>
      <w:r w:rsidRPr="0030125D">
        <w:rPr>
          <w:lang w:val="de-DE"/>
        </w:rPr>
        <w:t xml:space="preserve">nd </w:t>
      </w:r>
      <w:r w:rsidR="00DE47C4" w:rsidRPr="0030125D">
        <w:rPr>
          <w:lang w:val="de-DE"/>
        </w:rPr>
        <w:t>Abschnitt</w:t>
      </w:r>
      <w:r w:rsidR="000D1EA8" w:rsidRPr="0030125D">
        <w:rPr>
          <w:lang w:val="de-DE"/>
        </w:rPr>
        <w:t xml:space="preserve"> </w:t>
      </w:r>
      <w:r w:rsidRPr="0030125D">
        <w:rPr>
          <w:lang w:val="de-DE"/>
        </w:rPr>
        <w:t>4</w:t>
      </w:r>
      <w:r w:rsidR="00B40AB1" w:rsidRPr="0030125D">
        <w:rPr>
          <w:lang w:val="de-DE"/>
        </w:rPr>
        <w:t> </w:t>
      </w:r>
      <w:r w:rsidRPr="0030125D">
        <w:rPr>
          <w:lang w:val="de-DE"/>
        </w:rPr>
        <w:t>e)</w:t>
      </w:r>
      <w:r w:rsidR="00B40AB1" w:rsidRPr="0030125D">
        <w:rPr>
          <w:lang w:val="de-DE"/>
        </w:rPr>
        <w:t> </w:t>
      </w:r>
      <w:r w:rsidRPr="0030125D">
        <w:rPr>
          <w:lang w:val="de-DE"/>
        </w:rPr>
        <w:t>i)</w:t>
      </w:r>
      <w:r w:rsidR="00B40AB1" w:rsidRPr="0030125D">
        <w:rPr>
          <w:lang w:val="de-DE"/>
        </w:rPr>
        <w:t xml:space="preserve"> auf seiner zweiundsiebzigsten Tagung zu prüfen</w:t>
      </w:r>
      <w:r w:rsidRPr="0030125D">
        <w:rPr>
          <w:lang w:val="de-DE"/>
        </w:rPr>
        <w:t>:</w:t>
      </w:r>
    </w:p>
    <w:p w:rsidR="000955BC" w:rsidRPr="0030125D" w:rsidRDefault="000955BC" w:rsidP="000955BC">
      <w:pPr>
        <w:rPr>
          <w:lang w:val="de-DE"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DE47C4" w:rsidRPr="0030125D" w:rsidTr="00DE47C4">
        <w:trPr>
          <w:cantSplit/>
        </w:trPr>
        <w:tc>
          <w:tcPr>
            <w:tcW w:w="1391" w:type="dxa"/>
          </w:tcPr>
          <w:p w:rsidR="00DE47C4" w:rsidRPr="0030125D" w:rsidRDefault="00DE47C4" w:rsidP="00DE47C4">
            <w:pPr>
              <w:rPr>
                <w:rFonts w:cs="Arial"/>
                <w:lang w:val="de-DE"/>
              </w:rPr>
            </w:pPr>
            <w:r w:rsidRPr="0030125D">
              <w:rPr>
                <w:rFonts w:cs="Arial"/>
                <w:lang w:val="de-DE"/>
              </w:rPr>
              <w:t>2.2.2 c)</w:t>
            </w:r>
          </w:p>
        </w:tc>
        <w:tc>
          <w:tcPr>
            <w:tcW w:w="7789" w:type="dxa"/>
          </w:tcPr>
          <w:p w:rsidR="00DE47C4" w:rsidRPr="0030125D" w:rsidRDefault="00DE47C4" w:rsidP="00DE47C4">
            <w:pPr>
              <w:rPr>
                <w:rFonts w:cs="Arial"/>
                <w:lang w:val="de-DE"/>
              </w:rPr>
            </w:pPr>
            <w:r w:rsidRPr="0030125D">
              <w:rPr>
                <w:rFonts w:cs="Arial"/>
                <w:lang w:val="de-DE"/>
              </w:rPr>
              <w:t>2.2.2</w:t>
            </w:r>
            <w:r w:rsidR="001254F0" w:rsidRPr="0030125D">
              <w:rPr>
                <w:rFonts w:cs="Arial"/>
                <w:lang w:val="de-DE"/>
              </w:rPr>
              <w:t> </w:t>
            </w:r>
            <w:r w:rsidRPr="0030125D">
              <w:rPr>
                <w:rFonts w:cs="Arial"/>
                <w:lang w:val="de-DE"/>
              </w:rPr>
              <w:t>c) ist wie folgt hinzuzufügen:</w:t>
            </w:r>
          </w:p>
          <w:p w:rsidR="00DE47C4" w:rsidRPr="0030125D" w:rsidRDefault="00DE47C4" w:rsidP="00DE47C4">
            <w:pPr>
              <w:rPr>
                <w:rFonts w:cs="Arial"/>
                <w:lang w:val="de-DE"/>
              </w:rPr>
            </w:pPr>
          </w:p>
          <w:p w:rsidR="00DE47C4" w:rsidRPr="0030125D" w:rsidRDefault="00DE47C4" w:rsidP="0022126B">
            <w:pPr>
              <w:rPr>
                <w:rFonts w:cs="Arial"/>
                <w:lang w:val="de-DE"/>
              </w:rPr>
            </w:pPr>
            <w:r w:rsidRPr="0030125D">
              <w:rPr>
                <w:rFonts w:cs="Arial"/>
                <w:lang w:val="de-DE"/>
              </w:rPr>
              <w:t>„c)</w:t>
            </w:r>
            <w:r w:rsidRPr="0030125D">
              <w:rPr>
                <w:rFonts w:cs="Arial"/>
                <w:lang w:val="de-DE"/>
              </w:rPr>
              <w:tab/>
              <w:t xml:space="preserve">als </w:t>
            </w:r>
            <w:r w:rsidR="0022126B" w:rsidRPr="0030125D">
              <w:rPr>
                <w:rFonts w:cs="Arial"/>
                <w:lang w:val="de-DE"/>
              </w:rPr>
              <w:t>‚</w:t>
            </w:r>
            <w:r w:rsidRPr="0030125D">
              <w:rPr>
                <w:rFonts w:cs="Arial"/>
                <w:lang w:val="de-DE"/>
              </w:rPr>
              <w:t>feststehende Praxis</w:t>
            </w:r>
            <w:r w:rsidR="0022126B" w:rsidRPr="0030125D">
              <w:rPr>
                <w:rFonts w:cs="Arial"/>
                <w:lang w:val="de-DE"/>
              </w:rPr>
              <w:t>‘</w:t>
            </w:r>
            <w:r w:rsidRPr="0030125D">
              <w:rPr>
                <w:rFonts w:cs="Arial"/>
                <w:lang w:val="de-DE"/>
              </w:rPr>
              <w:t xml:space="preserve"> gilt es, wenn die Eintragung für eine Art oder Gruppe akzeptiert wurde, so </w:t>
            </w:r>
            <w:r w:rsidR="00C70070" w:rsidRPr="0030125D">
              <w:rPr>
                <w:rFonts w:cs="Arial"/>
                <w:lang w:val="de-DE"/>
              </w:rPr>
              <w:t>daß</w:t>
            </w:r>
            <w:r w:rsidRPr="0030125D">
              <w:rPr>
                <w:rFonts w:cs="Arial"/>
                <w:lang w:val="de-DE"/>
              </w:rPr>
              <w:t xml:space="preserve"> sie bei anderen Arten verwendet werden kann, für die noch keine Sorte eingetragen ist, deren Bezeichnung ausschließlich aus Zahlen besteht.“</w:t>
            </w:r>
          </w:p>
        </w:tc>
      </w:tr>
      <w:tr w:rsidR="00DE47C4" w:rsidRPr="0030125D" w:rsidTr="00DE47C4">
        <w:trPr>
          <w:cantSplit/>
        </w:trPr>
        <w:tc>
          <w:tcPr>
            <w:tcW w:w="1391" w:type="dxa"/>
          </w:tcPr>
          <w:p w:rsidR="00DE47C4" w:rsidRPr="0030125D" w:rsidRDefault="00DE47C4" w:rsidP="00DE47C4">
            <w:pPr>
              <w:rPr>
                <w:lang w:val="de-DE"/>
              </w:rPr>
            </w:pPr>
            <w:r w:rsidRPr="0030125D">
              <w:rPr>
                <w:lang w:val="de-DE"/>
              </w:rPr>
              <w:t>4 a)</w:t>
            </w:r>
          </w:p>
        </w:tc>
        <w:tc>
          <w:tcPr>
            <w:tcW w:w="7789" w:type="dxa"/>
          </w:tcPr>
          <w:p w:rsidR="00DE47C4" w:rsidRPr="0030125D" w:rsidRDefault="00DE47C4" w:rsidP="00DE47C4">
            <w:pPr>
              <w:rPr>
                <w:snapToGrid w:val="0"/>
                <w:lang w:val="de-DE"/>
              </w:rPr>
            </w:pPr>
            <w:r w:rsidRPr="0030125D">
              <w:rPr>
                <w:snapToGrid w:val="0"/>
                <w:lang w:val="de-DE"/>
              </w:rPr>
              <w:t>4</w:t>
            </w:r>
            <w:r w:rsidR="001254F0" w:rsidRPr="0030125D">
              <w:rPr>
                <w:snapToGrid w:val="0"/>
                <w:lang w:val="de-DE"/>
              </w:rPr>
              <w:t> </w:t>
            </w:r>
            <w:r w:rsidRPr="0030125D">
              <w:rPr>
                <w:snapToGrid w:val="0"/>
                <w:lang w:val="de-DE"/>
              </w:rPr>
              <w:t>a) ist wie folgt zu ändern:</w:t>
            </w:r>
          </w:p>
          <w:p w:rsidR="00DE47C4" w:rsidRPr="0030125D" w:rsidRDefault="00DE47C4" w:rsidP="00DE47C4">
            <w:pPr>
              <w:rPr>
                <w:snapToGrid w:val="0"/>
                <w:lang w:val="de-DE"/>
              </w:rPr>
            </w:pPr>
          </w:p>
          <w:p w:rsidR="00DE47C4" w:rsidRPr="0030125D" w:rsidRDefault="00DE47C4" w:rsidP="008C115A">
            <w:pPr>
              <w:ind w:firstLine="567"/>
              <w:rPr>
                <w:lang w:val="de-DE"/>
              </w:rPr>
            </w:pPr>
            <w:r w:rsidRPr="0030125D">
              <w:rPr>
                <w:lang w:val="de-DE"/>
              </w:rPr>
              <w:t>„a)</w:t>
            </w:r>
            <w:r w:rsidRPr="0030125D">
              <w:rPr>
                <w:lang w:val="de-DE"/>
              </w:rPr>
              <w:tab/>
              <w:t xml:space="preserve">Eine Behörde sollte eine Sortenbezeichnung nicht akzeptieren, wenn </w:t>
            </w:r>
            <w:r w:rsidRPr="0030125D">
              <w:rPr>
                <w:u w:val="single"/>
                <w:lang w:val="de-DE"/>
              </w:rPr>
              <w:t>ein älteres Recht vorliegt</w:t>
            </w:r>
            <w:r w:rsidRPr="0030125D">
              <w:rPr>
                <w:lang w:val="de-DE"/>
              </w:rPr>
              <w:t>, dessen Ausübung der Benutzung der vorgeschlagenen Sortenbezeichnung entgegenstehen könnte.</w:t>
            </w:r>
            <w:r w:rsidRPr="0030125D">
              <w:rPr>
                <w:strike/>
                <w:lang w:val="de-DE"/>
              </w:rPr>
              <w:t>bereits einem Dritten nach den Züchterrechtsvorschriften, dem Markenrecht oder anderen Rechtsvorschriften über geistiges Eigentum erteilt wurde.</w:t>
            </w:r>
            <w:r w:rsidRPr="0030125D">
              <w:rPr>
                <w:lang w:val="de-DE"/>
              </w:rPr>
              <w:t xml:space="preserve"> Es obliegt dem Inhaber eines älteren Rechts, seine Rechte mittels der verfügbaren Einwendungs- oder Gerichtsverfahren geltend zu machen. Die Behörden werden jedoch dazu angehalten, in entsprechenden Veröffentlichungen (z. B. Amtsblättern) und Datenbanken (z. B. UPOV</w:t>
            </w:r>
            <w:r w:rsidR="008C115A" w:rsidRPr="0030125D">
              <w:rPr>
                <w:lang w:val="de-DE"/>
              </w:rPr>
              <w:noBreakHyphen/>
            </w:r>
            <w:r w:rsidRPr="0030125D">
              <w:rPr>
                <w:lang w:val="de-DE"/>
              </w:rPr>
              <w:t xml:space="preserve">Datenbank für Pflanzensorten (PLUTO) </w:t>
            </w:r>
            <w:hyperlink r:id="rId10" w:history="1">
              <w:r w:rsidRPr="0030125D">
                <w:rPr>
                  <w:rStyle w:val="Hyperlink"/>
                  <w:lang w:val="de-DE"/>
                </w:rPr>
                <w:t>http://www.upov.int/pluto/de/</w:t>
              </w:r>
            </w:hyperlink>
            <w:r w:rsidRPr="0030125D">
              <w:rPr>
                <w:lang w:val="de-DE"/>
              </w:rPr>
              <w:t>) vorherige Nachforschungen anzustellen, um ältere Rechte an Sortenbezeichnungen zu ermitteln. Sie können auch in anderen Registern wie Handelsmarkenregistern suchen, bevor sie eine Sortenbezeichnung akzeptieren.“</w:t>
            </w:r>
          </w:p>
        </w:tc>
      </w:tr>
      <w:tr w:rsidR="00DE47C4" w:rsidRPr="0030125D" w:rsidTr="00DE47C4">
        <w:trPr>
          <w:cantSplit/>
        </w:trPr>
        <w:tc>
          <w:tcPr>
            <w:tcW w:w="1391" w:type="dxa"/>
          </w:tcPr>
          <w:p w:rsidR="00DE47C4" w:rsidRPr="0030125D" w:rsidRDefault="00DE47C4" w:rsidP="00DE47C4">
            <w:pPr>
              <w:rPr>
                <w:lang w:val="de-DE"/>
              </w:rPr>
            </w:pPr>
            <w:r w:rsidRPr="0030125D">
              <w:rPr>
                <w:lang w:val="de-DE"/>
              </w:rPr>
              <w:lastRenderedPageBreak/>
              <w:t>4 e) i)</w:t>
            </w:r>
          </w:p>
        </w:tc>
        <w:tc>
          <w:tcPr>
            <w:tcW w:w="7789" w:type="dxa"/>
          </w:tcPr>
          <w:p w:rsidR="00DE47C4" w:rsidRPr="0030125D" w:rsidRDefault="00DE47C4" w:rsidP="00DE47C4">
            <w:pPr>
              <w:rPr>
                <w:snapToGrid w:val="0"/>
                <w:lang w:val="de-DE"/>
              </w:rPr>
            </w:pPr>
            <w:r w:rsidRPr="0030125D">
              <w:rPr>
                <w:snapToGrid w:val="0"/>
                <w:lang w:val="de-DE"/>
              </w:rPr>
              <w:t>Der letzte Satz von 4</w:t>
            </w:r>
            <w:r w:rsidR="001254F0" w:rsidRPr="0030125D">
              <w:rPr>
                <w:snapToGrid w:val="0"/>
                <w:lang w:val="de-DE"/>
              </w:rPr>
              <w:t> </w:t>
            </w:r>
            <w:r w:rsidRPr="0030125D">
              <w:rPr>
                <w:snapToGrid w:val="0"/>
                <w:lang w:val="de-DE"/>
              </w:rPr>
              <w:t>e)</w:t>
            </w:r>
            <w:r w:rsidR="001254F0" w:rsidRPr="0030125D">
              <w:rPr>
                <w:snapToGrid w:val="0"/>
                <w:lang w:val="de-DE"/>
              </w:rPr>
              <w:t> </w:t>
            </w:r>
            <w:r w:rsidRPr="0030125D">
              <w:rPr>
                <w:snapToGrid w:val="0"/>
                <w:lang w:val="de-DE"/>
              </w:rPr>
              <w:t>i) ist wie folgt zu ändern:</w:t>
            </w:r>
          </w:p>
          <w:p w:rsidR="00DE47C4" w:rsidRPr="0030125D" w:rsidRDefault="00DE47C4" w:rsidP="00DE47C4">
            <w:pPr>
              <w:rPr>
                <w:snapToGrid w:val="0"/>
                <w:lang w:val="de-DE"/>
              </w:rPr>
            </w:pPr>
          </w:p>
          <w:p w:rsidR="00DE47C4" w:rsidRPr="0030125D" w:rsidRDefault="00DE47C4" w:rsidP="001254F0">
            <w:pPr>
              <w:tabs>
                <w:tab w:val="right" w:pos="1134"/>
                <w:tab w:val="left" w:pos="1418"/>
              </w:tabs>
              <w:rPr>
                <w:lang w:val="de-DE"/>
              </w:rPr>
            </w:pPr>
            <w:r w:rsidRPr="0030125D">
              <w:rPr>
                <w:lang w:val="de-DE"/>
              </w:rPr>
              <w:t>„In Fällen bloßer Ähnlichkeit oder einer geringen Wahrscheinlichkeit</w:t>
            </w:r>
            <w:r w:rsidRPr="0030125D">
              <w:rPr>
                <w:strike/>
                <w:lang w:val="de-DE"/>
              </w:rPr>
              <w:t xml:space="preserve">, </w:t>
            </w:r>
            <w:r w:rsidR="00C70070" w:rsidRPr="0030125D">
              <w:rPr>
                <w:strike/>
                <w:lang w:val="de-DE"/>
              </w:rPr>
              <w:t>daß</w:t>
            </w:r>
            <w:r w:rsidRPr="0030125D">
              <w:rPr>
                <w:strike/>
                <w:lang w:val="de-DE"/>
              </w:rPr>
              <w:t xml:space="preserve"> sie</w:t>
            </w:r>
            <w:r w:rsidRPr="0030125D">
              <w:rPr>
                <w:lang w:val="de-DE"/>
              </w:rPr>
              <w:t xml:space="preserve"> </w:t>
            </w:r>
            <w:r w:rsidRPr="0030125D">
              <w:rPr>
                <w:strike/>
                <w:lang w:val="de-DE"/>
              </w:rPr>
              <w:t>von den Benutzern in Zusammenhang gebracht werden</w:t>
            </w:r>
            <w:r w:rsidRPr="0030125D">
              <w:rPr>
                <w:lang w:val="de-DE"/>
              </w:rPr>
              <w:t xml:space="preserve"> </w:t>
            </w:r>
            <w:r w:rsidR="001254F0" w:rsidRPr="0030125D">
              <w:rPr>
                <w:lang w:val="de-DE"/>
              </w:rPr>
              <w:t>ein</w:t>
            </w:r>
            <w:r w:rsidRPr="0030125D">
              <w:rPr>
                <w:lang w:val="de-DE"/>
              </w:rPr>
              <w:t xml:space="preserve">er </w:t>
            </w:r>
            <w:r w:rsidRPr="0030125D">
              <w:rPr>
                <w:u w:val="single"/>
                <w:lang w:val="de-DE"/>
              </w:rPr>
              <w:t>Verwechslung</w:t>
            </w:r>
            <w:r w:rsidRPr="0030125D">
              <w:rPr>
                <w:lang w:val="de-DE"/>
              </w:rPr>
              <w:t xml:space="preserve"> durch Benutzer könnte ein Verzicht auf Einwendungen durch die Rechtsinhaber einer Handelsmarke zugunsten der Züchter eine geeignete Lösung sein.</w:t>
            </w:r>
            <w:r w:rsidR="008C115A" w:rsidRPr="0030125D">
              <w:rPr>
                <w:lang w:val="de-DE"/>
              </w:rPr>
              <w:t>“</w:t>
            </w:r>
          </w:p>
        </w:tc>
      </w:tr>
    </w:tbl>
    <w:p w:rsidR="000955BC" w:rsidRPr="0030125D" w:rsidRDefault="000955BC" w:rsidP="000955BC">
      <w:pPr>
        <w:rPr>
          <w:snapToGrid w:val="0"/>
          <w:lang w:val="de-DE" w:eastAsia="ja-JP"/>
        </w:rPr>
      </w:pPr>
    </w:p>
    <w:p w:rsidR="00CA3196" w:rsidRPr="0030125D" w:rsidRDefault="00D511BA" w:rsidP="00820F72">
      <w:pPr>
        <w:pStyle w:val="DecisionParagraphs"/>
        <w:keepLines/>
        <w:rPr>
          <w:snapToGrid w:val="0"/>
          <w:lang w:val="de-DE" w:eastAsia="ja-JP"/>
        </w:rPr>
      </w:pPr>
      <w:r w:rsidRPr="0030125D">
        <w:rPr>
          <w:lang w:val="de-DE"/>
        </w:rPr>
        <w:fldChar w:fldCharType="begin"/>
      </w:r>
      <w:r w:rsidRPr="0030125D">
        <w:rPr>
          <w:lang w:val="de-DE"/>
        </w:rPr>
        <w:instrText xml:space="preserve"> AUTONUM  </w:instrText>
      </w:r>
      <w:r w:rsidRPr="0030125D">
        <w:rPr>
          <w:lang w:val="de-DE"/>
        </w:rPr>
        <w:fldChar w:fldCharType="end"/>
      </w:r>
      <w:r w:rsidRPr="0030125D">
        <w:rPr>
          <w:lang w:val="de-DE"/>
        </w:rPr>
        <w:tab/>
      </w:r>
      <w:r w:rsidR="008C115A" w:rsidRPr="0030125D">
        <w:rPr>
          <w:lang w:val="de-DE"/>
        </w:rPr>
        <w:t>Der</w:t>
      </w:r>
      <w:r w:rsidRPr="0030125D">
        <w:rPr>
          <w:lang w:val="de-DE"/>
        </w:rPr>
        <w:t xml:space="preserve"> CAJ </w:t>
      </w:r>
      <w:r w:rsidR="008C115A" w:rsidRPr="0030125D">
        <w:rPr>
          <w:lang w:val="de-DE"/>
        </w:rPr>
        <w:t xml:space="preserve">wird ersucht, die </w:t>
      </w:r>
      <w:r w:rsidR="00C70070" w:rsidRPr="0030125D">
        <w:rPr>
          <w:lang w:val="de-DE"/>
        </w:rPr>
        <w:t>Vorschläge</w:t>
      </w:r>
      <w:r w:rsidR="008C115A" w:rsidRPr="0030125D">
        <w:rPr>
          <w:lang w:val="de-DE"/>
        </w:rPr>
        <w:t xml:space="preserve"> der </w:t>
      </w:r>
      <w:r w:rsidRPr="0030125D">
        <w:rPr>
          <w:lang w:val="de-DE"/>
        </w:rPr>
        <w:t>CAJ</w:t>
      </w:r>
      <w:r w:rsidR="008C115A" w:rsidRPr="0030125D">
        <w:rPr>
          <w:lang w:val="de-DE"/>
        </w:rPr>
        <w:noBreakHyphen/>
      </w:r>
      <w:r w:rsidRPr="0030125D">
        <w:rPr>
          <w:lang w:val="de-DE"/>
        </w:rPr>
        <w:t xml:space="preserve">AG </w:t>
      </w:r>
      <w:r w:rsidR="008C115A" w:rsidRPr="0030125D">
        <w:rPr>
          <w:lang w:val="de-DE"/>
        </w:rPr>
        <w:t xml:space="preserve">für eine Überarbeitung des </w:t>
      </w:r>
      <w:r w:rsidR="00DE47C4" w:rsidRPr="0030125D">
        <w:rPr>
          <w:lang w:val="de-DE"/>
        </w:rPr>
        <w:t>Dokument</w:t>
      </w:r>
      <w:r w:rsidR="008C115A" w:rsidRPr="0030125D">
        <w:rPr>
          <w:lang w:val="de-DE"/>
        </w:rPr>
        <w:t>s</w:t>
      </w:r>
      <w:r w:rsidR="003C7F21" w:rsidRPr="0030125D">
        <w:rPr>
          <w:lang w:val="de-DE"/>
        </w:rPr>
        <w:t> </w:t>
      </w:r>
      <w:r w:rsidR="00415F5E" w:rsidRPr="0030125D">
        <w:rPr>
          <w:lang w:val="de-DE"/>
        </w:rPr>
        <w:t xml:space="preserve">UPOV/INF/12, </w:t>
      </w:r>
      <w:r w:rsidR="00DE47C4" w:rsidRPr="0030125D">
        <w:rPr>
          <w:lang w:val="de-DE"/>
        </w:rPr>
        <w:t>Abschnitt</w:t>
      </w:r>
      <w:r w:rsidR="008C115A" w:rsidRPr="0030125D">
        <w:rPr>
          <w:lang w:val="de-DE"/>
        </w:rPr>
        <w:t> </w:t>
      </w:r>
      <w:r w:rsidRPr="0030125D">
        <w:rPr>
          <w:lang w:val="de-DE"/>
        </w:rPr>
        <w:t>2.2.2</w:t>
      </w:r>
      <w:r w:rsidR="008C115A" w:rsidRPr="0030125D">
        <w:rPr>
          <w:lang w:val="de-DE"/>
        </w:rPr>
        <w:t> </w:t>
      </w:r>
      <w:r w:rsidRPr="0030125D">
        <w:rPr>
          <w:lang w:val="de-DE"/>
        </w:rPr>
        <w:t xml:space="preserve">c), </w:t>
      </w:r>
      <w:r w:rsidR="00DE47C4" w:rsidRPr="0030125D">
        <w:rPr>
          <w:lang w:val="de-DE"/>
        </w:rPr>
        <w:t>Abschnitt</w:t>
      </w:r>
      <w:r w:rsidR="000D1EA8" w:rsidRPr="0030125D">
        <w:rPr>
          <w:lang w:val="de-DE"/>
        </w:rPr>
        <w:t xml:space="preserve"> </w:t>
      </w:r>
      <w:r w:rsidRPr="0030125D">
        <w:rPr>
          <w:lang w:val="de-DE"/>
        </w:rPr>
        <w:t>4</w:t>
      </w:r>
      <w:r w:rsidR="008C115A" w:rsidRPr="0030125D">
        <w:rPr>
          <w:lang w:val="de-DE"/>
        </w:rPr>
        <w:t> </w:t>
      </w:r>
      <w:r w:rsidRPr="0030125D">
        <w:rPr>
          <w:lang w:val="de-DE"/>
        </w:rPr>
        <w:t xml:space="preserve">a) </w:t>
      </w:r>
      <w:r w:rsidR="008C115A" w:rsidRPr="0030125D">
        <w:rPr>
          <w:lang w:val="de-DE"/>
        </w:rPr>
        <w:t>u</w:t>
      </w:r>
      <w:r w:rsidRPr="0030125D">
        <w:rPr>
          <w:lang w:val="de-DE"/>
        </w:rPr>
        <w:t xml:space="preserve">nd </w:t>
      </w:r>
      <w:r w:rsidR="00DE47C4" w:rsidRPr="0030125D">
        <w:rPr>
          <w:lang w:val="de-DE"/>
        </w:rPr>
        <w:t>Abschnitt</w:t>
      </w:r>
      <w:r w:rsidR="000D1EA8" w:rsidRPr="0030125D">
        <w:rPr>
          <w:lang w:val="de-DE"/>
        </w:rPr>
        <w:t xml:space="preserve"> </w:t>
      </w:r>
      <w:r w:rsidRPr="0030125D">
        <w:rPr>
          <w:lang w:val="de-DE"/>
        </w:rPr>
        <w:t>4</w:t>
      </w:r>
      <w:r w:rsidR="008C115A" w:rsidRPr="0030125D">
        <w:rPr>
          <w:lang w:val="de-DE"/>
        </w:rPr>
        <w:t> </w:t>
      </w:r>
      <w:r w:rsidRPr="0030125D">
        <w:rPr>
          <w:lang w:val="de-DE"/>
        </w:rPr>
        <w:t>e)</w:t>
      </w:r>
      <w:r w:rsidR="008C115A" w:rsidRPr="0030125D">
        <w:rPr>
          <w:lang w:val="de-DE"/>
        </w:rPr>
        <w:t> </w:t>
      </w:r>
      <w:r w:rsidRPr="0030125D">
        <w:rPr>
          <w:lang w:val="de-DE"/>
        </w:rPr>
        <w:t>i)</w:t>
      </w:r>
      <w:r w:rsidR="00415F5E" w:rsidRPr="0030125D">
        <w:rPr>
          <w:lang w:val="de-DE"/>
        </w:rPr>
        <w:t>,</w:t>
      </w:r>
      <w:r w:rsidRPr="0030125D">
        <w:rPr>
          <w:lang w:val="de-DE"/>
        </w:rPr>
        <w:t xml:space="preserve"> </w:t>
      </w:r>
      <w:r w:rsidR="008C115A" w:rsidRPr="0030125D">
        <w:rPr>
          <w:lang w:val="de-DE"/>
        </w:rPr>
        <w:t>wie in Absatz 41 dargelegt, zu prüfen.</w:t>
      </w:r>
    </w:p>
    <w:p w:rsidR="00CA3196" w:rsidRPr="0030125D" w:rsidRDefault="00CA3196" w:rsidP="00E10886">
      <w:pPr>
        <w:rPr>
          <w:snapToGrid w:val="0"/>
          <w:lang w:val="de-DE" w:eastAsia="ja-JP"/>
        </w:rPr>
      </w:pPr>
    </w:p>
    <w:p w:rsidR="0077424B" w:rsidRPr="0030125D" w:rsidRDefault="0077424B" w:rsidP="00E10886">
      <w:pPr>
        <w:rPr>
          <w:snapToGrid w:val="0"/>
          <w:lang w:val="de-DE" w:eastAsia="ja-JP"/>
        </w:rPr>
      </w:pPr>
    </w:p>
    <w:p w:rsidR="0077424B" w:rsidRPr="0030125D" w:rsidRDefault="0077424B" w:rsidP="00E10886">
      <w:pPr>
        <w:rPr>
          <w:snapToGrid w:val="0"/>
          <w:lang w:val="de-DE" w:eastAsia="ja-JP"/>
        </w:rPr>
      </w:pPr>
    </w:p>
    <w:p w:rsidR="00E10886" w:rsidRPr="0030125D" w:rsidRDefault="00532FB6" w:rsidP="00532FB6">
      <w:pPr>
        <w:jc w:val="right"/>
        <w:rPr>
          <w:snapToGrid w:val="0"/>
          <w:lang w:val="de-DE" w:eastAsia="ja-JP"/>
        </w:rPr>
      </w:pPr>
      <w:r w:rsidRPr="0030125D">
        <w:rPr>
          <w:snapToGrid w:val="0"/>
          <w:lang w:val="de-DE" w:eastAsia="ja-JP"/>
        </w:rPr>
        <w:t>[End</w:t>
      </w:r>
      <w:r w:rsidR="0022126B" w:rsidRPr="0030125D">
        <w:rPr>
          <w:snapToGrid w:val="0"/>
          <w:lang w:val="de-DE" w:eastAsia="ja-JP"/>
        </w:rPr>
        <w:t>e</w:t>
      </w:r>
      <w:r w:rsidRPr="0030125D">
        <w:rPr>
          <w:snapToGrid w:val="0"/>
          <w:lang w:val="de-DE" w:eastAsia="ja-JP"/>
        </w:rPr>
        <w:t xml:space="preserve"> </w:t>
      </w:r>
      <w:r w:rsidR="0022126B" w:rsidRPr="0030125D">
        <w:rPr>
          <w:snapToGrid w:val="0"/>
          <w:lang w:val="de-DE" w:eastAsia="ja-JP"/>
        </w:rPr>
        <w:t>des</w:t>
      </w:r>
      <w:r w:rsidRPr="0030125D">
        <w:rPr>
          <w:snapToGrid w:val="0"/>
          <w:lang w:val="de-DE" w:eastAsia="ja-JP"/>
        </w:rPr>
        <w:t xml:space="preserve"> </w:t>
      </w:r>
      <w:r w:rsidR="00DE47C4" w:rsidRPr="0030125D">
        <w:rPr>
          <w:snapToGrid w:val="0"/>
          <w:lang w:val="de-DE" w:eastAsia="ja-JP"/>
        </w:rPr>
        <w:t>Dokument</w:t>
      </w:r>
      <w:r w:rsidR="0022126B" w:rsidRPr="0030125D">
        <w:rPr>
          <w:snapToGrid w:val="0"/>
          <w:lang w:val="de-DE" w:eastAsia="ja-JP"/>
        </w:rPr>
        <w:t>s</w:t>
      </w:r>
      <w:r w:rsidRPr="0030125D">
        <w:rPr>
          <w:snapToGrid w:val="0"/>
          <w:lang w:val="de-DE" w:eastAsia="ja-JP"/>
        </w:rPr>
        <w:t>]</w:t>
      </w:r>
    </w:p>
    <w:p w:rsidR="00900C26" w:rsidRPr="0030125D" w:rsidRDefault="00900C26" w:rsidP="00664515">
      <w:pPr>
        <w:jc w:val="left"/>
        <w:rPr>
          <w:snapToGrid w:val="0"/>
          <w:lang w:val="de-DE"/>
        </w:rPr>
      </w:pPr>
    </w:p>
    <w:sectPr w:rsidR="00900C26" w:rsidRPr="0030125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67" w:rsidRDefault="00E41767">
      <w:r>
        <w:separator/>
      </w:r>
    </w:p>
    <w:p w:rsidR="00E41767" w:rsidRDefault="00E41767"/>
    <w:p w:rsidR="00E41767" w:rsidRDefault="00E41767"/>
  </w:endnote>
  <w:endnote w:type="continuationSeparator" w:id="0">
    <w:p w:rsidR="00E41767" w:rsidRDefault="00E41767">
      <w:r>
        <w:separator/>
      </w:r>
    </w:p>
    <w:p w:rsidR="00E41767" w:rsidRPr="00664515" w:rsidRDefault="00E41767">
      <w:pPr>
        <w:pStyle w:val="Footer"/>
        <w:spacing w:after="60"/>
        <w:rPr>
          <w:sz w:val="18"/>
          <w:lang w:val="fr-CH"/>
        </w:rPr>
      </w:pPr>
      <w:r w:rsidRPr="00664515">
        <w:rPr>
          <w:sz w:val="18"/>
          <w:lang w:val="fr-CH"/>
        </w:rPr>
        <w:t>[Suite de la note de la page précédente]</w:t>
      </w:r>
    </w:p>
    <w:p w:rsidR="00E41767" w:rsidRPr="00664515" w:rsidRDefault="00E41767">
      <w:pPr>
        <w:rPr>
          <w:lang w:val="fr-CH"/>
        </w:rPr>
      </w:pPr>
    </w:p>
    <w:p w:rsidR="00E41767" w:rsidRPr="00664515" w:rsidRDefault="00E41767">
      <w:pPr>
        <w:rPr>
          <w:lang w:val="fr-CH"/>
        </w:rPr>
      </w:pPr>
    </w:p>
  </w:endnote>
  <w:endnote w:type="continuationNotice" w:id="1">
    <w:p w:rsidR="00E41767" w:rsidRPr="00664515" w:rsidRDefault="00E41767">
      <w:pPr>
        <w:spacing w:before="60"/>
        <w:jc w:val="right"/>
        <w:rPr>
          <w:sz w:val="18"/>
          <w:lang w:val="fr-CH"/>
        </w:rPr>
      </w:pPr>
      <w:r w:rsidRPr="00664515">
        <w:rPr>
          <w:sz w:val="18"/>
          <w:lang w:val="fr-CH"/>
        </w:rPr>
        <w:t>[Suite de la note page suivante]</w:t>
      </w:r>
    </w:p>
    <w:p w:rsidR="00E41767" w:rsidRPr="00664515" w:rsidRDefault="00E41767">
      <w:pPr>
        <w:rPr>
          <w:lang w:val="fr-CH"/>
        </w:rPr>
      </w:pPr>
    </w:p>
    <w:p w:rsidR="00E41767" w:rsidRPr="00664515" w:rsidRDefault="00E4176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67" w:rsidRDefault="00E41767" w:rsidP="009D690D">
      <w:pPr>
        <w:spacing w:before="120"/>
      </w:pPr>
      <w:r>
        <w:separator/>
      </w:r>
    </w:p>
  </w:footnote>
  <w:footnote w:type="continuationSeparator" w:id="0">
    <w:p w:rsidR="00E41767" w:rsidRDefault="00E41767" w:rsidP="00520297">
      <w:pPr>
        <w:spacing w:before="120"/>
        <w:jc w:val="left"/>
      </w:pPr>
      <w:r>
        <w:separator/>
      </w:r>
    </w:p>
  </w:footnote>
  <w:footnote w:type="continuationNotice" w:id="1">
    <w:p w:rsidR="00E41767" w:rsidRDefault="00E41767"/>
  </w:footnote>
  <w:footnote w:id="2">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Abgehalten in Genf am 9. Juni 2015.</w:t>
      </w:r>
    </w:p>
  </w:footnote>
  <w:footnote w:id="3">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4.</w:t>
      </w:r>
    </w:p>
  </w:footnote>
  <w:footnote w:id="4">
    <w:p w:rsidR="00B45E58" w:rsidRPr="003C6B65" w:rsidRDefault="00B45E58" w:rsidP="002E3203">
      <w:pPr>
        <w:spacing w:before="60"/>
        <w:rPr>
          <w:sz w:val="16"/>
          <w:szCs w:val="16"/>
          <w:lang w:val="de-DE" w:eastAsia="ja-JP"/>
        </w:rPr>
      </w:pPr>
      <w:r w:rsidRPr="003C6B65">
        <w:rPr>
          <w:rStyle w:val="FootnoteReference"/>
          <w:sz w:val="16"/>
          <w:szCs w:val="16"/>
          <w:lang w:val="de-DE"/>
        </w:rPr>
        <w:footnoteRef/>
      </w:r>
      <w:r w:rsidRPr="003C6B65">
        <w:rPr>
          <w:sz w:val="16"/>
          <w:szCs w:val="16"/>
          <w:lang w:val="de-DE"/>
        </w:rPr>
        <w:t xml:space="preserve"> </w:t>
      </w:r>
      <w:r w:rsidRPr="003C6B65">
        <w:rPr>
          <w:sz w:val="16"/>
          <w:szCs w:val="16"/>
          <w:lang w:val="de-DE" w:eastAsia="ja-JP"/>
        </w:rPr>
        <w:tab/>
      </w:r>
      <w:r w:rsidRPr="003C6B65">
        <w:rPr>
          <w:rFonts w:cs="Arial"/>
          <w:sz w:val="16"/>
          <w:szCs w:val="16"/>
          <w:lang w:val="de-DE"/>
        </w:rPr>
        <w:t>F3 = (1 + 3*3) x (Genauigkeit x Vollständigkeit)/(3*3 x Genauigkeit + Vollständigkeit).</w:t>
      </w:r>
    </w:p>
  </w:footnote>
  <w:footnote w:id="5">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5.</w:t>
      </w:r>
    </w:p>
  </w:footnote>
  <w:footnote w:id="6">
    <w:p w:rsidR="00B45E58" w:rsidRPr="003C6B65" w:rsidRDefault="00B45E58" w:rsidP="00265B83">
      <w:pPr>
        <w:spacing w:before="60"/>
        <w:ind w:left="567" w:hanging="567"/>
        <w:rPr>
          <w:sz w:val="16"/>
          <w:szCs w:val="16"/>
          <w:lang w:val="de-DE"/>
        </w:rPr>
      </w:pPr>
      <w:r w:rsidRPr="003C6B65">
        <w:rPr>
          <w:rStyle w:val="FootnoteReference"/>
          <w:sz w:val="16"/>
          <w:szCs w:val="16"/>
          <w:lang w:val="de-DE"/>
        </w:rPr>
        <w:footnoteRef/>
      </w:r>
      <w:r w:rsidRPr="003C6B65">
        <w:rPr>
          <w:sz w:val="16"/>
          <w:szCs w:val="16"/>
          <w:lang w:val="de-DE"/>
        </w:rPr>
        <w:t xml:space="preserve"> </w:t>
      </w:r>
      <w:r w:rsidRPr="003C6B65">
        <w:rPr>
          <w:sz w:val="16"/>
          <w:szCs w:val="16"/>
          <w:lang w:val="de-DE" w:eastAsia="ja-JP"/>
        </w:rPr>
        <w:tab/>
        <w:t xml:space="preserve">Die </w:t>
      </w:r>
      <w:r w:rsidR="003C6B65" w:rsidRPr="003C6B65">
        <w:rPr>
          <w:sz w:val="16"/>
          <w:szCs w:val="16"/>
          <w:lang w:val="de-DE" w:eastAsia="ja-JP"/>
        </w:rPr>
        <w:t>Größe</w:t>
      </w:r>
      <w:r w:rsidRPr="003C6B65">
        <w:rPr>
          <w:sz w:val="16"/>
          <w:szCs w:val="16"/>
          <w:lang w:val="de-DE" w:eastAsia="ja-JP"/>
        </w:rPr>
        <w:t xml:space="preserve"> des Unterschieds zwischen einer Bezeichnung und der von einem Algorithmus berechnet</w:t>
      </w:r>
      <w:r w:rsidR="003C6B65">
        <w:rPr>
          <w:sz w:val="16"/>
          <w:szCs w:val="16"/>
          <w:lang w:val="de-DE" w:eastAsia="ja-JP"/>
        </w:rPr>
        <w:t>en</w:t>
      </w:r>
      <w:r w:rsidRPr="003C6B65">
        <w:rPr>
          <w:sz w:val="16"/>
          <w:szCs w:val="16"/>
          <w:lang w:val="de-DE" w:eastAsia="ja-JP"/>
        </w:rPr>
        <w:t xml:space="preserve"> Testbezeichnung wird als Ähnlichkeitsindex bezeichnet. Der Testtrennwert </w:t>
      </w:r>
      <w:r w:rsidRPr="003C6B65">
        <w:rPr>
          <w:rFonts w:cs="Arial"/>
          <w:sz w:val="16"/>
          <w:szCs w:val="16"/>
          <w:lang w:val="de-DE"/>
        </w:rPr>
        <w:t>ist die Schwelle des Ähnlichkeitsindex zur Bestimmung dessen, ob die Bezeichnung in dem Maße als nicht so ähnlich angesehen wird, daß sie einer weiteren, individuellen Prüfung bedürfen würde, bevor entschieden wird, ob die Bezeichnung (hinreichend) verschieden von bestehenden Bezeichnungen sei (vergleiche Artikel 20 2) der Akte von 1991 und Artikel 13 2) der Akte von 1978 und des Übereinkommens von 1961).</w:t>
      </w:r>
    </w:p>
  </w:footnote>
  <w:footnote w:id="7">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6.</w:t>
      </w:r>
    </w:p>
  </w:footnote>
  <w:footnote w:id="8">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7.</w:t>
      </w:r>
    </w:p>
  </w:footnote>
  <w:footnote w:id="9">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8.</w:t>
      </w:r>
    </w:p>
  </w:footnote>
  <w:footnote w:id="10">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9.</w:t>
      </w:r>
    </w:p>
  </w:footnote>
  <w:footnote w:id="11">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10.</w:t>
      </w:r>
    </w:p>
  </w:footnote>
  <w:footnote w:id="12">
    <w:p w:rsidR="00B45E58" w:rsidRPr="003C6B65" w:rsidRDefault="00B45E58">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Vergleiche Dokument UPOV/WG-DST/2/6, „</w:t>
      </w:r>
      <w:r w:rsidRPr="003C6B65">
        <w:rPr>
          <w:i/>
          <w:szCs w:val="16"/>
          <w:lang w:val="de-DE" w:eastAsia="ja-JP"/>
        </w:rPr>
        <w:t>Report</w:t>
      </w:r>
      <w:r w:rsidRPr="003C6B65">
        <w:rPr>
          <w:szCs w:val="16"/>
          <w:lang w:val="de-DE" w:eastAsia="ja-JP"/>
        </w:rPr>
        <w:t>“, Absatz 11.</w:t>
      </w:r>
    </w:p>
  </w:footnote>
  <w:footnote w:id="13">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 „</w:t>
      </w:r>
      <w:r w:rsidRPr="003C6B65">
        <w:rPr>
          <w:i/>
          <w:lang w:val="de-DE" w:eastAsia="ja-JP"/>
        </w:rPr>
        <w:t>Report</w:t>
      </w:r>
      <w:r w:rsidRPr="003C6B65">
        <w:rPr>
          <w:lang w:val="de-DE" w:eastAsia="ja-JP"/>
        </w:rPr>
        <w:t>“, Absatz 12</w:t>
      </w:r>
    </w:p>
  </w:footnote>
  <w:footnote w:id="14">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 „</w:t>
      </w:r>
      <w:r w:rsidRPr="003C6B65">
        <w:rPr>
          <w:i/>
          <w:lang w:val="de-DE" w:eastAsia="ja-JP"/>
        </w:rPr>
        <w:t>Report</w:t>
      </w:r>
      <w:r w:rsidRPr="003C6B65">
        <w:rPr>
          <w:lang w:val="de-DE" w:eastAsia="ja-JP"/>
        </w:rPr>
        <w:t>“, Absatz 13</w:t>
      </w:r>
    </w:p>
  </w:footnote>
  <w:footnote w:id="15">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 „</w:t>
      </w:r>
      <w:r w:rsidRPr="003C6B65">
        <w:rPr>
          <w:i/>
          <w:lang w:val="de-DE" w:eastAsia="ja-JP"/>
        </w:rPr>
        <w:t>Report</w:t>
      </w:r>
      <w:r w:rsidRPr="003C6B65">
        <w:rPr>
          <w:lang w:val="de-DE" w:eastAsia="ja-JP"/>
        </w:rPr>
        <w:t>“, Absatz 15</w:t>
      </w:r>
    </w:p>
  </w:footnote>
  <w:footnote w:id="16">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Abgehalten in Genf am 26. März 2015</w:t>
      </w:r>
    </w:p>
  </w:footnote>
  <w:footnote w:id="17">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Abgehalten in Genf am 14. und 17. Oktober 2014</w:t>
      </w:r>
    </w:p>
  </w:footnote>
  <w:footnote w:id="18">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CAJ/71/10, „Bericht über die Entschließungen“, Absatz 35</w:t>
      </w:r>
    </w:p>
  </w:footnote>
  <w:footnote w:id="19">
    <w:p w:rsidR="00B45E58" w:rsidRPr="003C6B65" w:rsidRDefault="00B45E58" w:rsidP="00461F5D">
      <w:pPr>
        <w:pStyle w:val="FootnoteText"/>
        <w:rPr>
          <w:szCs w:val="16"/>
          <w:lang w:val="de-DE" w:eastAsia="ja-JP"/>
        </w:rPr>
      </w:pPr>
      <w:r w:rsidRPr="003C6B65">
        <w:rPr>
          <w:rStyle w:val="FootnoteReference"/>
          <w:szCs w:val="16"/>
          <w:lang w:val="de-DE"/>
        </w:rPr>
        <w:footnoteRef/>
      </w:r>
      <w:r w:rsidRPr="003C6B65">
        <w:rPr>
          <w:szCs w:val="16"/>
          <w:lang w:val="de-DE"/>
        </w:rPr>
        <w:t xml:space="preserve"> </w:t>
      </w:r>
      <w:r w:rsidRPr="003C6B65">
        <w:rPr>
          <w:szCs w:val="16"/>
          <w:lang w:val="de-DE" w:eastAsia="ja-JP"/>
        </w:rPr>
        <w:tab/>
        <w:t>Abgehalten in Genf am 9. Juni 2015</w:t>
      </w:r>
    </w:p>
  </w:footnote>
  <w:footnote w:id="20">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 „</w:t>
      </w:r>
      <w:r w:rsidRPr="003C6B65">
        <w:rPr>
          <w:i/>
          <w:lang w:val="de-DE" w:eastAsia="ja-JP"/>
        </w:rPr>
        <w:t>Report</w:t>
      </w:r>
      <w:r w:rsidRPr="003C6B65">
        <w:rPr>
          <w:lang w:val="de-DE" w:eastAsia="ja-JP"/>
        </w:rPr>
        <w:t>“, Absatz 21</w:t>
      </w:r>
    </w:p>
  </w:footnote>
  <w:footnote w:id="21">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22</w:t>
      </w:r>
    </w:p>
  </w:footnote>
  <w:footnote w:id="22">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23</w:t>
      </w:r>
    </w:p>
  </w:footnote>
  <w:footnote w:id="23">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“Report”, Absatz 24</w:t>
      </w:r>
    </w:p>
  </w:footnote>
  <w:footnote w:id="24">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25</w:t>
      </w:r>
    </w:p>
  </w:footnote>
  <w:footnote w:id="25">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26</w:t>
      </w:r>
    </w:p>
  </w:footnote>
  <w:footnote w:id="26">
    <w:p w:rsidR="00B45E58" w:rsidRPr="003C6B65" w:rsidRDefault="00B45E58" w:rsidP="004D07FA">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Abzuhalten in Genf am 26. und 27. Oktober 2015.</w:t>
      </w:r>
    </w:p>
  </w:footnote>
  <w:footnote w:id="27">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27</w:t>
      </w:r>
    </w:p>
  </w:footnote>
  <w:footnote w:id="28">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527901"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28</w:t>
      </w:r>
    </w:p>
  </w:footnote>
  <w:footnote w:id="29">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746A02"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29</w:t>
      </w:r>
    </w:p>
  </w:footnote>
  <w:footnote w:id="30">
    <w:p w:rsidR="00B45E58" w:rsidRPr="003C6B65" w:rsidRDefault="00B45E58">
      <w:pPr>
        <w:pStyle w:val="FootnoteText"/>
        <w:rPr>
          <w:lang w:val="de-DE" w:eastAsia="ja-JP"/>
        </w:rPr>
      </w:pPr>
      <w:r w:rsidRPr="003C6B65">
        <w:rPr>
          <w:rStyle w:val="FootnoteReference"/>
          <w:lang w:val="de-DE"/>
        </w:rPr>
        <w:footnoteRef/>
      </w:r>
      <w:r w:rsidRPr="003C6B65">
        <w:rPr>
          <w:lang w:val="de-DE"/>
        </w:rPr>
        <w:t xml:space="preserve"> </w:t>
      </w:r>
      <w:r w:rsidRPr="003C6B65">
        <w:rPr>
          <w:lang w:val="de-DE" w:eastAsia="ja-JP"/>
        </w:rPr>
        <w:tab/>
        <w:t>Vergleiche Dokument UPOV/WG-DST/2/6</w:t>
      </w:r>
      <w:r w:rsidR="00746A02" w:rsidRPr="003C6B65">
        <w:rPr>
          <w:lang w:val="de-DE" w:eastAsia="ja-JP"/>
        </w:rPr>
        <w:t>,</w:t>
      </w:r>
      <w:r w:rsidRPr="003C6B65">
        <w:rPr>
          <w:lang w:val="de-DE" w:eastAsia="ja-JP"/>
        </w:rPr>
        <w:t xml:space="preserve"> „</w:t>
      </w:r>
      <w:r w:rsidRPr="003C6B65">
        <w:rPr>
          <w:i/>
          <w:lang w:val="de-DE" w:eastAsia="ja-JP"/>
        </w:rPr>
        <w:t>Report</w:t>
      </w:r>
      <w:r w:rsidRPr="003C6B65">
        <w:rPr>
          <w:lang w:val="de-DE" w:eastAsia="ja-JP"/>
        </w:rPr>
        <w:t>“, Absatz 30</w:t>
      </w:r>
    </w:p>
  </w:footnote>
  <w:footnote w:id="31">
    <w:p w:rsidR="00B45E58" w:rsidRPr="00DE47C4" w:rsidRDefault="00B45E58">
      <w:pPr>
        <w:pStyle w:val="FootnoteText"/>
        <w:rPr>
          <w:lang w:val="de-CH"/>
        </w:rPr>
      </w:pPr>
      <w:r>
        <w:rPr>
          <w:rStyle w:val="FootnoteReference"/>
        </w:rPr>
        <w:footnoteRef/>
      </w:r>
      <w:r w:rsidRPr="00DE47C4">
        <w:rPr>
          <w:lang w:val="de-CH"/>
        </w:rPr>
        <w:t xml:space="preserve"> </w:t>
      </w:r>
      <w:r>
        <w:rPr>
          <w:lang w:val="de-CH"/>
        </w:rPr>
        <w:t>Vergleiche</w:t>
      </w:r>
      <w:r w:rsidRPr="00DE47C4">
        <w:rPr>
          <w:rFonts w:hint="eastAsia"/>
          <w:lang w:val="de-CH" w:eastAsia="ja-JP"/>
        </w:rPr>
        <w:t xml:space="preserve"> Dokument</w:t>
      </w:r>
      <w:r>
        <w:rPr>
          <w:lang w:val="de-CH" w:eastAsia="ja-JP"/>
        </w:rPr>
        <w:t> </w:t>
      </w:r>
      <w:r w:rsidRPr="00DE47C4">
        <w:rPr>
          <w:rFonts w:hint="eastAsia"/>
          <w:lang w:val="de-CH" w:eastAsia="ja-JP"/>
        </w:rPr>
        <w:t>CAJ/71/10</w:t>
      </w:r>
      <w:r>
        <w:rPr>
          <w:lang w:val="de-CH" w:eastAsia="ja-JP"/>
        </w:rPr>
        <w:t>, „</w:t>
      </w:r>
      <w:r w:rsidRPr="00DE47C4">
        <w:rPr>
          <w:rFonts w:hint="eastAsia"/>
          <w:lang w:val="de-CH" w:eastAsia="ja-JP"/>
        </w:rPr>
        <w:t>Bericht über die Entschließungen</w:t>
      </w:r>
      <w:r>
        <w:rPr>
          <w:lang w:val="de-CH" w:eastAsia="ja-JP"/>
        </w:rPr>
        <w:t>“</w:t>
      </w:r>
      <w:r w:rsidRPr="00DE47C4">
        <w:rPr>
          <w:rFonts w:hint="eastAsia"/>
          <w:lang w:val="de-CH" w:eastAsia="ja-JP"/>
        </w:rPr>
        <w:t xml:space="preserve">, </w:t>
      </w:r>
      <w:r>
        <w:rPr>
          <w:rFonts w:hint="eastAsia"/>
          <w:lang w:val="de-CH" w:eastAsia="ja-JP"/>
        </w:rPr>
        <w:t>Absatz</w:t>
      </w:r>
      <w:r w:rsidRPr="00DE47C4">
        <w:rPr>
          <w:rFonts w:hint="eastAsia"/>
          <w:lang w:val="de-CH" w:eastAsia="ja-JP"/>
        </w:rPr>
        <w:t xml:space="preserve"> </w:t>
      </w:r>
      <w:r w:rsidRPr="00DE47C4">
        <w:rPr>
          <w:lang w:val="de-CH" w:eastAsia="ja-JP"/>
        </w:rPr>
        <w:t>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58" w:rsidRPr="00997029" w:rsidRDefault="00B45E58" w:rsidP="00E23920">
    <w:pPr>
      <w:jc w:val="center"/>
      <w:rPr>
        <w:rStyle w:val="PageNumber"/>
      </w:rPr>
    </w:pPr>
    <w:r>
      <w:rPr>
        <w:rStyle w:val="PageNumber"/>
      </w:rPr>
      <w:t>CAJ/72/3</w:t>
    </w:r>
  </w:p>
  <w:p w:rsidR="00B45E58" w:rsidRPr="00997029" w:rsidRDefault="00B45E58" w:rsidP="00E23920">
    <w:pPr>
      <w:jc w:val="center"/>
    </w:pPr>
    <w:r>
      <w:t>Seit</w:t>
    </w:r>
    <w:r w:rsidRPr="00997029">
      <w:t xml:space="preserve">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A53D9">
      <w:rPr>
        <w:rStyle w:val="PageNumber"/>
        <w:noProof/>
      </w:rPr>
      <w:t>8</w:t>
    </w:r>
    <w:r w:rsidRPr="00997029">
      <w:rPr>
        <w:rStyle w:val="PageNumber"/>
      </w:rPr>
      <w:fldChar w:fldCharType="end"/>
    </w:r>
  </w:p>
  <w:p w:rsidR="00B45E58" w:rsidRPr="00997029" w:rsidRDefault="00B45E58"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07760"/>
    <w:rsid w:val="0001076D"/>
    <w:rsid w:val="00010CF3"/>
    <w:rsid w:val="00011E27"/>
    <w:rsid w:val="000148BC"/>
    <w:rsid w:val="00020BFA"/>
    <w:rsid w:val="00024AB8"/>
    <w:rsid w:val="00036028"/>
    <w:rsid w:val="00037A85"/>
    <w:rsid w:val="00041C75"/>
    <w:rsid w:val="000446B9"/>
    <w:rsid w:val="00047E21"/>
    <w:rsid w:val="0006472C"/>
    <w:rsid w:val="000825CE"/>
    <w:rsid w:val="00085505"/>
    <w:rsid w:val="000861F9"/>
    <w:rsid w:val="00092F1C"/>
    <w:rsid w:val="000955BC"/>
    <w:rsid w:val="00097BB4"/>
    <w:rsid w:val="000C7021"/>
    <w:rsid w:val="000D1B39"/>
    <w:rsid w:val="000D1EA8"/>
    <w:rsid w:val="000D492E"/>
    <w:rsid w:val="000D5B24"/>
    <w:rsid w:val="000D6BBC"/>
    <w:rsid w:val="000D7780"/>
    <w:rsid w:val="00105929"/>
    <w:rsid w:val="00110481"/>
    <w:rsid w:val="001131D5"/>
    <w:rsid w:val="00123458"/>
    <w:rsid w:val="00123979"/>
    <w:rsid w:val="001254F0"/>
    <w:rsid w:val="001318E9"/>
    <w:rsid w:val="00140C66"/>
    <w:rsid w:val="00141DB8"/>
    <w:rsid w:val="001449AB"/>
    <w:rsid w:val="00145C8B"/>
    <w:rsid w:val="001559FC"/>
    <w:rsid w:val="00155F6F"/>
    <w:rsid w:val="00171032"/>
    <w:rsid w:val="0017474A"/>
    <w:rsid w:val="001758C6"/>
    <w:rsid w:val="00197777"/>
    <w:rsid w:val="001A2505"/>
    <w:rsid w:val="001A53D9"/>
    <w:rsid w:val="001C3335"/>
    <w:rsid w:val="001C3DF3"/>
    <w:rsid w:val="001C4984"/>
    <w:rsid w:val="001D320C"/>
    <w:rsid w:val="001E1FCC"/>
    <w:rsid w:val="001F1F2A"/>
    <w:rsid w:val="001F5558"/>
    <w:rsid w:val="00201CBB"/>
    <w:rsid w:val="00204194"/>
    <w:rsid w:val="002113CC"/>
    <w:rsid w:val="0021332C"/>
    <w:rsid w:val="00213982"/>
    <w:rsid w:val="0022126B"/>
    <w:rsid w:val="00237C7D"/>
    <w:rsid w:val="0024416D"/>
    <w:rsid w:val="00257ACE"/>
    <w:rsid w:val="002627FF"/>
    <w:rsid w:val="00265B83"/>
    <w:rsid w:val="0027309C"/>
    <w:rsid w:val="002800A0"/>
    <w:rsid w:val="00280FCF"/>
    <w:rsid w:val="00281060"/>
    <w:rsid w:val="0029439F"/>
    <w:rsid w:val="002A6E50"/>
    <w:rsid w:val="002B0A09"/>
    <w:rsid w:val="002B2C4B"/>
    <w:rsid w:val="002C256A"/>
    <w:rsid w:val="002C7B60"/>
    <w:rsid w:val="002E04ED"/>
    <w:rsid w:val="002E2D47"/>
    <w:rsid w:val="002E3203"/>
    <w:rsid w:val="002E7BA1"/>
    <w:rsid w:val="002F78FA"/>
    <w:rsid w:val="0030125D"/>
    <w:rsid w:val="00305A7F"/>
    <w:rsid w:val="00313CFE"/>
    <w:rsid w:val="003152FE"/>
    <w:rsid w:val="00315B5E"/>
    <w:rsid w:val="00327436"/>
    <w:rsid w:val="00331016"/>
    <w:rsid w:val="00344BD6"/>
    <w:rsid w:val="0035528D"/>
    <w:rsid w:val="00361821"/>
    <w:rsid w:val="003637BF"/>
    <w:rsid w:val="00364346"/>
    <w:rsid w:val="00367A2E"/>
    <w:rsid w:val="0038194C"/>
    <w:rsid w:val="0038410B"/>
    <w:rsid w:val="003A17C8"/>
    <w:rsid w:val="003C563E"/>
    <w:rsid w:val="003C6B65"/>
    <w:rsid w:val="003C7F21"/>
    <w:rsid w:val="003D227C"/>
    <w:rsid w:val="003D2B4D"/>
    <w:rsid w:val="003E2505"/>
    <w:rsid w:val="003E362A"/>
    <w:rsid w:val="003E5E33"/>
    <w:rsid w:val="003F27BC"/>
    <w:rsid w:val="003F6136"/>
    <w:rsid w:val="0040126D"/>
    <w:rsid w:val="00414FD1"/>
    <w:rsid w:val="00415F5E"/>
    <w:rsid w:val="00427139"/>
    <w:rsid w:val="00432DA8"/>
    <w:rsid w:val="00444A88"/>
    <w:rsid w:val="004470F7"/>
    <w:rsid w:val="00447E49"/>
    <w:rsid w:val="00461F5D"/>
    <w:rsid w:val="00466910"/>
    <w:rsid w:val="00467ACD"/>
    <w:rsid w:val="00467CF9"/>
    <w:rsid w:val="00474DA4"/>
    <w:rsid w:val="00476E8D"/>
    <w:rsid w:val="00497AE4"/>
    <w:rsid w:val="004A34E0"/>
    <w:rsid w:val="004C0A39"/>
    <w:rsid w:val="004D047D"/>
    <w:rsid w:val="004D07FA"/>
    <w:rsid w:val="004D41BA"/>
    <w:rsid w:val="004D773A"/>
    <w:rsid w:val="004F305A"/>
    <w:rsid w:val="0050430E"/>
    <w:rsid w:val="0050462E"/>
    <w:rsid w:val="00506F0C"/>
    <w:rsid w:val="00507E7F"/>
    <w:rsid w:val="00512164"/>
    <w:rsid w:val="00520297"/>
    <w:rsid w:val="00524589"/>
    <w:rsid w:val="005249F3"/>
    <w:rsid w:val="00527901"/>
    <w:rsid w:val="00532FB6"/>
    <w:rsid w:val="005338F9"/>
    <w:rsid w:val="00536BAB"/>
    <w:rsid w:val="0053767D"/>
    <w:rsid w:val="0054281C"/>
    <w:rsid w:val="0055160E"/>
    <w:rsid w:val="00551941"/>
    <w:rsid w:val="00551E76"/>
    <w:rsid w:val="0055268D"/>
    <w:rsid w:val="00560802"/>
    <w:rsid w:val="00560BC9"/>
    <w:rsid w:val="00562920"/>
    <w:rsid w:val="00572E44"/>
    <w:rsid w:val="00576BE4"/>
    <w:rsid w:val="00583B02"/>
    <w:rsid w:val="00590C7D"/>
    <w:rsid w:val="005A16C1"/>
    <w:rsid w:val="005A400A"/>
    <w:rsid w:val="005B5B69"/>
    <w:rsid w:val="005C7052"/>
    <w:rsid w:val="005C7998"/>
    <w:rsid w:val="005D2F43"/>
    <w:rsid w:val="005E165F"/>
    <w:rsid w:val="005F30E5"/>
    <w:rsid w:val="005F5D8B"/>
    <w:rsid w:val="00612379"/>
    <w:rsid w:val="0061555F"/>
    <w:rsid w:val="0061574C"/>
    <w:rsid w:val="00641200"/>
    <w:rsid w:val="00644738"/>
    <w:rsid w:val="00663ED8"/>
    <w:rsid w:val="00664515"/>
    <w:rsid w:val="00677BDB"/>
    <w:rsid w:val="00687EB4"/>
    <w:rsid w:val="006902CB"/>
    <w:rsid w:val="006964E4"/>
    <w:rsid w:val="006A4218"/>
    <w:rsid w:val="006B17D2"/>
    <w:rsid w:val="006B45FA"/>
    <w:rsid w:val="006C224E"/>
    <w:rsid w:val="006C7A3D"/>
    <w:rsid w:val="006D412B"/>
    <w:rsid w:val="007000D8"/>
    <w:rsid w:val="00716D3B"/>
    <w:rsid w:val="00732DEC"/>
    <w:rsid w:val="00735BD5"/>
    <w:rsid w:val="007429C0"/>
    <w:rsid w:val="00745DAB"/>
    <w:rsid w:val="00746A02"/>
    <w:rsid w:val="0075117E"/>
    <w:rsid w:val="007556F6"/>
    <w:rsid w:val="00760EEF"/>
    <w:rsid w:val="0077424B"/>
    <w:rsid w:val="00777EE5"/>
    <w:rsid w:val="00784836"/>
    <w:rsid w:val="0079023E"/>
    <w:rsid w:val="007A04E8"/>
    <w:rsid w:val="007A6AF5"/>
    <w:rsid w:val="007B6894"/>
    <w:rsid w:val="007C6639"/>
    <w:rsid w:val="007D0B9D"/>
    <w:rsid w:val="007D19B0"/>
    <w:rsid w:val="007F498F"/>
    <w:rsid w:val="007F6A17"/>
    <w:rsid w:val="0080679D"/>
    <w:rsid w:val="008108B0"/>
    <w:rsid w:val="00811B20"/>
    <w:rsid w:val="00812178"/>
    <w:rsid w:val="00813702"/>
    <w:rsid w:val="00820F72"/>
    <w:rsid w:val="0082296E"/>
    <w:rsid w:val="00824099"/>
    <w:rsid w:val="008327DC"/>
    <w:rsid w:val="00836E88"/>
    <w:rsid w:val="00843686"/>
    <w:rsid w:val="00852407"/>
    <w:rsid w:val="00855DBD"/>
    <w:rsid w:val="00863EBE"/>
    <w:rsid w:val="0086750A"/>
    <w:rsid w:val="00867AC1"/>
    <w:rsid w:val="00884CEA"/>
    <w:rsid w:val="00884E03"/>
    <w:rsid w:val="008A395B"/>
    <w:rsid w:val="008A7330"/>
    <w:rsid w:val="008A743F"/>
    <w:rsid w:val="008A7D42"/>
    <w:rsid w:val="008B51D0"/>
    <w:rsid w:val="008B5ED9"/>
    <w:rsid w:val="008C0970"/>
    <w:rsid w:val="008C115A"/>
    <w:rsid w:val="008D2CF7"/>
    <w:rsid w:val="008D769B"/>
    <w:rsid w:val="008E793E"/>
    <w:rsid w:val="00900C26"/>
    <w:rsid w:val="0090197F"/>
    <w:rsid w:val="00906DDC"/>
    <w:rsid w:val="0091102C"/>
    <w:rsid w:val="00911B1D"/>
    <w:rsid w:val="009175FC"/>
    <w:rsid w:val="00934E09"/>
    <w:rsid w:val="00936253"/>
    <w:rsid w:val="00937C60"/>
    <w:rsid w:val="00952258"/>
    <w:rsid w:val="0095578A"/>
    <w:rsid w:val="00970FED"/>
    <w:rsid w:val="00975AD5"/>
    <w:rsid w:val="0098766D"/>
    <w:rsid w:val="00997029"/>
    <w:rsid w:val="009B1DCB"/>
    <w:rsid w:val="009C5A31"/>
    <w:rsid w:val="009D0DE5"/>
    <w:rsid w:val="009D690D"/>
    <w:rsid w:val="009E65B6"/>
    <w:rsid w:val="009F1D52"/>
    <w:rsid w:val="009F2140"/>
    <w:rsid w:val="00A229BD"/>
    <w:rsid w:val="00A42AC3"/>
    <w:rsid w:val="00A430CF"/>
    <w:rsid w:val="00A45FAE"/>
    <w:rsid w:val="00A53839"/>
    <w:rsid w:val="00A54309"/>
    <w:rsid w:val="00A57133"/>
    <w:rsid w:val="00A62978"/>
    <w:rsid w:val="00AA2C2B"/>
    <w:rsid w:val="00AA4DD8"/>
    <w:rsid w:val="00AB2B93"/>
    <w:rsid w:val="00AB4B2F"/>
    <w:rsid w:val="00AC362D"/>
    <w:rsid w:val="00AC7B9C"/>
    <w:rsid w:val="00AE0EF1"/>
    <w:rsid w:val="00AE542E"/>
    <w:rsid w:val="00B02C57"/>
    <w:rsid w:val="00B07301"/>
    <w:rsid w:val="00B224DE"/>
    <w:rsid w:val="00B26742"/>
    <w:rsid w:val="00B36D60"/>
    <w:rsid w:val="00B40AB1"/>
    <w:rsid w:val="00B45E58"/>
    <w:rsid w:val="00B608C7"/>
    <w:rsid w:val="00B70BD3"/>
    <w:rsid w:val="00B734CF"/>
    <w:rsid w:val="00B746C8"/>
    <w:rsid w:val="00B84BBD"/>
    <w:rsid w:val="00B93464"/>
    <w:rsid w:val="00B93ADD"/>
    <w:rsid w:val="00B974BF"/>
    <w:rsid w:val="00BA2E7D"/>
    <w:rsid w:val="00BA43FB"/>
    <w:rsid w:val="00BC127D"/>
    <w:rsid w:val="00BC1FE6"/>
    <w:rsid w:val="00BC2AB9"/>
    <w:rsid w:val="00BD4C24"/>
    <w:rsid w:val="00BF009E"/>
    <w:rsid w:val="00BF29F6"/>
    <w:rsid w:val="00BF786F"/>
    <w:rsid w:val="00C01892"/>
    <w:rsid w:val="00C05295"/>
    <w:rsid w:val="00C0611C"/>
    <w:rsid w:val="00C061B6"/>
    <w:rsid w:val="00C118C9"/>
    <w:rsid w:val="00C147FB"/>
    <w:rsid w:val="00C151E1"/>
    <w:rsid w:val="00C21DBF"/>
    <w:rsid w:val="00C2446C"/>
    <w:rsid w:val="00C36907"/>
    <w:rsid w:val="00C36AE5"/>
    <w:rsid w:val="00C406C5"/>
    <w:rsid w:val="00C41F17"/>
    <w:rsid w:val="00C54BF4"/>
    <w:rsid w:val="00C5791C"/>
    <w:rsid w:val="00C66290"/>
    <w:rsid w:val="00C663DE"/>
    <w:rsid w:val="00C70070"/>
    <w:rsid w:val="00C72B7A"/>
    <w:rsid w:val="00C86274"/>
    <w:rsid w:val="00C973F2"/>
    <w:rsid w:val="00CA3196"/>
    <w:rsid w:val="00CA774A"/>
    <w:rsid w:val="00CB4DA9"/>
    <w:rsid w:val="00CC11B0"/>
    <w:rsid w:val="00CD6966"/>
    <w:rsid w:val="00CF701F"/>
    <w:rsid w:val="00CF7E36"/>
    <w:rsid w:val="00D02B72"/>
    <w:rsid w:val="00D02FD2"/>
    <w:rsid w:val="00D06623"/>
    <w:rsid w:val="00D201F5"/>
    <w:rsid w:val="00D233D8"/>
    <w:rsid w:val="00D24210"/>
    <w:rsid w:val="00D3708D"/>
    <w:rsid w:val="00D40426"/>
    <w:rsid w:val="00D511BA"/>
    <w:rsid w:val="00D57C96"/>
    <w:rsid w:val="00D67433"/>
    <w:rsid w:val="00D82CA6"/>
    <w:rsid w:val="00D91203"/>
    <w:rsid w:val="00D91D7D"/>
    <w:rsid w:val="00D95174"/>
    <w:rsid w:val="00D95A5C"/>
    <w:rsid w:val="00DA6F36"/>
    <w:rsid w:val="00DB10E5"/>
    <w:rsid w:val="00DB1EA7"/>
    <w:rsid w:val="00DB2E0B"/>
    <w:rsid w:val="00DC00EA"/>
    <w:rsid w:val="00DC1FE2"/>
    <w:rsid w:val="00DD0FB9"/>
    <w:rsid w:val="00DE1305"/>
    <w:rsid w:val="00DE21EA"/>
    <w:rsid w:val="00DE47C4"/>
    <w:rsid w:val="00DF4AA7"/>
    <w:rsid w:val="00E040B2"/>
    <w:rsid w:val="00E10886"/>
    <w:rsid w:val="00E23920"/>
    <w:rsid w:val="00E41767"/>
    <w:rsid w:val="00E419C7"/>
    <w:rsid w:val="00E72D49"/>
    <w:rsid w:val="00E7593C"/>
    <w:rsid w:val="00E75A37"/>
    <w:rsid w:val="00E7678A"/>
    <w:rsid w:val="00E935F1"/>
    <w:rsid w:val="00E94A81"/>
    <w:rsid w:val="00E95D7F"/>
    <w:rsid w:val="00EA1FFB"/>
    <w:rsid w:val="00EA4CFC"/>
    <w:rsid w:val="00EB048E"/>
    <w:rsid w:val="00EB1975"/>
    <w:rsid w:val="00EB2DE0"/>
    <w:rsid w:val="00EB3EFA"/>
    <w:rsid w:val="00EB53E3"/>
    <w:rsid w:val="00ED404A"/>
    <w:rsid w:val="00EF2F89"/>
    <w:rsid w:val="00F038C5"/>
    <w:rsid w:val="00F04DEB"/>
    <w:rsid w:val="00F1237A"/>
    <w:rsid w:val="00F22CBD"/>
    <w:rsid w:val="00F30997"/>
    <w:rsid w:val="00F349B3"/>
    <w:rsid w:val="00F364BD"/>
    <w:rsid w:val="00F37961"/>
    <w:rsid w:val="00F45897"/>
    <w:rsid w:val="00F6334D"/>
    <w:rsid w:val="00F73F12"/>
    <w:rsid w:val="00F85186"/>
    <w:rsid w:val="00F91828"/>
    <w:rsid w:val="00FA0CF1"/>
    <w:rsid w:val="00FA1B2F"/>
    <w:rsid w:val="00FA4556"/>
    <w:rsid w:val="00FA49AB"/>
    <w:rsid w:val="00FB0D37"/>
    <w:rsid w:val="00FB19DE"/>
    <w:rsid w:val="00FB6651"/>
    <w:rsid w:val="00FC6CEF"/>
    <w:rsid w:val="00FD033B"/>
    <w:rsid w:val="00FE0A6B"/>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D320C"/>
    <w:pPr>
      <w:jc w:val="both"/>
      <w:outlineLvl w:val="0"/>
    </w:pPr>
    <w:rPr>
      <w:rFonts w:ascii="Arial" w:hAnsi="Arial"/>
      <w:caps/>
      <w:snapToGrid w:val="0"/>
      <w:spacing w:val="-2"/>
      <w:lang w:val="de-DE" w:eastAsia="ja-JP"/>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A0CF1"/>
    <w:pPr>
      <w:tabs>
        <w:tab w:val="right" w:leader="dot" w:pos="9639"/>
      </w:tabs>
      <w:spacing w:after="120"/>
      <w:ind w:left="284" w:right="1134"/>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0CF1"/>
    <w:pPr>
      <w:tabs>
        <w:tab w:val="right" w:leader="dot" w:pos="9639"/>
      </w:tabs>
      <w:spacing w:after="120"/>
      <w:ind w:right="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320C"/>
    <w:rPr>
      <w:rFonts w:ascii="Arial" w:hAnsi="Arial"/>
      <w:caps/>
      <w:snapToGrid w:val="0"/>
      <w:spacing w:val="-2"/>
      <w:lang w:val="de-DE" w:eastAsia="ja-JP"/>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character" w:customStyle="1" w:styleId="f21">
    <w:name w:val="f21"/>
    <w:basedOn w:val="DefaultParagraphFont"/>
    <w:rsid w:val="00A53839"/>
    <w:rPr>
      <w:rFonts w:ascii="Arial" w:hAnsi="Arial" w:cs="Arial" w:hint="default"/>
    </w:rPr>
  </w:style>
  <w:style w:type="paragraph" w:styleId="TOCHeading">
    <w:name w:val="TOC Heading"/>
    <w:basedOn w:val="Heading1"/>
    <w:next w:val="Normal"/>
    <w:uiPriority w:val="39"/>
    <w:unhideWhenUsed/>
    <w:qFormat/>
    <w:rsid w:val="001559FC"/>
    <w:pPr>
      <w:keepNext/>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D320C"/>
    <w:pPr>
      <w:jc w:val="both"/>
      <w:outlineLvl w:val="0"/>
    </w:pPr>
    <w:rPr>
      <w:rFonts w:ascii="Arial" w:hAnsi="Arial"/>
      <w:caps/>
      <w:snapToGrid w:val="0"/>
      <w:spacing w:val="-2"/>
      <w:lang w:val="de-DE" w:eastAsia="ja-JP"/>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A0CF1"/>
    <w:pPr>
      <w:tabs>
        <w:tab w:val="right" w:leader="dot" w:pos="9639"/>
      </w:tabs>
      <w:spacing w:after="120"/>
      <w:ind w:left="284" w:right="1134"/>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0CF1"/>
    <w:pPr>
      <w:tabs>
        <w:tab w:val="right" w:leader="dot" w:pos="9639"/>
      </w:tabs>
      <w:spacing w:after="120"/>
      <w:ind w:right="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320C"/>
    <w:rPr>
      <w:rFonts w:ascii="Arial" w:hAnsi="Arial"/>
      <w:caps/>
      <w:snapToGrid w:val="0"/>
      <w:spacing w:val="-2"/>
      <w:lang w:val="de-DE" w:eastAsia="ja-JP"/>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character" w:customStyle="1" w:styleId="f21">
    <w:name w:val="f21"/>
    <w:basedOn w:val="DefaultParagraphFont"/>
    <w:rsid w:val="00A53839"/>
    <w:rPr>
      <w:rFonts w:ascii="Arial" w:hAnsi="Arial" w:cs="Arial" w:hint="default"/>
    </w:rPr>
  </w:style>
  <w:style w:type="paragraph" w:styleId="TOCHeading">
    <w:name w:val="TOC Heading"/>
    <w:basedOn w:val="Heading1"/>
    <w:next w:val="Normal"/>
    <w:uiPriority w:val="39"/>
    <w:unhideWhenUsed/>
    <w:qFormat/>
    <w:rsid w:val="001559FC"/>
    <w:pPr>
      <w:keepNext/>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pluto/de/" TargetMode="External"/><Relationship Id="rId4" Type="http://schemas.openxmlformats.org/officeDocument/2006/relationships/settings" Target="settings.xml"/><Relationship Id="rId9" Type="http://schemas.openxmlformats.org/officeDocument/2006/relationships/hyperlink" Target="http://www.upov.int/edocs/mdocs/upov/en/wg_dst_2/wg_dst_2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3E08-A908-4FCC-8222-41141693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408</TotalTime>
  <Pages>9</Pages>
  <Words>2902</Words>
  <Characters>20022</Characters>
  <Application>Microsoft Office Word</Application>
  <DocSecurity>0</DocSecurity>
  <Lines>166</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CAJ/72/3</vt:lpstr>
      <vt:lpstr>CAJ/72/3</vt:lpstr>
    </vt:vector>
  </TitlesOfParts>
  <Company>UPOV</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34</cp:revision>
  <cp:lastPrinted>2015-10-14T09:47:00Z</cp:lastPrinted>
  <dcterms:created xsi:type="dcterms:W3CDTF">2015-10-07T13:31:00Z</dcterms:created>
  <dcterms:modified xsi:type="dcterms:W3CDTF">2015-10-14T09:49:00Z</dcterms:modified>
</cp:coreProperties>
</file>