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E5CD5" w:rsidRPr="0019030C" w:rsidTr="004E5CD5">
        <w:trPr>
          <w:trHeight w:val="1760"/>
        </w:trPr>
        <w:tc>
          <w:tcPr>
            <w:tcW w:w="4243" w:type="dxa"/>
          </w:tcPr>
          <w:p w:rsidR="004E5CD5" w:rsidRPr="00997029" w:rsidRDefault="004E5CD5" w:rsidP="004E5CD5"/>
        </w:tc>
        <w:tc>
          <w:tcPr>
            <w:tcW w:w="1646" w:type="dxa"/>
            <w:vAlign w:val="center"/>
          </w:tcPr>
          <w:p w:rsidR="004E5CD5" w:rsidRPr="0019030C" w:rsidRDefault="006A2DAE" w:rsidP="004E5CD5">
            <w:pPr>
              <w:pStyle w:val="LogoUPOV"/>
            </w:pPr>
            <w:r>
              <w:rPr>
                <w:noProof/>
                <w:lang w:val="en-US" w:eastAsia="en-US" w:bidi="ar-SA"/>
              </w:rPr>
              <w:drawing>
                <wp:inline distT="0" distB="0" distL="0" distR="0">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4E5CD5" w:rsidRPr="000E35E7" w:rsidRDefault="004E5CD5" w:rsidP="004E5CD5">
            <w:pPr>
              <w:pStyle w:val="Lettrine"/>
            </w:pPr>
            <w:r>
              <w:t>G</w:t>
            </w:r>
          </w:p>
          <w:p w:rsidR="004E5CD5" w:rsidRPr="000E35E7" w:rsidRDefault="00CE62C2" w:rsidP="004E5CD5">
            <w:pPr>
              <w:spacing w:line="280" w:lineRule="exact"/>
              <w:ind w:left="1447"/>
              <w:jc w:val="left"/>
              <w:rPr>
                <w:rFonts w:cs="Arial"/>
              </w:rPr>
            </w:pPr>
            <w:r>
              <w:rPr>
                <w:b/>
                <w:spacing w:val="10"/>
              </w:rPr>
              <w:t>UPOV/EXN/PRP/2 Draft 3</w:t>
            </w:r>
            <w:r>
              <w:rPr>
                <w:rFonts w:cs="Arial"/>
                <w:b/>
                <w:spacing w:val="10"/>
              </w:rPr>
              <w:br/>
            </w:r>
            <w:r>
              <w:rPr>
                <w:b/>
                <w:spacing w:val="10"/>
              </w:rPr>
              <w:t>ORIGINAL:</w:t>
            </w:r>
            <w:r w:rsidR="00432E87">
              <w:t xml:space="preserve"> </w:t>
            </w:r>
            <w:r>
              <w:t>englisch</w:t>
            </w:r>
          </w:p>
          <w:p w:rsidR="004E5CD5" w:rsidRPr="000E35E7" w:rsidRDefault="004E5CD5" w:rsidP="00D42E81">
            <w:pPr>
              <w:pStyle w:val="Docoriginal"/>
              <w:ind w:left="1447"/>
              <w:jc w:val="left"/>
              <w:rPr>
                <w:b w:val="0"/>
                <w:spacing w:val="0"/>
              </w:rPr>
            </w:pPr>
            <w:r>
              <w:t xml:space="preserve">DATUM: </w:t>
            </w:r>
            <w:r w:rsidR="00492C05" w:rsidRPr="00492C05">
              <w:rPr>
                <w:b w:val="0"/>
              </w:rPr>
              <w:t>2</w:t>
            </w:r>
            <w:r>
              <w:rPr>
                <w:b w:val="0"/>
                <w:spacing w:val="0"/>
              </w:rPr>
              <w:t xml:space="preserve">. </w:t>
            </w:r>
            <w:r w:rsidR="00D42E81">
              <w:rPr>
                <w:b w:val="0"/>
                <w:spacing w:val="0"/>
              </w:rPr>
              <w:t xml:space="preserve">März </w:t>
            </w:r>
            <w:bookmarkStart w:id="0" w:name="_GoBack"/>
            <w:bookmarkEnd w:id="0"/>
            <w:r>
              <w:rPr>
                <w:b w:val="0"/>
                <w:spacing w:val="0"/>
              </w:rPr>
              <w:t>201</w:t>
            </w:r>
            <w:r w:rsidR="00492C05">
              <w:rPr>
                <w:b w:val="0"/>
                <w:spacing w:val="0"/>
              </w:rPr>
              <w:t>5</w:t>
            </w:r>
          </w:p>
        </w:tc>
      </w:tr>
      <w:tr w:rsidR="004E5CD5" w:rsidRPr="0019030C" w:rsidTr="004E5CD5">
        <w:tc>
          <w:tcPr>
            <w:tcW w:w="10131" w:type="dxa"/>
            <w:gridSpan w:val="3"/>
          </w:tcPr>
          <w:p w:rsidR="004E5CD5" w:rsidRPr="0019030C" w:rsidRDefault="004E5CD5" w:rsidP="004E5CD5">
            <w:pPr>
              <w:pStyle w:val="upove"/>
              <w:rPr>
                <w:sz w:val="28"/>
              </w:rPr>
            </w:pPr>
            <w:r>
              <w:t xml:space="preserve">INTERNATIONALER VERBAND ZUM SCHUTZ VON PFLANZENZÜCHTUNGEN </w:t>
            </w:r>
          </w:p>
        </w:tc>
      </w:tr>
      <w:tr w:rsidR="004E5CD5" w:rsidRPr="0019030C" w:rsidTr="004E5CD5">
        <w:tc>
          <w:tcPr>
            <w:tcW w:w="10131" w:type="dxa"/>
            <w:gridSpan w:val="3"/>
          </w:tcPr>
          <w:p w:rsidR="004E5CD5" w:rsidRPr="0019030C" w:rsidRDefault="004E5CD5" w:rsidP="004E5CD5">
            <w:pPr>
              <w:pStyle w:val="Country"/>
            </w:pPr>
            <w:r>
              <w:t>Genf</w:t>
            </w:r>
          </w:p>
        </w:tc>
      </w:tr>
    </w:tbl>
    <w:p w:rsidR="004E5CD5" w:rsidRPr="0019030C" w:rsidRDefault="004E5CD5"/>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t>ENTWURF</w:t>
      </w:r>
      <w:r>
        <w:br/>
        <w:t>(ÜBERARBEITUNG)</w:t>
      </w:r>
    </w:p>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Pr="0019030C" w:rsidRDefault="00BE4EC4" w:rsidP="00BE4EC4">
      <w:pPr>
        <w:spacing w:before="1200" w:after="240"/>
        <w:jc w:val="center"/>
        <w:rPr>
          <w:rFonts w:cs="Arial"/>
          <w:caps/>
        </w:rPr>
      </w:pPr>
      <w:r>
        <w:t>ERLÄUTERUNGEN ZU</w:t>
      </w:r>
      <w:r w:rsidR="00F7398C">
        <w:t>M</w:t>
      </w:r>
      <w:r>
        <w:br/>
      </w:r>
      <w:r>
        <w:rPr>
          <w:rFonts w:cs="Arial"/>
          <w:caps/>
        </w:rPr>
        <w:br/>
      </w:r>
      <w:r w:rsidR="00F7398C">
        <w:rPr>
          <w:caps/>
        </w:rPr>
        <w:t>vorläufigen</w:t>
      </w:r>
      <w:r>
        <w:rPr>
          <w:caps/>
        </w:rPr>
        <w:t xml:space="preserve"> Schutz </w:t>
      </w:r>
      <w:r>
        <w:rPr>
          <w:rFonts w:cs="Arial"/>
          <w:caps/>
        </w:rPr>
        <w:br/>
      </w:r>
      <w:r>
        <w:rPr>
          <w:rFonts w:cs="Arial"/>
          <w:caps/>
        </w:rPr>
        <w:br/>
      </w:r>
      <w:r>
        <w:rPr>
          <w:caps/>
        </w:rPr>
        <w:t>nach dem UPOV-Übereinkommen</w:t>
      </w:r>
    </w:p>
    <w:p w:rsidR="00BE4EC4" w:rsidRPr="0019030C" w:rsidRDefault="00922700" w:rsidP="00BE4EC4">
      <w:pPr>
        <w:pStyle w:val="preparedby0"/>
        <w:spacing w:after="960"/>
        <w:rPr>
          <w:rFonts w:cs="Arial"/>
        </w:rPr>
      </w:pPr>
      <w:r>
        <w:br/>
      </w:r>
      <w:r>
        <w:br/>
        <w:t>vom Verbandsbüro erstelltes Dokument</w:t>
      </w:r>
      <w:r>
        <w:br/>
      </w:r>
      <w:r>
        <w:br/>
        <w:t>zu prüfen vom Verwaltungs- und Rechtsausschuß</w:t>
      </w:r>
      <w:r>
        <w:br/>
        <w:t>auf seiner einundsiebzigsten Tagung am 26. März 2015 in Genf</w:t>
      </w:r>
      <w:r>
        <w:br/>
      </w:r>
      <w:r>
        <w:br/>
      </w:r>
      <w:r>
        <w:rPr>
          <w:color w:val="A6A6A6" w:themeColor="background1" w:themeShade="A6"/>
        </w:rPr>
        <w:t>Haftungsausschluß:  dieses Dokument gibt nicht die Grundsätze oder eine Anleitung der UPOV wieder</w:t>
      </w:r>
    </w:p>
    <w:p w:rsidR="00BE4EC4" w:rsidRPr="0019030C" w:rsidRDefault="00BE4EC4" w:rsidP="006A4623">
      <w:pPr>
        <w:rPr>
          <w:rFonts w:cs="Arial"/>
          <w:b/>
        </w:rPr>
      </w:pPr>
    </w:p>
    <w:p w:rsidR="008C30ED" w:rsidRDefault="008C30ED" w:rsidP="008C30ED">
      <w:pPr>
        <w:rPr>
          <w:rFonts w:cs="Arial"/>
          <w:b/>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8C30ED" w:rsidRPr="009E3A65" w:rsidTr="003E0B35">
        <w:trPr>
          <w:cantSplit/>
          <w:jc w:val="center"/>
        </w:trPr>
        <w:tc>
          <w:tcPr>
            <w:tcW w:w="6664" w:type="dxa"/>
            <w:shd w:val="clear" w:color="auto" w:fill="E6E6E6"/>
          </w:tcPr>
          <w:p w:rsidR="008C30ED" w:rsidRPr="009E3A65" w:rsidRDefault="008C30ED" w:rsidP="003E0B35">
            <w:pPr>
              <w:jc w:val="center"/>
              <w:rPr>
                <w:sz w:val="18"/>
                <w:szCs w:val="18"/>
              </w:rPr>
            </w:pPr>
            <w:r>
              <w:rPr>
                <w:sz w:val="18"/>
              </w:rPr>
              <w:t>Anmerkung zum Entwurf</w:t>
            </w:r>
          </w:p>
          <w:p w:rsidR="008C30ED" w:rsidRPr="009E3A65" w:rsidRDefault="008C30ED" w:rsidP="003E0B35">
            <w:pPr>
              <w:jc w:val="center"/>
              <w:rPr>
                <w:sz w:val="18"/>
                <w:szCs w:val="18"/>
              </w:rPr>
            </w:pPr>
          </w:p>
          <w:p w:rsidR="008C30ED" w:rsidRPr="009E3A65" w:rsidRDefault="008C30ED" w:rsidP="003E0B35">
            <w:pPr>
              <w:rPr>
                <w:rFonts w:cs="Arial"/>
                <w:sz w:val="18"/>
                <w:szCs w:val="18"/>
              </w:rPr>
            </w:pPr>
            <w:r>
              <w:rPr>
                <w:b/>
                <w:strike/>
                <w:sz w:val="18"/>
              </w:rPr>
              <w:t>Durchstreichen</w:t>
            </w:r>
            <w:r>
              <w:rPr>
                <w:b/>
                <w:sz w:val="18"/>
              </w:rPr>
              <w:t xml:space="preserve"> (hervorgehoben)</w:t>
            </w:r>
            <w:r>
              <w:rPr>
                <w:sz w:val="18"/>
              </w:rPr>
              <w:t xml:space="preserve"> gibt die von der Beratungsgruppe des Verwaltungs- und Rechtsausschusses (CAJ-AG) vereinbarten Streichungen aus dem Wortlaut von Dokument UPOV/EXN/PRP/1 an.</w:t>
            </w:r>
          </w:p>
          <w:p w:rsidR="008C30ED" w:rsidRPr="009E3A65" w:rsidRDefault="008C30ED" w:rsidP="003E0B35">
            <w:pPr>
              <w:rPr>
                <w:rFonts w:cs="Arial"/>
                <w:sz w:val="18"/>
                <w:szCs w:val="18"/>
              </w:rPr>
            </w:pPr>
          </w:p>
          <w:p w:rsidR="008C30ED" w:rsidRPr="009E3A65" w:rsidRDefault="008C30ED" w:rsidP="003E0B35">
            <w:pPr>
              <w:rPr>
                <w:rFonts w:cs="Arial"/>
                <w:sz w:val="18"/>
                <w:szCs w:val="18"/>
              </w:rPr>
            </w:pPr>
            <w:r>
              <w:rPr>
                <w:b/>
                <w:sz w:val="18"/>
                <w:u w:val="single"/>
              </w:rPr>
              <w:t>Unterstreichen</w:t>
            </w:r>
            <w:r>
              <w:rPr>
                <w:b/>
                <w:sz w:val="18"/>
              </w:rPr>
              <w:t xml:space="preserve"> (hervorgehoben)</w:t>
            </w:r>
            <w:r>
              <w:rPr>
                <w:sz w:val="18"/>
              </w:rPr>
              <w:t xml:space="preserve"> gibt die von der CAJ-AG vereinbarten Einfügungen in den Wortlaut von Dokument UPOV/EXN/PRP/1 an.</w:t>
            </w:r>
          </w:p>
          <w:p w:rsidR="008C30ED" w:rsidRPr="009E3A65" w:rsidRDefault="008C30ED" w:rsidP="003E0B35">
            <w:pPr>
              <w:rPr>
                <w:sz w:val="18"/>
                <w:szCs w:val="18"/>
              </w:rPr>
            </w:pPr>
          </w:p>
          <w:p w:rsidR="008C30ED" w:rsidRPr="009E3A65" w:rsidRDefault="008C30ED" w:rsidP="003E0B35">
            <w:pPr>
              <w:rPr>
                <w:sz w:val="18"/>
                <w:szCs w:val="18"/>
              </w:rPr>
            </w:pPr>
            <w:r>
              <w:rPr>
                <w:b/>
                <w:sz w:val="18"/>
              </w:rPr>
              <w:t>Die Fußnoten</w:t>
            </w:r>
            <w:r>
              <w:rPr>
                <w:sz w:val="18"/>
              </w:rPr>
              <w:t xml:space="preserve"> werden im veröffentlichten Dokument beibehalten.</w:t>
            </w:r>
          </w:p>
        </w:tc>
      </w:tr>
    </w:tbl>
    <w:p w:rsidR="008C30ED" w:rsidRPr="0019030C" w:rsidRDefault="008C30ED" w:rsidP="008C30ED">
      <w:pPr>
        <w:rPr>
          <w:rFonts w:cs="Arial"/>
          <w:b/>
        </w:rPr>
      </w:pPr>
    </w:p>
    <w:p w:rsidR="008C30ED" w:rsidRPr="0019030C" w:rsidRDefault="008C30ED" w:rsidP="008C30ED">
      <w:pPr>
        <w:jc w:val="left"/>
        <w:rPr>
          <w:rFonts w:cs="Arial"/>
        </w:rPr>
      </w:pPr>
    </w:p>
    <w:p w:rsidR="008C30ED" w:rsidRDefault="008C30ED" w:rsidP="008C30ED">
      <w:pPr>
        <w:jc w:val="left"/>
        <w:rPr>
          <w:rFonts w:cs="Arial"/>
        </w:rPr>
      </w:pPr>
      <w:r>
        <w:br w:type="page"/>
      </w:r>
    </w:p>
    <w:p w:rsidR="008C30ED" w:rsidRPr="007934B1" w:rsidRDefault="008C30ED" w:rsidP="008C30ED">
      <w:pPr>
        <w:jc w:val="center"/>
      </w:pPr>
    </w:p>
    <w:p w:rsidR="008C30ED" w:rsidRPr="00DF51F4" w:rsidRDefault="00DF51F4" w:rsidP="008C30ED">
      <w:pPr>
        <w:jc w:val="center"/>
        <w:rPr>
          <w:u w:val="single"/>
        </w:rPr>
      </w:pPr>
      <w:r w:rsidRPr="00DF51F4">
        <w:rPr>
          <w:u w:val="single"/>
        </w:rPr>
        <w:t>INHALT</w:t>
      </w:r>
    </w:p>
    <w:p w:rsidR="008C30ED" w:rsidRPr="007934B1" w:rsidRDefault="008C30ED" w:rsidP="008C30ED"/>
    <w:p w:rsidR="00574965" w:rsidRDefault="008C30ED">
      <w:pPr>
        <w:pStyle w:val="TOC2"/>
        <w:rPr>
          <w:rFonts w:asciiTheme="minorHAnsi" w:eastAsiaTheme="minorEastAsia" w:hAnsiTheme="minorHAnsi" w:cstheme="minorBidi"/>
          <w:sz w:val="22"/>
          <w:szCs w:val="22"/>
          <w:lang w:val="en-US" w:eastAsia="en-US" w:bidi="ar-SA"/>
        </w:rPr>
      </w:pPr>
      <w:r w:rsidRPr="004C2D8C">
        <w:rPr>
          <w:bCs/>
          <w:caps/>
        </w:rPr>
        <w:fldChar w:fldCharType="begin"/>
      </w:r>
      <w:r w:rsidRPr="004C2D8C">
        <w:instrText xml:space="preserve"> TOC \o "1-3" \u </w:instrText>
      </w:r>
      <w:r w:rsidRPr="004C2D8C">
        <w:rPr>
          <w:bCs/>
          <w:caps/>
        </w:rPr>
        <w:fldChar w:fldCharType="separate"/>
      </w:r>
      <w:r w:rsidR="00574965">
        <w:t>VORWORT</w:t>
      </w:r>
      <w:r w:rsidR="00574965">
        <w:tab/>
      </w:r>
      <w:r w:rsidR="00574965">
        <w:fldChar w:fldCharType="begin"/>
      </w:r>
      <w:r w:rsidR="00574965">
        <w:instrText xml:space="preserve"> PAGEREF _Toc412823438 \h </w:instrText>
      </w:r>
      <w:r w:rsidR="00574965">
        <w:fldChar w:fldCharType="separate"/>
      </w:r>
      <w:r w:rsidR="00A607CE">
        <w:t>3</w:t>
      </w:r>
      <w:r w:rsidR="00574965">
        <w:fldChar w:fldCharType="end"/>
      </w:r>
    </w:p>
    <w:p w:rsidR="00574965" w:rsidRDefault="00574965">
      <w:pPr>
        <w:pStyle w:val="TOC2"/>
        <w:rPr>
          <w:rFonts w:asciiTheme="minorHAnsi" w:eastAsiaTheme="minorEastAsia" w:hAnsiTheme="minorHAnsi" w:cstheme="minorBidi"/>
          <w:sz w:val="22"/>
          <w:szCs w:val="22"/>
          <w:lang w:val="en-US" w:eastAsia="en-US" w:bidi="ar-SA"/>
        </w:rPr>
      </w:pPr>
      <w:r>
        <w:t>ABSCHNITT I:  BESTIMMUNGEN ZUM VORLÄUFIGEN SCHUTZ</w:t>
      </w:r>
      <w:r>
        <w:tab/>
      </w:r>
      <w:r>
        <w:fldChar w:fldCharType="begin"/>
      </w:r>
      <w:r>
        <w:instrText xml:space="preserve"> PAGEREF _Toc412823439 \h </w:instrText>
      </w:r>
      <w:r>
        <w:fldChar w:fldCharType="separate"/>
      </w:r>
      <w:r w:rsidR="00A607CE">
        <w:t>4</w:t>
      </w:r>
      <w:r>
        <w:fldChar w:fldCharType="end"/>
      </w:r>
    </w:p>
    <w:p w:rsidR="00574965" w:rsidRDefault="00574965">
      <w:pPr>
        <w:pStyle w:val="TOC2"/>
        <w:rPr>
          <w:rFonts w:asciiTheme="minorHAnsi" w:eastAsiaTheme="minorEastAsia" w:hAnsiTheme="minorHAnsi" w:cstheme="minorBidi"/>
          <w:sz w:val="22"/>
          <w:szCs w:val="22"/>
          <w:lang w:val="en-US" w:eastAsia="en-US" w:bidi="ar-SA"/>
        </w:rPr>
      </w:pPr>
      <w:r>
        <w:t>ABSCHNITT II:  BESTIMMTE ASPEKTE DER BESTIMMUNGEN ZUM VORLÄUFIGEN SCHUTZ</w:t>
      </w:r>
      <w:r>
        <w:tab/>
      </w:r>
      <w:r>
        <w:fldChar w:fldCharType="begin"/>
      </w:r>
      <w:r>
        <w:instrText xml:space="preserve"> PAGEREF _Toc412823440 \h </w:instrText>
      </w:r>
      <w:r>
        <w:fldChar w:fldCharType="separate"/>
      </w:r>
      <w:r w:rsidR="00A607CE">
        <w:t>5</w:t>
      </w:r>
      <w:r>
        <w:fldChar w:fldCharType="end"/>
      </w:r>
    </w:p>
    <w:p w:rsidR="008C30ED" w:rsidRDefault="008C30ED" w:rsidP="004C2D8C">
      <w:pPr>
        <w:rPr>
          <w:rFonts w:asciiTheme="minorHAnsi" w:eastAsiaTheme="minorEastAsia" w:hAnsiTheme="minorHAnsi" w:cstheme="minorBidi"/>
          <w:bCs/>
          <w:caps/>
          <w:noProof/>
          <w:sz w:val="22"/>
          <w:szCs w:val="22"/>
        </w:rPr>
      </w:pPr>
      <w:r w:rsidRPr="004C2D8C">
        <w:rPr>
          <w:bCs/>
          <w:caps/>
          <w:sz w:val="18"/>
          <w:szCs w:val="18"/>
        </w:rPr>
        <w:fldChar w:fldCharType="end"/>
      </w:r>
      <w:r>
        <w:br w:type="page"/>
      </w:r>
      <w:bookmarkStart w:id="1" w:name="_Toc397957160"/>
      <w:r>
        <w:lastRenderedPageBreak/>
        <w:t>ERLÄUTERUNGEN ZU</w:t>
      </w:r>
      <w:r w:rsidR="00F7398C">
        <w:t>M VORLÄUFIGEN</w:t>
      </w:r>
      <w:r>
        <w:t xml:space="preserve"> SCHUTZ NACH DEM UPOV-ÜBEREINKOMMEN</w:t>
      </w:r>
      <w:bookmarkEnd w:id="1"/>
    </w:p>
    <w:p w:rsidR="008C30ED" w:rsidRDefault="008C30ED" w:rsidP="00432E87">
      <w:pPr>
        <w:jc w:val="center"/>
      </w:pPr>
    </w:p>
    <w:p w:rsidR="00432E87" w:rsidRPr="007934B1" w:rsidRDefault="00432E87" w:rsidP="00432E87">
      <w:pPr>
        <w:jc w:val="center"/>
      </w:pPr>
    </w:p>
    <w:p w:rsidR="008C30ED" w:rsidRPr="007F2014" w:rsidRDefault="008C30ED" w:rsidP="00432E87">
      <w:pPr>
        <w:pStyle w:val="Heading2"/>
      </w:pPr>
      <w:bookmarkStart w:id="2" w:name="_Toc397957161"/>
      <w:bookmarkStart w:id="3" w:name="_Toc412823438"/>
      <w:r>
        <w:t>VORWORT</w:t>
      </w:r>
      <w:bookmarkEnd w:id="2"/>
      <w:bookmarkEnd w:id="3"/>
    </w:p>
    <w:p w:rsidR="008C30ED" w:rsidRPr="007934B1" w:rsidRDefault="008C30ED" w:rsidP="008C30ED">
      <w:pPr>
        <w:rPr>
          <w:b/>
        </w:rPr>
      </w:pPr>
    </w:p>
    <w:p w:rsidR="008C30ED" w:rsidRPr="00012466" w:rsidRDefault="008C30ED" w:rsidP="008C30ED">
      <w:r w:rsidRPr="007934B1">
        <w:fldChar w:fldCharType="begin"/>
      </w:r>
      <w:r w:rsidRPr="007934B1">
        <w:instrText xml:space="preserve"> AUTONUM  </w:instrText>
      </w:r>
      <w:r w:rsidRPr="007934B1">
        <w:fldChar w:fldCharType="end"/>
      </w:r>
      <w:r>
        <w:tab/>
        <w:t xml:space="preserve">Zweck dieser </w:t>
      </w:r>
      <w:r w:rsidR="00657832">
        <w:t>Erläuterungen ist es, Anleitung</w:t>
      </w:r>
      <w:r>
        <w:t xml:space="preserve"> zu</w:t>
      </w:r>
      <w:r w:rsidR="00657832">
        <w:t>m „vorläufigen</w:t>
      </w:r>
      <w:r>
        <w:t xml:space="preserve"> Schutz“ nach dem Internationalen Übereinkommen zum Schutz von Pflanzensorten</w:t>
      </w:r>
      <w:r w:rsidR="00657832">
        <w:t xml:space="preserve"> (UPOV-Übereinkommen) zu geben.</w:t>
      </w:r>
      <w:r>
        <w:t xml:space="preserve"> Die einzigen verbindlichen Verpflichtungen für die Verbandsmitglieder sind diejenigen, die im Wortlaut des UPOV</w:t>
      </w:r>
      <w:r>
        <w:noBreakHyphen/>
        <w:t xml:space="preserve">Übereinkommens selbst enthalten sind, und diese Erläuterungen dürfen nicht in einer Weise ausgelegt werden, die in Widerspruch zu der für das jeweilige Verbandsmitglied geltenden Akte steht.  </w:t>
      </w:r>
    </w:p>
    <w:p w:rsidR="008C30ED" w:rsidRPr="00012466" w:rsidRDefault="008C30ED" w:rsidP="008C30ED"/>
    <w:p w:rsidR="008C30ED" w:rsidRDefault="008C30ED" w:rsidP="008C30ED">
      <w:r w:rsidRPr="00012466">
        <w:fldChar w:fldCharType="begin"/>
      </w:r>
      <w:r w:rsidRPr="00012466">
        <w:instrText xml:space="preserve"> AUTONUM  </w:instrText>
      </w:r>
      <w:r w:rsidRPr="00012466">
        <w:fldChar w:fldCharType="end"/>
      </w:r>
      <w:r>
        <w:tab/>
        <w:t>Diese Erläuterungen geben Anleitung zu bestimmten Aspekten der in Artikel 13 der Akte von 1991 des UPOV-Übereinkommens und in Artikel 7 Absatz 3 der Akte von 1978 des UPOV-Übereinkomme</w:t>
      </w:r>
      <w:r w:rsidR="00657832">
        <w:t>ns enthaltenen Bestimmungen zum</w:t>
      </w:r>
      <w:r>
        <w:t xml:space="preserve"> vorläufigen Schutz.  </w:t>
      </w:r>
    </w:p>
    <w:p w:rsidR="008C30ED" w:rsidRDefault="008C30ED" w:rsidP="008C30ED"/>
    <w:p w:rsidR="008C30ED" w:rsidRPr="00366754" w:rsidRDefault="008C30ED" w:rsidP="00432E87">
      <w:pPr>
        <w:pStyle w:val="Heading2"/>
      </w:pPr>
      <w:r>
        <w:br w:type="page"/>
      </w:r>
      <w:bookmarkStart w:id="4" w:name="_Toc397957162"/>
      <w:bookmarkStart w:id="5" w:name="_Toc412823439"/>
      <w:r>
        <w:lastRenderedPageBreak/>
        <w:t>ABSCHNITT I:  BESTIMMUNGEN ZUM VORLÄUFIGEN SCHUTZ</w:t>
      </w:r>
      <w:bookmarkEnd w:id="4"/>
      <w:bookmarkEnd w:id="5"/>
    </w:p>
    <w:p w:rsidR="008C30ED" w:rsidRDefault="008C30ED" w:rsidP="008C30ED"/>
    <w:p w:rsidR="008C30ED" w:rsidRDefault="008C30ED" w:rsidP="008C30ED">
      <w:r>
        <w:fldChar w:fldCharType="begin"/>
      </w:r>
      <w:r>
        <w:instrText xml:space="preserve"> AUTONUM  </w:instrText>
      </w:r>
      <w:r>
        <w:fldChar w:fldCharType="end"/>
      </w:r>
      <w:r>
        <w:tab/>
        <w:t>Die in Artikel 13 der Akte von 1991 des UPOV-Übereinkommens und in Artikel 7 Absatz 3 der Akte von 1978 des UPOV-Übereinkommens enthaltenen Bestimmungen zum vorläufigen Schutz sind nachstehend wiedergegeben.</w:t>
      </w:r>
    </w:p>
    <w:p w:rsidR="008C30ED" w:rsidRDefault="008C30ED" w:rsidP="008C30ED"/>
    <w:p w:rsidR="008C30ED" w:rsidRDefault="008C30ED" w:rsidP="008C30ED"/>
    <w:p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p>
    <w:p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r>
        <w:rPr>
          <w:b/>
        </w:rPr>
        <w:t>Akte von 1991</w:t>
      </w:r>
      <w:r>
        <w:t xml:space="preserve"> des UPOV-Übereinkommens</w:t>
      </w:r>
    </w:p>
    <w:p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p>
    <w:p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r>
        <w:rPr>
          <w:b/>
          <w:sz w:val="18"/>
        </w:rPr>
        <w:t>Artikel 13</w:t>
      </w:r>
    </w:p>
    <w:p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p>
    <w:p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r>
        <w:rPr>
          <w:b/>
          <w:sz w:val="18"/>
        </w:rPr>
        <w:t>Vorläufiger Schutz</w:t>
      </w:r>
    </w:p>
    <w:p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p>
    <w:p w:rsidR="008C30ED" w:rsidRPr="006518E5" w:rsidRDefault="008C30ED" w:rsidP="008C30ED">
      <w:pPr>
        <w:pBdr>
          <w:top w:val="single" w:sz="4" w:space="1" w:color="auto"/>
          <w:left w:val="single" w:sz="4" w:space="4" w:color="auto"/>
          <w:bottom w:val="single" w:sz="4" w:space="1" w:color="auto"/>
          <w:right w:val="single" w:sz="4" w:space="4" w:color="auto"/>
        </w:pBdr>
        <w:ind w:left="567" w:right="571"/>
        <w:rPr>
          <w:sz w:val="18"/>
          <w:szCs w:val="18"/>
        </w:rPr>
      </w:pPr>
      <w:r>
        <w:rPr>
          <w:sz w:val="18"/>
        </w:rPr>
        <w:t>Jede Vertragspartei trifft Maßnahmen zur Wahrung der Interessen des Züchters in der Zeit von der Einreichung des Antrags auf Erteilung eines Züchterrechts oder von dessen Veröffentlichung an bis zur Erteilung des Züchterrechts.  Diese Maßnahmen müssen zumindest die Wirkung haben, daß der Inhaber eines Züchterrechts Anspruch auf eine angemessene Vergütung gegen jeden hat, der in der genannten Zeit eine Handlung vorgenommen hat, für die nach der Erteilung des Züchterrechts die Zustimmung des Züchters nach Artikel 14 erforderlich ist.  Eine Vertragspartei kann vorsehen, daß diese Maßnahmen nur in bezug auf solche Personen wirksam sind, denen der Züchter die Hinterlegung des Antrags mitgeteilt hat.</w:t>
      </w:r>
    </w:p>
    <w:p w:rsidR="008C30ED" w:rsidRPr="006518E5" w:rsidRDefault="008C30ED" w:rsidP="008C30ED">
      <w:pPr>
        <w:pBdr>
          <w:top w:val="single" w:sz="4" w:space="1" w:color="auto"/>
          <w:left w:val="single" w:sz="4" w:space="4" w:color="auto"/>
          <w:bottom w:val="single" w:sz="4" w:space="1" w:color="auto"/>
          <w:right w:val="single" w:sz="4" w:space="4" w:color="auto"/>
        </w:pBdr>
        <w:ind w:left="567" w:right="571"/>
        <w:rPr>
          <w:sz w:val="18"/>
          <w:szCs w:val="18"/>
        </w:rPr>
      </w:pPr>
    </w:p>
    <w:p w:rsidR="008C30ED" w:rsidRPr="006518E5" w:rsidRDefault="008C30ED" w:rsidP="008C30ED">
      <w:pPr>
        <w:rPr>
          <w:rFonts w:cs="Arial"/>
          <w:sz w:val="18"/>
          <w:szCs w:val="18"/>
        </w:rPr>
      </w:pPr>
    </w:p>
    <w:p w:rsidR="008C30ED" w:rsidRPr="006518E5" w:rsidRDefault="008C30ED" w:rsidP="008C30ED">
      <w:pPr>
        <w:rPr>
          <w:rFonts w:cs="Arial"/>
          <w:sz w:val="18"/>
          <w:szCs w:val="18"/>
        </w:rPr>
      </w:pPr>
    </w:p>
    <w:p w:rsidR="008C30ED" w:rsidRPr="00B21B50" w:rsidRDefault="008C30ED"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b w:val="0"/>
          <w:bCs/>
          <w:sz w:val="18"/>
          <w:szCs w:val="18"/>
        </w:rPr>
      </w:pPr>
    </w:p>
    <w:p w:rsidR="008C30ED" w:rsidRPr="00B21B50" w:rsidRDefault="008C30ED"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rPr>
      </w:pPr>
      <w:r w:rsidRPr="00B21B50">
        <w:rPr>
          <w:rFonts w:ascii="Arial" w:hAnsi="Arial"/>
          <w:sz w:val="18"/>
          <w:szCs w:val="18"/>
        </w:rPr>
        <w:t xml:space="preserve">Akte von 1978 </w:t>
      </w:r>
      <w:r w:rsidRPr="00B21B50">
        <w:rPr>
          <w:rFonts w:ascii="Arial" w:hAnsi="Arial"/>
          <w:b w:val="0"/>
          <w:sz w:val="18"/>
          <w:szCs w:val="18"/>
        </w:rPr>
        <w:t xml:space="preserve">des UPOV-Übereinkommens </w:t>
      </w:r>
    </w:p>
    <w:p w:rsidR="008C30ED" w:rsidRPr="00B21B50" w:rsidRDefault="008C30ED"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rPr>
      </w:pPr>
    </w:p>
    <w:p w:rsidR="008C30ED" w:rsidRPr="00B21B50" w:rsidRDefault="008C30ED"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rPr>
      </w:pPr>
      <w:r w:rsidRPr="00B21B50">
        <w:rPr>
          <w:rFonts w:ascii="Arial" w:hAnsi="Arial"/>
          <w:sz w:val="18"/>
          <w:szCs w:val="18"/>
        </w:rPr>
        <w:t>Artikel 7 Absatz 3</w:t>
      </w:r>
    </w:p>
    <w:p w:rsidR="008C30ED" w:rsidRPr="00B21B50" w:rsidRDefault="008C30ED" w:rsidP="008C30ED">
      <w:pPr>
        <w:pBdr>
          <w:top w:val="single" w:sz="4" w:space="1" w:color="auto"/>
          <w:left w:val="single" w:sz="4" w:space="4" w:color="auto"/>
          <w:bottom w:val="single" w:sz="4" w:space="1" w:color="auto"/>
          <w:right w:val="single" w:sz="4" w:space="4" w:color="auto"/>
        </w:pBdr>
        <w:ind w:left="567" w:right="566"/>
        <w:rPr>
          <w:rFonts w:cs="Arial"/>
          <w:sz w:val="18"/>
          <w:szCs w:val="18"/>
        </w:rPr>
      </w:pPr>
    </w:p>
    <w:p w:rsidR="008C30ED" w:rsidRPr="00B21B50" w:rsidRDefault="008C30ED"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rPr>
      </w:pPr>
      <w:r w:rsidRPr="00B21B50">
        <w:rPr>
          <w:rFonts w:ascii="Arial" w:hAnsi="Arial"/>
          <w:sz w:val="18"/>
          <w:szCs w:val="18"/>
        </w:rPr>
        <w:t>Vorläufiger Schutz</w:t>
      </w:r>
    </w:p>
    <w:p w:rsidR="008C30ED" w:rsidRPr="00B21B50" w:rsidRDefault="008C30ED" w:rsidP="008C30ED">
      <w:pPr>
        <w:pBdr>
          <w:top w:val="single" w:sz="4" w:space="1" w:color="auto"/>
          <w:left w:val="single" w:sz="4" w:space="4" w:color="auto"/>
          <w:bottom w:val="single" w:sz="4" w:space="1" w:color="auto"/>
          <w:right w:val="single" w:sz="4" w:space="4" w:color="auto"/>
        </w:pBdr>
        <w:ind w:left="567" w:right="566"/>
        <w:rPr>
          <w:rFonts w:cs="Arial"/>
          <w:sz w:val="18"/>
          <w:szCs w:val="18"/>
        </w:rPr>
      </w:pPr>
      <w:r w:rsidRPr="00B21B50">
        <w:rPr>
          <w:sz w:val="18"/>
          <w:szCs w:val="18"/>
        </w:rPr>
        <w:t>[…]</w:t>
      </w:r>
    </w:p>
    <w:p w:rsidR="008C30ED" w:rsidRPr="00B21B50" w:rsidRDefault="008C30ED" w:rsidP="008C30ED">
      <w:pPr>
        <w:pBdr>
          <w:top w:val="single" w:sz="4" w:space="1" w:color="auto"/>
          <w:left w:val="single" w:sz="4" w:space="4" w:color="auto"/>
          <w:bottom w:val="single" w:sz="4" w:space="1" w:color="auto"/>
          <w:right w:val="single" w:sz="4" w:space="4" w:color="auto"/>
        </w:pBdr>
        <w:ind w:left="567" w:right="566"/>
        <w:rPr>
          <w:rFonts w:cs="Arial"/>
          <w:sz w:val="18"/>
          <w:szCs w:val="18"/>
        </w:rPr>
      </w:pPr>
      <w:r w:rsidRPr="00B21B50">
        <w:rPr>
          <w:sz w:val="18"/>
          <w:szCs w:val="18"/>
        </w:rPr>
        <w:tab/>
        <w:t>(3)</w:t>
      </w:r>
      <w:r w:rsidRPr="00B21B50">
        <w:rPr>
          <w:sz w:val="18"/>
          <w:szCs w:val="18"/>
        </w:rPr>
        <w:tab/>
        <w:t>Jeder Verbandsstaat kann Maßnahmen zum Schutz des Züchters gegen mißbräuchliches Verhalten Dritter, das in der Zeit von der Einreichung der Schutzrechtsanmeldung bis zur Entscheidung hierüber begangen worden ist, treffen.</w:t>
      </w:r>
    </w:p>
    <w:p w:rsidR="008C30ED" w:rsidRPr="00B21B50" w:rsidRDefault="008C30ED" w:rsidP="008C30ED">
      <w:pPr>
        <w:pStyle w:val="Style1"/>
        <w:pBdr>
          <w:top w:val="single" w:sz="4" w:space="1" w:color="auto"/>
          <w:left w:val="single" w:sz="4" w:space="4" w:color="auto"/>
          <w:bottom w:val="single" w:sz="4" w:space="1" w:color="auto"/>
          <w:right w:val="single" w:sz="4" w:space="4" w:color="auto"/>
        </w:pBdr>
        <w:tabs>
          <w:tab w:val="clear" w:pos="907"/>
          <w:tab w:val="clear" w:pos="1077"/>
        </w:tabs>
        <w:suppressAutoHyphens/>
        <w:ind w:left="567" w:right="566"/>
        <w:jc w:val="left"/>
        <w:rPr>
          <w:rFonts w:cs="Arial"/>
          <w:sz w:val="18"/>
          <w:szCs w:val="18"/>
        </w:rPr>
      </w:pPr>
    </w:p>
    <w:p w:rsidR="008C30ED" w:rsidRPr="006518E5" w:rsidRDefault="008C30ED" w:rsidP="008C30ED">
      <w:pPr>
        <w:pStyle w:val="Style1"/>
        <w:tabs>
          <w:tab w:val="clear" w:pos="907"/>
          <w:tab w:val="clear" w:pos="1077"/>
        </w:tabs>
        <w:suppressAutoHyphens/>
        <w:jc w:val="left"/>
        <w:rPr>
          <w:rFonts w:cs="Arial"/>
          <w:szCs w:val="20"/>
        </w:rPr>
      </w:pPr>
    </w:p>
    <w:p w:rsidR="008C30ED" w:rsidRDefault="008C30ED" w:rsidP="008C30ED">
      <w:pPr>
        <w:pStyle w:val="Style1"/>
        <w:tabs>
          <w:tab w:val="clear" w:pos="907"/>
          <w:tab w:val="clear" w:pos="1077"/>
        </w:tabs>
        <w:suppressAutoHyphens/>
        <w:jc w:val="left"/>
        <w:outlineLvl w:val="1"/>
      </w:pPr>
      <w:r>
        <w:br w:type="page"/>
      </w:r>
    </w:p>
    <w:p w:rsidR="008C30ED" w:rsidRPr="00366754" w:rsidRDefault="008C30ED" w:rsidP="00432E87">
      <w:pPr>
        <w:pStyle w:val="Heading2"/>
      </w:pPr>
      <w:bookmarkStart w:id="6" w:name="_Toc202089146"/>
      <w:bookmarkStart w:id="7" w:name="_Toc397957163"/>
      <w:bookmarkStart w:id="8" w:name="_Toc412823440"/>
      <w:r>
        <w:lastRenderedPageBreak/>
        <w:t xml:space="preserve">ABSCHNITT II:  BESTIMMTE ASPEKTE DER BESTIMMUNGEN ZUM </w:t>
      </w:r>
      <w:bookmarkEnd w:id="6"/>
      <w:r>
        <w:t>VORLÄUFIGEN SCHUTZ</w:t>
      </w:r>
      <w:bookmarkEnd w:id="7"/>
      <w:bookmarkEnd w:id="8"/>
    </w:p>
    <w:p w:rsidR="008C30ED" w:rsidRPr="00E36271" w:rsidRDefault="008C30ED" w:rsidP="008C30ED">
      <w:pPr>
        <w:tabs>
          <w:tab w:val="left" w:pos="567"/>
        </w:tabs>
      </w:pPr>
    </w:p>
    <w:p w:rsidR="008C30ED" w:rsidRDefault="008C30ED" w:rsidP="008C30ED">
      <w:pPr>
        <w:pStyle w:val="Style1"/>
        <w:tabs>
          <w:tab w:val="clear" w:pos="907"/>
          <w:tab w:val="clear" w:pos="1077"/>
          <w:tab w:val="left" w:pos="567"/>
        </w:tabs>
      </w:pPr>
      <w:r>
        <w:fldChar w:fldCharType="begin"/>
      </w:r>
      <w:r>
        <w:instrText xml:space="preserve"> AUTONUM  </w:instrText>
      </w:r>
      <w:r>
        <w:fldChar w:fldCharType="end"/>
      </w:r>
      <w:r>
        <w:tab/>
        <w:t>Dieser Abschnitt gibt Anleitung zu bestimmten Aspekten der in Artikel 13 der Akte von 1991 des UPOV-Übereinkommens und in Artikel 7 Absatz 3 der Akte von 1978 des UPOV-Übereinkommens enthaltenen Bestimmungen zum vorläufigen Schutz.</w:t>
      </w:r>
    </w:p>
    <w:p w:rsidR="008C30ED" w:rsidRDefault="008C30ED" w:rsidP="008C30ED">
      <w:pPr>
        <w:pStyle w:val="Style1"/>
      </w:pPr>
    </w:p>
    <w:p w:rsidR="008C30ED" w:rsidRDefault="008C30ED" w:rsidP="008C30ED">
      <w:pPr>
        <w:pStyle w:val="Style1"/>
      </w:pPr>
    </w:p>
    <w:p w:rsidR="008C30ED" w:rsidRPr="00395AAC" w:rsidRDefault="008C30ED" w:rsidP="008C30ED">
      <w:pPr>
        <w:pStyle w:val="Style1"/>
        <w:rPr>
          <w:i/>
          <w:u w:val="single"/>
        </w:rPr>
      </w:pPr>
      <w:r w:rsidRPr="00F1729B">
        <w:rPr>
          <w:i/>
        </w:rPr>
        <w:t>S</w:t>
      </w:r>
      <w:r>
        <w:rPr>
          <w:i/>
        </w:rPr>
        <w:t xml:space="preserve">chutzdauer </w:t>
      </w:r>
      <w:r>
        <w:rPr>
          <w:i/>
          <w:highlight w:val="lightGray"/>
          <w:u w:val="single"/>
        </w:rPr>
        <w:t>und Mitteilung</w:t>
      </w:r>
    </w:p>
    <w:p w:rsidR="008C30ED" w:rsidRDefault="008C30ED" w:rsidP="008C30ED">
      <w:pPr>
        <w:pStyle w:val="Style1"/>
      </w:pPr>
    </w:p>
    <w:p w:rsidR="008C30ED" w:rsidRDefault="008C30ED" w:rsidP="008C30ED">
      <w:pPr>
        <w:pBdr>
          <w:top w:val="single" w:sz="4" w:space="6" w:color="auto"/>
          <w:left w:val="single" w:sz="4" w:space="4" w:color="auto"/>
          <w:bottom w:val="single" w:sz="4" w:space="6" w:color="auto"/>
          <w:right w:val="single" w:sz="4" w:space="4" w:color="auto"/>
        </w:pBdr>
        <w:shd w:val="clear" w:color="auto" w:fill="E6E6E6"/>
        <w:rPr>
          <w:b/>
        </w:rPr>
      </w:pPr>
      <w:r>
        <w:rPr>
          <w:b/>
        </w:rPr>
        <w:t xml:space="preserve">Jede Vertragspartei trifft Maßnahmen zur Wahrung der Interessen des Züchters in der Zeit von der [der Einreichung] </w:t>
      </w:r>
      <w:r>
        <w:rPr>
          <w:b/>
          <w:i/>
        </w:rPr>
        <w:t>[oder]</w:t>
      </w:r>
      <w:r>
        <w:rPr>
          <w:b/>
        </w:rPr>
        <w:t xml:space="preserve"> [der Veröffentlichung] des Antrags auf Erteilung eines Züchterrechts an bis zur Erteilung des Züchterrechts.  [….] Eine Vertragspartei kann vorsehen, daß diese Maßnahmen nur in bezug auf solche Personen wirksam sind, denen der Züchter die Hinterlegung des Antrags mitgeteilt hat.</w:t>
      </w:r>
    </w:p>
    <w:p w:rsidR="008C30ED" w:rsidRDefault="008C30ED" w:rsidP="008C30ED"/>
    <w:p w:rsidR="008C30ED" w:rsidRDefault="008C30ED" w:rsidP="008C30ED">
      <w:pPr>
        <w:pStyle w:val="Style1"/>
        <w:tabs>
          <w:tab w:val="clear" w:pos="907"/>
          <w:tab w:val="clear" w:pos="1077"/>
          <w:tab w:val="decimal" w:pos="0"/>
        </w:tabs>
      </w:pPr>
      <w:r>
        <w:fldChar w:fldCharType="begin"/>
      </w:r>
      <w:r>
        <w:instrText xml:space="preserve"> AUTONUM  </w:instrText>
      </w:r>
      <w:r>
        <w:fldChar w:fldCharType="end"/>
      </w:r>
      <w:r>
        <w:tab/>
        <w:t>Das UPOV-Übereinkommen sieht vor, daß die Schutzdauer (Artikel 19 der Akte von 1991 und Artikel 8 der Akte von 1978) vom Tag der Erteilung des Z</w:t>
      </w:r>
      <w:r w:rsidR="00490755">
        <w:t>üchterrechts an gerechnet wird.</w:t>
      </w:r>
      <w:r>
        <w:t xml:space="preserve"> Die Akte von 1991 des UPOV-Übereinkommens schreibt vor, daß dem Züchter der vorläufige Schutz in der Zeit von der Einreichung</w:t>
      </w:r>
      <w:r>
        <w:rPr>
          <w:rStyle w:val="FootnoteReference"/>
        </w:rPr>
        <w:footnoteReference w:id="1"/>
      </w:r>
      <w:r>
        <w:t xml:space="preserve"> des Antrags auf Erteilung eines Züchterrechts oder von dessen Veröffentlichung an bis zur Erteilung des Züchterrechts</w:t>
      </w:r>
      <w:r>
        <w:rPr>
          <w:rStyle w:val="FootnoteReference"/>
        </w:rPr>
        <w:footnoteReference w:id="2"/>
      </w:r>
      <w:r>
        <w:t xml:space="preserve"> gewährt wird.  </w:t>
      </w:r>
    </w:p>
    <w:p w:rsidR="008C30ED" w:rsidRDefault="008C30ED" w:rsidP="008C30ED">
      <w:pPr>
        <w:pStyle w:val="Style1"/>
        <w:tabs>
          <w:tab w:val="clear" w:pos="907"/>
          <w:tab w:val="clear" w:pos="1077"/>
          <w:tab w:val="left" w:pos="0"/>
        </w:tabs>
      </w:pPr>
    </w:p>
    <w:p w:rsidR="008C30ED" w:rsidRDefault="008C30ED" w:rsidP="008C30ED">
      <w:pPr>
        <w:pStyle w:val="Style1"/>
        <w:tabs>
          <w:tab w:val="clear" w:pos="907"/>
          <w:tab w:val="clear" w:pos="1077"/>
          <w:tab w:val="decimal" w:pos="0"/>
        </w:tabs>
      </w:pPr>
      <w:r>
        <w:fldChar w:fldCharType="begin"/>
      </w:r>
      <w:r>
        <w:instrText xml:space="preserve"> AUTONUM  </w:instrText>
      </w:r>
      <w:r>
        <w:fldChar w:fldCharType="end"/>
      </w:r>
      <w:r>
        <w:tab/>
        <w:t>Ein Verbandsmitglied kann in seinen Rechtsvorschriften vorsehen, daß diese Maßnahmen bezüglich des vorläufigen Schutzes (vergleiche nachstehend die Anmerkungen zu „Maßnahmen“) nur in bezug auf solche Personen wirksam sind, denen der Züchter die Hinterlegun</w:t>
      </w:r>
      <w:r w:rsidR="002D267A">
        <w:t>g des Antrags mitgeteilt hat.</w:t>
      </w:r>
      <w:r>
        <w:t xml:space="preserve"> Diese Mitteilung kann in bezug auf alle Personen als erfüllt angesehen werden, wenn die Rechtsvorschrift den Veröffentlichungstag als Anfangstag des vorläufigen Schutzes berücksichtigt hat, weil die Veröffentlichung in der Regel als Mechanismus für die Mitteilung an Dritte anerkannt wird.</w:t>
      </w:r>
    </w:p>
    <w:p w:rsidR="008C30ED" w:rsidRDefault="008C30ED" w:rsidP="008C30ED">
      <w:pPr>
        <w:pStyle w:val="Style1"/>
        <w:tabs>
          <w:tab w:val="clear" w:pos="907"/>
          <w:tab w:val="clear" w:pos="1077"/>
          <w:tab w:val="decimal" w:pos="0"/>
        </w:tabs>
      </w:pPr>
    </w:p>
    <w:p w:rsidR="008C30ED" w:rsidRDefault="008C30ED" w:rsidP="008C30ED">
      <w:pPr>
        <w:pStyle w:val="Style1"/>
        <w:tabs>
          <w:tab w:val="clear" w:pos="907"/>
          <w:tab w:val="clear" w:pos="1077"/>
          <w:tab w:val="decimal" w:pos="0"/>
        </w:tabs>
      </w:pPr>
    </w:p>
    <w:p w:rsidR="008C30ED" w:rsidRDefault="002D267A" w:rsidP="008C30ED">
      <w:pPr>
        <w:pStyle w:val="Style1"/>
        <w:rPr>
          <w:i/>
        </w:rPr>
      </w:pPr>
      <w:r w:rsidRPr="002D267A">
        <w:t>M</w:t>
      </w:r>
      <w:r w:rsidR="008C30ED">
        <w:t>aßnahmen</w:t>
      </w:r>
    </w:p>
    <w:p w:rsidR="008C30ED" w:rsidRPr="00324494" w:rsidRDefault="008C30ED" w:rsidP="008C30ED">
      <w:pPr>
        <w:pStyle w:val="Style1"/>
        <w:rPr>
          <w:i/>
        </w:rPr>
      </w:pPr>
    </w:p>
    <w:p w:rsidR="008C30ED" w:rsidRPr="00324494" w:rsidRDefault="008C30ED" w:rsidP="008C30ED">
      <w:pPr>
        <w:pStyle w:val="Style1"/>
        <w:pBdr>
          <w:top w:val="single" w:sz="4" w:space="6" w:color="auto"/>
          <w:left w:val="single" w:sz="4" w:space="4" w:color="auto"/>
          <w:bottom w:val="single" w:sz="4" w:space="6" w:color="auto"/>
          <w:right w:val="single" w:sz="4" w:space="4" w:color="auto"/>
        </w:pBdr>
        <w:shd w:val="clear" w:color="auto" w:fill="E6E6E6"/>
        <w:rPr>
          <w:b/>
        </w:rPr>
      </w:pPr>
      <w:r>
        <w:rPr>
          <w:b/>
        </w:rPr>
        <w:t xml:space="preserve">Diese Maßnahmen müssen zumindest die Wirkung haben, daß der Inhaber eines Züchterrechts Anspruch auf eine angemessene Vergütung gegen jeden hat, der in der genannten Zeit eine Handlung vorgenommen hat, für die nach der Erteilung des Züchterrechts die Zustimmung des Züchters nach Artikel 14 erforderlich ist.  </w:t>
      </w:r>
    </w:p>
    <w:p w:rsidR="008C30ED" w:rsidRDefault="008C30ED" w:rsidP="008C30ED">
      <w:pPr>
        <w:pStyle w:val="Style1"/>
      </w:pPr>
    </w:p>
    <w:p w:rsidR="008C30ED" w:rsidRDefault="008C30ED" w:rsidP="008C30ED">
      <w:pPr>
        <w:tabs>
          <w:tab w:val="decimal" w:pos="0"/>
        </w:tabs>
      </w:pPr>
      <w:r>
        <w:fldChar w:fldCharType="begin"/>
      </w:r>
      <w:r>
        <w:instrText xml:space="preserve"> AUTONUM  </w:instrText>
      </w:r>
      <w:r>
        <w:fldChar w:fldCharType="end"/>
      </w:r>
      <w:r>
        <w:tab/>
        <w:t xml:space="preserve">Artikel 13 der Akte von 1991 des UPOV-Übereinkommens sieht vor, daß </w:t>
      </w:r>
      <w:r>
        <w:rPr>
          <w:strike/>
          <w:highlight w:val="lightGray"/>
        </w:rPr>
        <w:t>UPOV-</w:t>
      </w:r>
      <w:r>
        <w:t xml:space="preserve"> </w:t>
      </w:r>
      <w:r>
        <w:rPr>
          <w:highlight w:val="lightGray"/>
          <w:u w:val="single"/>
        </w:rPr>
        <w:t>Verbands</w:t>
      </w:r>
      <w:r w:rsidR="009F2B52">
        <w:t>m</w:t>
      </w:r>
      <w:r>
        <w:t>itglieder, die durch die Akte von 1991 gebunden sind, Maßnahmen zur Wahrung der Interessen des Züchters in der Zeit von der Einreichung des Antrags auf Erteilung eines Züchterrechts oder von dessen Veröffentlichung an bis zur Erteilung des Züchterrechts treffen.  Diese Maßnahmen müssen „zumindest“ die Wirkung haben, daß der Inhaber eines Züchterrechts Anspruch auf eine angemessene Vergütung gegen jeden hat, der in der genannten Zeit eine Handlung vorgenommen hat, für die nach der Erteilung des Züchterrechts die Zustimmung des Züchters nach Artikel 14 der Akte von 1991 des UPOV Übereinkommens erforderlich ist.</w:t>
      </w:r>
    </w:p>
    <w:p w:rsidR="008C30ED" w:rsidRDefault="008C30ED" w:rsidP="008C30ED"/>
    <w:p w:rsidR="008C30ED" w:rsidRDefault="008C30ED" w:rsidP="008C30ED">
      <w:pPr>
        <w:tabs>
          <w:tab w:val="left" w:pos="0"/>
        </w:tabs>
      </w:pPr>
      <w:r>
        <w:fldChar w:fldCharType="begin"/>
      </w:r>
      <w:r>
        <w:instrText xml:space="preserve"> AUTONUM  </w:instrText>
      </w:r>
      <w:r>
        <w:fldChar w:fldCharType="end"/>
      </w:r>
      <w:r>
        <w:tab/>
        <w:t>Die Verwendung des Begriffs „zumindest“ stellt klar, daß es beispielsweise möglich ist, daß die Bestimmungen über den vorläufigen Schutz in den Rechtsvorschriften, die die Züchterrechte regeln, dem Inhaber des Züchterrechts den vollen Umfang des Züchterrechts zugestehen.</w:t>
      </w:r>
    </w:p>
    <w:p w:rsidR="008C30ED" w:rsidRPr="00546BFE" w:rsidRDefault="008C30ED" w:rsidP="008C30ED"/>
    <w:p w:rsidR="008C30ED" w:rsidRPr="007D0B53" w:rsidRDefault="008C30ED" w:rsidP="008C30ED">
      <w:pPr>
        <w:rPr>
          <w:u w:val="single"/>
        </w:rPr>
      </w:pPr>
      <w:r w:rsidRPr="00330328">
        <w:rPr>
          <w:spacing w:val="-3"/>
        </w:rPr>
        <w:fldChar w:fldCharType="begin"/>
      </w:r>
      <w:r w:rsidRPr="00330328">
        <w:rPr>
          <w:spacing w:val="-3"/>
        </w:rPr>
        <w:instrText xml:space="preserve"> AUTONUM  </w:instrText>
      </w:r>
      <w:r w:rsidRPr="00330328">
        <w:rPr>
          <w:spacing w:val="-3"/>
        </w:rPr>
        <w:fldChar w:fldCharType="end"/>
      </w:r>
      <w:r>
        <w:tab/>
        <w:t>Der vorläufige Schutz ist nur in bezug auf Handlungen gültig, für die „nach der Erteilung des Züchterrechts“ die Zustimmung des Züchters erforderlich ist</w:t>
      </w:r>
      <w:r>
        <w:rPr>
          <w:spacing w:val="-3"/>
          <w:highlight w:val="lightGray"/>
          <w:u w:val="single"/>
        </w:rPr>
        <w:t>.</w:t>
      </w:r>
      <w:r>
        <w:t xml:space="preserve"> </w:t>
      </w:r>
      <w:r>
        <w:rPr>
          <w:strike/>
          <w:spacing w:val="-3"/>
          <w:highlight w:val="lightGray"/>
        </w:rPr>
        <w:t>,</w:t>
      </w:r>
      <w:r>
        <w:rPr>
          <w:strike/>
          <w:spacing w:val="-3"/>
        </w:rPr>
        <w:t xml:space="preserve"> </w:t>
      </w:r>
      <w:r>
        <w:rPr>
          <w:strike/>
          <w:spacing w:val="-3"/>
          <w:highlight w:val="lightGray"/>
        </w:rPr>
        <w:t>d.h.,</w:t>
      </w:r>
      <w:r>
        <w:t xml:space="preserve">  </w:t>
      </w:r>
      <w:r>
        <w:rPr>
          <w:spacing w:val="-3"/>
          <w:highlight w:val="lightGray"/>
          <w:u w:val="single"/>
        </w:rPr>
        <w:t>Deshalb</w:t>
      </w:r>
      <w:r>
        <w:t xml:space="preserve"> ist der vorläufige Schutz nicht anwendbar, wenn das Recht nicht erteilt wird. </w:t>
      </w:r>
      <w:r>
        <w:rPr>
          <w:highlight w:val="lightGray"/>
          <w:u w:val="single"/>
        </w:rPr>
        <w:t xml:space="preserve">Das UPOV-Übereinkommen sieht vor (siehe Artikel 30 Absatz 1 Nummer iii der Akte von 1991 und Artikel 30 Absatz 1 Buchstabe c der Akte von 1978), daß die Öffentlichkeit durch die periodische Veröffentlichung von Mitteilungen über die Anträge auf und Erteilung von Züchterrechten unterrichtet wird, was Zurücknahmen und Ablehungen von Anträgen beinhaltet. </w:t>
      </w:r>
    </w:p>
    <w:p w:rsidR="008C30ED" w:rsidRDefault="008C30ED" w:rsidP="008C30ED">
      <w:pPr>
        <w:rPr>
          <w:spacing w:val="-3"/>
        </w:rPr>
      </w:pPr>
    </w:p>
    <w:p w:rsidR="008C30ED" w:rsidRDefault="008C30ED" w:rsidP="008C30ED">
      <w:pPr>
        <w:spacing w:after="240"/>
        <w:rPr>
          <w:spacing w:val="-3"/>
        </w:rPr>
      </w:pPr>
      <w:r>
        <w:rPr>
          <w:spacing w:val="-3"/>
          <w:highlight w:val="lightGray"/>
          <w:u w:val="single"/>
        </w:rPr>
        <w:lastRenderedPageBreak/>
        <w:t>10.</w:t>
      </w:r>
      <w:r>
        <w:t xml:space="preserve"> </w:t>
      </w:r>
      <w:r>
        <w:tab/>
      </w:r>
      <w:r>
        <w:rPr>
          <w:highlight w:val="lightGray"/>
          <w:u w:val="single"/>
        </w:rPr>
        <w:t>Die Möglichkeit, eine Lizenzvereinbarung auf der Grundlage eines Antrags auf ein Züchterrecht zu schließen und/oder ein Gerichtsverfahren einzuleiten, bevor das Züc</w:t>
      </w:r>
      <w:r w:rsidR="009F2B52">
        <w:rPr>
          <w:highlight w:val="lightGray"/>
          <w:u w:val="single"/>
        </w:rPr>
        <w:t>hterrecht erteilt wurde, wird i</w:t>
      </w:r>
      <w:r>
        <w:rPr>
          <w:highlight w:val="lightGray"/>
          <w:u w:val="single"/>
        </w:rPr>
        <w:t>n den einschlägigen Rechtsvorschriften des betreffend</w:t>
      </w:r>
      <w:r w:rsidR="009F2B52">
        <w:rPr>
          <w:highlight w:val="lightGray"/>
          <w:u w:val="single"/>
        </w:rPr>
        <w:t>en Verbandsmitglieds bestimmt.</w:t>
      </w:r>
      <w:r>
        <w:rPr>
          <w:highlight w:val="lightGray"/>
          <w:u w:val="single"/>
        </w:rPr>
        <w:t xml:space="preserve"> Die jeweiligen Rechtsvorschriften können zusätzlich zu den Rechtsvorschriften, die die Züchterrechte regeln, andere Rechtsvorschriften zu wesentlichen Fragen und Verfahrensangelegenheiten (z. B. Zivilrecht, Strafrecht) umfassen.</w:t>
      </w:r>
      <w:r>
        <w:rPr>
          <w:u w:val="single"/>
        </w:rPr>
        <w:t xml:space="preserve"> </w:t>
      </w:r>
    </w:p>
    <w:p w:rsidR="008C30ED" w:rsidRPr="00846159" w:rsidRDefault="008C30ED" w:rsidP="008C30ED">
      <w:pPr>
        <w:rPr>
          <w:b/>
          <w:spacing w:val="-3"/>
        </w:rPr>
      </w:pPr>
      <w:r>
        <w:rPr>
          <w:highlight w:val="lightGray"/>
          <w:u w:val="single"/>
        </w:rPr>
        <w:t>11.</w:t>
      </w:r>
      <w:r>
        <w:tab/>
      </w:r>
      <w:r>
        <w:rPr>
          <w:highlight w:val="lightGray"/>
          <w:u w:val="single"/>
        </w:rPr>
        <w:t>In Fällen, in denen es möglich ist, vor Erteilung eines Züchterrechts einen Lizenzvertrag zu schließen, können die maßgeblichen Rechtsvorschriften vorsehen, wie mit bereits entrichteten Lizenzgebühren zu verfahren ist, falls das Recht nicht erteilt wird (z.B. ob dem Lizenznehmer die Gebühren rückwirkend zurückzuerstatten sind) und/oder die Vertragsparteien können dies gemäß dem Rechtssystem vereinbaren</w:t>
      </w:r>
      <w:r>
        <w:t>.</w:t>
      </w:r>
    </w:p>
    <w:p w:rsidR="008C30ED" w:rsidRDefault="008C30ED" w:rsidP="008C30ED">
      <w:pPr>
        <w:rPr>
          <w:spacing w:val="-3"/>
        </w:rPr>
      </w:pPr>
    </w:p>
    <w:p w:rsidR="008C30ED" w:rsidRDefault="008C30ED" w:rsidP="008C30ED">
      <w:pPr>
        <w:rPr>
          <w:rFonts w:cs="Arial"/>
        </w:rPr>
      </w:pPr>
      <w:r>
        <w:rPr>
          <w:highlight w:val="lightGray"/>
          <w:u w:val="single"/>
        </w:rPr>
        <w:t>12.</w:t>
      </w:r>
      <w:r>
        <w:tab/>
      </w:r>
      <w:r>
        <w:rPr>
          <w:highlight w:val="lightGray"/>
          <w:u w:val="single"/>
        </w:rPr>
        <w:t>In Fällen, in denen die Aufnahme juristischer Verfahren vor der Erteilung eines Züchterrechts möglich ist, kann die zuständige Justizbehörde entscheiden, daß eventuelle Schäden erst einklagbar sind, wenn das Recht erteilt wurde.</w:t>
      </w:r>
      <w:r>
        <w:t xml:space="preserve"> </w:t>
      </w:r>
      <w:r>
        <w:rPr>
          <w:highlight w:val="lightGray"/>
          <w:u w:val="single"/>
        </w:rPr>
        <w:t>In solchen Fällen kann die Justizbehörde beispielsweise die dritte Partei auffordern, den Betrag für die Schäden auf ein Hinterlegungskonto zu überweisen, so daß er dem Züchter bei Erteilung des Rechts ausgezahlt wird.</w:t>
      </w:r>
    </w:p>
    <w:p w:rsidR="008C30ED" w:rsidRDefault="008C30ED" w:rsidP="008C30ED">
      <w:pPr>
        <w:rPr>
          <w:rFonts w:cs="Arial"/>
        </w:rPr>
      </w:pPr>
    </w:p>
    <w:p w:rsidR="008C30ED" w:rsidRDefault="008C30ED" w:rsidP="008C30ED">
      <w:pPr>
        <w:rPr>
          <w:rFonts w:cs="Arial"/>
        </w:rPr>
      </w:pPr>
    </w:p>
    <w:p w:rsidR="008C30ED" w:rsidRPr="00287266" w:rsidRDefault="008C30ED" w:rsidP="008C30ED">
      <w:pPr>
        <w:rPr>
          <w:rFonts w:cs="Arial"/>
          <w:i/>
          <w:u w:val="single"/>
        </w:rPr>
      </w:pPr>
      <w:r>
        <w:rPr>
          <w:i/>
          <w:highlight w:val="lightGray"/>
          <w:u w:val="single"/>
        </w:rPr>
        <w:t>Beispiel einer Bestimmung</w:t>
      </w:r>
    </w:p>
    <w:p w:rsidR="008C30ED" w:rsidRPr="00330328" w:rsidRDefault="008C30ED" w:rsidP="008C30ED">
      <w:pPr>
        <w:rPr>
          <w:rFonts w:cs="Arial"/>
          <w:u w:val="single"/>
        </w:rPr>
      </w:pPr>
    </w:p>
    <w:p w:rsidR="008C30ED" w:rsidRDefault="008C30ED" w:rsidP="008C30ED">
      <w:pPr>
        <w:pStyle w:val="Style1"/>
        <w:tabs>
          <w:tab w:val="clear" w:pos="907"/>
          <w:tab w:val="clear" w:pos="1077"/>
          <w:tab w:val="left" w:pos="0"/>
        </w:tabs>
      </w:pPr>
      <w:r>
        <w:rPr>
          <w:snapToGrid w:val="0"/>
          <w:highlight w:val="lightGray"/>
          <w:u w:val="single"/>
        </w:rPr>
        <w:t>13.</w:t>
      </w:r>
      <w:r>
        <w:t xml:space="preserve"> </w:t>
      </w:r>
      <w:r>
        <w:rPr>
          <w:strike/>
          <w:snapToGrid w:val="0"/>
          <w:highlight w:val="lightGray"/>
        </w:rPr>
        <w:t>10.</w:t>
      </w:r>
      <w:r>
        <w:t xml:space="preserve"> Folgendes Beispiel einer Bestimmung soll denjenigen Staaten/zwischenstaatlichen Organisationen behilflich sein, die in ihren Rechtsvorschriften eine Bestimmung über den vorläufigen Schutz gemäß der Akte von 1991 des UPOV-Übereinkommens abzufassen wünschen:</w:t>
      </w:r>
    </w:p>
    <w:p w:rsidR="008C30ED" w:rsidRDefault="008C30ED" w:rsidP="008C30ED">
      <w:pPr>
        <w:pStyle w:val="Style1"/>
        <w:tabs>
          <w:tab w:val="clear" w:pos="907"/>
          <w:tab w:val="clear" w:pos="1077"/>
          <w:tab w:val="left" w:pos="0"/>
        </w:tabs>
      </w:pPr>
    </w:p>
    <w:p w:rsidR="008C30ED" w:rsidRPr="009F2B52" w:rsidRDefault="008C30ED" w:rsidP="008C30ED">
      <w:pPr>
        <w:pStyle w:val="Inf61normalBold"/>
        <w:keepNext/>
        <w:jc w:val="center"/>
        <w:rPr>
          <w:rFonts w:ascii="Arial" w:hAnsi="Arial" w:cs="Arial"/>
          <w:sz w:val="18"/>
          <w:szCs w:val="18"/>
        </w:rPr>
      </w:pPr>
      <w:bookmarkStart w:id="9" w:name="_Toc225138767"/>
      <w:r w:rsidRPr="009F2B52">
        <w:rPr>
          <w:rFonts w:ascii="Arial" w:hAnsi="Arial" w:cs="Arial"/>
          <w:sz w:val="18"/>
          <w:szCs w:val="18"/>
        </w:rPr>
        <w:t xml:space="preserve">Artikel </w:t>
      </w:r>
      <w:r w:rsidRPr="009F2B52">
        <w:rPr>
          <w:rFonts w:ascii="Arial" w:hAnsi="Arial" w:cs="Arial"/>
          <w:sz w:val="18"/>
          <w:szCs w:val="18"/>
          <w:highlight w:val="yellow"/>
        </w:rPr>
        <w:t>[13]</w:t>
      </w:r>
      <w:r w:rsidRPr="009F2B52">
        <w:rPr>
          <w:rStyle w:val="FootnoteReference"/>
          <w:rFonts w:ascii="Arial" w:hAnsi="Arial" w:cs="Arial"/>
          <w:b w:val="0"/>
          <w:sz w:val="18"/>
          <w:szCs w:val="18"/>
          <w:highlight w:val="yellow"/>
        </w:rPr>
        <w:footnoteReference w:id="3"/>
      </w:r>
    </w:p>
    <w:p w:rsidR="008C30ED" w:rsidRPr="009F2B52" w:rsidRDefault="008C30ED" w:rsidP="008C30ED">
      <w:pPr>
        <w:pStyle w:val="Inf61normalBold"/>
        <w:keepNext/>
        <w:jc w:val="center"/>
        <w:rPr>
          <w:rFonts w:ascii="Arial" w:hAnsi="Arial" w:cs="Arial"/>
          <w:sz w:val="18"/>
          <w:szCs w:val="18"/>
        </w:rPr>
      </w:pPr>
      <w:r w:rsidRPr="009F2B52">
        <w:rPr>
          <w:rFonts w:ascii="Arial" w:hAnsi="Arial" w:cs="Arial"/>
          <w:sz w:val="18"/>
          <w:szCs w:val="18"/>
        </w:rPr>
        <w:t>Vorläufiger Schutz</w:t>
      </w:r>
      <w:bookmarkEnd w:id="9"/>
    </w:p>
    <w:p w:rsidR="008C30ED" w:rsidRPr="009F2B52" w:rsidRDefault="008C30ED" w:rsidP="008C30ED">
      <w:pPr>
        <w:pStyle w:val="Inf61normalBold"/>
        <w:keepNext/>
        <w:jc w:val="center"/>
        <w:rPr>
          <w:rFonts w:ascii="Arial" w:hAnsi="Arial" w:cs="Arial"/>
          <w:sz w:val="18"/>
          <w:szCs w:val="18"/>
        </w:rPr>
      </w:pPr>
    </w:p>
    <w:p w:rsidR="008C30ED" w:rsidRPr="009F2B52" w:rsidRDefault="008C30ED" w:rsidP="008C30ED">
      <w:pPr>
        <w:pStyle w:val="inf61normal"/>
        <w:tabs>
          <w:tab w:val="clear" w:pos="426"/>
          <w:tab w:val="clear" w:pos="992"/>
        </w:tabs>
        <w:ind w:left="567" w:right="566"/>
        <w:rPr>
          <w:rFonts w:ascii="Arial" w:hAnsi="Arial" w:cs="Arial"/>
          <w:sz w:val="18"/>
          <w:szCs w:val="18"/>
        </w:rPr>
      </w:pPr>
      <w:r w:rsidRPr="009F2B52">
        <w:rPr>
          <w:rFonts w:ascii="Arial" w:hAnsi="Arial" w:cs="Arial"/>
          <w:sz w:val="18"/>
          <w:szCs w:val="18"/>
        </w:rPr>
        <w:tab/>
      </w:r>
      <w:r w:rsidRPr="009F2B52">
        <w:rPr>
          <w:rFonts w:ascii="Arial" w:hAnsi="Arial" w:cs="Arial"/>
          <w:sz w:val="18"/>
          <w:szCs w:val="18"/>
          <w:highlight w:val="yellow"/>
        </w:rPr>
        <w:t>[(1)]</w:t>
      </w:r>
      <w:r w:rsidRPr="009F2B52">
        <w:rPr>
          <w:rFonts w:ascii="Arial" w:hAnsi="Arial" w:cs="Arial"/>
          <w:sz w:val="18"/>
          <w:szCs w:val="18"/>
        </w:rPr>
        <w:tab/>
        <w:t xml:space="preserve">Vorläufiger Schutz wird zur Wahrung der Interessen des Züchters in der Zeit von </w:t>
      </w:r>
      <w:r w:rsidRPr="009F2B52">
        <w:rPr>
          <w:rFonts w:ascii="Arial" w:hAnsi="Arial" w:cs="Arial"/>
          <w:sz w:val="18"/>
          <w:szCs w:val="18"/>
          <w:highlight w:val="yellow"/>
        </w:rPr>
        <w:t>[der Einreichung] / [der Veröffentlichung]</w:t>
      </w:r>
      <w:r w:rsidRPr="009F2B52">
        <w:rPr>
          <w:rFonts w:ascii="Arial" w:hAnsi="Arial" w:cs="Arial"/>
          <w:sz w:val="18"/>
          <w:szCs w:val="18"/>
        </w:rPr>
        <w:t xml:space="preserve"> des Antrags auf Erteilung eines Züchterrechts  an bis zur Erteilung des Züchterrechts gewährt.</w:t>
      </w:r>
    </w:p>
    <w:p w:rsidR="008C30ED" w:rsidRPr="00432E87" w:rsidRDefault="008C30ED" w:rsidP="008C30ED">
      <w:pPr>
        <w:pStyle w:val="inf61normal"/>
        <w:tabs>
          <w:tab w:val="clear" w:pos="426"/>
          <w:tab w:val="clear" w:pos="992"/>
        </w:tabs>
        <w:ind w:left="567" w:right="566"/>
        <w:rPr>
          <w:rFonts w:ascii="Arial" w:hAnsi="Arial" w:cs="Arial"/>
          <w:i/>
          <w:sz w:val="14"/>
          <w:szCs w:val="18"/>
        </w:rPr>
      </w:pPr>
    </w:p>
    <w:p w:rsidR="008C30ED" w:rsidRPr="009F2B52" w:rsidRDefault="008C30ED" w:rsidP="008C30ED">
      <w:pPr>
        <w:pStyle w:val="inf61normal"/>
        <w:tabs>
          <w:tab w:val="clear" w:pos="426"/>
          <w:tab w:val="clear" w:pos="992"/>
          <w:tab w:val="right" w:leader="hyphen" w:pos="2268"/>
        </w:tabs>
        <w:ind w:left="567" w:right="566"/>
        <w:rPr>
          <w:rFonts w:ascii="Arial" w:hAnsi="Arial" w:cs="Arial"/>
          <w:i/>
          <w:sz w:val="18"/>
          <w:szCs w:val="18"/>
        </w:rPr>
      </w:pPr>
      <w:r w:rsidRPr="009F2B52">
        <w:rPr>
          <w:rFonts w:ascii="Arial" w:hAnsi="Arial" w:cs="Arial"/>
          <w:sz w:val="18"/>
          <w:szCs w:val="18"/>
        </w:rPr>
        <w:tab/>
      </w:r>
    </w:p>
    <w:p w:rsidR="008C30ED" w:rsidRPr="009F2B52" w:rsidRDefault="008C30ED" w:rsidP="008C30ED">
      <w:pPr>
        <w:pStyle w:val="inf61normal"/>
        <w:tabs>
          <w:tab w:val="clear" w:pos="426"/>
          <w:tab w:val="clear" w:pos="992"/>
        </w:tabs>
        <w:ind w:left="567" w:right="566"/>
        <w:rPr>
          <w:rFonts w:ascii="Arial" w:hAnsi="Arial" w:cs="Arial"/>
          <w:i/>
          <w:sz w:val="18"/>
          <w:szCs w:val="18"/>
        </w:rPr>
      </w:pPr>
      <w:r w:rsidRPr="009F2B52">
        <w:rPr>
          <w:rFonts w:ascii="Arial" w:hAnsi="Arial" w:cs="Arial"/>
          <w:i/>
          <w:sz w:val="18"/>
          <w:szCs w:val="18"/>
        </w:rPr>
        <w:t>Beispiel A</w:t>
      </w:r>
    </w:p>
    <w:p w:rsidR="008C30ED" w:rsidRPr="009F2B52" w:rsidRDefault="008C30ED" w:rsidP="008C30ED">
      <w:pPr>
        <w:pStyle w:val="inf61normal"/>
        <w:tabs>
          <w:tab w:val="clear" w:pos="426"/>
          <w:tab w:val="clear" w:pos="992"/>
        </w:tabs>
        <w:ind w:left="567" w:right="566"/>
        <w:rPr>
          <w:rFonts w:ascii="Arial" w:hAnsi="Arial" w:cs="Arial"/>
          <w:i/>
          <w:sz w:val="18"/>
          <w:szCs w:val="18"/>
          <w:highlight w:val="yellow"/>
        </w:rPr>
      </w:pPr>
    </w:p>
    <w:p w:rsidR="008C30ED" w:rsidRPr="009F2B52" w:rsidRDefault="008C30ED" w:rsidP="008C30ED">
      <w:pPr>
        <w:pStyle w:val="inf61normal"/>
        <w:tabs>
          <w:tab w:val="clear" w:pos="426"/>
          <w:tab w:val="clear" w:pos="992"/>
        </w:tabs>
        <w:ind w:left="567" w:right="566"/>
        <w:rPr>
          <w:rFonts w:ascii="Arial" w:hAnsi="Arial" w:cs="Arial"/>
          <w:sz w:val="18"/>
          <w:szCs w:val="18"/>
        </w:rPr>
      </w:pPr>
      <w:r w:rsidRPr="009F2B52">
        <w:rPr>
          <w:rFonts w:ascii="Arial" w:hAnsi="Arial" w:cs="Arial"/>
          <w:sz w:val="18"/>
          <w:szCs w:val="18"/>
        </w:rPr>
        <w:tab/>
      </w:r>
      <w:r w:rsidRPr="009F2B52">
        <w:rPr>
          <w:rFonts w:ascii="Arial" w:hAnsi="Arial" w:cs="Arial"/>
          <w:sz w:val="18"/>
          <w:szCs w:val="18"/>
          <w:highlight w:val="yellow"/>
        </w:rPr>
        <w:t>[(2)]</w:t>
      </w:r>
      <w:r w:rsidRPr="009F2B52">
        <w:rPr>
          <w:rFonts w:ascii="Arial" w:hAnsi="Arial" w:cs="Arial"/>
          <w:sz w:val="18"/>
          <w:szCs w:val="18"/>
        </w:rPr>
        <w:tab/>
        <w:t xml:space="preserve">Der Inhaber eines Züchterrechts </w:t>
      </w:r>
      <w:r w:rsidRPr="009F2B52">
        <w:rPr>
          <w:rFonts w:ascii="Arial" w:hAnsi="Arial" w:cs="Arial"/>
          <w:sz w:val="18"/>
          <w:szCs w:val="18"/>
          <w:highlight w:val="yellow"/>
        </w:rPr>
        <w:t>[hat zumindest Anspruch auf eine angemessene Vergütung]</w:t>
      </w:r>
      <w:r w:rsidRPr="009F2B52">
        <w:rPr>
          <w:rFonts w:ascii="Arial" w:hAnsi="Arial" w:cs="Arial"/>
          <w:sz w:val="18"/>
          <w:szCs w:val="18"/>
        </w:rPr>
        <w:t xml:space="preserve"> gegen jeden, der in der in Absatz [1)] genannten Zeit eine Handlung vorgenommen hat, für die nach der Erteilung des Züchterrechts die Zustimmung des Züchters nach Artikel [14] erforderlich ist.  </w:t>
      </w:r>
    </w:p>
    <w:p w:rsidR="008C30ED" w:rsidRPr="009F2B52" w:rsidRDefault="008C30ED" w:rsidP="008C30ED">
      <w:pPr>
        <w:autoSpaceDE w:val="0"/>
        <w:autoSpaceDN w:val="0"/>
        <w:adjustRightInd w:val="0"/>
        <w:ind w:left="567" w:right="566"/>
        <w:jc w:val="left"/>
        <w:rPr>
          <w:rFonts w:cs="Arial"/>
          <w:sz w:val="18"/>
          <w:szCs w:val="18"/>
        </w:rPr>
      </w:pPr>
    </w:p>
    <w:p w:rsidR="008C30ED" w:rsidRPr="009F2B52" w:rsidRDefault="008C30ED" w:rsidP="008C30ED">
      <w:pPr>
        <w:autoSpaceDE w:val="0"/>
        <w:autoSpaceDN w:val="0"/>
        <w:adjustRightInd w:val="0"/>
        <w:ind w:left="567" w:right="566"/>
        <w:jc w:val="left"/>
        <w:rPr>
          <w:rFonts w:cs="Arial"/>
          <w:i/>
          <w:sz w:val="18"/>
          <w:szCs w:val="18"/>
        </w:rPr>
      </w:pPr>
      <w:r w:rsidRPr="009F2B52">
        <w:rPr>
          <w:rFonts w:cs="Arial"/>
          <w:i/>
          <w:sz w:val="18"/>
          <w:szCs w:val="18"/>
        </w:rPr>
        <w:t>Beispiel B</w:t>
      </w:r>
    </w:p>
    <w:p w:rsidR="008C30ED" w:rsidRPr="009F2B52" w:rsidRDefault="008C30ED" w:rsidP="008C30ED">
      <w:pPr>
        <w:autoSpaceDE w:val="0"/>
        <w:autoSpaceDN w:val="0"/>
        <w:adjustRightInd w:val="0"/>
        <w:ind w:left="567" w:right="566"/>
        <w:jc w:val="left"/>
        <w:rPr>
          <w:rFonts w:cs="Arial"/>
          <w:sz w:val="18"/>
          <w:szCs w:val="18"/>
        </w:rPr>
      </w:pPr>
    </w:p>
    <w:p w:rsidR="008C30ED" w:rsidRPr="009F2B52" w:rsidRDefault="008C30ED" w:rsidP="008C30ED">
      <w:pPr>
        <w:autoSpaceDE w:val="0"/>
        <w:autoSpaceDN w:val="0"/>
        <w:adjustRightInd w:val="0"/>
        <w:ind w:left="567" w:right="566"/>
        <w:rPr>
          <w:rFonts w:cs="Arial"/>
          <w:sz w:val="18"/>
          <w:szCs w:val="18"/>
          <w:highlight w:val="lightGray"/>
          <w:u w:val="single"/>
        </w:rPr>
      </w:pPr>
      <w:r w:rsidRPr="009F2B52">
        <w:rPr>
          <w:rFonts w:cs="Arial"/>
          <w:sz w:val="18"/>
          <w:szCs w:val="18"/>
        </w:rPr>
        <w:tab/>
      </w:r>
      <w:r w:rsidRPr="009F2B52">
        <w:rPr>
          <w:rFonts w:cs="Arial"/>
          <w:sz w:val="18"/>
          <w:szCs w:val="18"/>
          <w:highlight w:val="yellow"/>
        </w:rPr>
        <w:t>[(2)]</w:t>
      </w:r>
      <w:r w:rsidRPr="009F2B52">
        <w:rPr>
          <w:rFonts w:cs="Arial"/>
          <w:sz w:val="18"/>
          <w:szCs w:val="18"/>
        </w:rPr>
        <w:tab/>
        <w:t>Der Antragsteller wird als der Inhaber eines Züchterrechts in bezug auf jeden ang</w:t>
      </w:r>
      <w:r w:rsidR="009F2B52">
        <w:rPr>
          <w:rFonts w:cs="Arial"/>
          <w:sz w:val="18"/>
          <w:szCs w:val="18"/>
        </w:rPr>
        <w:t xml:space="preserve">esehen, der in der in Absatz </w:t>
      </w:r>
      <w:r w:rsidR="009F2B52" w:rsidRPr="009F2B52">
        <w:rPr>
          <w:rFonts w:cs="Arial"/>
          <w:sz w:val="18"/>
          <w:szCs w:val="18"/>
          <w:highlight w:val="yellow"/>
        </w:rPr>
        <w:t>[1</w:t>
      </w:r>
      <w:r w:rsidR="009F2B52">
        <w:rPr>
          <w:rFonts w:cs="Arial"/>
          <w:sz w:val="18"/>
          <w:szCs w:val="18"/>
          <w:highlight w:val="yellow"/>
        </w:rPr>
        <w:t>)</w:t>
      </w:r>
      <w:r w:rsidRPr="009F2B52">
        <w:rPr>
          <w:rFonts w:cs="Arial"/>
          <w:sz w:val="18"/>
          <w:szCs w:val="18"/>
          <w:highlight w:val="yellow"/>
        </w:rPr>
        <w:t>]</w:t>
      </w:r>
      <w:r w:rsidRPr="009F2B52">
        <w:rPr>
          <w:rFonts w:cs="Arial"/>
          <w:sz w:val="18"/>
          <w:szCs w:val="18"/>
        </w:rPr>
        <w:t xml:space="preserve"> genannten Zeit eine Handlung vorgenommen hat, für die nach der Erteilung des Züchterrechts die Zustimmung des Züchters nach Artikel </w:t>
      </w:r>
      <w:r w:rsidRPr="009F2B52">
        <w:rPr>
          <w:rFonts w:cs="Arial"/>
          <w:sz w:val="18"/>
          <w:szCs w:val="18"/>
          <w:highlight w:val="yellow"/>
        </w:rPr>
        <w:t>[14]</w:t>
      </w:r>
      <w:r w:rsidRPr="009F2B52">
        <w:rPr>
          <w:rFonts w:cs="Arial"/>
          <w:sz w:val="18"/>
          <w:szCs w:val="18"/>
        </w:rPr>
        <w:t xml:space="preserve"> erforderlich ist. </w:t>
      </w:r>
      <w:r w:rsidRPr="009F2B52">
        <w:rPr>
          <w:rFonts w:cs="Arial"/>
          <w:strike/>
          <w:sz w:val="18"/>
          <w:szCs w:val="18"/>
          <w:highlight w:val="lightGray"/>
        </w:rPr>
        <w:t>Rechtshandlungen in bezug auf vorläufigen Schutz können erst nach der Erteilung des Rechts eingeleitet werden.</w:t>
      </w:r>
      <w:r w:rsidRPr="009F2B52">
        <w:rPr>
          <w:rFonts w:cs="Arial"/>
          <w:sz w:val="18"/>
          <w:szCs w:val="18"/>
        </w:rPr>
        <w:t xml:space="preserve">  </w:t>
      </w:r>
      <w:r w:rsidRPr="009F2B52">
        <w:rPr>
          <w:rFonts w:cs="Arial"/>
          <w:sz w:val="18"/>
          <w:szCs w:val="18"/>
          <w:highlight w:val="lightGray"/>
          <w:u w:val="single"/>
        </w:rPr>
        <w:t>Der Anmelder hat das Recht, Lizenzverträge zu schließen und Gerichtsverfahren einzuleiten, ganz so als wäre dem Anmelder das Züchterrecht zum Zeitpunkt</w:t>
      </w:r>
      <w:r w:rsidRPr="009F2B52">
        <w:rPr>
          <w:rFonts w:cs="Arial"/>
          <w:sz w:val="18"/>
          <w:szCs w:val="18"/>
        </w:rPr>
        <w:t xml:space="preserve"> </w:t>
      </w:r>
      <w:r w:rsidRPr="009F2B52">
        <w:rPr>
          <w:rFonts w:cs="Arial"/>
          <w:sz w:val="18"/>
          <w:szCs w:val="18"/>
          <w:highlight w:val="yellow"/>
          <w:u w:val="single"/>
        </w:rPr>
        <w:t>[des Einreichens]</w:t>
      </w:r>
      <w:r w:rsidRPr="009F2B52">
        <w:rPr>
          <w:rFonts w:cs="Arial"/>
          <w:sz w:val="18"/>
          <w:szCs w:val="18"/>
          <w:u w:val="single"/>
        </w:rPr>
        <w:t xml:space="preserve"> / </w:t>
      </w:r>
      <w:r w:rsidRPr="009F2B52">
        <w:rPr>
          <w:rFonts w:cs="Arial"/>
          <w:sz w:val="18"/>
          <w:szCs w:val="18"/>
          <w:highlight w:val="yellow"/>
          <w:u w:val="single"/>
        </w:rPr>
        <w:t>[der Veröffentlichung]</w:t>
      </w:r>
      <w:r w:rsidRPr="009F2B52">
        <w:rPr>
          <w:rFonts w:cs="Arial"/>
          <w:sz w:val="18"/>
          <w:szCs w:val="18"/>
          <w:u w:val="single"/>
        </w:rPr>
        <w:t xml:space="preserve"> </w:t>
      </w:r>
      <w:r w:rsidRPr="009F2B52">
        <w:rPr>
          <w:rFonts w:cs="Arial"/>
          <w:sz w:val="18"/>
          <w:szCs w:val="18"/>
          <w:highlight w:val="lightGray"/>
          <w:u w:val="single"/>
        </w:rPr>
        <w:t xml:space="preserve">im Hinblick </w:t>
      </w:r>
      <w:r w:rsidR="009F2B52" w:rsidRPr="009F2B52">
        <w:rPr>
          <w:rFonts w:cs="Arial"/>
          <w:sz w:val="18"/>
          <w:szCs w:val="18"/>
          <w:highlight w:val="lightGray"/>
          <w:u w:val="single"/>
        </w:rPr>
        <w:t>auf die betreffende Sorte erteilt worden.</w:t>
      </w:r>
      <w:r w:rsidRPr="009F2B52">
        <w:rPr>
          <w:rFonts w:cs="Arial"/>
          <w:sz w:val="18"/>
          <w:szCs w:val="18"/>
          <w:u w:val="single"/>
        </w:rPr>
        <w:t xml:space="preserve"> </w:t>
      </w:r>
      <w:r w:rsidRPr="009F2B52">
        <w:rPr>
          <w:rFonts w:cs="Arial"/>
          <w:sz w:val="18"/>
          <w:szCs w:val="18"/>
          <w:highlight w:val="lightGray"/>
          <w:u w:val="single"/>
        </w:rPr>
        <w:t>Die nach diesem Paragraphen gewährten Rechte sind als hinfällig zu betrachten, wenn das Recht nicht erteilt wird.</w:t>
      </w:r>
      <w:r w:rsidRPr="009F2B52">
        <w:rPr>
          <w:rFonts w:cs="Arial"/>
          <w:sz w:val="18"/>
          <w:szCs w:val="18"/>
        </w:rPr>
        <w:t xml:space="preserve"> </w:t>
      </w:r>
    </w:p>
    <w:p w:rsidR="008C30ED" w:rsidRPr="00432E87" w:rsidRDefault="008C30ED" w:rsidP="008C30ED">
      <w:pPr>
        <w:autoSpaceDE w:val="0"/>
        <w:autoSpaceDN w:val="0"/>
        <w:adjustRightInd w:val="0"/>
        <w:ind w:left="567" w:right="566"/>
        <w:rPr>
          <w:rFonts w:cs="Arial"/>
          <w:sz w:val="14"/>
          <w:szCs w:val="18"/>
          <w:u w:val="single"/>
        </w:rPr>
      </w:pPr>
    </w:p>
    <w:p w:rsidR="008C30ED" w:rsidRPr="009F2B52" w:rsidRDefault="008C30ED" w:rsidP="008C30ED">
      <w:pPr>
        <w:pStyle w:val="inf61normal"/>
        <w:tabs>
          <w:tab w:val="clear" w:pos="426"/>
          <w:tab w:val="clear" w:pos="992"/>
          <w:tab w:val="right" w:leader="hyphen" w:pos="2268"/>
        </w:tabs>
        <w:ind w:left="567" w:right="566"/>
        <w:rPr>
          <w:rFonts w:ascii="Arial" w:hAnsi="Arial" w:cs="Arial"/>
          <w:i/>
          <w:sz w:val="18"/>
          <w:szCs w:val="18"/>
        </w:rPr>
      </w:pPr>
      <w:r w:rsidRPr="009F2B52">
        <w:rPr>
          <w:rFonts w:ascii="Arial" w:hAnsi="Arial" w:cs="Arial"/>
          <w:sz w:val="18"/>
          <w:szCs w:val="18"/>
        </w:rPr>
        <w:tab/>
      </w:r>
    </w:p>
    <w:p w:rsidR="008C30ED" w:rsidRPr="00432E87" w:rsidRDefault="008C30ED" w:rsidP="008C30ED">
      <w:pPr>
        <w:autoSpaceDE w:val="0"/>
        <w:autoSpaceDN w:val="0"/>
        <w:adjustRightInd w:val="0"/>
        <w:ind w:left="567" w:right="566"/>
        <w:rPr>
          <w:rFonts w:cs="Arial"/>
          <w:sz w:val="14"/>
          <w:szCs w:val="18"/>
          <w:highlight w:val="yellow"/>
        </w:rPr>
      </w:pPr>
    </w:p>
    <w:p w:rsidR="008C30ED" w:rsidRPr="009F2B52" w:rsidRDefault="008C30ED" w:rsidP="008C30ED">
      <w:pPr>
        <w:autoSpaceDE w:val="0"/>
        <w:autoSpaceDN w:val="0"/>
        <w:adjustRightInd w:val="0"/>
        <w:ind w:left="567" w:right="566"/>
        <w:rPr>
          <w:rFonts w:cs="Arial"/>
          <w:sz w:val="18"/>
          <w:szCs w:val="18"/>
        </w:rPr>
      </w:pPr>
      <w:r w:rsidRPr="009F2B52">
        <w:rPr>
          <w:rFonts w:cs="Arial"/>
          <w:sz w:val="18"/>
          <w:szCs w:val="18"/>
        </w:rPr>
        <w:tab/>
      </w:r>
      <w:r w:rsidRPr="009F2B52">
        <w:rPr>
          <w:rFonts w:cs="Arial"/>
          <w:sz w:val="18"/>
          <w:szCs w:val="18"/>
          <w:highlight w:val="yellow"/>
        </w:rPr>
        <w:t>[(3)]</w:t>
      </w:r>
      <w:r w:rsidRPr="009F2B52">
        <w:rPr>
          <w:rFonts w:cs="Arial"/>
          <w:sz w:val="18"/>
          <w:szCs w:val="18"/>
        </w:rPr>
        <w:tab/>
      </w:r>
      <w:r w:rsidRPr="009F2B52">
        <w:rPr>
          <w:rFonts w:cs="Arial"/>
          <w:sz w:val="18"/>
          <w:szCs w:val="18"/>
          <w:highlight w:val="yellow"/>
        </w:rPr>
        <w:t>[Der vorläufige Schutz ist nur in bezug auf solche Personen wirksam, denen der Züchter die Hinterlegung des Antrags mitgeteilt hat.]</w:t>
      </w:r>
      <w:r w:rsidRPr="009F2B52">
        <w:rPr>
          <w:rFonts w:cs="Arial"/>
          <w:sz w:val="18"/>
          <w:szCs w:val="18"/>
        </w:rPr>
        <w:t xml:space="preserve"> </w:t>
      </w:r>
    </w:p>
    <w:p w:rsidR="008C30ED" w:rsidRPr="00A368E0" w:rsidRDefault="008C30ED" w:rsidP="008C30ED">
      <w:pPr>
        <w:autoSpaceDE w:val="0"/>
        <w:autoSpaceDN w:val="0"/>
        <w:adjustRightInd w:val="0"/>
      </w:pPr>
    </w:p>
    <w:p w:rsidR="008C30ED" w:rsidRPr="00A368E0" w:rsidRDefault="008C30ED" w:rsidP="008C30ED">
      <w:pPr>
        <w:autoSpaceDE w:val="0"/>
        <w:autoSpaceDN w:val="0"/>
        <w:adjustRightInd w:val="0"/>
        <w:jc w:val="left"/>
      </w:pPr>
    </w:p>
    <w:p w:rsidR="008C30ED" w:rsidRPr="00F80864" w:rsidRDefault="008C30ED" w:rsidP="008C30ED">
      <w:pPr>
        <w:rPr>
          <w:strike/>
          <w:spacing w:val="-3"/>
        </w:rPr>
      </w:pPr>
      <w:r>
        <w:t>Absatz 3) des obigen Beispiels einer Bestimmung ist nicht notwendig, wenn das Gesetz in Absatz 1) den Tag der Veröffentlichung als Anfangstag für den vorläufigen Schutz vorgesehen hat (vergleiche Absatz 6 dieses Dokuments).</w:t>
      </w:r>
      <w:r>
        <w:rPr>
          <w:b/>
        </w:rPr>
        <w:t xml:space="preserve"> </w:t>
      </w:r>
    </w:p>
    <w:p w:rsidR="008C30ED" w:rsidRDefault="008C30ED" w:rsidP="008C30ED">
      <w:pPr>
        <w:rPr>
          <w:rFonts w:cs="Arial"/>
        </w:rPr>
      </w:pPr>
    </w:p>
    <w:p w:rsidR="006A4623" w:rsidRDefault="006A4623">
      <w:pPr>
        <w:jc w:val="left"/>
        <w:rPr>
          <w:rFonts w:cs="Arial"/>
        </w:rPr>
      </w:pPr>
    </w:p>
    <w:p w:rsidR="00BE4EC4" w:rsidRPr="0019030C" w:rsidRDefault="00550DA0" w:rsidP="00550DA0">
      <w:pPr>
        <w:jc w:val="right"/>
        <w:rPr>
          <w:rFonts w:cs="Arial"/>
        </w:rPr>
      </w:pPr>
      <w:r>
        <w:t>[Ende des Dokuments]</w:t>
      </w:r>
    </w:p>
    <w:sectPr w:rsidR="00BE4EC4" w:rsidRPr="0019030C" w:rsidSect="00BE4EC4">
      <w:headerReference w:type="even" r:id="rId10"/>
      <w:headerReference w:type="default" r:id="rId11"/>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429" w:rsidRDefault="00166429">
      <w:r>
        <w:separator/>
      </w:r>
    </w:p>
  </w:endnote>
  <w:endnote w:type="continuationSeparator" w:id="0">
    <w:p w:rsidR="00166429" w:rsidRDefault="0016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429" w:rsidRDefault="00166429">
      <w:r>
        <w:separator/>
      </w:r>
    </w:p>
  </w:footnote>
  <w:footnote w:type="continuationSeparator" w:id="0">
    <w:p w:rsidR="00166429" w:rsidRDefault="00166429">
      <w:r>
        <w:continuationSeparator/>
      </w:r>
    </w:p>
  </w:footnote>
  <w:footnote w:id="1">
    <w:p w:rsidR="008C30ED" w:rsidRPr="00101360" w:rsidRDefault="008C30ED" w:rsidP="008C30ED">
      <w:pPr>
        <w:pStyle w:val="FootnoteText"/>
      </w:pPr>
      <w:r>
        <w:rPr>
          <w:rStyle w:val="FootnoteReference"/>
        </w:rPr>
        <w:footnoteRef/>
      </w:r>
      <w:r>
        <w:tab/>
        <w:t>Artikel 7 Absatz 3 der Akte von 1978 bezieht sich ausschließlich auf „die Zeit von der Einreichung der Schutzrechtsanmeldung bis zur Entscheidung hierüber.“</w:t>
      </w:r>
    </w:p>
  </w:footnote>
  <w:footnote w:id="2">
    <w:p w:rsidR="008C30ED" w:rsidRPr="00101360" w:rsidRDefault="008C30ED" w:rsidP="008C30ED">
      <w:pPr>
        <w:pStyle w:val="FootnoteText"/>
      </w:pPr>
      <w:r>
        <w:rPr>
          <w:rStyle w:val="FootnoteReference"/>
        </w:rPr>
        <w:footnoteRef/>
      </w:r>
      <w:r>
        <w:tab/>
        <w:t>Nach Artikel 7 Absatz 3 der Akte von 1978 ist vorläufiger Schutz eine freigestellte Bestimmung.</w:t>
      </w:r>
    </w:p>
  </w:footnote>
  <w:footnote w:id="3">
    <w:p w:rsidR="008C30ED" w:rsidRPr="00101360" w:rsidRDefault="008C30ED" w:rsidP="008C30ED">
      <w:pPr>
        <w:pStyle w:val="FootnoteText"/>
        <w:ind w:left="284" w:hanging="284"/>
      </w:pPr>
      <w:r>
        <w:rPr>
          <w:rStyle w:val="FootnoteReference"/>
        </w:rPr>
        <w:footnoteRef/>
      </w:r>
      <w:r>
        <w:t xml:space="preserve"> </w:t>
      </w:r>
      <w:r>
        <w:tab/>
        <w:t>Der hervorgehobene Wortlaut in eckigen Klammern ist für Verfasser bestimmt, die an der Ausarbeitung von Rechtsvorschriften beteiligt sind, und weist den zu ergänzenden Wortlaut, die Nummerierung der Bestimmungen, die möglicherweise geändert werden müssen oder Bestimmungen der Akte von 1991 des UPOV-Übereinkommens, die eine Auswahl vorsehen, aus.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F106BE" w:rsidRDefault="00F61DE9" w:rsidP="00BE4EC4">
    <w:pPr>
      <w:pStyle w:val="Enttepair"/>
    </w:pPr>
    <w:r>
      <w:t>ANMERKUNGEN — ARTIKEL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68156D" w:rsidRDefault="00373663" w:rsidP="00BE4EC4">
    <w:pPr>
      <w:pStyle w:val="Header"/>
      <w:rPr>
        <w:rFonts w:cs="Arial"/>
      </w:rPr>
    </w:pPr>
    <w:r>
      <w:t>UPOV/EXN/PRP/2 Draft 3</w:t>
    </w:r>
  </w:p>
  <w:p w:rsidR="00F61DE9" w:rsidRPr="009929A5" w:rsidRDefault="00F61DE9" w:rsidP="00BE4EC4">
    <w:pPr>
      <w:pStyle w:val="Header"/>
      <w:rPr>
        <w:rStyle w:val="PageNumber"/>
        <w:rFonts w:cs="Arial"/>
      </w:rPr>
    </w:pPr>
    <w:r>
      <w:t xml:space="preserve">Seite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A607CE">
      <w:rPr>
        <w:rStyle w:val="PageNumber"/>
        <w:rFonts w:cs="Arial"/>
        <w:noProof/>
      </w:rPr>
      <w:t>2</w:t>
    </w:r>
    <w:r w:rsidRPr="009929A5">
      <w:rPr>
        <w:rStyle w:val="PageNumber"/>
        <w:rFonts w:cs="Arial"/>
      </w:rPr>
      <w:fldChar w:fldCharType="end"/>
    </w:r>
  </w:p>
  <w:p w:rsidR="00F61DE9" w:rsidRPr="009929A5" w:rsidRDefault="00F61DE9" w:rsidP="00BE4EC4">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de-DE" w:vendorID="64" w:dllVersion="131078" w:nlCheck="1" w:checkStyle="1"/>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2C2"/>
    <w:rsid w:val="00000531"/>
    <w:rsid w:val="00004E4E"/>
    <w:rsid w:val="00005853"/>
    <w:rsid w:val="0000682E"/>
    <w:rsid w:val="00006D0B"/>
    <w:rsid w:val="00010D9E"/>
    <w:rsid w:val="000126EB"/>
    <w:rsid w:val="000134B6"/>
    <w:rsid w:val="0001787D"/>
    <w:rsid w:val="000215D1"/>
    <w:rsid w:val="00023EDE"/>
    <w:rsid w:val="00025909"/>
    <w:rsid w:val="000267B9"/>
    <w:rsid w:val="00026914"/>
    <w:rsid w:val="000271F8"/>
    <w:rsid w:val="0003057A"/>
    <w:rsid w:val="00031095"/>
    <w:rsid w:val="000313D2"/>
    <w:rsid w:val="00032099"/>
    <w:rsid w:val="0003289C"/>
    <w:rsid w:val="000351A2"/>
    <w:rsid w:val="00035D04"/>
    <w:rsid w:val="00036210"/>
    <w:rsid w:val="000362B4"/>
    <w:rsid w:val="0003732E"/>
    <w:rsid w:val="0004179D"/>
    <w:rsid w:val="00044035"/>
    <w:rsid w:val="00045EE0"/>
    <w:rsid w:val="00046148"/>
    <w:rsid w:val="00047094"/>
    <w:rsid w:val="0005083A"/>
    <w:rsid w:val="00050871"/>
    <w:rsid w:val="00050DEE"/>
    <w:rsid w:val="00051F03"/>
    <w:rsid w:val="00052775"/>
    <w:rsid w:val="00052D34"/>
    <w:rsid w:val="000546C1"/>
    <w:rsid w:val="00056D03"/>
    <w:rsid w:val="00056D63"/>
    <w:rsid w:val="0005784D"/>
    <w:rsid w:val="00057B0D"/>
    <w:rsid w:val="000619A4"/>
    <w:rsid w:val="000620CD"/>
    <w:rsid w:val="000625BE"/>
    <w:rsid w:val="000646E6"/>
    <w:rsid w:val="00066EE1"/>
    <w:rsid w:val="00070424"/>
    <w:rsid w:val="000704DE"/>
    <w:rsid w:val="00070DE2"/>
    <w:rsid w:val="00071991"/>
    <w:rsid w:val="0007219A"/>
    <w:rsid w:val="00072634"/>
    <w:rsid w:val="000727AC"/>
    <w:rsid w:val="0007301F"/>
    <w:rsid w:val="00074168"/>
    <w:rsid w:val="00074B8E"/>
    <w:rsid w:val="00074B97"/>
    <w:rsid w:val="000762E5"/>
    <w:rsid w:val="00076651"/>
    <w:rsid w:val="00077138"/>
    <w:rsid w:val="00080744"/>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607"/>
    <w:rsid w:val="000B3512"/>
    <w:rsid w:val="000B3A2E"/>
    <w:rsid w:val="000B408C"/>
    <w:rsid w:val="000B5B01"/>
    <w:rsid w:val="000B6276"/>
    <w:rsid w:val="000C280F"/>
    <w:rsid w:val="000C2BB7"/>
    <w:rsid w:val="000C3824"/>
    <w:rsid w:val="000C4CE7"/>
    <w:rsid w:val="000C4FCF"/>
    <w:rsid w:val="000C5B2E"/>
    <w:rsid w:val="000D05CF"/>
    <w:rsid w:val="000D19BA"/>
    <w:rsid w:val="000D21CC"/>
    <w:rsid w:val="000D376A"/>
    <w:rsid w:val="000D39F0"/>
    <w:rsid w:val="000D46C6"/>
    <w:rsid w:val="000D53B7"/>
    <w:rsid w:val="000D625B"/>
    <w:rsid w:val="000E0AA8"/>
    <w:rsid w:val="000E2062"/>
    <w:rsid w:val="000E24C5"/>
    <w:rsid w:val="000E2537"/>
    <w:rsid w:val="000E35E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11C96"/>
    <w:rsid w:val="001166FC"/>
    <w:rsid w:val="00122F6C"/>
    <w:rsid w:val="0013000A"/>
    <w:rsid w:val="00130571"/>
    <w:rsid w:val="00131413"/>
    <w:rsid w:val="00131973"/>
    <w:rsid w:val="00133122"/>
    <w:rsid w:val="00133DEF"/>
    <w:rsid w:val="001350AE"/>
    <w:rsid w:val="0013633B"/>
    <w:rsid w:val="001401B9"/>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579"/>
    <w:rsid w:val="00166429"/>
    <w:rsid w:val="00167EC8"/>
    <w:rsid w:val="001703F3"/>
    <w:rsid w:val="001706B9"/>
    <w:rsid w:val="00176502"/>
    <w:rsid w:val="00177001"/>
    <w:rsid w:val="00177708"/>
    <w:rsid w:val="00180802"/>
    <w:rsid w:val="001811B0"/>
    <w:rsid w:val="001814FC"/>
    <w:rsid w:val="001815F2"/>
    <w:rsid w:val="001827B9"/>
    <w:rsid w:val="00185DEA"/>
    <w:rsid w:val="00187D87"/>
    <w:rsid w:val="0019030C"/>
    <w:rsid w:val="00190569"/>
    <w:rsid w:val="001915D4"/>
    <w:rsid w:val="00191F38"/>
    <w:rsid w:val="0019247A"/>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59D0"/>
    <w:rsid w:val="001A709F"/>
    <w:rsid w:val="001B0FE5"/>
    <w:rsid w:val="001B22CC"/>
    <w:rsid w:val="001B2D4A"/>
    <w:rsid w:val="001B370C"/>
    <w:rsid w:val="001B4276"/>
    <w:rsid w:val="001B5023"/>
    <w:rsid w:val="001B7057"/>
    <w:rsid w:val="001C02E4"/>
    <w:rsid w:val="001C1318"/>
    <w:rsid w:val="001C1D0B"/>
    <w:rsid w:val="001C232E"/>
    <w:rsid w:val="001C48A1"/>
    <w:rsid w:val="001C74C0"/>
    <w:rsid w:val="001C7F17"/>
    <w:rsid w:val="001D087A"/>
    <w:rsid w:val="001D316A"/>
    <w:rsid w:val="001D355C"/>
    <w:rsid w:val="001D3AD5"/>
    <w:rsid w:val="001D41AA"/>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102A"/>
    <w:rsid w:val="001F2F7F"/>
    <w:rsid w:val="001F30D3"/>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841"/>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2065"/>
    <w:rsid w:val="00224933"/>
    <w:rsid w:val="00225596"/>
    <w:rsid w:val="002256DE"/>
    <w:rsid w:val="00225B1B"/>
    <w:rsid w:val="0022607D"/>
    <w:rsid w:val="00226F25"/>
    <w:rsid w:val="00226F26"/>
    <w:rsid w:val="002334C6"/>
    <w:rsid w:val="00233B80"/>
    <w:rsid w:val="00233F1F"/>
    <w:rsid w:val="002403C8"/>
    <w:rsid w:val="00240860"/>
    <w:rsid w:val="002432FA"/>
    <w:rsid w:val="00243953"/>
    <w:rsid w:val="002453DC"/>
    <w:rsid w:val="00245FF4"/>
    <w:rsid w:val="0024743E"/>
    <w:rsid w:val="0024755E"/>
    <w:rsid w:val="002475B2"/>
    <w:rsid w:val="002509D7"/>
    <w:rsid w:val="00253E39"/>
    <w:rsid w:val="00255928"/>
    <w:rsid w:val="00256210"/>
    <w:rsid w:val="002600E7"/>
    <w:rsid w:val="00260B84"/>
    <w:rsid w:val="00260F87"/>
    <w:rsid w:val="00261F07"/>
    <w:rsid w:val="002629CA"/>
    <w:rsid w:val="00262D64"/>
    <w:rsid w:val="00264253"/>
    <w:rsid w:val="002668EC"/>
    <w:rsid w:val="00266AE7"/>
    <w:rsid w:val="00267280"/>
    <w:rsid w:val="00270479"/>
    <w:rsid w:val="00270CF1"/>
    <w:rsid w:val="0027174A"/>
    <w:rsid w:val="002730CC"/>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4AE8"/>
    <w:rsid w:val="002B5EB6"/>
    <w:rsid w:val="002B6038"/>
    <w:rsid w:val="002C5439"/>
    <w:rsid w:val="002D0C29"/>
    <w:rsid w:val="002D0ED1"/>
    <w:rsid w:val="002D267A"/>
    <w:rsid w:val="002D2714"/>
    <w:rsid w:val="002D3B17"/>
    <w:rsid w:val="002D4388"/>
    <w:rsid w:val="002D5242"/>
    <w:rsid w:val="002D5C64"/>
    <w:rsid w:val="002D6048"/>
    <w:rsid w:val="002E0B31"/>
    <w:rsid w:val="002E1869"/>
    <w:rsid w:val="002E1F19"/>
    <w:rsid w:val="002E216C"/>
    <w:rsid w:val="002E3CF7"/>
    <w:rsid w:val="002E4C89"/>
    <w:rsid w:val="002E6989"/>
    <w:rsid w:val="002E6D07"/>
    <w:rsid w:val="002F0E0E"/>
    <w:rsid w:val="002F1D59"/>
    <w:rsid w:val="002F1E5B"/>
    <w:rsid w:val="002F5834"/>
    <w:rsid w:val="002F7C69"/>
    <w:rsid w:val="002F7F8A"/>
    <w:rsid w:val="00300EB9"/>
    <w:rsid w:val="003012F6"/>
    <w:rsid w:val="0030435A"/>
    <w:rsid w:val="00305903"/>
    <w:rsid w:val="00305D05"/>
    <w:rsid w:val="00306247"/>
    <w:rsid w:val="003077CA"/>
    <w:rsid w:val="00307AC6"/>
    <w:rsid w:val="0031187D"/>
    <w:rsid w:val="003127A5"/>
    <w:rsid w:val="003153C5"/>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2E7F"/>
    <w:rsid w:val="00343605"/>
    <w:rsid w:val="003458C7"/>
    <w:rsid w:val="00345907"/>
    <w:rsid w:val="00347FC6"/>
    <w:rsid w:val="00350C7F"/>
    <w:rsid w:val="003510E5"/>
    <w:rsid w:val="00351280"/>
    <w:rsid w:val="00352499"/>
    <w:rsid w:val="003526C7"/>
    <w:rsid w:val="003526EA"/>
    <w:rsid w:val="00354B79"/>
    <w:rsid w:val="0035533A"/>
    <w:rsid w:val="003624A3"/>
    <w:rsid w:val="00364D90"/>
    <w:rsid w:val="0036717D"/>
    <w:rsid w:val="003709D6"/>
    <w:rsid w:val="00371545"/>
    <w:rsid w:val="00371FFE"/>
    <w:rsid w:val="00372C60"/>
    <w:rsid w:val="00372EAA"/>
    <w:rsid w:val="00372F0B"/>
    <w:rsid w:val="003730E9"/>
    <w:rsid w:val="00373663"/>
    <w:rsid w:val="003772B8"/>
    <w:rsid w:val="003774DA"/>
    <w:rsid w:val="00380AE4"/>
    <w:rsid w:val="00382B96"/>
    <w:rsid w:val="003839BE"/>
    <w:rsid w:val="003911C4"/>
    <w:rsid w:val="00391411"/>
    <w:rsid w:val="00391A76"/>
    <w:rsid w:val="00394208"/>
    <w:rsid w:val="00396AC0"/>
    <w:rsid w:val="00397742"/>
    <w:rsid w:val="003A002F"/>
    <w:rsid w:val="003A1164"/>
    <w:rsid w:val="003A128B"/>
    <w:rsid w:val="003A16CD"/>
    <w:rsid w:val="003A2018"/>
    <w:rsid w:val="003A2A19"/>
    <w:rsid w:val="003A359E"/>
    <w:rsid w:val="003A3DB3"/>
    <w:rsid w:val="003A4336"/>
    <w:rsid w:val="003A465F"/>
    <w:rsid w:val="003A7078"/>
    <w:rsid w:val="003A70A0"/>
    <w:rsid w:val="003A7AD9"/>
    <w:rsid w:val="003A7FC2"/>
    <w:rsid w:val="003B001D"/>
    <w:rsid w:val="003B0B59"/>
    <w:rsid w:val="003B215F"/>
    <w:rsid w:val="003B2370"/>
    <w:rsid w:val="003B2927"/>
    <w:rsid w:val="003B670A"/>
    <w:rsid w:val="003B74CD"/>
    <w:rsid w:val="003C0C8B"/>
    <w:rsid w:val="003C13EA"/>
    <w:rsid w:val="003C18DB"/>
    <w:rsid w:val="003C1C4A"/>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878"/>
    <w:rsid w:val="004074EA"/>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2E87"/>
    <w:rsid w:val="00434FEF"/>
    <w:rsid w:val="004401FC"/>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205"/>
    <w:rsid w:val="00472A58"/>
    <w:rsid w:val="00473812"/>
    <w:rsid w:val="004757E7"/>
    <w:rsid w:val="0047691A"/>
    <w:rsid w:val="00477F73"/>
    <w:rsid w:val="00480B41"/>
    <w:rsid w:val="00480D6B"/>
    <w:rsid w:val="0048167C"/>
    <w:rsid w:val="00481D6D"/>
    <w:rsid w:val="0048404E"/>
    <w:rsid w:val="00484AF6"/>
    <w:rsid w:val="004861E2"/>
    <w:rsid w:val="00486C46"/>
    <w:rsid w:val="00490755"/>
    <w:rsid w:val="00492C05"/>
    <w:rsid w:val="004935D7"/>
    <w:rsid w:val="004969E0"/>
    <w:rsid w:val="0049701E"/>
    <w:rsid w:val="004A1CBD"/>
    <w:rsid w:val="004A3C70"/>
    <w:rsid w:val="004A42D1"/>
    <w:rsid w:val="004A42F5"/>
    <w:rsid w:val="004A47F9"/>
    <w:rsid w:val="004A6843"/>
    <w:rsid w:val="004A6ADF"/>
    <w:rsid w:val="004A70A6"/>
    <w:rsid w:val="004B07C3"/>
    <w:rsid w:val="004B4AD0"/>
    <w:rsid w:val="004B4B82"/>
    <w:rsid w:val="004B50FE"/>
    <w:rsid w:val="004B5E95"/>
    <w:rsid w:val="004B6C9C"/>
    <w:rsid w:val="004B7169"/>
    <w:rsid w:val="004C0722"/>
    <w:rsid w:val="004C0802"/>
    <w:rsid w:val="004C0A38"/>
    <w:rsid w:val="004C108E"/>
    <w:rsid w:val="004C1E9A"/>
    <w:rsid w:val="004C2D50"/>
    <w:rsid w:val="004C2D8C"/>
    <w:rsid w:val="004C3290"/>
    <w:rsid w:val="004C5D3A"/>
    <w:rsid w:val="004C6532"/>
    <w:rsid w:val="004C7C43"/>
    <w:rsid w:val="004D1C79"/>
    <w:rsid w:val="004D1C9F"/>
    <w:rsid w:val="004D2ACE"/>
    <w:rsid w:val="004D2D37"/>
    <w:rsid w:val="004D345A"/>
    <w:rsid w:val="004D56F6"/>
    <w:rsid w:val="004D58D5"/>
    <w:rsid w:val="004D6051"/>
    <w:rsid w:val="004D6C61"/>
    <w:rsid w:val="004D7637"/>
    <w:rsid w:val="004D7A17"/>
    <w:rsid w:val="004E0C17"/>
    <w:rsid w:val="004E1AF5"/>
    <w:rsid w:val="004E4FEB"/>
    <w:rsid w:val="004E5CD5"/>
    <w:rsid w:val="004E64A0"/>
    <w:rsid w:val="004E7EFC"/>
    <w:rsid w:val="004F3210"/>
    <w:rsid w:val="004F32FC"/>
    <w:rsid w:val="004F389E"/>
    <w:rsid w:val="004F3F7A"/>
    <w:rsid w:val="004F5285"/>
    <w:rsid w:val="004F53E9"/>
    <w:rsid w:val="004F5D28"/>
    <w:rsid w:val="004F750B"/>
    <w:rsid w:val="004F7D56"/>
    <w:rsid w:val="0050174F"/>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C81"/>
    <w:rsid w:val="00534EFE"/>
    <w:rsid w:val="00536A22"/>
    <w:rsid w:val="00537F5C"/>
    <w:rsid w:val="005404AF"/>
    <w:rsid w:val="005413FF"/>
    <w:rsid w:val="0054147B"/>
    <w:rsid w:val="005425A5"/>
    <w:rsid w:val="00543F37"/>
    <w:rsid w:val="00546DB4"/>
    <w:rsid w:val="00546F4D"/>
    <w:rsid w:val="00547816"/>
    <w:rsid w:val="00547E3C"/>
    <w:rsid w:val="00550DA0"/>
    <w:rsid w:val="00552A3B"/>
    <w:rsid w:val="005576D1"/>
    <w:rsid w:val="005620FD"/>
    <w:rsid w:val="0056302B"/>
    <w:rsid w:val="00566214"/>
    <w:rsid w:val="0056728C"/>
    <w:rsid w:val="00567EC5"/>
    <w:rsid w:val="00567F47"/>
    <w:rsid w:val="005713E9"/>
    <w:rsid w:val="0057160E"/>
    <w:rsid w:val="005735D3"/>
    <w:rsid w:val="00573DD3"/>
    <w:rsid w:val="00574965"/>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B1117"/>
    <w:rsid w:val="005B3F9D"/>
    <w:rsid w:val="005B4488"/>
    <w:rsid w:val="005B6087"/>
    <w:rsid w:val="005B6E11"/>
    <w:rsid w:val="005C2509"/>
    <w:rsid w:val="005C3A59"/>
    <w:rsid w:val="005C3B4C"/>
    <w:rsid w:val="005C4263"/>
    <w:rsid w:val="005C47AD"/>
    <w:rsid w:val="005C55C8"/>
    <w:rsid w:val="005C5894"/>
    <w:rsid w:val="005C590F"/>
    <w:rsid w:val="005C62FA"/>
    <w:rsid w:val="005C6593"/>
    <w:rsid w:val="005C65C4"/>
    <w:rsid w:val="005D2170"/>
    <w:rsid w:val="005D2384"/>
    <w:rsid w:val="005D249C"/>
    <w:rsid w:val="005D7065"/>
    <w:rsid w:val="005D7FD2"/>
    <w:rsid w:val="005E0696"/>
    <w:rsid w:val="005E0A80"/>
    <w:rsid w:val="005E20A2"/>
    <w:rsid w:val="005E233F"/>
    <w:rsid w:val="005E3ECF"/>
    <w:rsid w:val="005E40F4"/>
    <w:rsid w:val="005E532E"/>
    <w:rsid w:val="005E6790"/>
    <w:rsid w:val="005F0328"/>
    <w:rsid w:val="005F03EB"/>
    <w:rsid w:val="005F16FB"/>
    <w:rsid w:val="005F4D73"/>
    <w:rsid w:val="005F6641"/>
    <w:rsid w:val="005F69DD"/>
    <w:rsid w:val="005F6A20"/>
    <w:rsid w:val="005F6B6F"/>
    <w:rsid w:val="005F703B"/>
    <w:rsid w:val="005F75EC"/>
    <w:rsid w:val="00600FF7"/>
    <w:rsid w:val="0060205C"/>
    <w:rsid w:val="0060461A"/>
    <w:rsid w:val="006052F7"/>
    <w:rsid w:val="00607181"/>
    <w:rsid w:val="006071E8"/>
    <w:rsid w:val="00610002"/>
    <w:rsid w:val="006102B9"/>
    <w:rsid w:val="006118A3"/>
    <w:rsid w:val="00613BBF"/>
    <w:rsid w:val="006145DB"/>
    <w:rsid w:val="006163E2"/>
    <w:rsid w:val="00616445"/>
    <w:rsid w:val="00616A0B"/>
    <w:rsid w:val="006171B6"/>
    <w:rsid w:val="00617F1D"/>
    <w:rsid w:val="00621656"/>
    <w:rsid w:val="00621CF7"/>
    <w:rsid w:val="0062258C"/>
    <w:rsid w:val="00622692"/>
    <w:rsid w:val="00622EF4"/>
    <w:rsid w:val="006237B6"/>
    <w:rsid w:val="00624DE9"/>
    <w:rsid w:val="00626B9D"/>
    <w:rsid w:val="00627F3C"/>
    <w:rsid w:val="006319D6"/>
    <w:rsid w:val="00631DB2"/>
    <w:rsid w:val="006333EC"/>
    <w:rsid w:val="00634C7E"/>
    <w:rsid w:val="00635959"/>
    <w:rsid w:val="006376C3"/>
    <w:rsid w:val="006404AE"/>
    <w:rsid w:val="0064223D"/>
    <w:rsid w:val="00642B0B"/>
    <w:rsid w:val="006443ED"/>
    <w:rsid w:val="00645F6B"/>
    <w:rsid w:val="00646EBF"/>
    <w:rsid w:val="00647286"/>
    <w:rsid w:val="006477D2"/>
    <w:rsid w:val="006502C7"/>
    <w:rsid w:val="00650370"/>
    <w:rsid w:val="00654E36"/>
    <w:rsid w:val="0065610A"/>
    <w:rsid w:val="00657695"/>
    <w:rsid w:val="00657832"/>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646"/>
    <w:rsid w:val="00683891"/>
    <w:rsid w:val="006848DB"/>
    <w:rsid w:val="0068533F"/>
    <w:rsid w:val="006854B3"/>
    <w:rsid w:val="00685525"/>
    <w:rsid w:val="0068562E"/>
    <w:rsid w:val="0068688B"/>
    <w:rsid w:val="00686ECD"/>
    <w:rsid w:val="00687D47"/>
    <w:rsid w:val="006918DA"/>
    <w:rsid w:val="00691FA2"/>
    <w:rsid w:val="00691FE9"/>
    <w:rsid w:val="006923B5"/>
    <w:rsid w:val="00692EEE"/>
    <w:rsid w:val="00693143"/>
    <w:rsid w:val="00694FFC"/>
    <w:rsid w:val="006956FA"/>
    <w:rsid w:val="0069682F"/>
    <w:rsid w:val="00696DEB"/>
    <w:rsid w:val="006A2DAE"/>
    <w:rsid w:val="006A4623"/>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5603"/>
    <w:rsid w:val="006F6210"/>
    <w:rsid w:val="006F73B0"/>
    <w:rsid w:val="006F75F8"/>
    <w:rsid w:val="00700171"/>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65E7"/>
    <w:rsid w:val="00746A78"/>
    <w:rsid w:val="00747C42"/>
    <w:rsid w:val="00751D55"/>
    <w:rsid w:val="0075406E"/>
    <w:rsid w:val="0075571A"/>
    <w:rsid w:val="00757526"/>
    <w:rsid w:val="0076189A"/>
    <w:rsid w:val="00766AAD"/>
    <w:rsid w:val="00766F6F"/>
    <w:rsid w:val="00767D20"/>
    <w:rsid w:val="00773385"/>
    <w:rsid w:val="00777AEF"/>
    <w:rsid w:val="00781062"/>
    <w:rsid w:val="0078251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2EA"/>
    <w:rsid w:val="007C436E"/>
    <w:rsid w:val="007C4DB7"/>
    <w:rsid w:val="007C5670"/>
    <w:rsid w:val="007C72DC"/>
    <w:rsid w:val="007D1805"/>
    <w:rsid w:val="007D2262"/>
    <w:rsid w:val="007D3FD7"/>
    <w:rsid w:val="007D4460"/>
    <w:rsid w:val="007D5525"/>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2C42"/>
    <w:rsid w:val="00813E1B"/>
    <w:rsid w:val="00814F3A"/>
    <w:rsid w:val="00816A29"/>
    <w:rsid w:val="00821272"/>
    <w:rsid w:val="008212B7"/>
    <w:rsid w:val="00821EB9"/>
    <w:rsid w:val="00821F35"/>
    <w:rsid w:val="008220D0"/>
    <w:rsid w:val="008226C9"/>
    <w:rsid w:val="00822898"/>
    <w:rsid w:val="0082356B"/>
    <w:rsid w:val="00823D91"/>
    <w:rsid w:val="008264A6"/>
    <w:rsid w:val="00827CAC"/>
    <w:rsid w:val="008341E7"/>
    <w:rsid w:val="00835B13"/>
    <w:rsid w:val="00836860"/>
    <w:rsid w:val="00836C44"/>
    <w:rsid w:val="00836CFD"/>
    <w:rsid w:val="00840A4A"/>
    <w:rsid w:val="00841060"/>
    <w:rsid w:val="008422BE"/>
    <w:rsid w:val="00842ED0"/>
    <w:rsid w:val="008435C1"/>
    <w:rsid w:val="00843FE7"/>
    <w:rsid w:val="0084407E"/>
    <w:rsid w:val="0084437E"/>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5514"/>
    <w:rsid w:val="00865A5E"/>
    <w:rsid w:val="00867818"/>
    <w:rsid w:val="0087028C"/>
    <w:rsid w:val="0087099E"/>
    <w:rsid w:val="00871279"/>
    <w:rsid w:val="008717D9"/>
    <w:rsid w:val="00872093"/>
    <w:rsid w:val="00873C31"/>
    <w:rsid w:val="00874852"/>
    <w:rsid w:val="00874F85"/>
    <w:rsid w:val="008771D1"/>
    <w:rsid w:val="008810DA"/>
    <w:rsid w:val="00881E38"/>
    <w:rsid w:val="008821E5"/>
    <w:rsid w:val="00882D06"/>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515E"/>
    <w:rsid w:val="008A628C"/>
    <w:rsid w:val="008A7EAB"/>
    <w:rsid w:val="008B0494"/>
    <w:rsid w:val="008B2198"/>
    <w:rsid w:val="008B37C2"/>
    <w:rsid w:val="008B3B75"/>
    <w:rsid w:val="008B40D3"/>
    <w:rsid w:val="008B43AF"/>
    <w:rsid w:val="008B5358"/>
    <w:rsid w:val="008B56C1"/>
    <w:rsid w:val="008B5F0B"/>
    <w:rsid w:val="008B7FA7"/>
    <w:rsid w:val="008C039F"/>
    <w:rsid w:val="008C04F9"/>
    <w:rsid w:val="008C1DFC"/>
    <w:rsid w:val="008C30ED"/>
    <w:rsid w:val="008C31B9"/>
    <w:rsid w:val="008C4616"/>
    <w:rsid w:val="008C529A"/>
    <w:rsid w:val="008C547D"/>
    <w:rsid w:val="008C5F38"/>
    <w:rsid w:val="008C6058"/>
    <w:rsid w:val="008C6DDE"/>
    <w:rsid w:val="008C7AE6"/>
    <w:rsid w:val="008D0254"/>
    <w:rsid w:val="008D09CC"/>
    <w:rsid w:val="008D1BC4"/>
    <w:rsid w:val="008D459B"/>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2C1"/>
    <w:rsid w:val="009044A3"/>
    <w:rsid w:val="00906363"/>
    <w:rsid w:val="009067A6"/>
    <w:rsid w:val="00913A3A"/>
    <w:rsid w:val="00917FDC"/>
    <w:rsid w:val="00920F12"/>
    <w:rsid w:val="00921632"/>
    <w:rsid w:val="00922700"/>
    <w:rsid w:val="00923BDF"/>
    <w:rsid w:val="00924180"/>
    <w:rsid w:val="0092431D"/>
    <w:rsid w:val="00924CB7"/>
    <w:rsid w:val="0092588D"/>
    <w:rsid w:val="0092698E"/>
    <w:rsid w:val="00926AB1"/>
    <w:rsid w:val="00927687"/>
    <w:rsid w:val="00930C2D"/>
    <w:rsid w:val="009320D7"/>
    <w:rsid w:val="009321FF"/>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4563"/>
    <w:rsid w:val="00955A00"/>
    <w:rsid w:val="00955EDA"/>
    <w:rsid w:val="00956325"/>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147C"/>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19D5"/>
    <w:rsid w:val="009C3420"/>
    <w:rsid w:val="009C382F"/>
    <w:rsid w:val="009C4568"/>
    <w:rsid w:val="009C45AB"/>
    <w:rsid w:val="009C47D6"/>
    <w:rsid w:val="009D0795"/>
    <w:rsid w:val="009D08E6"/>
    <w:rsid w:val="009D2DA6"/>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2B52"/>
    <w:rsid w:val="009F3068"/>
    <w:rsid w:val="009F3DF5"/>
    <w:rsid w:val="009F50A6"/>
    <w:rsid w:val="009F78C6"/>
    <w:rsid w:val="00A005AE"/>
    <w:rsid w:val="00A00E08"/>
    <w:rsid w:val="00A01A22"/>
    <w:rsid w:val="00A021A8"/>
    <w:rsid w:val="00A02B7A"/>
    <w:rsid w:val="00A0417F"/>
    <w:rsid w:val="00A0452D"/>
    <w:rsid w:val="00A04A85"/>
    <w:rsid w:val="00A05F5D"/>
    <w:rsid w:val="00A06E5C"/>
    <w:rsid w:val="00A06F53"/>
    <w:rsid w:val="00A07554"/>
    <w:rsid w:val="00A1452B"/>
    <w:rsid w:val="00A1480B"/>
    <w:rsid w:val="00A14DC2"/>
    <w:rsid w:val="00A1577E"/>
    <w:rsid w:val="00A15CED"/>
    <w:rsid w:val="00A1675F"/>
    <w:rsid w:val="00A16FF1"/>
    <w:rsid w:val="00A17B6A"/>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6033F"/>
    <w:rsid w:val="00A607CE"/>
    <w:rsid w:val="00A60ADC"/>
    <w:rsid w:val="00A61689"/>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A06BB"/>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A6D"/>
    <w:rsid w:val="00AE3B1A"/>
    <w:rsid w:val="00AE4476"/>
    <w:rsid w:val="00AE4B3A"/>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6F5B"/>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B50"/>
    <w:rsid w:val="00B21DB0"/>
    <w:rsid w:val="00B223F1"/>
    <w:rsid w:val="00B2254F"/>
    <w:rsid w:val="00B2424B"/>
    <w:rsid w:val="00B24352"/>
    <w:rsid w:val="00B24B81"/>
    <w:rsid w:val="00B24E75"/>
    <w:rsid w:val="00B257C7"/>
    <w:rsid w:val="00B25ED5"/>
    <w:rsid w:val="00B26915"/>
    <w:rsid w:val="00B2787C"/>
    <w:rsid w:val="00B27B20"/>
    <w:rsid w:val="00B31148"/>
    <w:rsid w:val="00B31E30"/>
    <w:rsid w:val="00B32406"/>
    <w:rsid w:val="00B32710"/>
    <w:rsid w:val="00B32FE5"/>
    <w:rsid w:val="00B33046"/>
    <w:rsid w:val="00B3636D"/>
    <w:rsid w:val="00B37C2B"/>
    <w:rsid w:val="00B426C8"/>
    <w:rsid w:val="00B4518D"/>
    <w:rsid w:val="00B451EF"/>
    <w:rsid w:val="00B473E7"/>
    <w:rsid w:val="00B50EF0"/>
    <w:rsid w:val="00B511B9"/>
    <w:rsid w:val="00B52158"/>
    <w:rsid w:val="00B5225B"/>
    <w:rsid w:val="00B52687"/>
    <w:rsid w:val="00B5336B"/>
    <w:rsid w:val="00B536B5"/>
    <w:rsid w:val="00B56C0C"/>
    <w:rsid w:val="00B56CC7"/>
    <w:rsid w:val="00B5731A"/>
    <w:rsid w:val="00B60A3C"/>
    <w:rsid w:val="00B636EF"/>
    <w:rsid w:val="00B63BCF"/>
    <w:rsid w:val="00B6440E"/>
    <w:rsid w:val="00B64C54"/>
    <w:rsid w:val="00B67E7A"/>
    <w:rsid w:val="00B703E8"/>
    <w:rsid w:val="00B72F66"/>
    <w:rsid w:val="00B74EDC"/>
    <w:rsid w:val="00B753B5"/>
    <w:rsid w:val="00B75EB5"/>
    <w:rsid w:val="00B7646A"/>
    <w:rsid w:val="00B77083"/>
    <w:rsid w:val="00B804CD"/>
    <w:rsid w:val="00B8122C"/>
    <w:rsid w:val="00B829C1"/>
    <w:rsid w:val="00B82F2F"/>
    <w:rsid w:val="00B86C64"/>
    <w:rsid w:val="00B87546"/>
    <w:rsid w:val="00B87757"/>
    <w:rsid w:val="00B878BF"/>
    <w:rsid w:val="00B90C15"/>
    <w:rsid w:val="00B91610"/>
    <w:rsid w:val="00B92748"/>
    <w:rsid w:val="00B93F7B"/>
    <w:rsid w:val="00B95D55"/>
    <w:rsid w:val="00B96A14"/>
    <w:rsid w:val="00B96EC5"/>
    <w:rsid w:val="00BA15C6"/>
    <w:rsid w:val="00BA2625"/>
    <w:rsid w:val="00BA2B2D"/>
    <w:rsid w:val="00BA4641"/>
    <w:rsid w:val="00BA567B"/>
    <w:rsid w:val="00BA5798"/>
    <w:rsid w:val="00BA7FCD"/>
    <w:rsid w:val="00BB0AE4"/>
    <w:rsid w:val="00BB1516"/>
    <w:rsid w:val="00BB236C"/>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E06A5"/>
    <w:rsid w:val="00BE4EC4"/>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4935"/>
    <w:rsid w:val="00C26A76"/>
    <w:rsid w:val="00C26BDF"/>
    <w:rsid w:val="00C30D3E"/>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601"/>
    <w:rsid w:val="00C44D5E"/>
    <w:rsid w:val="00C45DCD"/>
    <w:rsid w:val="00C46212"/>
    <w:rsid w:val="00C46A14"/>
    <w:rsid w:val="00C47150"/>
    <w:rsid w:val="00C47327"/>
    <w:rsid w:val="00C50938"/>
    <w:rsid w:val="00C517B7"/>
    <w:rsid w:val="00C52D0E"/>
    <w:rsid w:val="00C53682"/>
    <w:rsid w:val="00C53CB6"/>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4FA1"/>
    <w:rsid w:val="00C8642D"/>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C13C4"/>
    <w:rsid w:val="00CC1D2F"/>
    <w:rsid w:val="00CC3C0E"/>
    <w:rsid w:val="00CC3E64"/>
    <w:rsid w:val="00CC6D28"/>
    <w:rsid w:val="00CD4C21"/>
    <w:rsid w:val="00CD5C79"/>
    <w:rsid w:val="00CD6470"/>
    <w:rsid w:val="00CD7696"/>
    <w:rsid w:val="00CE0E08"/>
    <w:rsid w:val="00CE48FA"/>
    <w:rsid w:val="00CE5818"/>
    <w:rsid w:val="00CE62C2"/>
    <w:rsid w:val="00CE63E8"/>
    <w:rsid w:val="00CE713F"/>
    <w:rsid w:val="00CE7EDA"/>
    <w:rsid w:val="00CF0C04"/>
    <w:rsid w:val="00CF1735"/>
    <w:rsid w:val="00CF2454"/>
    <w:rsid w:val="00CF2E0A"/>
    <w:rsid w:val="00D01E37"/>
    <w:rsid w:val="00D05099"/>
    <w:rsid w:val="00D06257"/>
    <w:rsid w:val="00D06AEB"/>
    <w:rsid w:val="00D1126E"/>
    <w:rsid w:val="00D1321A"/>
    <w:rsid w:val="00D1331B"/>
    <w:rsid w:val="00D16200"/>
    <w:rsid w:val="00D16B0F"/>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106"/>
    <w:rsid w:val="00D4281A"/>
    <w:rsid w:val="00D42E81"/>
    <w:rsid w:val="00D43261"/>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1DE0"/>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4B0B"/>
    <w:rsid w:val="00DA58AF"/>
    <w:rsid w:val="00DA5CE4"/>
    <w:rsid w:val="00DA750B"/>
    <w:rsid w:val="00DB01FF"/>
    <w:rsid w:val="00DB064F"/>
    <w:rsid w:val="00DB1EFA"/>
    <w:rsid w:val="00DB4050"/>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1F4"/>
    <w:rsid w:val="00DF5916"/>
    <w:rsid w:val="00DF6361"/>
    <w:rsid w:val="00DF70A3"/>
    <w:rsid w:val="00DF741A"/>
    <w:rsid w:val="00E00032"/>
    <w:rsid w:val="00E0074A"/>
    <w:rsid w:val="00E02C96"/>
    <w:rsid w:val="00E044EF"/>
    <w:rsid w:val="00E06103"/>
    <w:rsid w:val="00E074AB"/>
    <w:rsid w:val="00E07AE8"/>
    <w:rsid w:val="00E109B6"/>
    <w:rsid w:val="00E13395"/>
    <w:rsid w:val="00E15AE3"/>
    <w:rsid w:val="00E160EB"/>
    <w:rsid w:val="00E162C5"/>
    <w:rsid w:val="00E16B14"/>
    <w:rsid w:val="00E1764D"/>
    <w:rsid w:val="00E17919"/>
    <w:rsid w:val="00E208C7"/>
    <w:rsid w:val="00E21B5C"/>
    <w:rsid w:val="00E24B06"/>
    <w:rsid w:val="00E24BCC"/>
    <w:rsid w:val="00E25E0E"/>
    <w:rsid w:val="00E306E0"/>
    <w:rsid w:val="00E31E68"/>
    <w:rsid w:val="00E33A0B"/>
    <w:rsid w:val="00E342AE"/>
    <w:rsid w:val="00E343FB"/>
    <w:rsid w:val="00E3646A"/>
    <w:rsid w:val="00E36870"/>
    <w:rsid w:val="00E3781B"/>
    <w:rsid w:val="00E408B8"/>
    <w:rsid w:val="00E408F5"/>
    <w:rsid w:val="00E40AA2"/>
    <w:rsid w:val="00E4243F"/>
    <w:rsid w:val="00E43AF4"/>
    <w:rsid w:val="00E44A1A"/>
    <w:rsid w:val="00E458A0"/>
    <w:rsid w:val="00E51392"/>
    <w:rsid w:val="00E51971"/>
    <w:rsid w:val="00E51D02"/>
    <w:rsid w:val="00E523E3"/>
    <w:rsid w:val="00E523F7"/>
    <w:rsid w:val="00E5347E"/>
    <w:rsid w:val="00E534F0"/>
    <w:rsid w:val="00E54FBC"/>
    <w:rsid w:val="00E56516"/>
    <w:rsid w:val="00E56666"/>
    <w:rsid w:val="00E60994"/>
    <w:rsid w:val="00E6148D"/>
    <w:rsid w:val="00E6227D"/>
    <w:rsid w:val="00E625C2"/>
    <w:rsid w:val="00E63BA7"/>
    <w:rsid w:val="00E650C6"/>
    <w:rsid w:val="00E71981"/>
    <w:rsid w:val="00E721D9"/>
    <w:rsid w:val="00E7359C"/>
    <w:rsid w:val="00E73FEA"/>
    <w:rsid w:val="00E74FF9"/>
    <w:rsid w:val="00E75D7C"/>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6837"/>
    <w:rsid w:val="00EF0E3E"/>
    <w:rsid w:val="00EF1BC6"/>
    <w:rsid w:val="00EF5516"/>
    <w:rsid w:val="00EF5988"/>
    <w:rsid w:val="00EF7982"/>
    <w:rsid w:val="00F014B0"/>
    <w:rsid w:val="00F01745"/>
    <w:rsid w:val="00F03996"/>
    <w:rsid w:val="00F04EF0"/>
    <w:rsid w:val="00F05351"/>
    <w:rsid w:val="00F05F2E"/>
    <w:rsid w:val="00F06650"/>
    <w:rsid w:val="00F06FBF"/>
    <w:rsid w:val="00F07099"/>
    <w:rsid w:val="00F07507"/>
    <w:rsid w:val="00F07998"/>
    <w:rsid w:val="00F1057F"/>
    <w:rsid w:val="00F10868"/>
    <w:rsid w:val="00F11144"/>
    <w:rsid w:val="00F113F4"/>
    <w:rsid w:val="00F11491"/>
    <w:rsid w:val="00F11C7E"/>
    <w:rsid w:val="00F12202"/>
    <w:rsid w:val="00F12230"/>
    <w:rsid w:val="00F12EA9"/>
    <w:rsid w:val="00F12EB7"/>
    <w:rsid w:val="00F1381B"/>
    <w:rsid w:val="00F13B58"/>
    <w:rsid w:val="00F13DA9"/>
    <w:rsid w:val="00F15E56"/>
    <w:rsid w:val="00F16166"/>
    <w:rsid w:val="00F1729B"/>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36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1DE9"/>
    <w:rsid w:val="00F623B3"/>
    <w:rsid w:val="00F6241A"/>
    <w:rsid w:val="00F62A13"/>
    <w:rsid w:val="00F62A60"/>
    <w:rsid w:val="00F62B10"/>
    <w:rsid w:val="00F62F2E"/>
    <w:rsid w:val="00F63013"/>
    <w:rsid w:val="00F66A4D"/>
    <w:rsid w:val="00F71CC6"/>
    <w:rsid w:val="00F7398C"/>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B2A"/>
    <w:rsid w:val="00F96CB3"/>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C7DBB"/>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link w:val="Heading1Char"/>
    <w:autoRedefine/>
    <w:qFormat/>
    <w:rsid w:val="00BE4EC4"/>
    <w:pPr>
      <w:keepNext/>
      <w:jc w:val="center"/>
      <w:outlineLvl w:val="0"/>
    </w:pPr>
    <w:rPr>
      <w:rFonts w:ascii="Arial" w:hAnsi="Arial"/>
      <w:caps/>
    </w:rPr>
  </w:style>
  <w:style w:type="paragraph" w:styleId="Heading2">
    <w:name w:val="heading 2"/>
    <w:next w:val="Normal"/>
    <w:link w:val="Heading2Char"/>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rPr>
  </w:style>
  <w:style w:type="paragraph" w:customStyle="1" w:styleId="Endofdocument">
    <w:name w:val="End of document"/>
    <w:basedOn w:val="Normal"/>
    <w:rsid w:val="004A6ADF"/>
    <w:pPr>
      <w:ind w:left="4536"/>
      <w:jc w:val="center"/>
    </w:p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4C2D8C"/>
    <w:pPr>
      <w:tabs>
        <w:tab w:val="right" w:leader="dot" w:pos="9639"/>
      </w:tabs>
      <w:spacing w:after="120"/>
      <w:ind w:right="851"/>
      <w:jc w:val="left"/>
    </w:pPr>
    <w:rPr>
      <w:noProof/>
      <w:sz w:val="18"/>
      <w:szCs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de-DE" w:eastAsia="de-DE" w:bidi="de-DE"/>
    </w:rPr>
  </w:style>
  <w:style w:type="character" w:customStyle="1" w:styleId="StyleDocoriginalNotBold1">
    <w:name w:val="Style Doc_original + Not Bold1"/>
    <w:rsid w:val="004E5CD5"/>
    <w:rPr>
      <w:rFonts w:ascii="Arial" w:hAnsi="Arial"/>
      <w:b/>
      <w:bCs/>
      <w:spacing w:val="10"/>
      <w:lang w:val="de-DE" w:eastAsia="de-DE" w:bidi="de-DE"/>
    </w:rPr>
  </w:style>
  <w:style w:type="character" w:customStyle="1" w:styleId="StyleDoclangBold">
    <w:name w:val="Style Doc_lang + Bold"/>
    <w:rsid w:val="004E5CD5"/>
    <w:rPr>
      <w:rFonts w:ascii="Arial" w:hAnsi="Arial"/>
      <w:b/>
      <w:bCs/>
      <w:sz w:val="20"/>
      <w:lang w:val="de-DE"/>
    </w:rPr>
  </w:style>
  <w:style w:type="character" w:customStyle="1" w:styleId="Heading1Char">
    <w:name w:val="Heading 1 Char"/>
    <w:basedOn w:val="DefaultParagraphFont"/>
    <w:link w:val="Heading1"/>
    <w:rsid w:val="008C30ED"/>
    <w:rPr>
      <w:rFonts w:ascii="Arial" w:hAnsi="Arial"/>
      <w:caps/>
    </w:rPr>
  </w:style>
  <w:style w:type="character" w:customStyle="1" w:styleId="Heading2Char">
    <w:name w:val="Heading 2 Char"/>
    <w:basedOn w:val="DefaultParagraphFont"/>
    <w:link w:val="Heading2"/>
    <w:rsid w:val="008C30ED"/>
    <w:rPr>
      <w:rFonts w:ascii="Arial" w:hAnsi="Arial"/>
      <w:u w:val="single"/>
    </w:rPr>
  </w:style>
  <w:style w:type="character" w:customStyle="1" w:styleId="FootnoteTextChar">
    <w:name w:val="Footnote Text Char"/>
    <w:basedOn w:val="DefaultParagraphFont"/>
    <w:link w:val="FootnoteText"/>
    <w:rsid w:val="008C30ED"/>
    <w:rPr>
      <w:rFonts w:ascii="Arial" w:hAnsi="Arial"/>
      <w:sz w:val="16"/>
    </w:rPr>
  </w:style>
  <w:style w:type="paragraph" w:styleId="BodyText2">
    <w:name w:val="Body Text 2"/>
    <w:basedOn w:val="Normal"/>
    <w:link w:val="BodyText2Char"/>
    <w:rsid w:val="008C30ED"/>
    <w:rPr>
      <w:rFonts w:ascii="Times New Roman" w:hAnsi="Times New Roman"/>
      <w:color w:val="008000"/>
      <w:sz w:val="24"/>
    </w:rPr>
  </w:style>
  <w:style w:type="character" w:customStyle="1" w:styleId="BodyText2Char">
    <w:name w:val="Body Text 2 Char"/>
    <w:basedOn w:val="DefaultParagraphFont"/>
    <w:link w:val="BodyText2"/>
    <w:rsid w:val="008C30ED"/>
    <w:rPr>
      <w:color w:val="008000"/>
      <w:sz w:val="24"/>
    </w:rPr>
  </w:style>
  <w:style w:type="paragraph" w:customStyle="1" w:styleId="a">
    <w:name w:val="a"/>
    <w:basedOn w:val="Normal"/>
    <w:rsid w:val="008C30ED"/>
    <w:pPr>
      <w:overflowPunct w:val="0"/>
      <w:autoSpaceDE w:val="0"/>
      <w:autoSpaceDN w:val="0"/>
      <w:adjustRightInd w:val="0"/>
      <w:jc w:val="center"/>
      <w:textAlignment w:val="baseline"/>
    </w:pPr>
    <w:rPr>
      <w:rFonts w:ascii="Times New Roman" w:hAnsi="Times New Roman"/>
      <w:b/>
      <w:sz w:val="24"/>
    </w:rPr>
  </w:style>
  <w:style w:type="paragraph" w:customStyle="1" w:styleId="inf61normal">
    <w:name w:val="inf_6_1_normal"/>
    <w:basedOn w:val="Normal"/>
    <w:link w:val="inf61normalChar"/>
    <w:rsid w:val="008C30ED"/>
    <w:pPr>
      <w:tabs>
        <w:tab w:val="left" w:pos="426"/>
        <w:tab w:val="left" w:pos="992"/>
      </w:tabs>
    </w:pPr>
    <w:rPr>
      <w:rFonts w:ascii="Times New Roman" w:hAnsi="Times New Roman"/>
      <w:sz w:val="24"/>
    </w:rPr>
  </w:style>
  <w:style w:type="paragraph" w:customStyle="1" w:styleId="Inf61normalBold">
    <w:name w:val="Inf_6_1_normal + Bold"/>
    <w:basedOn w:val="inf61normal"/>
    <w:link w:val="Inf61normalBoldChar"/>
    <w:rsid w:val="008C30ED"/>
    <w:rPr>
      <w:b/>
      <w:bCs/>
    </w:rPr>
  </w:style>
  <w:style w:type="character" w:customStyle="1" w:styleId="inf61normalChar">
    <w:name w:val="inf_6_1_normal Char"/>
    <w:basedOn w:val="DefaultParagraphFont"/>
    <w:link w:val="inf61normal"/>
    <w:rsid w:val="008C30ED"/>
    <w:rPr>
      <w:sz w:val="24"/>
    </w:rPr>
  </w:style>
  <w:style w:type="character" w:customStyle="1" w:styleId="Inf61normalBoldChar">
    <w:name w:val="Inf_6_1_normal + Bold Char"/>
    <w:basedOn w:val="inf61normalChar"/>
    <w:link w:val="Inf61normalBold"/>
    <w:rsid w:val="008C30ED"/>
    <w:rPr>
      <w:b/>
      <w:bCs/>
      <w:sz w:val="24"/>
    </w:rPr>
  </w:style>
  <w:style w:type="character" w:customStyle="1" w:styleId="BodyTextChar">
    <w:name w:val="Body Text Char"/>
    <w:basedOn w:val="DefaultParagraphFont"/>
    <w:link w:val="BodyText"/>
    <w:rsid w:val="004C2D8C"/>
    <w:rPr>
      <w:rFonts w:ascii="Arial" w:hAnsi="Arial"/>
    </w:rPr>
  </w:style>
  <w:style w:type="character" w:customStyle="1" w:styleId="BodyTextIndentChar">
    <w:name w:val="Body Text Indent Char"/>
    <w:basedOn w:val="DefaultParagraphFont"/>
    <w:link w:val="BodyTextIndent"/>
    <w:rsid w:val="004C2D8C"/>
    <w:rPr>
      <w:rFonts w:ascii="Arial" w:hAnsi="Arial"/>
    </w:rPr>
  </w:style>
  <w:style w:type="character" w:customStyle="1" w:styleId="CommentTextChar">
    <w:name w:val="Comment Text Char"/>
    <w:basedOn w:val="DefaultParagraphFont"/>
    <w:link w:val="CommentText"/>
    <w:semiHidden/>
    <w:rsid w:val="004C2D8C"/>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link w:val="Heading1Char"/>
    <w:autoRedefine/>
    <w:qFormat/>
    <w:rsid w:val="00BE4EC4"/>
    <w:pPr>
      <w:keepNext/>
      <w:jc w:val="center"/>
      <w:outlineLvl w:val="0"/>
    </w:pPr>
    <w:rPr>
      <w:rFonts w:ascii="Arial" w:hAnsi="Arial"/>
      <w:caps/>
    </w:rPr>
  </w:style>
  <w:style w:type="paragraph" w:styleId="Heading2">
    <w:name w:val="heading 2"/>
    <w:next w:val="Normal"/>
    <w:link w:val="Heading2Char"/>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rPr>
  </w:style>
  <w:style w:type="paragraph" w:customStyle="1" w:styleId="Endofdocument">
    <w:name w:val="End of document"/>
    <w:basedOn w:val="Normal"/>
    <w:rsid w:val="004A6ADF"/>
    <w:pPr>
      <w:ind w:left="4536"/>
      <w:jc w:val="center"/>
    </w:p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4C2D8C"/>
    <w:pPr>
      <w:tabs>
        <w:tab w:val="right" w:leader="dot" w:pos="9639"/>
      </w:tabs>
      <w:spacing w:after="120"/>
      <w:ind w:right="851"/>
      <w:jc w:val="left"/>
    </w:pPr>
    <w:rPr>
      <w:noProof/>
      <w:sz w:val="18"/>
      <w:szCs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de-DE" w:eastAsia="de-DE" w:bidi="de-DE"/>
    </w:rPr>
  </w:style>
  <w:style w:type="character" w:customStyle="1" w:styleId="StyleDocoriginalNotBold1">
    <w:name w:val="Style Doc_original + Not Bold1"/>
    <w:rsid w:val="004E5CD5"/>
    <w:rPr>
      <w:rFonts w:ascii="Arial" w:hAnsi="Arial"/>
      <w:b/>
      <w:bCs/>
      <w:spacing w:val="10"/>
      <w:lang w:val="de-DE" w:eastAsia="de-DE" w:bidi="de-DE"/>
    </w:rPr>
  </w:style>
  <w:style w:type="character" w:customStyle="1" w:styleId="StyleDoclangBold">
    <w:name w:val="Style Doc_lang + Bold"/>
    <w:rsid w:val="004E5CD5"/>
    <w:rPr>
      <w:rFonts w:ascii="Arial" w:hAnsi="Arial"/>
      <w:b/>
      <w:bCs/>
      <w:sz w:val="20"/>
      <w:lang w:val="de-DE"/>
    </w:rPr>
  </w:style>
  <w:style w:type="character" w:customStyle="1" w:styleId="Heading1Char">
    <w:name w:val="Heading 1 Char"/>
    <w:basedOn w:val="DefaultParagraphFont"/>
    <w:link w:val="Heading1"/>
    <w:rsid w:val="008C30ED"/>
    <w:rPr>
      <w:rFonts w:ascii="Arial" w:hAnsi="Arial"/>
      <w:caps/>
    </w:rPr>
  </w:style>
  <w:style w:type="character" w:customStyle="1" w:styleId="Heading2Char">
    <w:name w:val="Heading 2 Char"/>
    <w:basedOn w:val="DefaultParagraphFont"/>
    <w:link w:val="Heading2"/>
    <w:rsid w:val="008C30ED"/>
    <w:rPr>
      <w:rFonts w:ascii="Arial" w:hAnsi="Arial"/>
      <w:u w:val="single"/>
    </w:rPr>
  </w:style>
  <w:style w:type="character" w:customStyle="1" w:styleId="FootnoteTextChar">
    <w:name w:val="Footnote Text Char"/>
    <w:basedOn w:val="DefaultParagraphFont"/>
    <w:link w:val="FootnoteText"/>
    <w:rsid w:val="008C30ED"/>
    <w:rPr>
      <w:rFonts w:ascii="Arial" w:hAnsi="Arial"/>
      <w:sz w:val="16"/>
    </w:rPr>
  </w:style>
  <w:style w:type="paragraph" w:styleId="BodyText2">
    <w:name w:val="Body Text 2"/>
    <w:basedOn w:val="Normal"/>
    <w:link w:val="BodyText2Char"/>
    <w:rsid w:val="008C30ED"/>
    <w:rPr>
      <w:rFonts w:ascii="Times New Roman" w:hAnsi="Times New Roman"/>
      <w:color w:val="008000"/>
      <w:sz w:val="24"/>
    </w:rPr>
  </w:style>
  <w:style w:type="character" w:customStyle="1" w:styleId="BodyText2Char">
    <w:name w:val="Body Text 2 Char"/>
    <w:basedOn w:val="DefaultParagraphFont"/>
    <w:link w:val="BodyText2"/>
    <w:rsid w:val="008C30ED"/>
    <w:rPr>
      <w:color w:val="008000"/>
      <w:sz w:val="24"/>
    </w:rPr>
  </w:style>
  <w:style w:type="paragraph" w:customStyle="1" w:styleId="a">
    <w:name w:val="a"/>
    <w:basedOn w:val="Normal"/>
    <w:rsid w:val="008C30ED"/>
    <w:pPr>
      <w:overflowPunct w:val="0"/>
      <w:autoSpaceDE w:val="0"/>
      <w:autoSpaceDN w:val="0"/>
      <w:adjustRightInd w:val="0"/>
      <w:jc w:val="center"/>
      <w:textAlignment w:val="baseline"/>
    </w:pPr>
    <w:rPr>
      <w:rFonts w:ascii="Times New Roman" w:hAnsi="Times New Roman"/>
      <w:b/>
      <w:sz w:val="24"/>
    </w:rPr>
  </w:style>
  <w:style w:type="paragraph" w:customStyle="1" w:styleId="inf61normal">
    <w:name w:val="inf_6_1_normal"/>
    <w:basedOn w:val="Normal"/>
    <w:link w:val="inf61normalChar"/>
    <w:rsid w:val="008C30ED"/>
    <w:pPr>
      <w:tabs>
        <w:tab w:val="left" w:pos="426"/>
        <w:tab w:val="left" w:pos="992"/>
      </w:tabs>
    </w:pPr>
    <w:rPr>
      <w:rFonts w:ascii="Times New Roman" w:hAnsi="Times New Roman"/>
      <w:sz w:val="24"/>
    </w:rPr>
  </w:style>
  <w:style w:type="paragraph" w:customStyle="1" w:styleId="Inf61normalBold">
    <w:name w:val="Inf_6_1_normal + Bold"/>
    <w:basedOn w:val="inf61normal"/>
    <w:link w:val="Inf61normalBoldChar"/>
    <w:rsid w:val="008C30ED"/>
    <w:rPr>
      <w:b/>
      <w:bCs/>
    </w:rPr>
  </w:style>
  <w:style w:type="character" w:customStyle="1" w:styleId="inf61normalChar">
    <w:name w:val="inf_6_1_normal Char"/>
    <w:basedOn w:val="DefaultParagraphFont"/>
    <w:link w:val="inf61normal"/>
    <w:rsid w:val="008C30ED"/>
    <w:rPr>
      <w:sz w:val="24"/>
    </w:rPr>
  </w:style>
  <w:style w:type="character" w:customStyle="1" w:styleId="Inf61normalBoldChar">
    <w:name w:val="Inf_6_1_normal + Bold Char"/>
    <w:basedOn w:val="inf61normalChar"/>
    <w:link w:val="Inf61normalBold"/>
    <w:rsid w:val="008C30ED"/>
    <w:rPr>
      <w:b/>
      <w:bCs/>
      <w:sz w:val="24"/>
    </w:rPr>
  </w:style>
  <w:style w:type="character" w:customStyle="1" w:styleId="BodyTextChar">
    <w:name w:val="Body Text Char"/>
    <w:basedOn w:val="DefaultParagraphFont"/>
    <w:link w:val="BodyText"/>
    <w:rsid w:val="004C2D8C"/>
    <w:rPr>
      <w:rFonts w:ascii="Arial" w:hAnsi="Arial"/>
    </w:rPr>
  </w:style>
  <w:style w:type="character" w:customStyle="1" w:styleId="BodyTextIndentChar">
    <w:name w:val="Body Text Indent Char"/>
    <w:basedOn w:val="DefaultParagraphFont"/>
    <w:link w:val="BodyTextIndent"/>
    <w:rsid w:val="004C2D8C"/>
    <w:rPr>
      <w:rFonts w:ascii="Arial" w:hAnsi="Arial"/>
    </w:rPr>
  </w:style>
  <w:style w:type="character" w:customStyle="1" w:styleId="CommentTextChar">
    <w:name w:val="Comment Text Char"/>
    <w:basedOn w:val="DefaultParagraphFont"/>
    <w:link w:val="CommentText"/>
    <w:semiHidden/>
    <w:rsid w:val="004C2D8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Information_materials\_Templates_EXN-INF\template_EX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4144D-496F-4A1E-B4E4-3469BD116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template_EXN.dotx</Template>
  <TotalTime>8</TotalTime>
  <Pages>6</Pages>
  <Words>1400</Words>
  <Characters>9063</Characters>
  <Application>Microsoft Office Word</Application>
  <DocSecurity>0</DocSecurity>
  <Lines>75</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WIPO</Company>
  <LinksUpToDate>false</LinksUpToDate>
  <CharactersWithSpaces>10443</CharactersWithSpaces>
  <SharedDoc>false</SharedDoc>
  <HLinks>
    <vt:vector size="60" baseType="variant">
      <vt:variant>
        <vt:i4>2031668</vt:i4>
      </vt:variant>
      <vt:variant>
        <vt:i4>56</vt:i4>
      </vt:variant>
      <vt:variant>
        <vt:i4>0</vt:i4>
      </vt:variant>
      <vt:variant>
        <vt:i4>5</vt:i4>
      </vt:variant>
      <vt:variant>
        <vt:lpwstr/>
      </vt:variant>
      <vt:variant>
        <vt:lpwstr>_Toc345408205</vt:lpwstr>
      </vt:variant>
      <vt:variant>
        <vt:i4>2031668</vt:i4>
      </vt:variant>
      <vt:variant>
        <vt:i4>50</vt:i4>
      </vt:variant>
      <vt:variant>
        <vt:i4>0</vt:i4>
      </vt:variant>
      <vt:variant>
        <vt:i4>5</vt:i4>
      </vt:variant>
      <vt:variant>
        <vt:lpwstr/>
      </vt:variant>
      <vt:variant>
        <vt:lpwstr>_Toc345408204</vt:lpwstr>
      </vt:variant>
      <vt:variant>
        <vt:i4>2031668</vt:i4>
      </vt:variant>
      <vt:variant>
        <vt:i4>44</vt:i4>
      </vt:variant>
      <vt:variant>
        <vt:i4>0</vt:i4>
      </vt:variant>
      <vt:variant>
        <vt:i4>5</vt:i4>
      </vt:variant>
      <vt:variant>
        <vt:lpwstr/>
      </vt:variant>
      <vt:variant>
        <vt:lpwstr>_Toc345408203</vt:lpwstr>
      </vt:variant>
      <vt:variant>
        <vt:i4>2031668</vt:i4>
      </vt:variant>
      <vt:variant>
        <vt:i4>38</vt:i4>
      </vt:variant>
      <vt:variant>
        <vt:i4>0</vt:i4>
      </vt:variant>
      <vt:variant>
        <vt:i4>5</vt:i4>
      </vt:variant>
      <vt:variant>
        <vt:lpwstr/>
      </vt:variant>
      <vt:variant>
        <vt:lpwstr>_Toc345408202</vt:lpwstr>
      </vt:variant>
      <vt:variant>
        <vt:i4>2031668</vt:i4>
      </vt:variant>
      <vt:variant>
        <vt:i4>32</vt:i4>
      </vt:variant>
      <vt:variant>
        <vt:i4>0</vt:i4>
      </vt:variant>
      <vt:variant>
        <vt:i4>5</vt:i4>
      </vt:variant>
      <vt:variant>
        <vt:lpwstr/>
      </vt:variant>
      <vt:variant>
        <vt:lpwstr>_Toc345408201</vt:lpwstr>
      </vt:variant>
      <vt:variant>
        <vt:i4>2031668</vt:i4>
      </vt:variant>
      <vt:variant>
        <vt:i4>26</vt:i4>
      </vt:variant>
      <vt:variant>
        <vt:i4>0</vt:i4>
      </vt:variant>
      <vt:variant>
        <vt:i4>5</vt:i4>
      </vt:variant>
      <vt:variant>
        <vt:lpwstr/>
      </vt:variant>
      <vt:variant>
        <vt:lpwstr>_Toc345408200</vt:lpwstr>
      </vt:variant>
      <vt:variant>
        <vt:i4>1441847</vt:i4>
      </vt:variant>
      <vt:variant>
        <vt:i4>20</vt:i4>
      </vt:variant>
      <vt:variant>
        <vt:i4>0</vt:i4>
      </vt:variant>
      <vt:variant>
        <vt:i4>5</vt:i4>
      </vt:variant>
      <vt:variant>
        <vt:lpwstr/>
      </vt:variant>
      <vt:variant>
        <vt:lpwstr>_Toc345408199</vt:lpwstr>
      </vt:variant>
      <vt:variant>
        <vt:i4>1441847</vt:i4>
      </vt:variant>
      <vt:variant>
        <vt:i4>14</vt:i4>
      </vt:variant>
      <vt:variant>
        <vt:i4>0</vt:i4>
      </vt:variant>
      <vt:variant>
        <vt:i4>5</vt:i4>
      </vt:variant>
      <vt:variant>
        <vt:lpwstr/>
      </vt:variant>
      <vt:variant>
        <vt:lpwstr>_Toc345408198</vt:lpwstr>
      </vt:variant>
      <vt:variant>
        <vt:i4>1441847</vt:i4>
      </vt:variant>
      <vt:variant>
        <vt:i4>8</vt:i4>
      </vt:variant>
      <vt:variant>
        <vt:i4>0</vt:i4>
      </vt:variant>
      <vt:variant>
        <vt:i4>5</vt:i4>
      </vt:variant>
      <vt:variant>
        <vt:lpwstr/>
      </vt:variant>
      <vt:variant>
        <vt:lpwstr>_Toc345408197</vt:lpwstr>
      </vt:variant>
      <vt:variant>
        <vt:i4>1441847</vt:i4>
      </vt:variant>
      <vt:variant>
        <vt:i4>2</vt:i4>
      </vt:variant>
      <vt:variant>
        <vt:i4>0</vt:i4>
      </vt:variant>
      <vt:variant>
        <vt:i4>5</vt:i4>
      </vt:variant>
      <vt:variant>
        <vt:lpwstr/>
      </vt:variant>
      <vt:variant>
        <vt:lpwstr>_Toc345408196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16</cp:revision>
  <cp:lastPrinted>2015-03-02T17:17:00Z</cp:lastPrinted>
  <dcterms:created xsi:type="dcterms:W3CDTF">2014-12-11T12:02:00Z</dcterms:created>
  <dcterms:modified xsi:type="dcterms:W3CDTF">2015-03-02T17:17:00Z</dcterms:modified>
</cp:coreProperties>
</file>