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C646D" w:rsidTr="00FB0D37">
        <w:trPr>
          <w:trHeight w:val="1760"/>
        </w:trPr>
        <w:tc>
          <w:tcPr>
            <w:tcW w:w="4243" w:type="dxa"/>
          </w:tcPr>
          <w:p w:rsidR="000D7780" w:rsidRPr="001C646D" w:rsidRDefault="000D7780" w:rsidP="007D0B9D">
            <w:pPr>
              <w:rPr>
                <w:lang w:val="de-CH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F7073A" w:rsidRDefault="00110481" w:rsidP="00576BE4">
            <w:pPr>
              <w:pStyle w:val="LogoUPOV"/>
              <w:rPr>
                <w:lang w:val="de-CH"/>
              </w:rPr>
            </w:pPr>
            <w:r w:rsidRPr="00F7073A">
              <w:rPr>
                <w:noProof/>
              </w:rPr>
              <w:drawing>
                <wp:inline distT="0" distB="0" distL="0" distR="0" wp14:anchorId="2C92168B" wp14:editId="7B779E8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41E31" w:rsidRPr="00F7073A" w:rsidRDefault="00C41E31" w:rsidP="00C41E31">
            <w:pPr>
              <w:pStyle w:val="Lettrine"/>
              <w:rPr>
                <w:lang w:val="de-CH"/>
              </w:rPr>
            </w:pPr>
            <w:r w:rsidRPr="00F7073A">
              <w:rPr>
                <w:lang w:val="de-CH"/>
              </w:rPr>
              <w:t>G</w:t>
            </w:r>
          </w:p>
          <w:p w:rsidR="000D7780" w:rsidRPr="00F7073A" w:rsidRDefault="00F37961" w:rsidP="00474DA4">
            <w:pPr>
              <w:pStyle w:val="Docoriginal"/>
              <w:jc w:val="left"/>
              <w:rPr>
                <w:lang w:val="de-CH"/>
              </w:rPr>
            </w:pPr>
            <w:r w:rsidRPr="00F7073A">
              <w:rPr>
                <w:lang w:val="de-CH"/>
              </w:rPr>
              <w:t>CAJ/</w:t>
            </w:r>
            <w:r w:rsidR="00155F6F" w:rsidRPr="00F7073A">
              <w:rPr>
                <w:lang w:val="de-CH"/>
              </w:rPr>
              <w:t>7</w:t>
            </w:r>
            <w:r w:rsidR="00551E76" w:rsidRPr="00F7073A">
              <w:rPr>
                <w:lang w:val="de-CH"/>
              </w:rPr>
              <w:t>1</w:t>
            </w:r>
            <w:r w:rsidR="00EB3EFA" w:rsidRPr="00F7073A">
              <w:rPr>
                <w:lang w:val="de-CH"/>
              </w:rPr>
              <w:t>/</w:t>
            </w:r>
            <w:bookmarkStart w:id="1" w:name="Code"/>
            <w:bookmarkEnd w:id="1"/>
            <w:r w:rsidR="006C60FE" w:rsidRPr="00F7073A">
              <w:rPr>
                <w:lang w:val="de-CH"/>
              </w:rPr>
              <w:t>3</w:t>
            </w:r>
          </w:p>
          <w:p w:rsidR="000D7780" w:rsidRPr="00F7073A" w:rsidRDefault="0061555F" w:rsidP="00474DA4">
            <w:pPr>
              <w:pStyle w:val="Docoriginal"/>
              <w:jc w:val="left"/>
              <w:rPr>
                <w:lang w:val="de-CH"/>
              </w:rPr>
            </w:pPr>
            <w:r w:rsidRPr="00F7073A">
              <w:rPr>
                <w:rStyle w:val="StyleDoclangBold"/>
                <w:b/>
                <w:bCs/>
                <w:spacing w:val="0"/>
                <w:lang w:val="de-CH"/>
              </w:rPr>
              <w:t>ORIGINAL</w:t>
            </w:r>
            <w:r w:rsidR="000D7780" w:rsidRPr="00F7073A">
              <w:rPr>
                <w:rStyle w:val="StyleDoclangBold"/>
                <w:b/>
                <w:bCs/>
                <w:spacing w:val="0"/>
                <w:lang w:val="de-CH"/>
              </w:rPr>
              <w:t>:</w:t>
            </w:r>
            <w:r w:rsidRPr="00F7073A">
              <w:rPr>
                <w:rStyle w:val="StyleDocoriginalNotBold1"/>
                <w:spacing w:val="0"/>
                <w:lang w:val="de-CH"/>
              </w:rPr>
              <w:t xml:space="preserve"> </w:t>
            </w:r>
            <w:r w:rsidR="000D7780" w:rsidRPr="00F7073A">
              <w:rPr>
                <w:rStyle w:val="StyleDocoriginalNotBold1"/>
                <w:spacing w:val="0"/>
                <w:lang w:val="de-CH"/>
              </w:rPr>
              <w:t xml:space="preserve"> </w:t>
            </w:r>
            <w:bookmarkStart w:id="2" w:name="Original"/>
            <w:bookmarkEnd w:id="2"/>
            <w:r w:rsidR="00C41E31" w:rsidRPr="00F7073A">
              <w:rPr>
                <w:b w:val="0"/>
                <w:spacing w:val="0"/>
                <w:lang w:val="de-CH"/>
              </w:rPr>
              <w:t>englisch</w:t>
            </w:r>
          </w:p>
          <w:p w:rsidR="000D7780" w:rsidRPr="00F7073A" w:rsidRDefault="000D7780" w:rsidP="00F7073A">
            <w:pPr>
              <w:pStyle w:val="Docoriginal"/>
              <w:jc w:val="left"/>
              <w:rPr>
                <w:b w:val="0"/>
                <w:spacing w:val="0"/>
                <w:lang w:val="de-CH"/>
              </w:rPr>
            </w:pPr>
            <w:r w:rsidRPr="00F7073A">
              <w:rPr>
                <w:spacing w:val="0"/>
                <w:lang w:val="de-CH"/>
              </w:rPr>
              <w:t>DAT</w:t>
            </w:r>
            <w:r w:rsidR="00C41E31" w:rsidRPr="00F7073A">
              <w:rPr>
                <w:spacing w:val="0"/>
                <w:lang w:val="de-CH"/>
              </w:rPr>
              <w:t>UM</w:t>
            </w:r>
            <w:r w:rsidRPr="00F7073A">
              <w:rPr>
                <w:spacing w:val="0"/>
                <w:lang w:val="de-CH"/>
              </w:rPr>
              <w:t>:</w:t>
            </w:r>
            <w:r w:rsidR="0061555F" w:rsidRPr="00F7073A">
              <w:rPr>
                <w:b w:val="0"/>
                <w:spacing w:val="0"/>
                <w:lang w:val="de-CH"/>
              </w:rPr>
              <w:t xml:space="preserve"> </w:t>
            </w:r>
            <w:r w:rsidRPr="00F7073A">
              <w:rPr>
                <w:rStyle w:val="StyleDocoriginalNotBold1"/>
                <w:spacing w:val="0"/>
                <w:lang w:val="de-CH"/>
              </w:rPr>
              <w:t xml:space="preserve"> </w:t>
            </w:r>
            <w:bookmarkStart w:id="3" w:name="Date"/>
            <w:bookmarkEnd w:id="3"/>
            <w:r w:rsidR="00C41E31" w:rsidRPr="00F7073A">
              <w:rPr>
                <w:rStyle w:val="StyleDocoriginalNotBold1"/>
                <w:spacing w:val="0"/>
                <w:lang w:val="de-CH"/>
              </w:rPr>
              <w:t>2. </w:t>
            </w:r>
            <w:r w:rsidR="00F7073A" w:rsidRPr="00F7073A">
              <w:rPr>
                <w:rStyle w:val="StyleDocoriginalNotBold1"/>
                <w:spacing w:val="0"/>
                <w:lang w:val="de-CH" w:eastAsia="ja-JP"/>
              </w:rPr>
              <w:t xml:space="preserve">März </w:t>
            </w:r>
            <w:r w:rsidR="00155F6F" w:rsidRPr="00F7073A">
              <w:rPr>
                <w:rStyle w:val="StyleDocoriginalNotBold1"/>
                <w:spacing w:val="0"/>
                <w:lang w:val="de-CH"/>
              </w:rPr>
              <w:t>201</w:t>
            </w:r>
            <w:r w:rsidR="00551E76" w:rsidRPr="00F7073A">
              <w:rPr>
                <w:rStyle w:val="StyleDocoriginalNotBold1"/>
                <w:spacing w:val="0"/>
                <w:lang w:val="de-CH"/>
              </w:rPr>
              <w:t>5</w:t>
            </w:r>
          </w:p>
        </w:tc>
      </w:tr>
      <w:tr w:rsidR="000D7780" w:rsidRPr="001C646D" w:rsidTr="00FB0D37">
        <w:tc>
          <w:tcPr>
            <w:tcW w:w="10131" w:type="dxa"/>
            <w:gridSpan w:val="3"/>
          </w:tcPr>
          <w:p w:rsidR="000D7780" w:rsidRPr="001C646D" w:rsidRDefault="00C41E31" w:rsidP="0080679D">
            <w:pPr>
              <w:pStyle w:val="upove"/>
              <w:rPr>
                <w:sz w:val="28"/>
                <w:lang w:val="de-CH"/>
              </w:rPr>
            </w:pPr>
            <w:r w:rsidRPr="001C646D">
              <w:rPr>
                <w:snapToGrid w:val="0"/>
                <w:spacing w:val="10"/>
                <w:lang w:val="de-CH"/>
              </w:rPr>
              <w:t>INTERNATIONALER VERBAND ZUM SCHUTZ VON PFLANZENZÜCHTUNGEN</w:t>
            </w:r>
          </w:p>
        </w:tc>
      </w:tr>
      <w:tr w:rsidR="000D7780" w:rsidRPr="001C646D" w:rsidTr="00FB0D37">
        <w:tc>
          <w:tcPr>
            <w:tcW w:w="10131" w:type="dxa"/>
            <w:gridSpan w:val="3"/>
          </w:tcPr>
          <w:p w:rsidR="000D7780" w:rsidRPr="001C646D" w:rsidRDefault="00867AC1" w:rsidP="00C41E31">
            <w:pPr>
              <w:pStyle w:val="Country"/>
              <w:rPr>
                <w:lang w:val="de-CH"/>
              </w:rPr>
            </w:pPr>
            <w:r w:rsidRPr="001C646D">
              <w:rPr>
                <w:lang w:val="de-CH"/>
              </w:rPr>
              <w:t>Gen</w:t>
            </w:r>
            <w:r w:rsidR="00C41E31" w:rsidRPr="001C646D">
              <w:rPr>
                <w:lang w:val="de-CH"/>
              </w:rPr>
              <w:t>f</w:t>
            </w:r>
          </w:p>
        </w:tc>
      </w:tr>
    </w:tbl>
    <w:p w:rsidR="000D7780" w:rsidRPr="001C646D" w:rsidRDefault="00C41E31" w:rsidP="0080679D">
      <w:pPr>
        <w:pStyle w:val="Sessiontc"/>
        <w:rPr>
          <w:lang w:val="de-CH"/>
        </w:rPr>
      </w:pPr>
      <w:r w:rsidRPr="001C646D">
        <w:rPr>
          <w:lang w:val="de-CH"/>
        </w:rPr>
        <w:t>Verwaltungs- und Rechtsausschuss</w:t>
      </w:r>
    </w:p>
    <w:p w:rsidR="00361821" w:rsidRPr="001C646D" w:rsidRDefault="00C41E31" w:rsidP="0080679D">
      <w:pPr>
        <w:pStyle w:val="Sessiontcplacedate"/>
        <w:rPr>
          <w:lang w:val="de-CH"/>
        </w:rPr>
      </w:pPr>
      <w:r w:rsidRPr="001C646D">
        <w:rPr>
          <w:lang w:val="de-CH"/>
        </w:rPr>
        <w:t>Einundsiebzigste Tagung</w:t>
      </w:r>
      <w:r w:rsidR="00361821" w:rsidRPr="001C646D">
        <w:rPr>
          <w:lang w:val="de-CH"/>
        </w:rPr>
        <w:br/>
      </w:r>
      <w:r w:rsidR="00FB0D37" w:rsidRPr="001C646D">
        <w:rPr>
          <w:lang w:val="de-CH"/>
        </w:rPr>
        <w:t>Gen</w:t>
      </w:r>
      <w:r w:rsidRPr="001C646D">
        <w:rPr>
          <w:lang w:val="de-CH"/>
        </w:rPr>
        <w:t>f, 26. März</w:t>
      </w:r>
      <w:r w:rsidR="00551E76" w:rsidRPr="001C646D">
        <w:rPr>
          <w:lang w:val="de-CH"/>
        </w:rPr>
        <w:t xml:space="preserve"> 2015</w:t>
      </w:r>
    </w:p>
    <w:p w:rsidR="000D7780" w:rsidRPr="001C646D" w:rsidRDefault="00DD54C8" w:rsidP="0080679D">
      <w:pPr>
        <w:pStyle w:val="Titleofdoc0"/>
        <w:rPr>
          <w:lang w:val="de-CH"/>
        </w:rPr>
      </w:pPr>
      <w:bookmarkStart w:id="4" w:name="TitleOfDoc"/>
      <w:bookmarkEnd w:id="4"/>
      <w:r w:rsidRPr="001C646D">
        <w:rPr>
          <w:kern w:val="28"/>
          <w:lang w:val="de-CH"/>
        </w:rPr>
        <w:t>SORTENBEZEICHNUNGEN</w:t>
      </w:r>
    </w:p>
    <w:p w:rsidR="000D7780" w:rsidRPr="001C646D" w:rsidRDefault="00C41E31" w:rsidP="0080679D">
      <w:pPr>
        <w:pStyle w:val="preparedby1"/>
        <w:rPr>
          <w:lang w:val="de-CH"/>
        </w:rPr>
      </w:pPr>
      <w:bookmarkStart w:id="5" w:name="Prepared"/>
      <w:bookmarkEnd w:id="5"/>
      <w:r w:rsidRPr="001C646D">
        <w:rPr>
          <w:lang w:val="de-CH"/>
        </w:rPr>
        <w:t xml:space="preserve">Vom </w:t>
      </w:r>
      <w:r w:rsidR="00DD54C8" w:rsidRPr="001C646D">
        <w:rPr>
          <w:lang w:val="de-CH"/>
        </w:rPr>
        <w:t xml:space="preserve">Verbandsbüro </w:t>
      </w:r>
      <w:r w:rsidRPr="001C646D">
        <w:rPr>
          <w:lang w:val="de-CH"/>
        </w:rPr>
        <w:t xml:space="preserve">erstelltes </w:t>
      </w:r>
      <w:r w:rsidR="00AE0EF1" w:rsidRPr="001C646D">
        <w:rPr>
          <w:lang w:val="de-CH"/>
        </w:rPr>
        <w:t>Do</w:t>
      </w:r>
      <w:r w:rsidRPr="001C646D">
        <w:rPr>
          <w:lang w:val="de-CH"/>
        </w:rPr>
        <w:t>k</w:t>
      </w:r>
      <w:r w:rsidR="00AE0EF1" w:rsidRPr="001C646D">
        <w:rPr>
          <w:lang w:val="de-CH"/>
        </w:rPr>
        <w:t>ument</w:t>
      </w:r>
      <w:r w:rsidR="00836E88" w:rsidRPr="001C646D">
        <w:rPr>
          <w:lang w:val="de-CH"/>
        </w:rPr>
        <w:br/>
      </w:r>
      <w:r w:rsidR="00836E88" w:rsidRPr="001C646D">
        <w:rPr>
          <w:lang w:val="de-CH"/>
        </w:rPr>
        <w:br/>
      </w:r>
      <w:r w:rsidR="0019355E" w:rsidRPr="001C646D">
        <w:rPr>
          <w:color w:val="A6A6A6" w:themeColor="background1" w:themeShade="A6"/>
          <w:lang w:val="de-CH"/>
        </w:rPr>
        <w:t>Haftungsausschluss: Dieses Dokument gibt nicht die Grundsätze oder eine Anleitung der UPOV wieder</w:t>
      </w:r>
    </w:p>
    <w:p w:rsidR="00B65A8F" w:rsidRPr="001C646D" w:rsidRDefault="00DD54C8" w:rsidP="00483972">
      <w:pPr>
        <w:pStyle w:val="Heading1"/>
        <w:rPr>
          <w:lang w:val="de-CH"/>
        </w:rPr>
      </w:pPr>
      <w:bookmarkStart w:id="6" w:name="_Toc387757149"/>
      <w:bookmarkStart w:id="7" w:name="_Toc404931496"/>
      <w:bookmarkStart w:id="8" w:name="_Toc404931550"/>
      <w:bookmarkStart w:id="9" w:name="_Toc404931721"/>
      <w:bookmarkStart w:id="10" w:name="_Toc404932170"/>
      <w:bookmarkStart w:id="11" w:name="_Toc404935671"/>
      <w:bookmarkStart w:id="12" w:name="_Toc410717532"/>
      <w:bookmarkStart w:id="13" w:name="_Toc413652560"/>
      <w:r w:rsidRPr="001C646D">
        <w:rPr>
          <w:lang w:val="de-CH"/>
        </w:rPr>
        <w:t>ZUSAMMENFASSUNG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65A8F" w:rsidRPr="001C646D" w:rsidRDefault="00B65A8F" w:rsidP="00B65A8F">
      <w:pPr>
        <w:rPr>
          <w:lang w:val="de-CH"/>
        </w:rPr>
      </w:pPr>
    </w:p>
    <w:p w:rsidR="00B65A8F" w:rsidRPr="001C646D" w:rsidRDefault="00B65A8F" w:rsidP="00B65A8F">
      <w:pPr>
        <w:rPr>
          <w:rFonts w:cs="Arial"/>
          <w:snapToGrid w:val="0"/>
          <w:lang w:val="de-CH"/>
        </w:rPr>
      </w:pPr>
      <w:r w:rsidRPr="001C646D">
        <w:rPr>
          <w:rFonts w:cs="Arial"/>
          <w:lang w:val="de-CH"/>
        </w:rPr>
        <w:fldChar w:fldCharType="begin"/>
      </w:r>
      <w:r w:rsidRPr="001C646D">
        <w:rPr>
          <w:rFonts w:cs="Arial"/>
          <w:lang w:val="de-CH"/>
        </w:rPr>
        <w:instrText xml:space="preserve"> AUTONUM  </w:instrText>
      </w:r>
      <w:r w:rsidRPr="001C646D">
        <w:rPr>
          <w:rFonts w:cs="Arial"/>
          <w:lang w:val="de-CH"/>
        </w:rPr>
        <w:fldChar w:fldCharType="end"/>
      </w:r>
      <w:r w:rsidRPr="001C646D">
        <w:rPr>
          <w:rFonts w:cs="Arial"/>
          <w:lang w:val="de-CH"/>
        </w:rPr>
        <w:tab/>
      </w:r>
      <w:r w:rsidR="00F0228C" w:rsidRPr="001C646D">
        <w:rPr>
          <w:rFonts w:cs="Arial"/>
          <w:lang w:val="de-CH"/>
        </w:rPr>
        <w:t xml:space="preserve">Zweck dieses Dokuments ist es, über </w:t>
      </w:r>
      <w:r w:rsidR="00F0228C" w:rsidRPr="008260AE">
        <w:rPr>
          <w:rFonts w:cs="Arial"/>
          <w:lang w:val="de-CH"/>
        </w:rPr>
        <w:t xml:space="preserve">die Arbeiten zur </w:t>
      </w:r>
      <w:r w:rsidR="00E03BF3" w:rsidRPr="008260AE">
        <w:rPr>
          <w:rFonts w:cs="Arial"/>
          <w:lang w:val="de-CH"/>
        </w:rPr>
        <w:t>etwaigen</w:t>
      </w:r>
      <w:r w:rsidR="00F0228C" w:rsidRPr="008260AE">
        <w:rPr>
          <w:rFonts w:cs="Arial"/>
          <w:lang w:val="de-CH"/>
        </w:rPr>
        <w:t xml:space="preserve"> Entwicklung eines UPOV-</w:t>
      </w:r>
      <w:r w:rsidR="00A75C60">
        <w:rPr>
          <w:rFonts w:cs="Arial"/>
          <w:lang w:val="de-CH"/>
        </w:rPr>
        <w:t>Suchwerkzeug</w:t>
      </w:r>
      <w:r w:rsidR="00F0228C" w:rsidRPr="008260AE">
        <w:rPr>
          <w:rFonts w:cs="Arial"/>
          <w:lang w:val="de-CH"/>
        </w:rPr>
        <w:t xml:space="preserve">s für Ähnlichkeiten zum Zweck der Sortenbezeichnung zu berichten und die </w:t>
      </w:r>
      <w:r w:rsidR="00E03BF3" w:rsidRPr="008260AE">
        <w:rPr>
          <w:rFonts w:cs="Arial"/>
          <w:lang w:val="de-CH"/>
        </w:rPr>
        <w:t>etwaige</w:t>
      </w:r>
      <w:r w:rsidR="00F0228C" w:rsidRPr="008260AE">
        <w:rPr>
          <w:rFonts w:cs="Arial"/>
          <w:lang w:val="de-CH"/>
        </w:rPr>
        <w:t xml:space="preserve"> Überarbeitung von Dokument UPOV/INF/12/4 „Erläuterungen zu Sortenbezeichnungen nach</w:t>
      </w:r>
      <w:r w:rsidR="00F0228C" w:rsidRPr="001C646D">
        <w:rPr>
          <w:rFonts w:cs="Arial"/>
          <w:lang w:val="de-CH"/>
        </w:rPr>
        <w:t xml:space="preserve"> dem UPOV-Übereinkommen” zu prüfen</w:t>
      </w:r>
      <w:r w:rsidRPr="001C646D">
        <w:rPr>
          <w:rFonts w:cs="Arial"/>
          <w:snapToGrid w:val="0"/>
          <w:lang w:val="de-CH"/>
        </w:rPr>
        <w:t>.</w:t>
      </w:r>
    </w:p>
    <w:p w:rsidR="00B65A8F" w:rsidRPr="001C646D" w:rsidRDefault="00B65A8F" w:rsidP="00B65A8F">
      <w:pPr>
        <w:rPr>
          <w:lang w:val="de-CH"/>
        </w:rPr>
      </w:pPr>
    </w:p>
    <w:p w:rsidR="00B65A8F" w:rsidRPr="001C646D" w:rsidRDefault="00B65A8F" w:rsidP="000D6679">
      <w:pPr>
        <w:pStyle w:val="DecisionParagraphs"/>
        <w:tabs>
          <w:tab w:val="clear" w:pos="5387"/>
          <w:tab w:val="left" w:pos="540"/>
        </w:tabs>
        <w:ind w:left="0"/>
        <w:rPr>
          <w:i w:val="0"/>
          <w:lang w:val="de-CH" w:eastAsia="ja-JP"/>
        </w:rPr>
      </w:pPr>
      <w:r w:rsidRPr="001C646D">
        <w:rPr>
          <w:i w:val="0"/>
          <w:lang w:val="de-CH"/>
        </w:rPr>
        <w:fldChar w:fldCharType="begin"/>
      </w:r>
      <w:r w:rsidRPr="001C646D">
        <w:rPr>
          <w:i w:val="0"/>
          <w:lang w:val="de-CH"/>
        </w:rPr>
        <w:instrText xml:space="preserve"> AUTONUM  </w:instrText>
      </w:r>
      <w:r w:rsidRPr="001C646D">
        <w:rPr>
          <w:i w:val="0"/>
          <w:lang w:val="de-CH"/>
        </w:rPr>
        <w:fldChar w:fldCharType="end"/>
      </w:r>
      <w:r w:rsidRPr="001C646D">
        <w:rPr>
          <w:i w:val="0"/>
          <w:lang w:val="de-CH"/>
        </w:rPr>
        <w:tab/>
      </w:r>
      <w:r w:rsidR="00944815" w:rsidRPr="001C646D">
        <w:rPr>
          <w:i w:val="0"/>
          <w:lang w:val="de-CH"/>
        </w:rPr>
        <w:t xml:space="preserve">Der </w:t>
      </w:r>
      <w:r w:rsidRPr="001C646D">
        <w:rPr>
          <w:i w:val="0"/>
          <w:lang w:val="de-CH"/>
        </w:rPr>
        <w:t xml:space="preserve">CAJ </w:t>
      </w:r>
      <w:r w:rsidR="00944815" w:rsidRPr="001C646D">
        <w:rPr>
          <w:i w:val="0"/>
          <w:lang w:val="de-CH"/>
        </w:rPr>
        <w:t>wird ersucht</w:t>
      </w:r>
      <w:r w:rsidRPr="001C646D">
        <w:rPr>
          <w:i w:val="0"/>
          <w:lang w:val="de-CH"/>
        </w:rPr>
        <w:t>:</w:t>
      </w:r>
    </w:p>
    <w:p w:rsidR="00B65A8F" w:rsidRPr="001C646D" w:rsidRDefault="00B65A8F" w:rsidP="000D6679">
      <w:pPr>
        <w:pStyle w:val="DecisionParagraphs"/>
        <w:ind w:left="0"/>
        <w:rPr>
          <w:i w:val="0"/>
          <w:lang w:val="de-CH" w:eastAsia="ja-JP"/>
        </w:rPr>
      </w:pPr>
    </w:p>
    <w:p w:rsidR="00B65A8F" w:rsidRPr="001C646D" w:rsidRDefault="000D6679" w:rsidP="00822A3B">
      <w:pPr>
        <w:pStyle w:val="DecisionParagraphs"/>
        <w:tabs>
          <w:tab w:val="clear" w:pos="5387"/>
          <w:tab w:val="left" w:pos="0"/>
          <w:tab w:val="left" w:pos="1080"/>
        </w:tabs>
        <w:ind w:left="0" w:firstLine="540"/>
        <w:rPr>
          <w:i w:val="0"/>
          <w:lang w:val="de-CH"/>
        </w:rPr>
      </w:pPr>
      <w:r w:rsidRPr="001C646D">
        <w:rPr>
          <w:i w:val="0"/>
          <w:color w:val="000000" w:themeColor="text1"/>
          <w:lang w:val="de-CH"/>
        </w:rPr>
        <w:t>a)</w:t>
      </w:r>
      <w:r w:rsidRPr="001C646D">
        <w:rPr>
          <w:i w:val="0"/>
          <w:color w:val="000000" w:themeColor="text1"/>
          <w:lang w:val="de-CH" w:eastAsia="ja-JP"/>
        </w:rPr>
        <w:tab/>
      </w:r>
      <w:r w:rsidR="00944815" w:rsidRPr="001C646D">
        <w:rPr>
          <w:i w:val="0"/>
          <w:color w:val="000000" w:themeColor="text1"/>
          <w:lang w:val="de-CH" w:eastAsia="ja-JP"/>
        </w:rPr>
        <w:t>die Arbeit</w:t>
      </w:r>
      <w:r w:rsidR="00303BC1" w:rsidRPr="001C646D">
        <w:rPr>
          <w:i w:val="0"/>
          <w:snapToGrid w:val="0"/>
          <w:lang w:val="de-CH" w:eastAsia="ja-JP"/>
        </w:rPr>
        <w:t xml:space="preserve"> </w:t>
      </w:r>
      <w:r w:rsidR="00944815" w:rsidRPr="001C646D">
        <w:rPr>
          <w:i w:val="0"/>
          <w:snapToGrid w:val="0"/>
          <w:lang w:val="de-CH" w:eastAsia="ja-JP"/>
        </w:rPr>
        <w:t xml:space="preserve">der </w:t>
      </w:r>
      <w:r w:rsidR="00944815" w:rsidRPr="008260AE">
        <w:rPr>
          <w:i w:val="0"/>
          <w:snapToGrid w:val="0"/>
          <w:lang w:val="de-CH" w:eastAsia="ja-JP"/>
        </w:rPr>
        <w:t xml:space="preserve">Arbeitsgruppe </w:t>
      </w:r>
      <w:r w:rsidR="00347E25" w:rsidRPr="008260AE">
        <w:rPr>
          <w:i w:val="0"/>
          <w:snapToGrid w:val="0"/>
          <w:lang w:val="de-CH" w:eastAsia="ja-JP"/>
        </w:rPr>
        <w:t>für die</w:t>
      </w:r>
      <w:r w:rsidR="00944815" w:rsidRPr="008260AE">
        <w:rPr>
          <w:i w:val="0"/>
          <w:snapToGrid w:val="0"/>
          <w:lang w:val="de-CH" w:eastAsia="ja-JP"/>
        </w:rPr>
        <w:t xml:space="preserve"> Entwicklung eines</w:t>
      </w:r>
      <w:r w:rsidR="00944815" w:rsidRPr="001C646D">
        <w:rPr>
          <w:i w:val="0"/>
          <w:snapToGrid w:val="0"/>
          <w:lang w:val="de-CH" w:eastAsia="ja-JP"/>
        </w:rPr>
        <w:t xml:space="preserve"> UPOV-</w:t>
      </w:r>
      <w:r w:rsidR="00A75C60">
        <w:rPr>
          <w:i w:val="0"/>
          <w:snapToGrid w:val="0"/>
          <w:lang w:val="de-CH" w:eastAsia="ja-JP"/>
        </w:rPr>
        <w:t>Suchwerkzeug</w:t>
      </w:r>
      <w:r w:rsidR="00944815" w:rsidRPr="001C646D">
        <w:rPr>
          <w:i w:val="0"/>
          <w:snapToGrid w:val="0"/>
          <w:lang w:val="de-CH" w:eastAsia="ja-JP"/>
        </w:rPr>
        <w:t xml:space="preserve">s für Ähnlichkeiten zum Zweck der Sortenbezeichnung (WG-DST) zur </w:t>
      </w:r>
      <w:r w:rsidR="00E03BF3">
        <w:rPr>
          <w:i w:val="0"/>
          <w:snapToGrid w:val="0"/>
          <w:lang w:val="de-CH" w:eastAsia="ja-JP"/>
        </w:rPr>
        <w:t>etwaigen</w:t>
      </w:r>
      <w:r w:rsidR="00944815" w:rsidRPr="001C646D">
        <w:rPr>
          <w:i w:val="0"/>
          <w:snapToGrid w:val="0"/>
          <w:lang w:val="de-CH" w:eastAsia="ja-JP"/>
        </w:rPr>
        <w:t xml:space="preserve"> Entwicklung eines </w:t>
      </w:r>
      <w:r w:rsidR="00303BC1" w:rsidRPr="001C646D">
        <w:rPr>
          <w:i w:val="0"/>
          <w:snapToGrid w:val="0"/>
          <w:lang w:val="de-CH" w:eastAsia="ja-JP"/>
        </w:rPr>
        <w:t>UPOV</w:t>
      </w:r>
      <w:r w:rsidR="00944815" w:rsidRPr="001C646D">
        <w:rPr>
          <w:i w:val="0"/>
          <w:snapToGrid w:val="0"/>
          <w:lang w:val="de-CH" w:eastAsia="ja-JP"/>
        </w:rPr>
        <w:t>-</w:t>
      </w:r>
      <w:r w:rsidR="00A75C60">
        <w:rPr>
          <w:i w:val="0"/>
          <w:snapToGrid w:val="0"/>
          <w:lang w:val="de-CH" w:eastAsia="ja-JP"/>
        </w:rPr>
        <w:t>Suchwerkzeug</w:t>
      </w:r>
      <w:r w:rsidR="00944815" w:rsidRPr="001C646D">
        <w:rPr>
          <w:i w:val="0"/>
          <w:snapToGrid w:val="0"/>
          <w:lang w:val="de-CH" w:eastAsia="ja-JP"/>
        </w:rPr>
        <w:t>s für Ähnlichkeiten zum Zwecke der Sortenbezeichnung</w:t>
      </w:r>
      <w:r w:rsidR="00303BC1" w:rsidRPr="001C646D">
        <w:rPr>
          <w:i w:val="0"/>
          <w:snapToGrid w:val="0"/>
          <w:lang w:val="de-CH" w:eastAsia="ja-JP"/>
        </w:rPr>
        <w:t xml:space="preserve"> </w:t>
      </w:r>
      <w:r w:rsidR="00347E25" w:rsidRPr="001C646D">
        <w:rPr>
          <w:i w:val="0"/>
          <w:snapToGrid w:val="0"/>
          <w:lang w:val="de-CH" w:eastAsia="ja-JP"/>
        </w:rPr>
        <w:t>einschließlich der Teststudie, wie in den Absätzen 6 bis 13 dargelegt</w:t>
      </w:r>
      <w:r w:rsidR="00944815" w:rsidRPr="001C646D">
        <w:rPr>
          <w:i w:val="0"/>
          <w:snapToGrid w:val="0"/>
          <w:lang w:val="de-CH" w:eastAsia="ja-JP"/>
        </w:rPr>
        <w:t>, zur Kenntnis zu nehmen</w:t>
      </w:r>
      <w:r w:rsidR="00B65A8F" w:rsidRPr="001C646D">
        <w:rPr>
          <w:i w:val="0"/>
          <w:snapToGrid w:val="0"/>
          <w:lang w:val="de-CH" w:eastAsia="ja-JP"/>
        </w:rPr>
        <w:t>;</w:t>
      </w:r>
    </w:p>
    <w:p w:rsidR="006B2E46" w:rsidRPr="001C646D" w:rsidRDefault="006B2E46" w:rsidP="000D6679">
      <w:pPr>
        <w:pStyle w:val="DecisionParagraphs"/>
        <w:ind w:left="0"/>
        <w:rPr>
          <w:i w:val="0"/>
          <w:lang w:val="de-CH"/>
        </w:rPr>
      </w:pPr>
    </w:p>
    <w:p w:rsidR="00B65A8F" w:rsidRPr="001C646D" w:rsidRDefault="000D6679" w:rsidP="00822A3B">
      <w:pPr>
        <w:pStyle w:val="DecisionParagraphs"/>
        <w:tabs>
          <w:tab w:val="clear" w:pos="5387"/>
          <w:tab w:val="left" w:pos="720"/>
        </w:tabs>
        <w:ind w:left="0" w:firstLine="540"/>
        <w:rPr>
          <w:rFonts w:cs="Arial"/>
          <w:i w:val="0"/>
          <w:lang w:val="de-CH" w:eastAsia="ja-JP"/>
        </w:rPr>
      </w:pPr>
      <w:r w:rsidRPr="001C646D">
        <w:rPr>
          <w:i w:val="0"/>
          <w:lang w:val="de-CH"/>
        </w:rPr>
        <w:t>b)</w:t>
      </w:r>
      <w:r w:rsidR="00A81CB3" w:rsidRPr="001C646D">
        <w:rPr>
          <w:i w:val="0"/>
          <w:lang w:val="de-CH"/>
        </w:rPr>
        <w:tab/>
      </w:r>
      <w:r w:rsidRPr="001C646D">
        <w:rPr>
          <w:i w:val="0"/>
          <w:lang w:val="de-CH" w:eastAsia="ja-JP"/>
        </w:rPr>
        <w:tab/>
      </w:r>
      <w:r w:rsidR="00A81CB3" w:rsidRPr="001C646D">
        <w:rPr>
          <w:i w:val="0"/>
          <w:lang w:val="de-CH" w:eastAsia="ja-JP"/>
        </w:rPr>
        <w:t xml:space="preserve">die vorgeschlagene Überarbeitung des Dokuments </w:t>
      </w:r>
      <w:r w:rsidR="00973A6F" w:rsidRPr="001C646D">
        <w:rPr>
          <w:i w:val="0"/>
          <w:lang w:val="de-CH"/>
        </w:rPr>
        <w:t xml:space="preserve">UPOV/INF/12 </w:t>
      </w:r>
      <w:r w:rsidR="00B60BDB">
        <w:rPr>
          <w:i w:val="0"/>
          <w:lang w:val="de-CH"/>
        </w:rPr>
        <w:t>in Bezug auf</w:t>
      </w:r>
      <w:r w:rsidR="00A81CB3" w:rsidRPr="001C646D">
        <w:rPr>
          <w:i w:val="0"/>
          <w:lang w:val="de-CH"/>
        </w:rPr>
        <w:t xml:space="preserve"> Änderungen eingetragener Sortenbezeichnungen,</w:t>
      </w:r>
      <w:r w:rsidR="00DE2A64" w:rsidRPr="001C646D">
        <w:rPr>
          <w:i w:val="0"/>
          <w:lang w:val="de-CH"/>
        </w:rPr>
        <w:t xml:space="preserve"> </w:t>
      </w:r>
      <w:r w:rsidR="0090775D" w:rsidRPr="001C646D">
        <w:rPr>
          <w:i w:val="0"/>
          <w:lang w:val="de-CH"/>
        </w:rPr>
        <w:t>wie in Absatz</w:t>
      </w:r>
      <w:r w:rsidR="00973A6F" w:rsidRPr="001C646D">
        <w:rPr>
          <w:i w:val="0"/>
          <w:lang w:val="de-CH"/>
        </w:rPr>
        <w:t xml:space="preserve"> 21</w:t>
      </w:r>
      <w:r w:rsidR="0090775D" w:rsidRPr="001C646D">
        <w:rPr>
          <w:i w:val="0"/>
          <w:lang w:val="de-CH"/>
        </w:rPr>
        <w:t xml:space="preserve"> dargelegt</w:t>
      </w:r>
      <w:r w:rsidR="00973A6F" w:rsidRPr="001C646D">
        <w:rPr>
          <w:i w:val="0"/>
          <w:lang w:val="de-CH"/>
        </w:rPr>
        <w:t xml:space="preserve">, </w:t>
      </w:r>
      <w:r w:rsidR="008260AE" w:rsidRPr="001C646D">
        <w:rPr>
          <w:i w:val="0"/>
          <w:lang w:val="de-CH"/>
        </w:rPr>
        <w:t xml:space="preserve">zu prüfen </w:t>
      </w:r>
      <w:r w:rsidR="00A81CB3" w:rsidRPr="001C646D">
        <w:rPr>
          <w:i w:val="0"/>
          <w:lang w:val="de-CH"/>
        </w:rPr>
        <w:t xml:space="preserve">und </w:t>
      </w:r>
      <w:r w:rsidR="008260AE">
        <w:rPr>
          <w:i w:val="0"/>
          <w:lang w:val="de-CH"/>
        </w:rPr>
        <w:t xml:space="preserve">diese Anleitung </w:t>
      </w:r>
      <w:r w:rsidR="00A81CB3" w:rsidRPr="001C646D">
        <w:rPr>
          <w:i w:val="0"/>
          <w:lang w:val="de-CH"/>
        </w:rPr>
        <w:t xml:space="preserve">vorbehaltlich der </w:t>
      </w:r>
      <w:r w:rsidR="00F808CA">
        <w:rPr>
          <w:i w:val="0"/>
          <w:lang w:val="de-CH"/>
        </w:rPr>
        <w:t>Billigung durch den</w:t>
      </w:r>
      <w:r w:rsidR="00A81CB3" w:rsidRPr="001C646D">
        <w:rPr>
          <w:i w:val="0"/>
          <w:lang w:val="de-CH"/>
        </w:rPr>
        <w:t xml:space="preserve"> CAJ</w:t>
      </w:r>
      <w:r w:rsidR="008260AE">
        <w:rPr>
          <w:i w:val="0"/>
          <w:lang w:val="de-CH"/>
        </w:rPr>
        <w:t xml:space="preserve"> dem Rat zur </w:t>
      </w:r>
      <w:r w:rsidR="008260AE" w:rsidRPr="008260AE">
        <w:rPr>
          <w:i w:val="0"/>
          <w:lang w:val="de-CH"/>
        </w:rPr>
        <w:t>Annahme</w:t>
      </w:r>
      <w:r w:rsidR="00B356BD" w:rsidRPr="008260AE">
        <w:rPr>
          <w:i w:val="0"/>
          <w:lang w:val="de-CH"/>
        </w:rPr>
        <w:t xml:space="preserve"> auf seiner neunundvierzigsten ordentlichen Tagung am 29. Oktober 2015</w:t>
      </w:r>
      <w:r w:rsidR="0015781C" w:rsidRPr="008260AE">
        <w:rPr>
          <w:i w:val="0"/>
          <w:lang w:val="de-CH"/>
        </w:rPr>
        <w:t xml:space="preserve"> </w:t>
      </w:r>
      <w:r w:rsidR="008260AE" w:rsidRPr="008260AE">
        <w:rPr>
          <w:i w:val="0"/>
          <w:lang w:val="de-CH"/>
        </w:rPr>
        <w:t>zu unterbreiten</w:t>
      </w:r>
      <w:r w:rsidR="00B65A8F" w:rsidRPr="008260AE">
        <w:rPr>
          <w:rFonts w:cs="Arial"/>
          <w:i w:val="0"/>
          <w:lang w:val="de-CH" w:eastAsia="ja-JP"/>
        </w:rPr>
        <w:t>;</w:t>
      </w:r>
    </w:p>
    <w:p w:rsidR="003C178D" w:rsidRPr="001C646D" w:rsidRDefault="003C178D" w:rsidP="000D6679">
      <w:pPr>
        <w:pStyle w:val="DecisionParagraphs"/>
        <w:tabs>
          <w:tab w:val="clear" w:pos="5387"/>
          <w:tab w:val="left" w:pos="1080"/>
        </w:tabs>
        <w:ind w:left="1080" w:hanging="513"/>
        <w:rPr>
          <w:rFonts w:cs="Arial"/>
          <w:i w:val="0"/>
          <w:lang w:val="de-CH" w:eastAsia="ja-JP"/>
        </w:rPr>
      </w:pPr>
    </w:p>
    <w:p w:rsidR="003C178D" w:rsidRPr="001C646D" w:rsidRDefault="003C178D" w:rsidP="00822A3B">
      <w:pPr>
        <w:pStyle w:val="DecisionParagraphs"/>
        <w:tabs>
          <w:tab w:val="clear" w:pos="5387"/>
          <w:tab w:val="left" w:pos="0"/>
        </w:tabs>
        <w:ind w:left="0" w:firstLine="540"/>
        <w:rPr>
          <w:i w:val="0"/>
          <w:lang w:val="de-CH" w:eastAsia="ja-JP"/>
        </w:rPr>
      </w:pPr>
      <w:r w:rsidRPr="001C646D">
        <w:rPr>
          <w:i w:val="0"/>
          <w:lang w:val="de-CH"/>
        </w:rPr>
        <w:t>c)</w:t>
      </w:r>
      <w:r w:rsidRPr="001C646D">
        <w:rPr>
          <w:i w:val="0"/>
          <w:lang w:val="de-CH"/>
        </w:rPr>
        <w:tab/>
      </w:r>
      <w:r w:rsidR="006F34B2" w:rsidRPr="001C646D">
        <w:rPr>
          <w:i w:val="0"/>
          <w:lang w:val="de-CH"/>
        </w:rPr>
        <w:t>die</w:t>
      </w:r>
      <w:r w:rsidR="00D306D7" w:rsidRPr="001C646D">
        <w:rPr>
          <w:rFonts w:cs="Arial"/>
          <w:i w:val="0"/>
          <w:lang w:val="de-CH" w:eastAsia="ja-JP"/>
        </w:rPr>
        <w:t xml:space="preserve"> WG-DST </w:t>
      </w:r>
      <w:r w:rsidR="006F34B2" w:rsidRPr="001C646D">
        <w:rPr>
          <w:rFonts w:cs="Arial"/>
          <w:i w:val="0"/>
          <w:lang w:val="de-CH" w:eastAsia="ja-JP"/>
        </w:rPr>
        <w:t>zu ersuchen, die von der CAJ-AG auf ihrer neunten Tagung abgegebenen Bemerkungen zu den Vorschlägen in Dokument</w:t>
      </w:r>
      <w:r w:rsidR="00D306D7" w:rsidRPr="001C646D">
        <w:rPr>
          <w:rFonts w:cs="Arial"/>
          <w:i w:val="0"/>
          <w:lang w:val="de-CH" w:eastAsia="ja-JP"/>
        </w:rPr>
        <w:t xml:space="preserve"> UPOV/INF/12/5 Dr</w:t>
      </w:r>
      <w:r w:rsidR="00483972" w:rsidRPr="001C646D">
        <w:rPr>
          <w:rFonts w:cs="Arial"/>
          <w:i w:val="0"/>
          <w:lang w:val="de-CH" w:eastAsia="ja-JP"/>
        </w:rPr>
        <w:t xml:space="preserve">aft 2 </w:t>
      </w:r>
      <w:r w:rsidR="006F34B2" w:rsidRPr="001C646D">
        <w:rPr>
          <w:rFonts w:cs="Arial"/>
          <w:i w:val="0"/>
          <w:lang w:val="de-CH" w:eastAsia="ja-JP"/>
        </w:rPr>
        <w:t>betreffend die Abschnitte</w:t>
      </w:r>
      <w:r w:rsidR="00483972" w:rsidRPr="001C646D">
        <w:rPr>
          <w:rFonts w:cs="Arial"/>
          <w:i w:val="0"/>
          <w:lang w:val="de-CH" w:eastAsia="ja-JP"/>
        </w:rPr>
        <w:t xml:space="preserve"> 2.2.2</w:t>
      </w:r>
      <w:r w:rsidR="009D5FB2" w:rsidRPr="001C646D">
        <w:rPr>
          <w:rFonts w:cs="Arial"/>
          <w:i w:val="0"/>
          <w:lang w:val="de-CH" w:eastAsia="ja-JP"/>
        </w:rPr>
        <w:t xml:space="preserve"> </w:t>
      </w:r>
      <w:r w:rsidR="00483972" w:rsidRPr="001C646D">
        <w:rPr>
          <w:rFonts w:cs="Arial"/>
          <w:i w:val="0"/>
          <w:lang w:val="de-CH" w:eastAsia="ja-JP"/>
        </w:rPr>
        <w:t>b), 2.3.1</w:t>
      </w:r>
      <w:r w:rsidR="009D5FB2" w:rsidRPr="001C646D">
        <w:rPr>
          <w:rFonts w:cs="Arial"/>
          <w:i w:val="0"/>
          <w:lang w:val="de-CH" w:eastAsia="ja-JP"/>
        </w:rPr>
        <w:t xml:space="preserve"> </w:t>
      </w:r>
      <w:r w:rsidR="00D306D7" w:rsidRPr="001C646D">
        <w:rPr>
          <w:rFonts w:cs="Arial"/>
          <w:i w:val="0"/>
          <w:lang w:val="de-CH" w:eastAsia="ja-JP"/>
        </w:rPr>
        <w:t xml:space="preserve">c) </w:t>
      </w:r>
      <w:r w:rsidR="006F34B2" w:rsidRPr="001C646D">
        <w:rPr>
          <w:rFonts w:cs="Arial"/>
          <w:i w:val="0"/>
          <w:lang w:val="de-CH" w:eastAsia="ja-JP"/>
        </w:rPr>
        <w:t>u</w:t>
      </w:r>
      <w:r w:rsidR="00D306D7" w:rsidRPr="001C646D">
        <w:rPr>
          <w:rFonts w:cs="Arial"/>
          <w:i w:val="0"/>
          <w:lang w:val="de-CH" w:eastAsia="ja-JP"/>
        </w:rPr>
        <w:t xml:space="preserve">nd d) </w:t>
      </w:r>
      <w:r w:rsidR="006F34B2" w:rsidRPr="001C646D">
        <w:rPr>
          <w:rFonts w:cs="Arial"/>
          <w:i w:val="0"/>
          <w:lang w:val="de-CH" w:eastAsia="ja-JP"/>
        </w:rPr>
        <w:t>sowie</w:t>
      </w:r>
      <w:r w:rsidR="00D306D7" w:rsidRPr="001C646D">
        <w:rPr>
          <w:rFonts w:cs="Arial"/>
          <w:i w:val="0"/>
          <w:lang w:val="de-CH" w:eastAsia="ja-JP"/>
        </w:rPr>
        <w:t xml:space="preserve"> 2.3.3</w:t>
      </w:r>
      <w:r w:rsidR="006F34B2" w:rsidRPr="001C646D">
        <w:rPr>
          <w:rFonts w:cs="Arial"/>
          <w:i w:val="0"/>
          <w:lang w:val="de-CH" w:eastAsia="ja-JP"/>
        </w:rPr>
        <w:t>, wie in Absatz </w:t>
      </w:r>
      <w:r w:rsidR="00D306D7" w:rsidRPr="001C646D">
        <w:rPr>
          <w:rFonts w:cs="Arial"/>
          <w:i w:val="0"/>
          <w:lang w:val="de-CH" w:eastAsia="ja-JP"/>
        </w:rPr>
        <w:t>27</w:t>
      </w:r>
      <w:r w:rsidR="006F34B2" w:rsidRPr="001C646D">
        <w:rPr>
          <w:rFonts w:cs="Arial"/>
          <w:i w:val="0"/>
          <w:lang w:val="de-CH" w:eastAsia="ja-JP"/>
        </w:rPr>
        <w:t xml:space="preserve"> dargelegt, zu prüfen</w:t>
      </w:r>
      <w:r w:rsidRPr="001C646D">
        <w:rPr>
          <w:i w:val="0"/>
          <w:lang w:val="de-CH"/>
        </w:rPr>
        <w:t>;</w:t>
      </w:r>
      <w:r w:rsidR="006F34B2" w:rsidRPr="001C646D">
        <w:rPr>
          <w:i w:val="0"/>
          <w:lang w:val="de-CH" w:eastAsia="ja-JP"/>
        </w:rPr>
        <w:t xml:space="preserve"> u</w:t>
      </w:r>
      <w:r w:rsidR="00303BC1" w:rsidRPr="001C646D">
        <w:rPr>
          <w:i w:val="0"/>
          <w:lang w:val="de-CH" w:eastAsia="ja-JP"/>
        </w:rPr>
        <w:t>nd</w:t>
      </w:r>
    </w:p>
    <w:p w:rsidR="006B2E46" w:rsidRPr="001C646D" w:rsidRDefault="006B2E46" w:rsidP="000D6679">
      <w:pPr>
        <w:pStyle w:val="DecisionParagraphs"/>
        <w:ind w:left="0"/>
        <w:rPr>
          <w:i w:val="0"/>
          <w:lang w:val="de-CH"/>
        </w:rPr>
      </w:pPr>
    </w:p>
    <w:p w:rsidR="000D6679" w:rsidRPr="001C646D" w:rsidRDefault="003C178D" w:rsidP="00822A3B">
      <w:pPr>
        <w:pStyle w:val="DecisionParagraphs"/>
        <w:tabs>
          <w:tab w:val="clear" w:pos="5387"/>
          <w:tab w:val="left" w:pos="0"/>
        </w:tabs>
        <w:ind w:left="0" w:firstLine="540"/>
        <w:rPr>
          <w:rFonts w:cs="Arial"/>
          <w:i w:val="0"/>
          <w:lang w:val="de-CH" w:eastAsia="ja-JP"/>
        </w:rPr>
      </w:pPr>
      <w:r w:rsidRPr="001C646D">
        <w:rPr>
          <w:rFonts w:cs="Arial"/>
          <w:i w:val="0"/>
          <w:lang w:val="de-CH" w:eastAsia="ja-JP"/>
        </w:rPr>
        <w:t>d</w:t>
      </w:r>
      <w:r w:rsidR="008C2D9C" w:rsidRPr="001C646D">
        <w:rPr>
          <w:rFonts w:cs="Arial"/>
          <w:i w:val="0"/>
          <w:lang w:val="de-CH" w:eastAsia="ja-JP"/>
        </w:rPr>
        <w:t>)</w:t>
      </w:r>
      <w:r w:rsidR="008C2D9C" w:rsidRPr="001C646D">
        <w:rPr>
          <w:rFonts w:cs="Arial"/>
          <w:i w:val="0"/>
          <w:lang w:val="de-CH" w:eastAsia="ja-JP"/>
        </w:rPr>
        <w:tab/>
      </w:r>
      <w:r w:rsidR="006F34B2" w:rsidRPr="001C646D">
        <w:rPr>
          <w:rFonts w:cs="Arial"/>
          <w:i w:val="0"/>
          <w:lang w:val="de-CH" w:eastAsia="ja-JP"/>
        </w:rPr>
        <w:t>die Vorschläge der</w:t>
      </w:r>
      <w:r w:rsidR="00D306D7" w:rsidRPr="001C646D">
        <w:rPr>
          <w:rFonts w:cs="Arial"/>
          <w:i w:val="0"/>
          <w:lang w:val="de-CH"/>
        </w:rPr>
        <w:t xml:space="preserve"> CAJ</w:t>
      </w:r>
      <w:r w:rsidR="00433B8A" w:rsidRPr="001C646D">
        <w:rPr>
          <w:rFonts w:cs="Arial"/>
          <w:i w:val="0"/>
          <w:lang w:val="de-CH"/>
        </w:rPr>
        <w:t xml:space="preserve">-AG </w:t>
      </w:r>
      <w:r w:rsidR="0083223D">
        <w:rPr>
          <w:rFonts w:cs="Arial"/>
          <w:i w:val="0"/>
          <w:lang w:val="de-CH"/>
        </w:rPr>
        <w:t>gemäß</w:t>
      </w:r>
      <w:r w:rsidR="006F34B2" w:rsidRPr="001C646D">
        <w:rPr>
          <w:rFonts w:cs="Arial"/>
          <w:i w:val="0"/>
          <w:lang w:val="de-CH"/>
        </w:rPr>
        <w:t xml:space="preserve"> den Abschnitten</w:t>
      </w:r>
      <w:r w:rsidR="00433B8A" w:rsidRPr="001C646D">
        <w:rPr>
          <w:rFonts w:cs="Arial"/>
          <w:i w:val="0"/>
          <w:lang w:val="de-CH"/>
        </w:rPr>
        <w:t xml:space="preserve"> 2.2.2</w:t>
      </w:r>
      <w:r w:rsidR="009D5FB2" w:rsidRPr="001C646D">
        <w:rPr>
          <w:rFonts w:cs="Arial"/>
          <w:i w:val="0"/>
          <w:lang w:val="de-CH"/>
        </w:rPr>
        <w:t xml:space="preserve"> </w:t>
      </w:r>
      <w:r w:rsidR="00433B8A" w:rsidRPr="001C646D">
        <w:rPr>
          <w:rFonts w:cs="Arial"/>
          <w:i w:val="0"/>
          <w:lang w:val="de-CH"/>
        </w:rPr>
        <w:t>c), 4</w:t>
      </w:r>
      <w:r w:rsidR="006F34B2" w:rsidRPr="001C646D">
        <w:rPr>
          <w:rFonts w:cs="Arial"/>
          <w:i w:val="0"/>
          <w:lang w:val="de-CH"/>
        </w:rPr>
        <w:t xml:space="preserve"> </w:t>
      </w:r>
      <w:r w:rsidR="00433B8A" w:rsidRPr="001C646D">
        <w:rPr>
          <w:rFonts w:cs="Arial"/>
          <w:i w:val="0"/>
          <w:lang w:val="de-CH"/>
        </w:rPr>
        <w:t xml:space="preserve">a) </w:t>
      </w:r>
      <w:r w:rsidR="006F34B2" w:rsidRPr="001C646D">
        <w:rPr>
          <w:rFonts w:cs="Arial"/>
          <w:i w:val="0"/>
          <w:lang w:val="de-CH"/>
        </w:rPr>
        <w:t>u</w:t>
      </w:r>
      <w:r w:rsidR="00433B8A" w:rsidRPr="001C646D">
        <w:rPr>
          <w:rFonts w:cs="Arial"/>
          <w:i w:val="0"/>
          <w:lang w:val="de-CH"/>
        </w:rPr>
        <w:t>nd 4</w:t>
      </w:r>
      <w:r w:rsidR="006F34B2" w:rsidRPr="001C646D">
        <w:rPr>
          <w:rFonts w:cs="Arial"/>
          <w:i w:val="0"/>
          <w:lang w:val="de-CH"/>
        </w:rPr>
        <w:t xml:space="preserve"> </w:t>
      </w:r>
      <w:r w:rsidR="00D306D7" w:rsidRPr="001C646D">
        <w:rPr>
          <w:rFonts w:cs="Arial"/>
          <w:i w:val="0"/>
          <w:lang w:val="de-CH"/>
        </w:rPr>
        <w:t>e)</w:t>
      </w:r>
      <w:r w:rsidR="006F34B2" w:rsidRPr="001C646D">
        <w:rPr>
          <w:rFonts w:cs="Arial"/>
          <w:i w:val="0"/>
          <w:lang w:val="de-CH"/>
        </w:rPr>
        <w:t xml:space="preserve"> </w:t>
      </w:r>
      <w:r w:rsidR="00D306D7" w:rsidRPr="001C646D">
        <w:rPr>
          <w:rFonts w:cs="Arial"/>
          <w:i w:val="0"/>
          <w:lang w:val="de-CH"/>
        </w:rPr>
        <w:t>i</w:t>
      </w:r>
      <w:r w:rsidR="00483972" w:rsidRPr="001C646D">
        <w:rPr>
          <w:rFonts w:cs="Arial"/>
          <w:i w:val="0"/>
          <w:lang w:val="de-CH"/>
        </w:rPr>
        <w:t>)</w:t>
      </w:r>
      <w:r w:rsidR="00807A08">
        <w:rPr>
          <w:rFonts w:cs="Arial"/>
          <w:i w:val="0"/>
          <w:lang w:val="de-CH"/>
        </w:rPr>
        <w:t>,</w:t>
      </w:r>
      <w:r w:rsidR="00807A08" w:rsidRPr="00807A08">
        <w:rPr>
          <w:rFonts w:cs="Arial"/>
          <w:i w:val="0"/>
          <w:lang w:val="de-CH"/>
        </w:rPr>
        <w:t xml:space="preserve"> </w:t>
      </w:r>
      <w:r w:rsidR="00807A08" w:rsidRPr="001C646D">
        <w:rPr>
          <w:rFonts w:cs="Arial"/>
          <w:i w:val="0"/>
          <w:lang w:val="de-CH"/>
        </w:rPr>
        <w:t xml:space="preserve">wie in Abschnitt 28 dargelegt, </w:t>
      </w:r>
      <w:r w:rsidR="000D5DA3" w:rsidRPr="00624E4C">
        <w:rPr>
          <w:rFonts w:cs="Arial"/>
          <w:i w:val="0"/>
          <w:lang w:val="de-CH"/>
        </w:rPr>
        <w:t>a</w:t>
      </w:r>
      <w:r w:rsidR="006F34B2" w:rsidRPr="00624E4C">
        <w:rPr>
          <w:rFonts w:cs="Arial"/>
          <w:i w:val="0"/>
          <w:lang w:val="de-CH"/>
        </w:rPr>
        <w:t xml:space="preserve">uf </w:t>
      </w:r>
      <w:r w:rsidR="00807A08" w:rsidRPr="00624E4C">
        <w:rPr>
          <w:rFonts w:cs="Arial"/>
          <w:i w:val="0"/>
          <w:lang w:val="de-CH"/>
        </w:rPr>
        <w:t>seiner</w:t>
      </w:r>
      <w:r w:rsidR="006F34B2" w:rsidRPr="001C646D">
        <w:rPr>
          <w:rFonts w:cs="Arial"/>
          <w:i w:val="0"/>
          <w:lang w:val="de-CH"/>
        </w:rPr>
        <w:t xml:space="preserve"> zweiundsiebzigsten Tagung zu prüfen</w:t>
      </w:r>
      <w:r w:rsidR="00303BC1" w:rsidRPr="001C646D">
        <w:rPr>
          <w:rFonts w:cs="Arial"/>
          <w:i w:val="0"/>
          <w:lang w:val="de-CH" w:eastAsia="ja-JP"/>
        </w:rPr>
        <w:t>.</w:t>
      </w:r>
    </w:p>
    <w:p w:rsidR="00973A6F" w:rsidRDefault="00973A6F" w:rsidP="00973A6F">
      <w:pPr>
        <w:pStyle w:val="dec"/>
        <w:ind w:firstLine="567"/>
        <w:rPr>
          <w:rFonts w:eastAsia="MS Mincho" w:cs="Arial"/>
          <w:lang w:eastAsia="ja-JP"/>
        </w:rPr>
      </w:pPr>
    </w:p>
    <w:p w:rsidR="00433B8A" w:rsidRDefault="00433B8A">
      <w:pPr>
        <w:jc w:val="left"/>
        <w:rPr>
          <w:rFonts w:cs="Arial"/>
          <w:snapToGrid w:val="0"/>
        </w:rPr>
      </w:pPr>
      <w:bookmarkStart w:id="14" w:name="_Toc382388623"/>
      <w:r>
        <w:rPr>
          <w:rFonts w:cs="Arial"/>
          <w:snapToGrid w:val="0"/>
        </w:rPr>
        <w:br w:type="page"/>
      </w:r>
    </w:p>
    <w:p w:rsidR="00A2438A" w:rsidRPr="007D73FC" w:rsidRDefault="00A2438A" w:rsidP="00433B8A">
      <w:pPr>
        <w:keepNext/>
        <w:rPr>
          <w:rFonts w:cs="Arial"/>
          <w:snapToGrid w:val="0"/>
          <w:lang w:val="de-CH" w:eastAsia="ja-JP"/>
        </w:rPr>
      </w:pPr>
      <w:r w:rsidRPr="007D73FC">
        <w:rPr>
          <w:rFonts w:cs="Arial"/>
          <w:snapToGrid w:val="0"/>
          <w:lang w:val="de-CH"/>
        </w:rPr>
        <w:lastRenderedPageBreak/>
        <w:fldChar w:fldCharType="begin"/>
      </w:r>
      <w:r w:rsidRPr="007D73FC">
        <w:rPr>
          <w:rFonts w:cs="Arial"/>
          <w:snapToGrid w:val="0"/>
          <w:lang w:val="de-CH"/>
        </w:rPr>
        <w:instrText xml:space="preserve"> AUTONUM  </w:instrText>
      </w:r>
      <w:r w:rsidRPr="007D73FC">
        <w:rPr>
          <w:rFonts w:cs="Arial"/>
          <w:snapToGrid w:val="0"/>
          <w:lang w:val="de-CH"/>
        </w:rPr>
        <w:fldChar w:fldCharType="end"/>
      </w:r>
      <w:r w:rsidRPr="007D73FC">
        <w:rPr>
          <w:rFonts w:cs="Arial"/>
          <w:snapToGrid w:val="0"/>
          <w:lang w:val="de-CH"/>
        </w:rPr>
        <w:tab/>
      </w:r>
      <w:r w:rsidR="001C646D" w:rsidRPr="007D73FC">
        <w:rPr>
          <w:rFonts w:cs="Arial"/>
          <w:snapToGrid w:val="0"/>
          <w:lang w:val="de-CH" w:eastAsia="ja-JP"/>
        </w:rPr>
        <w:t>D</w:t>
      </w:r>
      <w:r w:rsidR="004E34C3">
        <w:rPr>
          <w:rFonts w:cs="Arial"/>
          <w:snapToGrid w:val="0"/>
          <w:lang w:val="de-CH" w:eastAsia="ja-JP"/>
        </w:rPr>
        <w:t>as Dokument ist wie folgt gegliedert</w:t>
      </w:r>
      <w:r w:rsidR="001C646D" w:rsidRPr="007D73FC">
        <w:rPr>
          <w:rFonts w:cs="Arial"/>
          <w:snapToGrid w:val="0"/>
          <w:lang w:val="de-CH" w:eastAsia="ja-JP"/>
        </w:rPr>
        <w:t>:</w:t>
      </w:r>
    </w:p>
    <w:p w:rsidR="00B65A8F" w:rsidRDefault="00B65A8F" w:rsidP="00433B8A">
      <w:pPr>
        <w:keepNext/>
        <w:rPr>
          <w:rFonts w:cs="Arial"/>
          <w:snapToGrid w:val="0"/>
          <w:lang w:eastAsia="ja-JP"/>
        </w:rPr>
      </w:pPr>
    </w:p>
    <w:p w:rsidR="00F808CA" w:rsidRDefault="000F05D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de-DE"/>
        </w:rPr>
      </w:pPr>
      <w:r>
        <w:rPr>
          <w:rFonts w:cs="Arial"/>
          <w:bCs/>
          <w:snapToGrid w:val="0"/>
          <w:sz w:val="18"/>
        </w:rPr>
        <w:fldChar w:fldCharType="begin"/>
      </w:r>
      <w:r>
        <w:rPr>
          <w:rFonts w:cs="Arial"/>
          <w:bCs/>
          <w:snapToGrid w:val="0"/>
          <w:sz w:val="18"/>
        </w:rPr>
        <w:instrText xml:space="preserve"> TOC \o "1-3" \h \z \u </w:instrText>
      </w:r>
      <w:r>
        <w:rPr>
          <w:rFonts w:cs="Arial"/>
          <w:bCs/>
          <w:snapToGrid w:val="0"/>
          <w:sz w:val="18"/>
        </w:rPr>
        <w:fldChar w:fldCharType="separate"/>
      </w:r>
      <w:hyperlink w:anchor="_Toc413652560" w:history="1">
        <w:r w:rsidR="00F808CA" w:rsidRPr="00B749E8">
          <w:rPr>
            <w:rStyle w:val="Hyperlink"/>
            <w:lang w:val="de-CH"/>
          </w:rPr>
          <w:t>ZUSAMMENFASSUNG</w:t>
        </w:r>
        <w:r w:rsidR="00F808CA">
          <w:rPr>
            <w:webHidden/>
          </w:rPr>
          <w:tab/>
        </w:r>
        <w:r w:rsidR="00F808CA">
          <w:rPr>
            <w:webHidden/>
          </w:rPr>
          <w:fldChar w:fldCharType="begin"/>
        </w:r>
        <w:r w:rsidR="00F808CA">
          <w:rPr>
            <w:webHidden/>
          </w:rPr>
          <w:instrText xml:space="preserve"> PAGEREF _Toc413652560 \h </w:instrText>
        </w:r>
        <w:r w:rsidR="00F808CA">
          <w:rPr>
            <w:webHidden/>
          </w:rPr>
        </w:r>
        <w:r w:rsidR="00F808CA">
          <w:rPr>
            <w:webHidden/>
          </w:rPr>
          <w:fldChar w:fldCharType="separate"/>
        </w:r>
        <w:r w:rsidR="00597DAB">
          <w:rPr>
            <w:webHidden/>
          </w:rPr>
          <w:t>1</w:t>
        </w:r>
        <w:r w:rsidR="00F808CA">
          <w:rPr>
            <w:webHidden/>
          </w:rPr>
          <w:fldChar w:fldCharType="end"/>
        </w:r>
      </w:hyperlink>
    </w:p>
    <w:p w:rsidR="00F808CA" w:rsidRDefault="00597DA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de-DE"/>
        </w:rPr>
      </w:pPr>
      <w:hyperlink w:anchor="_Toc413652561" w:history="1">
        <w:r w:rsidR="00F808CA" w:rsidRPr="00B749E8">
          <w:rPr>
            <w:rStyle w:val="Hyperlink"/>
            <w:lang w:val="de-CH"/>
          </w:rPr>
          <w:t>ZWECK</w:t>
        </w:r>
        <w:r w:rsidR="00F808CA">
          <w:rPr>
            <w:webHidden/>
          </w:rPr>
          <w:tab/>
        </w:r>
        <w:r w:rsidR="00F808CA">
          <w:rPr>
            <w:webHidden/>
          </w:rPr>
          <w:fldChar w:fldCharType="begin"/>
        </w:r>
        <w:r w:rsidR="00F808CA">
          <w:rPr>
            <w:webHidden/>
          </w:rPr>
          <w:instrText xml:space="preserve"> PAGEREF _Toc413652561 \h </w:instrText>
        </w:r>
        <w:r w:rsidR="00F808CA">
          <w:rPr>
            <w:webHidden/>
          </w:rPr>
        </w:r>
        <w:r w:rsidR="00F808CA">
          <w:rPr>
            <w:webHidden/>
          </w:rPr>
          <w:fldChar w:fldCharType="separate"/>
        </w:r>
        <w:r>
          <w:rPr>
            <w:webHidden/>
          </w:rPr>
          <w:t>3</w:t>
        </w:r>
        <w:r w:rsidR="00F808CA">
          <w:rPr>
            <w:webHidden/>
          </w:rPr>
          <w:fldChar w:fldCharType="end"/>
        </w:r>
      </w:hyperlink>
    </w:p>
    <w:p w:rsidR="00F808CA" w:rsidRDefault="00597DA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de-DE"/>
        </w:rPr>
      </w:pPr>
      <w:hyperlink w:anchor="_Toc413652562" w:history="1">
        <w:r w:rsidR="00F808CA" w:rsidRPr="00B749E8">
          <w:rPr>
            <w:rStyle w:val="Hyperlink"/>
            <w:snapToGrid w:val="0"/>
            <w:lang w:val="de-CH"/>
          </w:rPr>
          <w:t>ETWAIGE ENTWICKLUNG EINES UPOV-SUCHWERKZEUGS FÜR ÄHNLICHKEITEN ZUM ZWECK DER SORTENBEZEICHNUNG</w:t>
        </w:r>
        <w:r w:rsidR="00F808CA">
          <w:rPr>
            <w:webHidden/>
          </w:rPr>
          <w:tab/>
        </w:r>
        <w:r w:rsidR="00F808CA">
          <w:rPr>
            <w:webHidden/>
          </w:rPr>
          <w:fldChar w:fldCharType="begin"/>
        </w:r>
        <w:r w:rsidR="00F808CA">
          <w:rPr>
            <w:webHidden/>
          </w:rPr>
          <w:instrText xml:space="preserve"> PAGEREF _Toc413652562 \h </w:instrText>
        </w:r>
        <w:r w:rsidR="00F808CA">
          <w:rPr>
            <w:webHidden/>
          </w:rPr>
        </w:r>
        <w:r w:rsidR="00F808CA">
          <w:rPr>
            <w:webHidden/>
          </w:rPr>
          <w:fldChar w:fldCharType="separate"/>
        </w:r>
        <w:r>
          <w:rPr>
            <w:webHidden/>
          </w:rPr>
          <w:t>3</w:t>
        </w:r>
        <w:r w:rsidR="00F808CA">
          <w:rPr>
            <w:webHidden/>
          </w:rPr>
          <w:fldChar w:fldCharType="end"/>
        </w:r>
      </w:hyperlink>
    </w:p>
    <w:p w:rsidR="00F808CA" w:rsidRDefault="00597DA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de-DE"/>
        </w:rPr>
      </w:pPr>
      <w:hyperlink w:anchor="_Toc413652563" w:history="1">
        <w:r w:rsidR="00F808CA" w:rsidRPr="00B749E8">
          <w:rPr>
            <w:rStyle w:val="Hyperlink"/>
            <w:snapToGrid w:val="0"/>
            <w:lang w:val="de-CH"/>
          </w:rPr>
          <w:t>Überarbeitung des Dokuments UPOV/INF/12 „Erläuterungen zu Sortenbezeichnungen nach dem UPOV-Übereinkommen“</w:t>
        </w:r>
        <w:r w:rsidR="00F808CA">
          <w:rPr>
            <w:webHidden/>
          </w:rPr>
          <w:tab/>
        </w:r>
        <w:r w:rsidR="00F808CA">
          <w:rPr>
            <w:webHidden/>
          </w:rPr>
          <w:fldChar w:fldCharType="begin"/>
        </w:r>
        <w:r w:rsidR="00F808CA">
          <w:rPr>
            <w:webHidden/>
          </w:rPr>
          <w:instrText xml:space="preserve"> PAGEREF _Toc413652563 \h </w:instrText>
        </w:r>
        <w:r w:rsidR="00F808CA">
          <w:rPr>
            <w:webHidden/>
          </w:rPr>
        </w:r>
        <w:r w:rsidR="00F808CA">
          <w:rPr>
            <w:webHidden/>
          </w:rPr>
          <w:fldChar w:fldCharType="separate"/>
        </w:r>
        <w:r>
          <w:rPr>
            <w:webHidden/>
          </w:rPr>
          <w:t>4</w:t>
        </w:r>
        <w:r w:rsidR="00F808CA">
          <w:rPr>
            <w:webHidden/>
          </w:rPr>
          <w:fldChar w:fldCharType="end"/>
        </w:r>
      </w:hyperlink>
    </w:p>
    <w:p w:rsidR="00F808CA" w:rsidRDefault="00597DA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de-DE"/>
        </w:rPr>
      </w:pPr>
      <w:hyperlink w:anchor="_Toc413652564" w:history="1">
        <w:r w:rsidR="00F808CA" w:rsidRPr="00B749E8">
          <w:rPr>
            <w:rStyle w:val="Hyperlink"/>
            <w:lang w:val="de-CH"/>
          </w:rPr>
          <w:t>Vorschläge für eine Anleitung zur Änderung von eingetragenen Sortenbezeichnungen (vom CAJ auf seiner einundsiebzigsten Tagung zu prüfen)</w:t>
        </w:r>
        <w:r w:rsidR="00F808CA">
          <w:rPr>
            <w:webHidden/>
          </w:rPr>
          <w:tab/>
        </w:r>
        <w:r w:rsidR="00F808CA">
          <w:rPr>
            <w:webHidden/>
          </w:rPr>
          <w:fldChar w:fldCharType="begin"/>
        </w:r>
        <w:r w:rsidR="00F808CA">
          <w:rPr>
            <w:webHidden/>
          </w:rPr>
          <w:instrText xml:space="preserve"> PAGEREF _Toc413652564 \h </w:instrText>
        </w:r>
        <w:r w:rsidR="00F808CA">
          <w:rPr>
            <w:webHidden/>
          </w:rPr>
        </w:r>
        <w:r w:rsidR="00F808CA">
          <w:rPr>
            <w:webHidden/>
          </w:rPr>
          <w:fldChar w:fldCharType="separate"/>
        </w:r>
        <w:r>
          <w:rPr>
            <w:webHidden/>
          </w:rPr>
          <w:t>5</w:t>
        </w:r>
        <w:r w:rsidR="00F808CA">
          <w:rPr>
            <w:webHidden/>
          </w:rPr>
          <w:fldChar w:fldCharType="end"/>
        </w:r>
      </w:hyperlink>
    </w:p>
    <w:p w:rsidR="00F808CA" w:rsidRDefault="00597DA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de-DE"/>
        </w:rPr>
      </w:pPr>
      <w:hyperlink w:anchor="_Toc413652565" w:history="1">
        <w:r w:rsidR="00F808CA" w:rsidRPr="00B749E8">
          <w:rPr>
            <w:rStyle w:val="Hyperlink"/>
            <w:lang w:val="de-CH" w:eastAsia="ja-JP"/>
          </w:rPr>
          <w:t>Vorschläge für die Überarbeitung von Dokument UPOV/INF/12/4, in dem die CAJ-AG eine erste Prüfung durchgeführt hat</w:t>
        </w:r>
        <w:r w:rsidR="00F808CA">
          <w:rPr>
            <w:webHidden/>
          </w:rPr>
          <w:tab/>
        </w:r>
        <w:r w:rsidR="00F808CA">
          <w:rPr>
            <w:webHidden/>
          </w:rPr>
          <w:fldChar w:fldCharType="begin"/>
        </w:r>
        <w:r w:rsidR="00F808CA">
          <w:rPr>
            <w:webHidden/>
          </w:rPr>
          <w:instrText xml:space="preserve"> PAGEREF _Toc413652565 \h </w:instrText>
        </w:r>
        <w:r w:rsidR="00F808CA">
          <w:rPr>
            <w:webHidden/>
          </w:rPr>
        </w:r>
        <w:r w:rsidR="00F808CA">
          <w:rPr>
            <w:webHidden/>
          </w:rPr>
          <w:fldChar w:fldCharType="separate"/>
        </w:r>
        <w:r>
          <w:rPr>
            <w:webHidden/>
          </w:rPr>
          <w:t>6</w:t>
        </w:r>
        <w:r w:rsidR="00F808CA">
          <w:rPr>
            <w:webHidden/>
          </w:rPr>
          <w:fldChar w:fldCharType="end"/>
        </w:r>
      </w:hyperlink>
    </w:p>
    <w:p w:rsidR="00F808CA" w:rsidRDefault="00597DA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de-DE"/>
        </w:rPr>
      </w:pPr>
      <w:hyperlink w:anchor="_Toc413652566" w:history="1">
        <w:r w:rsidR="00F808CA" w:rsidRPr="00B749E8">
          <w:rPr>
            <w:rStyle w:val="Hyperlink"/>
            <w:lang w:val="de-CH"/>
          </w:rPr>
          <w:t xml:space="preserve">Vorgeschlagenes Vorgehen betreffend die Arbeit der </w:t>
        </w:r>
        <w:r w:rsidR="00F808CA" w:rsidRPr="00B749E8">
          <w:rPr>
            <w:rStyle w:val="Hyperlink"/>
            <w:rFonts w:cs="Arial"/>
            <w:lang w:val="de-CH" w:eastAsia="ja-JP"/>
          </w:rPr>
          <w:t>WG-DST</w:t>
        </w:r>
        <w:r w:rsidR="00F808CA">
          <w:rPr>
            <w:webHidden/>
          </w:rPr>
          <w:tab/>
        </w:r>
        <w:r w:rsidR="00F808CA">
          <w:rPr>
            <w:webHidden/>
          </w:rPr>
          <w:fldChar w:fldCharType="begin"/>
        </w:r>
        <w:r w:rsidR="00F808CA">
          <w:rPr>
            <w:webHidden/>
          </w:rPr>
          <w:instrText xml:space="preserve"> PAGEREF _Toc413652566 \h </w:instrText>
        </w:r>
        <w:r w:rsidR="00F808CA">
          <w:rPr>
            <w:webHidden/>
          </w:rPr>
        </w:r>
        <w:r w:rsidR="00F808CA">
          <w:rPr>
            <w:webHidden/>
          </w:rPr>
          <w:fldChar w:fldCharType="separate"/>
        </w:r>
        <w:r>
          <w:rPr>
            <w:webHidden/>
          </w:rPr>
          <w:t>7</w:t>
        </w:r>
        <w:r w:rsidR="00F808CA">
          <w:rPr>
            <w:webHidden/>
          </w:rPr>
          <w:fldChar w:fldCharType="end"/>
        </w:r>
      </w:hyperlink>
    </w:p>
    <w:p w:rsidR="00F808CA" w:rsidRDefault="00597DA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de-DE"/>
        </w:rPr>
      </w:pPr>
      <w:hyperlink w:anchor="_Toc413652567" w:history="1">
        <w:r w:rsidR="00F808CA" w:rsidRPr="00B749E8">
          <w:rPr>
            <w:rStyle w:val="Hyperlink"/>
            <w:lang w:val="de-CH"/>
          </w:rPr>
          <w:t>Vorschläge für eine Anleitung (vom CAJ auf seiner zweiundsiebzigsten Tagung zu prüfen)</w:t>
        </w:r>
        <w:r w:rsidR="00F808CA">
          <w:rPr>
            <w:webHidden/>
          </w:rPr>
          <w:tab/>
        </w:r>
        <w:r w:rsidR="00F808CA">
          <w:rPr>
            <w:webHidden/>
          </w:rPr>
          <w:fldChar w:fldCharType="begin"/>
        </w:r>
        <w:r w:rsidR="00F808CA">
          <w:rPr>
            <w:webHidden/>
          </w:rPr>
          <w:instrText xml:space="preserve"> PAGEREF _Toc413652567 \h </w:instrText>
        </w:r>
        <w:r w:rsidR="00F808CA">
          <w:rPr>
            <w:webHidden/>
          </w:rPr>
        </w:r>
        <w:r w:rsidR="00F808CA">
          <w:rPr>
            <w:webHidden/>
          </w:rPr>
          <w:fldChar w:fldCharType="separate"/>
        </w:r>
        <w:r>
          <w:rPr>
            <w:webHidden/>
          </w:rPr>
          <w:t>8</w:t>
        </w:r>
        <w:r w:rsidR="00F808CA">
          <w:rPr>
            <w:webHidden/>
          </w:rPr>
          <w:fldChar w:fldCharType="end"/>
        </w:r>
      </w:hyperlink>
    </w:p>
    <w:p w:rsidR="003E3D83" w:rsidRDefault="000F05D7" w:rsidP="00B45126">
      <w:pPr>
        <w:pStyle w:val="Heading1"/>
        <w:rPr>
          <w:noProof/>
          <w:snapToGrid w:val="0"/>
        </w:rPr>
      </w:pPr>
      <w:r>
        <w:rPr>
          <w:noProof/>
          <w:snapToGrid w:val="0"/>
        </w:rPr>
        <w:fldChar w:fldCharType="end"/>
      </w:r>
    </w:p>
    <w:p w:rsidR="000D5DA3" w:rsidRPr="004E34C3" w:rsidRDefault="000D5DA3" w:rsidP="000D5DA3">
      <w:pPr>
        <w:keepNext/>
        <w:rPr>
          <w:rFonts w:cs="Arial"/>
          <w:snapToGrid w:val="0"/>
          <w:lang w:val="de-CH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="004E34C3" w:rsidRPr="004E34C3">
        <w:rPr>
          <w:rFonts w:cs="Arial"/>
          <w:snapToGrid w:val="0"/>
          <w:lang w:val="de-CH"/>
        </w:rPr>
        <w:t>In diesem Dokument werden folgende Abkürzungen verwendet:</w:t>
      </w:r>
    </w:p>
    <w:p w:rsidR="000D5DA3" w:rsidRPr="004E34C3" w:rsidRDefault="000D5DA3" w:rsidP="000D5DA3">
      <w:pPr>
        <w:keepNext/>
        <w:rPr>
          <w:rFonts w:cs="Arial"/>
          <w:snapToGrid w:val="0"/>
          <w:lang w:val="de-CH"/>
        </w:rPr>
      </w:pPr>
    </w:p>
    <w:p w:rsidR="000D5DA3" w:rsidRPr="004E34C3" w:rsidRDefault="000D5DA3" w:rsidP="000D5DA3">
      <w:pPr>
        <w:keepNext/>
        <w:ind w:left="567"/>
        <w:rPr>
          <w:rFonts w:cs="Arial"/>
          <w:snapToGrid w:val="0"/>
          <w:lang w:val="de-CH"/>
        </w:rPr>
      </w:pPr>
      <w:r w:rsidRPr="004E34C3">
        <w:rPr>
          <w:rFonts w:cs="Arial"/>
          <w:snapToGrid w:val="0"/>
          <w:color w:val="000000"/>
          <w:lang w:val="de-CH"/>
        </w:rPr>
        <w:t xml:space="preserve">CAJ:  </w:t>
      </w:r>
      <w:r w:rsidRPr="004E34C3">
        <w:rPr>
          <w:rFonts w:cs="Arial"/>
          <w:snapToGrid w:val="0"/>
          <w:color w:val="000000"/>
          <w:lang w:val="de-CH" w:eastAsia="ja-JP"/>
        </w:rPr>
        <w:tab/>
      </w:r>
      <w:r w:rsidRPr="004E34C3">
        <w:rPr>
          <w:rFonts w:cs="Arial"/>
          <w:snapToGrid w:val="0"/>
          <w:color w:val="000000"/>
          <w:lang w:val="de-CH" w:eastAsia="ja-JP"/>
        </w:rPr>
        <w:tab/>
      </w:r>
      <w:r w:rsidR="004E34C3" w:rsidRPr="004E34C3">
        <w:rPr>
          <w:rFonts w:cs="Arial"/>
          <w:snapToGrid w:val="0"/>
          <w:color w:val="000000"/>
          <w:lang w:val="de-CH"/>
        </w:rPr>
        <w:t>Verwaltungs- und Rechtsausschu</w:t>
      </w:r>
      <w:r w:rsidR="004E34C3">
        <w:rPr>
          <w:rFonts w:cs="Arial"/>
          <w:snapToGrid w:val="0"/>
          <w:color w:val="000000"/>
          <w:lang w:val="de-CH"/>
        </w:rPr>
        <w:t>ss</w:t>
      </w:r>
    </w:p>
    <w:p w:rsidR="000D5DA3" w:rsidRPr="004E34C3" w:rsidRDefault="000D5DA3" w:rsidP="000D5DA3">
      <w:pPr>
        <w:keepNext/>
        <w:ind w:left="567"/>
        <w:rPr>
          <w:rFonts w:cs="Arial"/>
          <w:snapToGrid w:val="0"/>
          <w:lang w:val="de-CH"/>
        </w:rPr>
      </w:pPr>
      <w:r w:rsidRPr="004E34C3">
        <w:rPr>
          <w:rFonts w:cs="Arial"/>
          <w:snapToGrid w:val="0"/>
          <w:lang w:val="de-CH"/>
        </w:rPr>
        <w:t xml:space="preserve">CAJ-AG:  </w:t>
      </w:r>
      <w:r w:rsidRPr="004E34C3">
        <w:rPr>
          <w:rFonts w:cs="Arial"/>
          <w:snapToGrid w:val="0"/>
          <w:lang w:val="de-CH" w:eastAsia="ja-JP"/>
        </w:rPr>
        <w:tab/>
      </w:r>
      <w:r w:rsidR="004E34C3" w:rsidRPr="004E34C3">
        <w:rPr>
          <w:rFonts w:cs="Arial"/>
          <w:snapToGrid w:val="0"/>
          <w:lang w:val="de-CH"/>
        </w:rPr>
        <w:t>Beratungsgruppe des Verwaltungs- und Rechtsausschusses</w:t>
      </w:r>
    </w:p>
    <w:p w:rsidR="000D5DA3" w:rsidRPr="004E34C3" w:rsidRDefault="000D5DA3" w:rsidP="000D5DA3">
      <w:pPr>
        <w:keepNext/>
        <w:ind w:left="567"/>
        <w:rPr>
          <w:rFonts w:cs="Arial"/>
          <w:snapToGrid w:val="0"/>
          <w:lang w:val="de-CH" w:eastAsia="ja-JP"/>
        </w:rPr>
      </w:pPr>
      <w:r w:rsidRPr="004E34C3">
        <w:rPr>
          <w:rFonts w:cs="Arial"/>
          <w:snapToGrid w:val="0"/>
          <w:lang w:val="de-CH"/>
        </w:rPr>
        <w:t xml:space="preserve">TC:  </w:t>
      </w:r>
      <w:r w:rsidRPr="004E34C3">
        <w:rPr>
          <w:rFonts w:cs="Arial"/>
          <w:snapToGrid w:val="0"/>
          <w:lang w:val="de-CH" w:eastAsia="ja-JP"/>
        </w:rPr>
        <w:tab/>
      </w:r>
      <w:r w:rsidRPr="004E34C3">
        <w:rPr>
          <w:rFonts w:cs="Arial"/>
          <w:snapToGrid w:val="0"/>
          <w:lang w:val="de-CH" w:eastAsia="ja-JP"/>
        </w:rPr>
        <w:tab/>
      </w:r>
      <w:r w:rsidR="004E34C3" w:rsidRPr="004E34C3">
        <w:rPr>
          <w:rFonts w:cs="Arial"/>
          <w:snapToGrid w:val="0"/>
          <w:lang w:val="de-CH"/>
        </w:rPr>
        <w:t>Technischer Ausschu</w:t>
      </w:r>
      <w:r w:rsidR="004E34C3">
        <w:rPr>
          <w:rFonts w:cs="Arial"/>
          <w:snapToGrid w:val="0"/>
          <w:lang w:val="de-CH"/>
        </w:rPr>
        <w:t>ss</w:t>
      </w:r>
    </w:p>
    <w:p w:rsidR="000D5DA3" w:rsidRPr="004E34C3" w:rsidRDefault="000D5DA3" w:rsidP="000D5DA3">
      <w:pPr>
        <w:keepNext/>
        <w:ind w:left="567"/>
        <w:rPr>
          <w:snapToGrid w:val="0"/>
          <w:lang w:val="de-CH" w:eastAsia="ja-JP"/>
        </w:rPr>
      </w:pPr>
      <w:r w:rsidRPr="004E34C3">
        <w:rPr>
          <w:snapToGrid w:val="0"/>
          <w:lang w:val="de-CH" w:eastAsia="ja-JP"/>
        </w:rPr>
        <w:t>WG-DST:</w:t>
      </w:r>
      <w:r w:rsidRPr="004E34C3">
        <w:rPr>
          <w:snapToGrid w:val="0"/>
          <w:lang w:val="de-CH" w:eastAsia="ja-JP"/>
        </w:rPr>
        <w:tab/>
      </w:r>
      <w:r w:rsidR="004E34C3" w:rsidRPr="004E34C3">
        <w:rPr>
          <w:snapToGrid w:val="0"/>
          <w:lang w:val="de-CH" w:eastAsia="ja-JP"/>
        </w:rPr>
        <w:t xml:space="preserve">Arbeitsgruppe </w:t>
      </w:r>
      <w:r w:rsidR="00A75C60">
        <w:rPr>
          <w:snapToGrid w:val="0"/>
          <w:lang w:val="de-CH" w:eastAsia="ja-JP"/>
        </w:rPr>
        <w:t>Suchwerkzeug</w:t>
      </w:r>
      <w:r w:rsidR="004E34C3" w:rsidRPr="004E34C3">
        <w:rPr>
          <w:snapToGrid w:val="0"/>
          <w:lang w:val="de-CH" w:eastAsia="ja-JP"/>
        </w:rPr>
        <w:t xml:space="preserve"> für Sortenbezeichnungen</w:t>
      </w:r>
    </w:p>
    <w:p w:rsidR="000D5DA3" w:rsidRPr="00822A3B" w:rsidRDefault="000D5DA3" w:rsidP="000D5DA3">
      <w:pPr>
        <w:rPr>
          <w:snapToGrid w:val="0"/>
          <w:lang w:eastAsia="ja-JP"/>
        </w:rPr>
      </w:pPr>
    </w:p>
    <w:p w:rsidR="000D5DA3" w:rsidRPr="000D5DA3" w:rsidRDefault="000D5DA3" w:rsidP="000D5DA3">
      <w:pPr>
        <w:rPr>
          <w:lang w:eastAsia="ja-JP"/>
        </w:rPr>
      </w:pPr>
    </w:p>
    <w:p w:rsidR="00B65A8F" w:rsidRDefault="00B65A8F" w:rsidP="00B65A8F">
      <w:pPr>
        <w:rPr>
          <w:lang w:eastAsia="ja-JP"/>
        </w:rPr>
      </w:pPr>
    </w:p>
    <w:p w:rsidR="009136C0" w:rsidRDefault="009136C0">
      <w:pPr>
        <w:jc w:val="left"/>
        <w:rPr>
          <w:caps/>
          <w:lang w:eastAsia="ja-JP"/>
        </w:rPr>
      </w:pPr>
    </w:p>
    <w:p w:rsidR="000D6679" w:rsidRPr="00CE2A2A" w:rsidRDefault="000D6679">
      <w:pPr>
        <w:jc w:val="left"/>
        <w:rPr>
          <w:caps/>
          <w:lang w:val="de-CH" w:eastAsia="ja-JP"/>
        </w:rPr>
      </w:pPr>
      <w:r w:rsidRPr="00CE2A2A">
        <w:rPr>
          <w:lang w:val="de-CH"/>
        </w:rPr>
        <w:br w:type="page"/>
      </w:r>
    </w:p>
    <w:p w:rsidR="00B65A8F" w:rsidRPr="00CE2A2A" w:rsidRDefault="00E03BF3" w:rsidP="00B45126">
      <w:pPr>
        <w:pStyle w:val="Heading1"/>
        <w:rPr>
          <w:lang w:val="de-CH"/>
        </w:rPr>
      </w:pPr>
      <w:bookmarkStart w:id="15" w:name="_Toc413652561"/>
      <w:r w:rsidRPr="00CE2A2A">
        <w:rPr>
          <w:lang w:val="de-CH"/>
        </w:rPr>
        <w:lastRenderedPageBreak/>
        <w:t>ZWECK</w:t>
      </w:r>
      <w:bookmarkEnd w:id="15"/>
    </w:p>
    <w:p w:rsidR="00B65A8F" w:rsidRPr="00CE2A2A" w:rsidRDefault="00B65A8F" w:rsidP="00B65A8F">
      <w:pPr>
        <w:rPr>
          <w:lang w:val="de-CH" w:eastAsia="ja-JP"/>
        </w:rPr>
      </w:pPr>
    </w:p>
    <w:p w:rsidR="00B65A8F" w:rsidRPr="00CE2A2A" w:rsidRDefault="00B65A8F" w:rsidP="00B65A8F">
      <w:pPr>
        <w:rPr>
          <w:rFonts w:cs="Arial"/>
          <w:snapToGrid w:val="0"/>
          <w:lang w:val="de-CH" w:eastAsia="ja-JP"/>
        </w:rPr>
      </w:pPr>
      <w:r w:rsidRPr="00CE2A2A">
        <w:rPr>
          <w:rFonts w:cs="Arial"/>
          <w:lang w:val="de-CH"/>
        </w:rPr>
        <w:fldChar w:fldCharType="begin"/>
      </w:r>
      <w:r w:rsidRPr="00CE2A2A">
        <w:rPr>
          <w:rFonts w:cs="Arial"/>
          <w:lang w:val="de-CH"/>
        </w:rPr>
        <w:instrText xml:space="preserve"> AUTONUM  </w:instrText>
      </w:r>
      <w:r w:rsidRPr="00CE2A2A">
        <w:rPr>
          <w:rFonts w:cs="Arial"/>
          <w:lang w:val="de-CH"/>
        </w:rPr>
        <w:fldChar w:fldCharType="end"/>
      </w:r>
      <w:r w:rsidRPr="00CE2A2A">
        <w:rPr>
          <w:rFonts w:cs="Arial"/>
          <w:lang w:val="de-CH"/>
        </w:rPr>
        <w:tab/>
      </w:r>
      <w:r w:rsidR="00E03BF3" w:rsidRPr="00CE2A2A">
        <w:rPr>
          <w:rFonts w:cs="Arial"/>
          <w:lang w:val="de-CH"/>
        </w:rPr>
        <w:t xml:space="preserve">Zweck dieses Dokuments ist es, über die Arbeiten zur etwaigen Entwicklung eines </w:t>
      </w:r>
      <w:r w:rsidR="00F53766" w:rsidRPr="00CE2A2A">
        <w:rPr>
          <w:rFonts w:cs="Arial"/>
          <w:lang w:val="de-CH"/>
        </w:rPr>
        <w:t>UPOV-</w:t>
      </w:r>
      <w:r w:rsidR="00A75C60">
        <w:rPr>
          <w:rFonts w:cs="Arial"/>
          <w:lang w:val="de-CH"/>
        </w:rPr>
        <w:t>Suchwerkzeug</w:t>
      </w:r>
      <w:r w:rsidR="00F53766" w:rsidRPr="00CE2A2A">
        <w:rPr>
          <w:rFonts w:cs="Arial"/>
          <w:lang w:val="de-CH"/>
        </w:rPr>
        <w:t xml:space="preserve">s für Ähnlichkeiten zum Zweck der Sortenbezeichnung </w:t>
      </w:r>
      <w:r w:rsidR="00E03BF3" w:rsidRPr="00CE2A2A">
        <w:rPr>
          <w:rFonts w:cs="Arial"/>
          <w:lang w:val="de-CH"/>
        </w:rPr>
        <w:t xml:space="preserve">zu berichten </w:t>
      </w:r>
      <w:r w:rsidR="00F53766" w:rsidRPr="00CE2A2A">
        <w:rPr>
          <w:rFonts w:cs="Arial"/>
          <w:lang w:val="de-CH"/>
        </w:rPr>
        <w:t>und die etwaige Überarbeitung der</w:t>
      </w:r>
      <w:r w:rsidR="009136C0" w:rsidRPr="00CE2A2A">
        <w:rPr>
          <w:rFonts w:cs="Arial"/>
          <w:lang w:val="de-CH"/>
        </w:rPr>
        <w:t xml:space="preserve"> </w:t>
      </w:r>
      <w:r w:rsidR="00F53766" w:rsidRPr="00CE2A2A">
        <w:rPr>
          <w:rFonts w:cs="Arial"/>
          <w:lang w:val="de-CH"/>
        </w:rPr>
        <w:t>„Erläuterungen zu Sortenbezeichnungen nach dem UPOV-Übereinkommen“</w:t>
      </w:r>
      <w:r w:rsidR="009136C0" w:rsidRPr="00CE2A2A">
        <w:rPr>
          <w:rFonts w:cs="Arial"/>
          <w:lang w:val="de-CH"/>
        </w:rPr>
        <w:t xml:space="preserve"> (</w:t>
      </w:r>
      <w:r w:rsidR="00F53766" w:rsidRPr="00CE2A2A">
        <w:rPr>
          <w:rFonts w:cs="Arial"/>
          <w:lang w:val="de-CH"/>
        </w:rPr>
        <w:t>Dokument </w:t>
      </w:r>
      <w:r w:rsidR="009136C0" w:rsidRPr="00CE2A2A">
        <w:rPr>
          <w:rFonts w:cs="Arial"/>
          <w:lang w:val="de-CH"/>
        </w:rPr>
        <w:t>UPOV/INF/12/4)</w:t>
      </w:r>
      <w:r w:rsidR="00F53766" w:rsidRPr="00CE2A2A">
        <w:rPr>
          <w:rFonts w:cs="Arial"/>
          <w:lang w:val="de-CH"/>
        </w:rPr>
        <w:t xml:space="preserve"> zu prüfen</w:t>
      </w:r>
      <w:r w:rsidR="009136C0" w:rsidRPr="00CE2A2A">
        <w:rPr>
          <w:rFonts w:cs="Arial"/>
          <w:snapToGrid w:val="0"/>
          <w:lang w:val="de-CH"/>
        </w:rPr>
        <w:t>.</w:t>
      </w:r>
    </w:p>
    <w:p w:rsidR="004F73E6" w:rsidRPr="00CE2A2A" w:rsidRDefault="004F73E6" w:rsidP="00433B8A">
      <w:pPr>
        <w:rPr>
          <w:snapToGrid w:val="0"/>
          <w:lang w:val="de-CH" w:eastAsia="ja-JP"/>
        </w:rPr>
      </w:pPr>
    </w:p>
    <w:p w:rsidR="003E3D83" w:rsidRPr="00CE2A2A" w:rsidRDefault="003E3D83" w:rsidP="00433B8A">
      <w:pPr>
        <w:rPr>
          <w:snapToGrid w:val="0"/>
          <w:lang w:val="de-CH"/>
        </w:rPr>
      </w:pPr>
    </w:p>
    <w:p w:rsidR="00433B8A" w:rsidRPr="00CE2A2A" w:rsidRDefault="00433B8A" w:rsidP="00433B8A">
      <w:pPr>
        <w:rPr>
          <w:snapToGrid w:val="0"/>
          <w:lang w:val="de-CH"/>
        </w:rPr>
      </w:pPr>
    </w:p>
    <w:p w:rsidR="00A2438A" w:rsidRPr="00CE2A2A" w:rsidRDefault="00F53766" w:rsidP="00B45126">
      <w:pPr>
        <w:pStyle w:val="Heading1"/>
        <w:rPr>
          <w:snapToGrid w:val="0"/>
          <w:lang w:val="de-CH"/>
        </w:rPr>
      </w:pPr>
      <w:bookmarkStart w:id="16" w:name="_Toc413652562"/>
      <w:bookmarkStart w:id="17" w:name="_Toc382388626"/>
      <w:bookmarkEnd w:id="14"/>
      <w:r w:rsidRPr="00CE2A2A">
        <w:rPr>
          <w:snapToGrid w:val="0"/>
          <w:lang w:val="de-CH"/>
        </w:rPr>
        <w:t>ETWAIGE ENTWICKLUNG EINES UPOV-</w:t>
      </w:r>
      <w:r w:rsidR="00A75C60">
        <w:rPr>
          <w:snapToGrid w:val="0"/>
          <w:lang w:val="de-CH"/>
        </w:rPr>
        <w:t>SUCHWERKZEUG</w:t>
      </w:r>
      <w:r w:rsidRPr="00CE2A2A">
        <w:rPr>
          <w:snapToGrid w:val="0"/>
          <w:lang w:val="de-CH"/>
        </w:rPr>
        <w:t>S FÜR ÄHNLICHKEITEN ZUM ZWECK DER SORTENBEZEICHNUNG</w:t>
      </w:r>
      <w:bookmarkEnd w:id="16"/>
    </w:p>
    <w:p w:rsidR="00A2438A" w:rsidRPr="00CE2A2A" w:rsidRDefault="00A2438A" w:rsidP="00A2438A">
      <w:pPr>
        <w:rPr>
          <w:rFonts w:cs="Arial"/>
          <w:snapToGrid w:val="0"/>
          <w:lang w:val="de-CH"/>
        </w:rPr>
      </w:pPr>
    </w:p>
    <w:p w:rsidR="00A2438A" w:rsidRPr="00CE2A2A" w:rsidRDefault="00A2438A" w:rsidP="009B092F">
      <w:pPr>
        <w:rPr>
          <w:szCs w:val="24"/>
          <w:lang w:val="de-CH" w:eastAsia="ja-JP"/>
        </w:rPr>
      </w:pPr>
      <w:r w:rsidRPr="00CE2A2A">
        <w:rPr>
          <w:lang w:val="de-CH"/>
        </w:rPr>
        <w:fldChar w:fldCharType="begin"/>
      </w:r>
      <w:r w:rsidRPr="00CE2A2A">
        <w:rPr>
          <w:lang w:val="de-CH"/>
        </w:rPr>
        <w:instrText xml:space="preserve"> AUTONUM  </w:instrText>
      </w:r>
      <w:r w:rsidRPr="00CE2A2A">
        <w:rPr>
          <w:lang w:val="de-CH"/>
        </w:rPr>
        <w:fldChar w:fldCharType="end"/>
      </w:r>
      <w:r w:rsidRPr="00CE2A2A">
        <w:rPr>
          <w:lang w:val="de-CH"/>
        </w:rPr>
        <w:tab/>
      </w:r>
      <w:r w:rsidR="0021582C" w:rsidRPr="00CE2A2A">
        <w:rPr>
          <w:szCs w:val="24"/>
          <w:lang w:val="de-CH"/>
        </w:rPr>
        <w:t>Den Hintergrund zu diesem Thema liefern die Dokumente</w:t>
      </w:r>
      <w:r w:rsidRPr="00CE2A2A">
        <w:rPr>
          <w:szCs w:val="24"/>
          <w:lang w:val="de-CH"/>
        </w:rPr>
        <w:t xml:space="preserve"> </w:t>
      </w:r>
      <w:r w:rsidR="003D0C5A" w:rsidRPr="00CE2A2A">
        <w:rPr>
          <w:szCs w:val="24"/>
          <w:lang w:val="de-CH" w:eastAsia="ja-JP"/>
        </w:rPr>
        <w:t>CAJ</w:t>
      </w:r>
      <w:r w:rsidR="00543E63" w:rsidRPr="00CE2A2A">
        <w:rPr>
          <w:szCs w:val="24"/>
          <w:lang w:val="de-CH" w:eastAsia="ja-JP"/>
        </w:rPr>
        <w:t>/</w:t>
      </w:r>
      <w:r w:rsidR="003D0C5A" w:rsidRPr="00CE2A2A">
        <w:rPr>
          <w:szCs w:val="24"/>
          <w:lang w:val="de-CH" w:eastAsia="ja-JP"/>
        </w:rPr>
        <w:t>70/4</w:t>
      </w:r>
      <w:r w:rsidRPr="00CE2A2A">
        <w:rPr>
          <w:szCs w:val="24"/>
          <w:lang w:val="de-CH" w:eastAsia="ja-JP"/>
        </w:rPr>
        <w:t xml:space="preserve"> </w:t>
      </w:r>
      <w:r w:rsidR="00E90BDF">
        <w:rPr>
          <w:szCs w:val="24"/>
          <w:lang w:val="de-CH" w:eastAsia="ja-JP"/>
        </w:rPr>
        <w:t xml:space="preserve"> </w:t>
      </w:r>
      <w:r w:rsidR="0021582C" w:rsidRPr="00CE2A2A">
        <w:rPr>
          <w:szCs w:val="24"/>
          <w:lang w:val="de-CH" w:eastAsia="ja-JP"/>
        </w:rPr>
        <w:t>„Sortenbezeichnungen“</w:t>
      </w:r>
      <w:r w:rsidR="003D0C5A" w:rsidRPr="00CE2A2A">
        <w:rPr>
          <w:szCs w:val="24"/>
          <w:lang w:val="de-CH" w:eastAsia="ja-JP"/>
        </w:rPr>
        <w:t xml:space="preserve"> </w:t>
      </w:r>
      <w:r w:rsidR="0021582C" w:rsidRPr="00CE2A2A">
        <w:rPr>
          <w:szCs w:val="24"/>
          <w:lang w:val="de-CH" w:eastAsia="ja-JP"/>
        </w:rPr>
        <w:t>u</w:t>
      </w:r>
      <w:r w:rsidR="003D0C5A" w:rsidRPr="00CE2A2A">
        <w:rPr>
          <w:szCs w:val="24"/>
          <w:lang w:val="de-CH" w:eastAsia="ja-JP"/>
        </w:rPr>
        <w:t xml:space="preserve">nd CAJ/70/4 Add. </w:t>
      </w:r>
      <w:r w:rsidR="0021582C" w:rsidRPr="00CE2A2A">
        <w:rPr>
          <w:szCs w:val="24"/>
          <w:lang w:val="de-CH" w:eastAsia="ja-JP"/>
        </w:rPr>
        <w:t>„Ergänzung zu Sortenbezeichnungen“</w:t>
      </w:r>
      <w:r w:rsidRPr="00CE2A2A">
        <w:rPr>
          <w:szCs w:val="24"/>
          <w:lang w:val="de-CH" w:eastAsia="ja-JP"/>
        </w:rPr>
        <w:t>.</w:t>
      </w:r>
    </w:p>
    <w:p w:rsidR="00A2438A" w:rsidRPr="00CE2A2A" w:rsidRDefault="00A2438A" w:rsidP="00A2438A">
      <w:pPr>
        <w:rPr>
          <w:lang w:val="de-CH" w:eastAsia="ja-JP"/>
        </w:rPr>
      </w:pPr>
    </w:p>
    <w:p w:rsidR="00A2438A" w:rsidRPr="00CE2A2A" w:rsidRDefault="00A2438A" w:rsidP="00A714B8">
      <w:pPr>
        <w:rPr>
          <w:lang w:val="de-CH"/>
        </w:rPr>
      </w:pPr>
      <w:r w:rsidRPr="00CE2A2A">
        <w:rPr>
          <w:szCs w:val="24"/>
          <w:lang w:val="de-CH"/>
        </w:rPr>
        <w:fldChar w:fldCharType="begin"/>
      </w:r>
      <w:r w:rsidRPr="00CE2A2A">
        <w:rPr>
          <w:szCs w:val="24"/>
          <w:lang w:val="de-CH"/>
        </w:rPr>
        <w:instrText xml:space="preserve"> AUTONUM  </w:instrText>
      </w:r>
      <w:r w:rsidRPr="00CE2A2A">
        <w:rPr>
          <w:szCs w:val="24"/>
          <w:lang w:val="de-CH"/>
        </w:rPr>
        <w:fldChar w:fldCharType="end"/>
      </w:r>
      <w:r w:rsidRPr="00CE2A2A">
        <w:rPr>
          <w:szCs w:val="24"/>
          <w:lang w:val="de-CH"/>
        </w:rPr>
        <w:tab/>
      </w:r>
      <w:r w:rsidR="00CD31CD" w:rsidRPr="00CE2A2A">
        <w:rPr>
          <w:szCs w:val="24"/>
          <w:lang w:val="de-CH"/>
        </w:rPr>
        <w:t>Der</w:t>
      </w:r>
      <w:r w:rsidRPr="00CE2A2A">
        <w:rPr>
          <w:kern w:val="28"/>
          <w:lang w:val="de-CH"/>
        </w:rPr>
        <w:t xml:space="preserve"> CAJ</w:t>
      </w:r>
      <w:r w:rsidRPr="00CE2A2A">
        <w:rPr>
          <w:kern w:val="28"/>
          <w:lang w:val="de-CH" w:eastAsia="ja-JP"/>
        </w:rPr>
        <w:t xml:space="preserve"> </w:t>
      </w:r>
      <w:r w:rsidR="00CD31CD" w:rsidRPr="001408F0">
        <w:rPr>
          <w:kern w:val="28"/>
          <w:lang w:val="de-CH" w:eastAsia="ja-JP"/>
        </w:rPr>
        <w:t>erhielt</w:t>
      </w:r>
      <w:r w:rsidR="00CD31CD" w:rsidRPr="00CE2A2A">
        <w:rPr>
          <w:kern w:val="28"/>
          <w:lang w:val="de-CH" w:eastAsia="ja-JP"/>
        </w:rPr>
        <w:t xml:space="preserve"> </w:t>
      </w:r>
      <w:r w:rsidRPr="00CE2A2A">
        <w:rPr>
          <w:kern w:val="28"/>
          <w:lang w:val="de-CH" w:eastAsia="ja-JP"/>
        </w:rPr>
        <w:t>a</w:t>
      </w:r>
      <w:r w:rsidR="00CD31CD" w:rsidRPr="00CE2A2A">
        <w:rPr>
          <w:kern w:val="28"/>
          <w:lang w:val="de-CH" w:eastAsia="ja-JP"/>
        </w:rPr>
        <w:t>uf seiner siebzigsten Tagung</w:t>
      </w:r>
      <w:r w:rsidR="00676B9F" w:rsidRPr="00CE2A2A">
        <w:rPr>
          <w:rStyle w:val="FootnoteReference"/>
          <w:kern w:val="28"/>
          <w:lang w:val="de-CH" w:eastAsia="ja-JP"/>
        </w:rPr>
        <w:footnoteReference w:id="2"/>
      </w:r>
      <w:r w:rsidRPr="00CE2A2A">
        <w:rPr>
          <w:kern w:val="28"/>
          <w:lang w:val="de-CH" w:eastAsia="ja-JP"/>
        </w:rPr>
        <w:t xml:space="preserve"> </w:t>
      </w:r>
      <w:r w:rsidR="00CD31CD" w:rsidRPr="00CE2A2A">
        <w:rPr>
          <w:kern w:val="28"/>
          <w:lang w:val="de-CH" w:eastAsia="ja-JP"/>
        </w:rPr>
        <w:t xml:space="preserve">einen Bericht des </w:t>
      </w:r>
      <w:r w:rsidR="00CD31CD" w:rsidRPr="00CE2A2A">
        <w:rPr>
          <w:kern w:val="28"/>
          <w:lang w:val="de-CH"/>
        </w:rPr>
        <w:t xml:space="preserve">Stellvertretenden Generalsekretärs </w:t>
      </w:r>
      <w:r w:rsidR="00CD31CD" w:rsidRPr="00257984">
        <w:rPr>
          <w:kern w:val="28"/>
          <w:lang w:val="de-CH"/>
        </w:rPr>
        <w:t>über die erste Tagung der Arbeitsgruppe für die</w:t>
      </w:r>
      <w:r w:rsidR="00CD31CD" w:rsidRPr="00257984">
        <w:rPr>
          <w:snapToGrid w:val="0"/>
          <w:lang w:val="de-CH" w:eastAsia="ja-JP"/>
        </w:rPr>
        <w:t xml:space="preserve"> </w:t>
      </w:r>
      <w:r w:rsidR="001D24DE">
        <w:rPr>
          <w:snapToGrid w:val="0"/>
          <w:lang w:val="de-CH" w:eastAsia="ja-JP"/>
        </w:rPr>
        <w:t>Entwicklung</w:t>
      </w:r>
      <w:r w:rsidR="00CD31CD" w:rsidRPr="00257984">
        <w:rPr>
          <w:snapToGrid w:val="0"/>
          <w:lang w:val="de-CH" w:eastAsia="ja-JP"/>
        </w:rPr>
        <w:t xml:space="preserve"> eines UPOV</w:t>
      </w:r>
      <w:r w:rsidR="00CD31CD" w:rsidRPr="00257984">
        <w:rPr>
          <w:i/>
          <w:snapToGrid w:val="0"/>
          <w:lang w:val="de-CH" w:eastAsia="ja-JP"/>
        </w:rPr>
        <w:t>-</w:t>
      </w:r>
      <w:r w:rsidR="00A75C60">
        <w:rPr>
          <w:snapToGrid w:val="0"/>
          <w:lang w:val="de-CH" w:eastAsia="ja-JP"/>
        </w:rPr>
        <w:t>Suchwerkzeug</w:t>
      </w:r>
      <w:r w:rsidR="00CD31CD" w:rsidRPr="00257984">
        <w:rPr>
          <w:snapToGrid w:val="0"/>
          <w:lang w:val="de-CH" w:eastAsia="ja-JP"/>
        </w:rPr>
        <w:t>s für</w:t>
      </w:r>
      <w:r w:rsidR="00CD31CD" w:rsidRPr="00CE2A2A">
        <w:rPr>
          <w:snapToGrid w:val="0"/>
          <w:lang w:val="de-CH" w:eastAsia="ja-JP"/>
        </w:rPr>
        <w:t xml:space="preserve"> Ähnlichkeiten zum Zweck der Sortenbezeichnung (WG-DST)</w:t>
      </w:r>
      <w:r w:rsidR="00676B9F" w:rsidRPr="00CE2A2A">
        <w:rPr>
          <w:rStyle w:val="FootnoteReference"/>
          <w:rFonts w:cs="Arial"/>
          <w:snapToGrid w:val="0"/>
          <w:lang w:val="de-CH" w:eastAsia="ja-JP"/>
        </w:rPr>
        <w:footnoteReference w:id="3"/>
      </w:r>
      <w:r w:rsidRPr="00CE2A2A">
        <w:rPr>
          <w:lang w:val="de-CH"/>
        </w:rPr>
        <w:t>.</w:t>
      </w:r>
      <w:r w:rsidR="00DC795D" w:rsidRPr="00CE2A2A">
        <w:rPr>
          <w:lang w:val="de-CH"/>
        </w:rPr>
        <w:t xml:space="preserve"> </w:t>
      </w:r>
      <w:r w:rsidR="00CD31CD" w:rsidRPr="00CE2A2A">
        <w:rPr>
          <w:lang w:val="de-CH"/>
        </w:rPr>
        <w:t>Der Bericht der</w:t>
      </w:r>
      <w:r w:rsidR="00DC795D" w:rsidRPr="00CE2A2A">
        <w:rPr>
          <w:lang w:val="de-CH"/>
        </w:rPr>
        <w:t xml:space="preserve"> WG-DST is</w:t>
      </w:r>
      <w:r w:rsidR="00CD31CD" w:rsidRPr="00CE2A2A">
        <w:rPr>
          <w:lang w:val="de-CH"/>
        </w:rPr>
        <w:t>t dem Dokument</w:t>
      </w:r>
      <w:r w:rsidR="00DC795D" w:rsidRPr="00CE2A2A">
        <w:rPr>
          <w:lang w:val="de-CH"/>
        </w:rPr>
        <w:t xml:space="preserve"> UPOV/WG-DST/1/4 </w:t>
      </w:r>
      <w:r w:rsidR="00CD31CD" w:rsidRPr="00CE2A2A">
        <w:rPr>
          <w:lang w:val="de-CH"/>
        </w:rPr>
        <w:t>„</w:t>
      </w:r>
      <w:r w:rsidR="000C2102">
        <w:rPr>
          <w:lang w:val="de-CH"/>
        </w:rPr>
        <w:t>Report</w:t>
      </w:r>
      <w:r w:rsidR="00CD31CD" w:rsidRPr="00CE2A2A">
        <w:rPr>
          <w:lang w:val="de-CH"/>
        </w:rPr>
        <w:t xml:space="preserve">“ </w:t>
      </w:r>
      <w:r w:rsidR="00DC795D" w:rsidRPr="00CE2A2A">
        <w:rPr>
          <w:lang w:val="de-CH"/>
        </w:rPr>
        <w:t>(s</w:t>
      </w:r>
      <w:r w:rsidR="00CD31CD" w:rsidRPr="00CE2A2A">
        <w:rPr>
          <w:lang w:val="de-CH"/>
        </w:rPr>
        <w:t>i</w:t>
      </w:r>
      <w:r w:rsidR="00DC795D" w:rsidRPr="00CE2A2A">
        <w:rPr>
          <w:lang w:val="de-CH"/>
        </w:rPr>
        <w:t>e</w:t>
      </w:r>
      <w:r w:rsidR="00CD31CD" w:rsidRPr="00CE2A2A">
        <w:rPr>
          <w:lang w:val="de-CH"/>
        </w:rPr>
        <w:t>h</w:t>
      </w:r>
      <w:r w:rsidR="00DC795D" w:rsidRPr="00CE2A2A">
        <w:rPr>
          <w:lang w:val="de-CH"/>
        </w:rPr>
        <w:t>e</w:t>
      </w:r>
      <w:r w:rsidR="00CD31CD" w:rsidRPr="00CE2A2A">
        <w:rPr>
          <w:lang w:val="de-CH"/>
        </w:rPr>
        <w:t xml:space="preserve"> </w:t>
      </w:r>
      <w:hyperlink r:id="rId10" w:history="1">
        <w:r w:rsidR="00483972" w:rsidRPr="00CE2A2A">
          <w:rPr>
            <w:rStyle w:val="Hyperlink"/>
            <w:lang w:val="de-CH"/>
          </w:rPr>
          <w:t>http://www.upov.int/meetings/en/details.jsp?meeting_id=34462</w:t>
        </w:r>
      </w:hyperlink>
      <w:r w:rsidR="00DC795D" w:rsidRPr="00CE2A2A">
        <w:rPr>
          <w:lang w:val="de-CH"/>
        </w:rPr>
        <w:t>)</w:t>
      </w:r>
      <w:r w:rsidR="00CD31CD" w:rsidRPr="00CE2A2A">
        <w:rPr>
          <w:lang w:val="de-CH"/>
        </w:rPr>
        <w:t xml:space="preserve"> zu entnehmen</w:t>
      </w:r>
      <w:r w:rsidR="00DC795D" w:rsidRPr="00CE2A2A">
        <w:rPr>
          <w:lang w:val="de-CH"/>
        </w:rPr>
        <w:t>.</w:t>
      </w:r>
      <w:r w:rsidR="00184A04" w:rsidRPr="00CE2A2A">
        <w:rPr>
          <w:lang w:val="de-CH"/>
        </w:rPr>
        <w:t xml:space="preserve"> </w:t>
      </w:r>
      <w:r w:rsidR="00CD31CD" w:rsidRPr="00CE2A2A">
        <w:rPr>
          <w:lang w:val="de-CH"/>
        </w:rPr>
        <w:t xml:space="preserve">Der </w:t>
      </w:r>
      <w:r w:rsidRPr="00CE2A2A">
        <w:rPr>
          <w:lang w:val="de-CH"/>
        </w:rPr>
        <w:t xml:space="preserve">CAJ </w:t>
      </w:r>
      <w:r w:rsidR="00CD31CD" w:rsidRPr="00CE2A2A">
        <w:rPr>
          <w:lang w:val="de-CH"/>
        </w:rPr>
        <w:t>nahm zur Kenntnis</w:t>
      </w:r>
      <w:r w:rsidR="00A714B8" w:rsidRPr="00CE2A2A">
        <w:rPr>
          <w:lang w:val="de-CH"/>
        </w:rPr>
        <w:t xml:space="preserve">, dass Referate über die in der PLUTO-Datenbank verfügbaren </w:t>
      </w:r>
      <w:r w:rsidR="00A75C60">
        <w:rPr>
          <w:lang w:val="de-CH"/>
        </w:rPr>
        <w:t>Suchwerkzeug</w:t>
      </w:r>
      <w:r w:rsidR="00A714B8" w:rsidRPr="00CE2A2A">
        <w:rPr>
          <w:lang w:val="de-CH"/>
        </w:rPr>
        <w:t xml:space="preserve">e gehalten worden </w:t>
      </w:r>
      <w:r w:rsidR="00A75C60">
        <w:rPr>
          <w:lang w:val="de-CH"/>
        </w:rPr>
        <w:t>sind</w:t>
      </w:r>
      <w:r w:rsidR="00A714B8" w:rsidRPr="00CE2A2A">
        <w:rPr>
          <w:lang w:val="de-CH"/>
        </w:rPr>
        <w:t xml:space="preserve"> und dass die Mitglieder der WG-DST vereinbart ha</w:t>
      </w:r>
      <w:r w:rsidR="00A75C60">
        <w:rPr>
          <w:lang w:val="de-CH"/>
        </w:rPr>
        <w:t>b</w:t>
      </w:r>
      <w:r w:rsidR="00A714B8" w:rsidRPr="00CE2A2A">
        <w:rPr>
          <w:lang w:val="de-CH"/>
        </w:rPr>
        <w:t xml:space="preserve">en, ihre </w:t>
      </w:r>
      <w:r w:rsidR="00A75C60">
        <w:rPr>
          <w:lang w:val="de-CH"/>
        </w:rPr>
        <w:t>Suchwerkzeug</w:t>
      </w:r>
      <w:r w:rsidR="00A714B8" w:rsidRPr="00CE2A2A">
        <w:rPr>
          <w:lang w:val="de-CH"/>
        </w:rPr>
        <w:t>e und Verfahren mit der WG-DST zu teilen.</w:t>
      </w:r>
    </w:p>
    <w:p w:rsidR="00A2438A" w:rsidRPr="00CE2A2A" w:rsidRDefault="00A2438A" w:rsidP="00A2438A">
      <w:pPr>
        <w:rPr>
          <w:lang w:val="de-CH"/>
        </w:rPr>
      </w:pPr>
    </w:p>
    <w:p w:rsidR="00A2438A" w:rsidRPr="00CE2A2A" w:rsidRDefault="00A2438A" w:rsidP="00A2438A">
      <w:pPr>
        <w:rPr>
          <w:lang w:val="de-CH"/>
        </w:rPr>
      </w:pPr>
      <w:r w:rsidRPr="00CE2A2A">
        <w:rPr>
          <w:lang w:val="de-CH"/>
        </w:rPr>
        <w:fldChar w:fldCharType="begin"/>
      </w:r>
      <w:r w:rsidRPr="00CE2A2A">
        <w:rPr>
          <w:lang w:val="de-CH"/>
        </w:rPr>
        <w:instrText xml:space="preserve"> AUTONUM  </w:instrText>
      </w:r>
      <w:r w:rsidRPr="00CE2A2A">
        <w:rPr>
          <w:lang w:val="de-CH"/>
        </w:rPr>
        <w:fldChar w:fldCharType="end"/>
      </w:r>
      <w:r w:rsidRPr="00CE2A2A">
        <w:rPr>
          <w:lang w:val="de-CH"/>
        </w:rPr>
        <w:tab/>
      </w:r>
      <w:r w:rsidR="002C4F23" w:rsidRPr="00CE2A2A">
        <w:rPr>
          <w:lang w:val="de-CH"/>
        </w:rPr>
        <w:t>Der CAJ nahm zur Kenntnis, dass die WG-DST vereinbart hat</w:t>
      </w:r>
      <w:r w:rsidR="004A4CE7">
        <w:rPr>
          <w:lang w:val="de-CH"/>
        </w:rPr>
        <w:t>te</w:t>
      </w:r>
      <w:r w:rsidR="002C4F23" w:rsidRPr="00CE2A2A">
        <w:rPr>
          <w:lang w:val="de-CH"/>
        </w:rPr>
        <w:t>, dass ein UPOV-</w:t>
      </w:r>
      <w:r w:rsidR="00A75C60">
        <w:rPr>
          <w:lang w:val="de-CH"/>
        </w:rPr>
        <w:t>Suchwerkzeug</w:t>
      </w:r>
      <w:r w:rsidR="002C4F23" w:rsidRPr="00CE2A2A">
        <w:rPr>
          <w:lang w:val="de-CH"/>
        </w:rPr>
        <w:t xml:space="preserve"> für Ähnlichkeiten dazu dienen soll</w:t>
      </w:r>
      <w:r w:rsidR="004A4CE7">
        <w:rPr>
          <w:lang w:val="de-CH"/>
        </w:rPr>
        <w:t>e</w:t>
      </w:r>
      <w:r w:rsidR="002C4F23" w:rsidRPr="00CE2A2A">
        <w:rPr>
          <w:lang w:val="de-CH"/>
        </w:rPr>
        <w:t>, Bezeichnungen zu ermitteln, die bestehenden Bezeichnungen</w:t>
      </w:r>
      <w:r w:rsidR="00550CFA">
        <w:rPr>
          <w:lang w:val="de-CH"/>
        </w:rPr>
        <w:t xml:space="preserve"> so</w:t>
      </w:r>
      <w:r w:rsidR="002C4F23" w:rsidRPr="00CE2A2A">
        <w:rPr>
          <w:lang w:val="de-CH"/>
        </w:rPr>
        <w:t xml:space="preserve"> ähnlich sind, dass sie eine weitere, individuelle Prüfung erfordern, bevor entschieden werden k</w:t>
      </w:r>
      <w:r w:rsidR="000C2102">
        <w:rPr>
          <w:lang w:val="de-CH"/>
        </w:rPr>
        <w:t>ann</w:t>
      </w:r>
      <w:r w:rsidR="002C4F23" w:rsidRPr="00CE2A2A">
        <w:rPr>
          <w:lang w:val="de-CH"/>
        </w:rPr>
        <w:t xml:space="preserve">, </w:t>
      </w:r>
      <w:r w:rsidR="00550CFA">
        <w:rPr>
          <w:lang w:val="de-CH"/>
        </w:rPr>
        <w:t>ob</w:t>
      </w:r>
      <w:r w:rsidR="002C4F23" w:rsidRPr="00CE2A2A">
        <w:rPr>
          <w:lang w:val="de-CH"/>
        </w:rPr>
        <w:t xml:space="preserve"> sie sich (hinreichend) von den bereits vorhandenen Bezeichnungen unterscheiden. In dieser Hinsicht hatte die WG-DST vereinbart, eine Teststudie durchzuführen, um </w:t>
      </w:r>
      <w:r w:rsidR="002C4F23" w:rsidRPr="001D24DE">
        <w:rPr>
          <w:lang w:val="de-CH"/>
        </w:rPr>
        <w:t xml:space="preserve">ein </w:t>
      </w:r>
      <w:r w:rsidR="001D24DE" w:rsidRPr="001D24DE">
        <w:rPr>
          <w:lang w:val="de-CH"/>
        </w:rPr>
        <w:t>effektiv</w:t>
      </w:r>
      <w:r w:rsidR="002C4F23" w:rsidRPr="001D24DE">
        <w:rPr>
          <w:lang w:val="de-CH"/>
        </w:rPr>
        <w:t>es</w:t>
      </w:r>
      <w:r w:rsidR="002C4F23" w:rsidRPr="00CE2A2A">
        <w:rPr>
          <w:lang w:val="de-CH"/>
        </w:rPr>
        <w:t xml:space="preserve"> </w:t>
      </w:r>
      <w:r w:rsidR="00A75C60">
        <w:rPr>
          <w:lang w:val="de-CH"/>
        </w:rPr>
        <w:t>Suchwerkzeug</w:t>
      </w:r>
      <w:r w:rsidR="002C4F23" w:rsidRPr="00CE2A2A">
        <w:rPr>
          <w:lang w:val="de-CH"/>
        </w:rPr>
        <w:t xml:space="preserve"> </w:t>
      </w:r>
      <w:r w:rsidR="00550CFA">
        <w:rPr>
          <w:lang w:val="de-CH"/>
        </w:rPr>
        <w:t xml:space="preserve">für Sortenbezeichnungen </w:t>
      </w:r>
      <w:r w:rsidR="002C4F23" w:rsidRPr="00CE2A2A">
        <w:rPr>
          <w:lang w:val="de-CH"/>
        </w:rPr>
        <w:t>zu entwickeln; ein Überblick über diese Studie wurde dem CAJ vorgelegt.</w:t>
      </w:r>
      <w:r w:rsidRPr="00CE2A2A">
        <w:rPr>
          <w:lang w:val="de-CH"/>
        </w:rPr>
        <w:t xml:space="preserve"> </w:t>
      </w:r>
    </w:p>
    <w:p w:rsidR="00A2438A" w:rsidRPr="00CE2A2A" w:rsidRDefault="00A2438A" w:rsidP="00A2438A">
      <w:pPr>
        <w:rPr>
          <w:lang w:val="de-CH"/>
        </w:rPr>
      </w:pPr>
    </w:p>
    <w:p w:rsidR="00A2438A" w:rsidRPr="00CE2A2A" w:rsidRDefault="00A2438A" w:rsidP="00A2438A">
      <w:pPr>
        <w:rPr>
          <w:lang w:val="de-CH"/>
        </w:rPr>
      </w:pPr>
      <w:r w:rsidRPr="00CE2A2A">
        <w:rPr>
          <w:lang w:val="de-CH"/>
        </w:rPr>
        <w:fldChar w:fldCharType="begin"/>
      </w:r>
      <w:r w:rsidRPr="00CE2A2A">
        <w:rPr>
          <w:lang w:val="de-CH"/>
        </w:rPr>
        <w:instrText xml:space="preserve"> AUTONUM  </w:instrText>
      </w:r>
      <w:r w:rsidRPr="00CE2A2A">
        <w:rPr>
          <w:lang w:val="de-CH"/>
        </w:rPr>
        <w:fldChar w:fldCharType="end"/>
      </w:r>
      <w:r w:rsidRPr="00CE2A2A">
        <w:rPr>
          <w:lang w:val="de-CH"/>
        </w:rPr>
        <w:tab/>
      </w:r>
      <w:r w:rsidR="00CB25A2" w:rsidRPr="00CE2A2A">
        <w:rPr>
          <w:lang w:val="de-CH"/>
        </w:rPr>
        <w:t>Der CAJ vereinbarte, dass die WG-DST die Einzelheiten der Teststudie festlegen solle, bevor die Teilnehmer ersucht würden, mit der Studie zu beginnen.</w:t>
      </w:r>
    </w:p>
    <w:p w:rsidR="00A2438A" w:rsidRPr="00CE2A2A" w:rsidRDefault="00A2438A" w:rsidP="00A2438A">
      <w:pPr>
        <w:rPr>
          <w:lang w:val="de-CH"/>
        </w:rPr>
      </w:pPr>
    </w:p>
    <w:p w:rsidR="00A2438A" w:rsidRPr="00CE2A2A" w:rsidRDefault="00A2438A" w:rsidP="00A2438A">
      <w:pPr>
        <w:rPr>
          <w:lang w:val="de-CH" w:eastAsia="ja-JP"/>
        </w:rPr>
      </w:pPr>
      <w:r w:rsidRPr="00CE2A2A">
        <w:rPr>
          <w:lang w:val="de-CH"/>
        </w:rPr>
        <w:fldChar w:fldCharType="begin"/>
      </w:r>
      <w:r w:rsidRPr="00CE2A2A">
        <w:rPr>
          <w:lang w:val="de-CH"/>
        </w:rPr>
        <w:instrText xml:space="preserve"> AUTONUM  </w:instrText>
      </w:r>
      <w:r w:rsidRPr="00CE2A2A">
        <w:rPr>
          <w:lang w:val="de-CH"/>
        </w:rPr>
        <w:fldChar w:fldCharType="end"/>
      </w:r>
      <w:r w:rsidRPr="00CE2A2A">
        <w:rPr>
          <w:lang w:val="de-CH"/>
        </w:rPr>
        <w:tab/>
      </w:r>
      <w:r w:rsidR="0064096C" w:rsidRPr="00CE2A2A">
        <w:rPr>
          <w:lang w:val="de-CH"/>
        </w:rPr>
        <w:t xml:space="preserve">Der CAJ stimmte zu, dass die Möglichkeit, an der Teststudie zur </w:t>
      </w:r>
      <w:r w:rsidR="0064096C" w:rsidRPr="001D24DE">
        <w:rPr>
          <w:lang w:val="de-CH"/>
        </w:rPr>
        <w:t xml:space="preserve">Entwicklung eines </w:t>
      </w:r>
      <w:r w:rsidR="001D24DE" w:rsidRPr="001D24DE">
        <w:rPr>
          <w:lang w:val="de-CH"/>
        </w:rPr>
        <w:t>effektiv</w:t>
      </w:r>
      <w:r w:rsidR="0064096C" w:rsidRPr="001D24DE">
        <w:rPr>
          <w:lang w:val="de-CH"/>
        </w:rPr>
        <w:t>en</w:t>
      </w:r>
      <w:r w:rsidR="0064096C" w:rsidRPr="00CE2A2A">
        <w:rPr>
          <w:lang w:val="de-CH"/>
        </w:rPr>
        <w:t xml:space="preserve"> </w:t>
      </w:r>
      <w:r w:rsidR="00A75C60">
        <w:rPr>
          <w:lang w:val="de-CH"/>
        </w:rPr>
        <w:t>Suchwerkzeug</w:t>
      </w:r>
      <w:r w:rsidR="0064096C" w:rsidRPr="00CE2A2A">
        <w:rPr>
          <w:lang w:val="de-CH"/>
        </w:rPr>
        <w:t>s für Sortenbezeichnungen teilzunehmen, allen Verbandsmitgliedern angeboten werden solle</w:t>
      </w:r>
      <w:r w:rsidR="00483972" w:rsidRPr="00CE2A2A">
        <w:rPr>
          <w:lang w:val="de-CH"/>
        </w:rPr>
        <w:t>.</w:t>
      </w:r>
      <w:r w:rsidR="004F73E6" w:rsidRPr="00CE2A2A">
        <w:rPr>
          <w:rStyle w:val="FootnoteReference"/>
          <w:lang w:val="de-CH"/>
        </w:rPr>
        <w:footnoteReference w:id="4"/>
      </w:r>
    </w:p>
    <w:p w:rsidR="00A1050E" w:rsidRPr="00CE2A2A" w:rsidRDefault="00A1050E" w:rsidP="00A2438A">
      <w:pPr>
        <w:rPr>
          <w:lang w:val="de-CH" w:eastAsia="ja-JP"/>
        </w:rPr>
      </w:pPr>
    </w:p>
    <w:p w:rsidR="00A1050E" w:rsidRPr="00CE2A2A" w:rsidRDefault="00A1050E" w:rsidP="00A1050E">
      <w:pPr>
        <w:rPr>
          <w:lang w:val="de-CH" w:eastAsia="ja-JP"/>
        </w:rPr>
      </w:pPr>
      <w:r w:rsidRPr="00CE2A2A">
        <w:rPr>
          <w:lang w:val="de-CH"/>
        </w:rPr>
        <w:fldChar w:fldCharType="begin"/>
      </w:r>
      <w:r w:rsidRPr="00CE2A2A">
        <w:rPr>
          <w:lang w:val="de-CH"/>
        </w:rPr>
        <w:instrText xml:space="preserve"> AUTONUM  </w:instrText>
      </w:r>
      <w:r w:rsidRPr="00CE2A2A">
        <w:rPr>
          <w:lang w:val="de-CH"/>
        </w:rPr>
        <w:fldChar w:fldCharType="end"/>
      </w:r>
      <w:r w:rsidRPr="00CE2A2A">
        <w:rPr>
          <w:lang w:val="de-CH"/>
        </w:rPr>
        <w:tab/>
      </w:r>
      <w:r w:rsidR="00B63300" w:rsidRPr="00CE2A2A">
        <w:rPr>
          <w:lang w:val="de-CH"/>
        </w:rPr>
        <w:t>Die Mitglieder der</w:t>
      </w:r>
      <w:r w:rsidRPr="00CE2A2A">
        <w:rPr>
          <w:lang w:val="de-CH"/>
        </w:rPr>
        <w:t xml:space="preserve"> </w:t>
      </w:r>
      <w:r w:rsidRPr="00CE2A2A">
        <w:rPr>
          <w:lang w:val="de-CH" w:eastAsia="ja-JP"/>
        </w:rPr>
        <w:t xml:space="preserve">WG-DST </w:t>
      </w:r>
      <w:r w:rsidRPr="00CE2A2A">
        <w:rPr>
          <w:lang w:val="de-CH"/>
        </w:rPr>
        <w:t>w</w:t>
      </w:r>
      <w:r w:rsidR="00B63300" w:rsidRPr="00CE2A2A">
        <w:rPr>
          <w:lang w:val="de-CH"/>
        </w:rPr>
        <w:t xml:space="preserve">urden ersucht, </w:t>
      </w:r>
      <w:r w:rsidR="00550CFA" w:rsidRPr="00CE2A2A">
        <w:rPr>
          <w:lang w:val="de-CH"/>
        </w:rPr>
        <w:t xml:space="preserve">bis </w:t>
      </w:r>
      <w:r w:rsidR="00550CFA">
        <w:rPr>
          <w:lang w:val="de-CH"/>
        </w:rPr>
        <w:t xml:space="preserve">zum </w:t>
      </w:r>
      <w:r w:rsidR="00550CFA" w:rsidRPr="00CE2A2A">
        <w:rPr>
          <w:lang w:val="de-CH"/>
        </w:rPr>
        <w:t>27. Februar</w:t>
      </w:r>
      <w:r w:rsidR="00550CFA" w:rsidRPr="00CE2A2A">
        <w:rPr>
          <w:lang w:val="de-CH" w:eastAsia="ja-JP"/>
        </w:rPr>
        <w:t xml:space="preserve"> 2015 </w:t>
      </w:r>
      <w:r w:rsidR="00B63300" w:rsidRPr="00CE2A2A">
        <w:rPr>
          <w:lang w:val="de-CH"/>
        </w:rPr>
        <w:t xml:space="preserve">Anmerkungen zu den Einzelheiten der Teststudie </w:t>
      </w:r>
      <w:r w:rsidR="00B63300" w:rsidRPr="00CE2A2A">
        <w:rPr>
          <w:lang w:val="de-CH" w:eastAsia="ja-JP"/>
        </w:rPr>
        <w:t xml:space="preserve">einzureichen </w:t>
      </w:r>
      <w:r w:rsidRPr="00CE2A2A">
        <w:rPr>
          <w:lang w:val="de-CH" w:eastAsia="ja-JP"/>
        </w:rPr>
        <w:t>(s</w:t>
      </w:r>
      <w:r w:rsidR="00B63300" w:rsidRPr="00CE2A2A">
        <w:rPr>
          <w:lang w:val="de-CH" w:eastAsia="ja-JP"/>
        </w:rPr>
        <w:t>i</w:t>
      </w:r>
      <w:r w:rsidRPr="00CE2A2A">
        <w:rPr>
          <w:lang w:val="de-CH" w:eastAsia="ja-JP"/>
        </w:rPr>
        <w:t>e</w:t>
      </w:r>
      <w:r w:rsidR="00B63300" w:rsidRPr="00CE2A2A">
        <w:rPr>
          <w:lang w:val="de-CH" w:eastAsia="ja-JP"/>
        </w:rPr>
        <w:t>h</w:t>
      </w:r>
      <w:r w:rsidRPr="00CE2A2A">
        <w:rPr>
          <w:lang w:val="de-CH" w:eastAsia="ja-JP"/>
        </w:rPr>
        <w:t xml:space="preserve">e </w:t>
      </w:r>
      <w:r w:rsidR="00B63300" w:rsidRPr="00CE2A2A">
        <w:rPr>
          <w:lang w:val="de-CH" w:eastAsia="ja-JP"/>
        </w:rPr>
        <w:t>Absatz </w:t>
      </w:r>
      <w:r w:rsidRPr="00CE2A2A">
        <w:rPr>
          <w:lang w:val="de-CH" w:eastAsia="ja-JP"/>
        </w:rPr>
        <w:t xml:space="preserve">9 </w:t>
      </w:r>
      <w:r w:rsidR="00B63300" w:rsidRPr="00CE2A2A">
        <w:rPr>
          <w:lang w:val="de-CH" w:eastAsia="ja-JP"/>
        </w:rPr>
        <w:t>oben</w:t>
      </w:r>
      <w:r w:rsidRPr="00CE2A2A">
        <w:rPr>
          <w:lang w:val="de-CH" w:eastAsia="ja-JP"/>
        </w:rPr>
        <w:t xml:space="preserve">). </w:t>
      </w:r>
      <w:r w:rsidR="00B63300" w:rsidRPr="00CE2A2A">
        <w:rPr>
          <w:lang w:val="de-CH" w:eastAsia="ja-JP"/>
        </w:rPr>
        <w:t>Vorbehaltlich der Billigung durch die Mitglieder der</w:t>
      </w:r>
      <w:r w:rsidRPr="00CE2A2A">
        <w:rPr>
          <w:lang w:val="de-CH" w:eastAsia="ja-JP"/>
        </w:rPr>
        <w:t xml:space="preserve"> WG-DST </w:t>
      </w:r>
      <w:r w:rsidR="00DA10C8" w:rsidRPr="00CE2A2A">
        <w:rPr>
          <w:lang w:val="de-CH" w:eastAsia="ja-JP"/>
        </w:rPr>
        <w:t xml:space="preserve">wird </w:t>
      </w:r>
      <w:r w:rsidR="00DA10C8" w:rsidRPr="00CE2A2A">
        <w:rPr>
          <w:lang w:val="de-CH"/>
        </w:rPr>
        <w:t>am 6. März 2015 an</w:t>
      </w:r>
      <w:r w:rsidR="00B63300" w:rsidRPr="00CE2A2A">
        <w:rPr>
          <w:lang w:val="de-CH" w:eastAsia="ja-JP"/>
        </w:rPr>
        <w:t xml:space="preserve"> alle </w:t>
      </w:r>
      <w:r w:rsidR="00550CFA">
        <w:rPr>
          <w:lang w:val="de-CH" w:eastAsia="ja-JP"/>
        </w:rPr>
        <w:t>Verbandsm</w:t>
      </w:r>
      <w:r w:rsidR="00B63300" w:rsidRPr="00CE2A2A">
        <w:rPr>
          <w:lang w:val="de-CH"/>
        </w:rPr>
        <w:t>itglieder</w:t>
      </w:r>
      <w:r w:rsidR="00DA10C8" w:rsidRPr="00CE2A2A">
        <w:rPr>
          <w:lang w:val="de-CH"/>
        </w:rPr>
        <w:t xml:space="preserve"> ein</w:t>
      </w:r>
      <w:r w:rsidR="00B63300" w:rsidRPr="00CE2A2A">
        <w:rPr>
          <w:lang w:val="de-CH"/>
        </w:rPr>
        <w:t xml:space="preserve"> Rundschreiben </w:t>
      </w:r>
      <w:r w:rsidR="00DA10C8" w:rsidRPr="00CE2A2A">
        <w:rPr>
          <w:lang w:val="de-CH"/>
        </w:rPr>
        <w:t>gerichtet, in dem sie eingeladen werden</w:t>
      </w:r>
      <w:r w:rsidR="00B63300" w:rsidRPr="00CE2A2A">
        <w:rPr>
          <w:lang w:val="de-CH"/>
        </w:rPr>
        <w:t xml:space="preserve">, an der Studie teilzunehmen, </w:t>
      </w:r>
      <w:r w:rsidR="00DA10C8" w:rsidRPr="00CE2A2A">
        <w:rPr>
          <w:lang w:val="de-CH"/>
        </w:rPr>
        <w:t xml:space="preserve">mit einer Frist bis zum 27. April 2015 für die Einreichung von Listen mit </w:t>
      </w:r>
      <w:r w:rsidR="0000224E" w:rsidRPr="00CE2A2A">
        <w:rPr>
          <w:lang w:val="de-CH"/>
        </w:rPr>
        <w:t>ähnlichen Bezeichnungen</w:t>
      </w:r>
      <w:r w:rsidRPr="00CE2A2A">
        <w:rPr>
          <w:lang w:val="de-CH"/>
        </w:rPr>
        <w:t>.</w:t>
      </w:r>
      <w:r w:rsidRPr="00CE2A2A">
        <w:rPr>
          <w:lang w:val="de-CH" w:eastAsia="ja-JP"/>
        </w:rPr>
        <w:t xml:space="preserve"> </w:t>
      </w:r>
      <w:r w:rsidR="00536D46">
        <w:rPr>
          <w:lang w:val="de-CH" w:eastAsia="ja-JP"/>
        </w:rPr>
        <w:t>Die</w:t>
      </w:r>
      <w:r w:rsidR="0000224E" w:rsidRPr="00CE2A2A">
        <w:rPr>
          <w:lang w:val="de-CH" w:eastAsia="ja-JP"/>
        </w:rPr>
        <w:t xml:space="preserve"> zweite Tagung der</w:t>
      </w:r>
      <w:r w:rsidR="00DB113F" w:rsidRPr="00CE2A2A">
        <w:rPr>
          <w:lang w:val="de-CH" w:eastAsia="ja-JP"/>
        </w:rPr>
        <w:t xml:space="preserve"> WG-DST</w:t>
      </w:r>
      <w:r w:rsidR="00367F3E" w:rsidRPr="00CE2A2A">
        <w:rPr>
          <w:lang w:val="de-CH" w:eastAsia="ja-JP"/>
        </w:rPr>
        <w:t xml:space="preserve">, auf der über die Studie berichtet </w:t>
      </w:r>
      <w:r w:rsidR="00550CFA">
        <w:rPr>
          <w:lang w:val="de-CH" w:eastAsia="ja-JP"/>
        </w:rPr>
        <w:t xml:space="preserve">werden </w:t>
      </w:r>
      <w:r w:rsidR="00367F3E" w:rsidRPr="00CE2A2A">
        <w:rPr>
          <w:lang w:val="de-CH" w:eastAsia="ja-JP"/>
        </w:rPr>
        <w:t>wird,</w:t>
      </w:r>
      <w:r w:rsidRPr="00CE2A2A">
        <w:rPr>
          <w:lang w:val="de-CH" w:eastAsia="ja-JP"/>
        </w:rPr>
        <w:t xml:space="preserve"> </w:t>
      </w:r>
      <w:r w:rsidR="00550CFA">
        <w:rPr>
          <w:lang w:val="de-CH" w:eastAsia="ja-JP"/>
        </w:rPr>
        <w:t>ist</w:t>
      </w:r>
      <w:r w:rsidR="00367F3E" w:rsidRPr="00CE2A2A">
        <w:rPr>
          <w:lang w:val="de-CH" w:eastAsia="ja-JP"/>
        </w:rPr>
        <w:t xml:space="preserve"> </w:t>
      </w:r>
      <w:r w:rsidR="00536D46">
        <w:rPr>
          <w:lang w:val="de-CH" w:eastAsia="ja-JP"/>
        </w:rPr>
        <w:t>für den</w:t>
      </w:r>
      <w:r w:rsidR="00367F3E" w:rsidRPr="00CE2A2A">
        <w:rPr>
          <w:lang w:val="de-CH" w:eastAsia="ja-JP"/>
        </w:rPr>
        <w:t xml:space="preserve"> 9. Juni 2015 </w:t>
      </w:r>
      <w:r w:rsidR="00550CFA">
        <w:rPr>
          <w:lang w:val="de-CH" w:eastAsia="ja-JP"/>
        </w:rPr>
        <w:t>angesetzt</w:t>
      </w:r>
      <w:r w:rsidRPr="00CE2A2A">
        <w:rPr>
          <w:lang w:val="de-CH" w:eastAsia="ja-JP"/>
        </w:rPr>
        <w:t>.</w:t>
      </w:r>
      <w:r w:rsidRPr="00CE2A2A">
        <w:rPr>
          <w:lang w:val="de-CH"/>
        </w:rPr>
        <w:t xml:space="preserve"> </w:t>
      </w:r>
    </w:p>
    <w:p w:rsidR="00A2438A" w:rsidRPr="00CE2A2A" w:rsidRDefault="00A2438A" w:rsidP="00A2438A">
      <w:pPr>
        <w:rPr>
          <w:lang w:val="de-CH"/>
        </w:rPr>
      </w:pPr>
    </w:p>
    <w:p w:rsidR="00543E63" w:rsidRPr="00CE2A2A" w:rsidRDefault="00DC795D" w:rsidP="00A2438A">
      <w:pPr>
        <w:rPr>
          <w:lang w:val="de-CH" w:eastAsia="ja-JP"/>
        </w:rPr>
      </w:pPr>
      <w:r w:rsidRPr="00C0650D">
        <w:rPr>
          <w:lang w:val="de-CH"/>
        </w:rPr>
        <w:fldChar w:fldCharType="begin"/>
      </w:r>
      <w:r w:rsidRPr="00C0650D">
        <w:rPr>
          <w:lang w:val="de-CH"/>
        </w:rPr>
        <w:instrText xml:space="preserve"> AUTONUM  </w:instrText>
      </w:r>
      <w:r w:rsidRPr="00C0650D">
        <w:rPr>
          <w:lang w:val="de-CH"/>
        </w:rPr>
        <w:fldChar w:fldCharType="end"/>
      </w:r>
      <w:r w:rsidRPr="00C0650D">
        <w:rPr>
          <w:lang w:val="de-CH"/>
        </w:rPr>
        <w:tab/>
      </w:r>
      <w:r w:rsidR="00367F3E" w:rsidRPr="00C0650D">
        <w:rPr>
          <w:lang w:val="de-CH"/>
        </w:rPr>
        <w:t>Die Durchführung der Studie soll folgende Schritte umfassen</w:t>
      </w:r>
      <w:r w:rsidR="00DB113F" w:rsidRPr="00C0650D">
        <w:rPr>
          <w:lang w:val="de-CH" w:eastAsia="ja-JP"/>
        </w:rPr>
        <w:t>:</w:t>
      </w:r>
    </w:p>
    <w:p w:rsidR="00B06046" w:rsidRPr="00CE2A2A" w:rsidRDefault="00B06046" w:rsidP="00A2438A">
      <w:pPr>
        <w:rPr>
          <w:lang w:val="de-CH"/>
        </w:rPr>
      </w:pPr>
    </w:p>
    <w:p w:rsidR="00A1050E" w:rsidRPr="00CE2A2A" w:rsidRDefault="00A1050E" w:rsidP="0063125F">
      <w:pPr>
        <w:ind w:left="567"/>
        <w:rPr>
          <w:lang w:val="de-CH"/>
        </w:rPr>
      </w:pPr>
      <w:r w:rsidRPr="00CE2A2A">
        <w:rPr>
          <w:lang w:val="de-CH" w:eastAsia="ja-JP"/>
        </w:rPr>
        <w:t>S</w:t>
      </w:r>
      <w:r w:rsidR="00367F3E" w:rsidRPr="00CE2A2A">
        <w:rPr>
          <w:lang w:val="de-CH" w:eastAsia="ja-JP"/>
        </w:rPr>
        <w:t>chritt</w:t>
      </w:r>
      <w:r w:rsidRPr="00CE2A2A">
        <w:rPr>
          <w:lang w:val="de-CH" w:eastAsia="ja-JP"/>
        </w:rPr>
        <w:t xml:space="preserve"> 1: </w:t>
      </w:r>
      <w:r w:rsidR="00CB7214" w:rsidRPr="00CE2A2A">
        <w:rPr>
          <w:lang w:val="de-CH" w:eastAsia="ja-JP"/>
        </w:rPr>
        <w:t xml:space="preserve">Auswahl </w:t>
      </w:r>
      <w:r w:rsidR="00FF4D14">
        <w:rPr>
          <w:lang w:val="de-CH" w:eastAsia="ja-JP"/>
        </w:rPr>
        <w:t>der Testbezeichnungen; diese sollten</w:t>
      </w:r>
      <w:r w:rsidR="00CB7214" w:rsidRPr="00CE2A2A">
        <w:rPr>
          <w:lang w:val="de-CH" w:eastAsia="ja-JP"/>
        </w:rPr>
        <w:t xml:space="preserve"> ein</w:t>
      </w:r>
      <w:r w:rsidR="000C2102">
        <w:rPr>
          <w:lang w:val="de-CH" w:eastAsia="ja-JP"/>
        </w:rPr>
        <w:t xml:space="preserve"> breites Spektrum</w:t>
      </w:r>
      <w:r w:rsidR="00CB7214" w:rsidRPr="00CE2A2A">
        <w:rPr>
          <w:lang w:val="de-CH" w:eastAsia="ja-JP"/>
        </w:rPr>
        <w:t xml:space="preserve"> an </w:t>
      </w:r>
      <w:r w:rsidR="00C0650D">
        <w:rPr>
          <w:lang w:val="de-CH" w:eastAsia="ja-JP"/>
        </w:rPr>
        <w:t>Sortenb</w:t>
      </w:r>
      <w:r w:rsidR="00CB7214" w:rsidRPr="00CE2A2A">
        <w:rPr>
          <w:lang w:val="de-CH" w:eastAsia="ja-JP"/>
        </w:rPr>
        <w:t xml:space="preserve">ezeichnungen </w:t>
      </w:r>
      <w:r w:rsidR="00CB7214" w:rsidRPr="00B81A9A">
        <w:rPr>
          <w:lang w:val="de-CH" w:eastAsia="ja-JP"/>
        </w:rPr>
        <w:t>abdecken</w:t>
      </w:r>
    </w:p>
    <w:p w:rsidR="000D5DA3" w:rsidRPr="00CE2A2A" w:rsidRDefault="000D5DA3" w:rsidP="0063125F">
      <w:pPr>
        <w:ind w:left="567"/>
        <w:rPr>
          <w:lang w:val="de-CH" w:eastAsia="ja-JP"/>
        </w:rPr>
      </w:pPr>
    </w:p>
    <w:p w:rsidR="00DC795D" w:rsidRPr="00CE2A2A" w:rsidRDefault="00F57B93" w:rsidP="0063125F">
      <w:pPr>
        <w:ind w:left="567"/>
        <w:rPr>
          <w:lang w:val="de-CH"/>
        </w:rPr>
      </w:pPr>
      <w:r w:rsidRPr="00CE2A2A">
        <w:rPr>
          <w:lang w:val="de-CH"/>
        </w:rPr>
        <w:t xml:space="preserve">Von </w:t>
      </w:r>
      <w:r w:rsidR="00CB7214" w:rsidRPr="00CE2A2A">
        <w:rPr>
          <w:lang w:val="de-CH"/>
        </w:rPr>
        <w:t xml:space="preserve">den Mitgliedern der WG-DST </w:t>
      </w:r>
      <w:r>
        <w:rPr>
          <w:lang w:val="de-CH"/>
        </w:rPr>
        <w:t xml:space="preserve">wurden </w:t>
      </w:r>
      <w:r w:rsidR="00CB7214" w:rsidRPr="00CE2A2A">
        <w:rPr>
          <w:lang w:val="de-CH"/>
        </w:rPr>
        <w:t>Testbezeichnungen vorgeschlagen, von denen</w:t>
      </w:r>
      <w:r w:rsidR="00680BCD" w:rsidRPr="00CE2A2A">
        <w:rPr>
          <w:lang w:val="de-CH"/>
        </w:rPr>
        <w:t xml:space="preserve"> 20 </w:t>
      </w:r>
      <w:r w:rsidR="00CB7214" w:rsidRPr="00CE2A2A">
        <w:rPr>
          <w:lang w:val="de-CH"/>
        </w:rPr>
        <w:t>für die Studie ausgewählt wurden</w:t>
      </w:r>
      <w:r w:rsidR="00483972" w:rsidRPr="00CE2A2A">
        <w:rPr>
          <w:lang w:val="de-CH"/>
        </w:rPr>
        <w:t>.</w:t>
      </w:r>
      <w:r w:rsidR="00DB113F" w:rsidRPr="00CE2A2A">
        <w:rPr>
          <w:rStyle w:val="FootnoteReference"/>
          <w:lang w:val="de-CH"/>
        </w:rPr>
        <w:footnoteReference w:id="5"/>
      </w:r>
    </w:p>
    <w:p w:rsidR="00B06046" w:rsidRPr="00CE2A2A" w:rsidRDefault="00B06046" w:rsidP="0021582C">
      <w:pPr>
        <w:ind w:firstLine="567"/>
        <w:rPr>
          <w:lang w:val="de-CH"/>
        </w:rPr>
      </w:pPr>
    </w:p>
    <w:p w:rsidR="00A1050E" w:rsidRPr="00CE2A2A" w:rsidRDefault="00A1050E" w:rsidP="00F7073A">
      <w:pPr>
        <w:keepNext/>
        <w:ind w:left="567"/>
        <w:rPr>
          <w:lang w:val="de-CH" w:eastAsia="ja-JP"/>
        </w:rPr>
      </w:pPr>
      <w:r w:rsidRPr="00CE2A2A">
        <w:rPr>
          <w:lang w:val="de-CH" w:eastAsia="ja-JP"/>
        </w:rPr>
        <w:lastRenderedPageBreak/>
        <w:t>S</w:t>
      </w:r>
      <w:r w:rsidR="001E63FC" w:rsidRPr="00CE2A2A">
        <w:rPr>
          <w:lang w:val="de-CH" w:eastAsia="ja-JP"/>
        </w:rPr>
        <w:t>chritt</w:t>
      </w:r>
      <w:r w:rsidRPr="00CE2A2A">
        <w:rPr>
          <w:lang w:val="de-CH" w:eastAsia="ja-JP"/>
        </w:rPr>
        <w:t xml:space="preserve"> 2: </w:t>
      </w:r>
      <w:r w:rsidR="00C0650D">
        <w:rPr>
          <w:lang w:val="de-CH" w:eastAsia="ja-JP"/>
        </w:rPr>
        <w:t>Erstellung</w:t>
      </w:r>
      <w:r w:rsidR="00B55CC2" w:rsidRPr="00CE2A2A">
        <w:rPr>
          <w:lang w:val="de-CH" w:eastAsia="ja-JP"/>
        </w:rPr>
        <w:t xml:space="preserve"> von Listen mit ähnlichen </w:t>
      </w:r>
      <w:r w:rsidR="00C0650D">
        <w:rPr>
          <w:lang w:val="de-CH" w:eastAsia="ja-JP"/>
        </w:rPr>
        <w:t>Sortenb</w:t>
      </w:r>
      <w:r w:rsidR="00B55CC2" w:rsidRPr="00CE2A2A">
        <w:rPr>
          <w:lang w:val="de-CH" w:eastAsia="ja-JP"/>
        </w:rPr>
        <w:t>ezeichnungen</w:t>
      </w:r>
    </w:p>
    <w:p w:rsidR="000D5DA3" w:rsidRPr="00CE2A2A" w:rsidRDefault="000D5DA3" w:rsidP="00F7073A">
      <w:pPr>
        <w:keepNext/>
        <w:ind w:left="567"/>
        <w:rPr>
          <w:lang w:val="de-CH" w:eastAsia="ja-JP"/>
        </w:rPr>
      </w:pPr>
    </w:p>
    <w:p w:rsidR="0063125F" w:rsidRPr="00CE2A2A" w:rsidRDefault="00B55CC2" w:rsidP="0021582C">
      <w:pPr>
        <w:ind w:left="567"/>
        <w:rPr>
          <w:lang w:val="de-CH"/>
        </w:rPr>
      </w:pPr>
      <w:r w:rsidRPr="00CE2A2A">
        <w:rPr>
          <w:lang w:val="de-CH"/>
        </w:rPr>
        <w:t xml:space="preserve">Die Teilnehmer werden aufgefordert, für jede Testbezeichnung Listen mit Bezeichnungen einzureichen, die </w:t>
      </w:r>
      <w:r w:rsidR="00F57B93">
        <w:rPr>
          <w:lang w:val="de-CH"/>
        </w:rPr>
        <w:t xml:space="preserve">der Testbezeichnung </w:t>
      </w:r>
      <w:r w:rsidRPr="00CE2A2A">
        <w:rPr>
          <w:lang w:val="de-CH"/>
        </w:rPr>
        <w:t>ihres Erachtens so ähnlich sind, dass eine weitere, individuelle Prüfung erforderlich ist</w:t>
      </w:r>
      <w:r w:rsidR="0063125F" w:rsidRPr="00CE2A2A">
        <w:rPr>
          <w:lang w:val="de-CH"/>
        </w:rPr>
        <w:t xml:space="preserve">.  </w:t>
      </w:r>
    </w:p>
    <w:p w:rsidR="00B06046" w:rsidRPr="00CE2A2A" w:rsidRDefault="00B06046" w:rsidP="0021582C">
      <w:pPr>
        <w:ind w:firstLine="567"/>
        <w:rPr>
          <w:lang w:val="de-CH"/>
        </w:rPr>
      </w:pPr>
    </w:p>
    <w:p w:rsidR="00A1050E" w:rsidRPr="00CE2A2A" w:rsidRDefault="00A1050E" w:rsidP="0021582C">
      <w:pPr>
        <w:ind w:left="567"/>
        <w:rPr>
          <w:lang w:val="de-CH" w:eastAsia="ja-JP"/>
        </w:rPr>
      </w:pPr>
      <w:r w:rsidRPr="00CE2A2A">
        <w:rPr>
          <w:lang w:val="de-CH" w:eastAsia="ja-JP"/>
        </w:rPr>
        <w:t>S</w:t>
      </w:r>
      <w:r w:rsidR="00344EB8" w:rsidRPr="00CE2A2A">
        <w:rPr>
          <w:lang w:val="de-CH" w:eastAsia="ja-JP"/>
        </w:rPr>
        <w:t>chritt</w:t>
      </w:r>
      <w:r w:rsidRPr="00CE2A2A">
        <w:rPr>
          <w:lang w:val="de-CH" w:eastAsia="ja-JP"/>
        </w:rPr>
        <w:t xml:space="preserve"> 3: </w:t>
      </w:r>
      <w:r w:rsidR="00344EB8" w:rsidRPr="00CE2A2A">
        <w:rPr>
          <w:lang w:val="de-CH" w:eastAsia="ja-JP"/>
        </w:rPr>
        <w:t xml:space="preserve">Entwicklung </w:t>
      </w:r>
      <w:r w:rsidR="00344EB8" w:rsidRPr="001D24DE">
        <w:rPr>
          <w:lang w:val="de-CH" w:eastAsia="ja-JP"/>
        </w:rPr>
        <w:t>eines</w:t>
      </w:r>
      <w:r w:rsidRPr="001D24DE">
        <w:rPr>
          <w:lang w:val="de-CH" w:eastAsia="ja-JP"/>
        </w:rPr>
        <w:t xml:space="preserve"> </w:t>
      </w:r>
      <w:r w:rsidR="001D24DE" w:rsidRPr="001D24DE">
        <w:rPr>
          <w:lang w:val="de-CH" w:eastAsia="ja-JP"/>
        </w:rPr>
        <w:t>effektiv</w:t>
      </w:r>
      <w:r w:rsidR="00344EB8" w:rsidRPr="001D24DE">
        <w:rPr>
          <w:lang w:val="de-CH" w:eastAsia="ja-JP"/>
        </w:rPr>
        <w:t xml:space="preserve">en </w:t>
      </w:r>
      <w:r w:rsidR="00A75C60">
        <w:rPr>
          <w:lang w:val="de-CH" w:eastAsia="ja-JP"/>
        </w:rPr>
        <w:t>Suchwerkzeug</w:t>
      </w:r>
      <w:r w:rsidR="00344EB8" w:rsidRPr="001D24DE">
        <w:rPr>
          <w:lang w:val="de-CH" w:eastAsia="ja-JP"/>
        </w:rPr>
        <w:t>s</w:t>
      </w:r>
    </w:p>
    <w:p w:rsidR="000D5DA3" w:rsidRPr="00CE2A2A" w:rsidRDefault="000D5DA3" w:rsidP="0021582C">
      <w:pPr>
        <w:ind w:left="567"/>
        <w:rPr>
          <w:lang w:val="de-CH" w:eastAsia="ja-JP"/>
        </w:rPr>
      </w:pPr>
    </w:p>
    <w:p w:rsidR="0063125F" w:rsidRPr="00CE2A2A" w:rsidRDefault="00F011BD" w:rsidP="0021582C">
      <w:pPr>
        <w:ind w:left="567"/>
        <w:rPr>
          <w:lang w:val="de-CH"/>
        </w:rPr>
      </w:pPr>
      <w:r w:rsidRPr="00CE2A2A">
        <w:rPr>
          <w:lang w:val="de-CH"/>
        </w:rPr>
        <w:t xml:space="preserve">Ein </w:t>
      </w:r>
      <w:r w:rsidR="00A75C60">
        <w:rPr>
          <w:lang w:val="de-CH"/>
        </w:rPr>
        <w:t>Suchwerkzeug</w:t>
      </w:r>
      <w:r w:rsidRPr="00CE2A2A">
        <w:rPr>
          <w:lang w:val="de-CH"/>
        </w:rPr>
        <w:t xml:space="preserve"> für </w:t>
      </w:r>
      <w:r w:rsidR="00A30FA3">
        <w:rPr>
          <w:lang w:val="de-CH"/>
        </w:rPr>
        <w:t xml:space="preserve">ähnliche </w:t>
      </w:r>
      <w:r w:rsidRPr="00CE2A2A">
        <w:rPr>
          <w:lang w:val="de-CH"/>
        </w:rPr>
        <w:t>Bezeichnungen umfasst zwei</w:t>
      </w:r>
      <w:r w:rsidR="00FF4D14">
        <w:rPr>
          <w:lang w:val="de-CH"/>
        </w:rPr>
        <w:t xml:space="preserve"> Elemente</w:t>
      </w:r>
      <w:r w:rsidR="0063125F" w:rsidRPr="00CE2A2A">
        <w:rPr>
          <w:lang w:val="de-CH"/>
        </w:rPr>
        <w:t xml:space="preserve">: </w:t>
      </w:r>
      <w:r w:rsidR="008F2BAD">
        <w:rPr>
          <w:lang w:val="de-CH"/>
        </w:rPr>
        <w:t>das Preprocessing (</w:t>
      </w:r>
      <w:r w:rsidR="00F57B93">
        <w:rPr>
          <w:lang w:val="de-CH"/>
        </w:rPr>
        <w:t>Vorverarbeitung</w:t>
      </w:r>
      <w:r w:rsidR="008F2BAD">
        <w:rPr>
          <w:lang w:val="de-CH"/>
        </w:rPr>
        <w:t>)</w:t>
      </w:r>
      <w:r w:rsidRPr="00CE2A2A">
        <w:rPr>
          <w:lang w:val="de-CH"/>
        </w:rPr>
        <w:t xml:space="preserve"> der Bezeichnungen</w:t>
      </w:r>
      <w:r w:rsidR="0063125F" w:rsidRPr="00CE2A2A">
        <w:rPr>
          <w:lang w:val="de-CH"/>
        </w:rPr>
        <w:t xml:space="preserve"> (</w:t>
      </w:r>
      <w:r w:rsidRPr="00CE2A2A">
        <w:rPr>
          <w:lang w:val="de-CH"/>
        </w:rPr>
        <w:t>z. B.</w:t>
      </w:r>
      <w:r w:rsidR="0063125F" w:rsidRPr="00CE2A2A">
        <w:rPr>
          <w:lang w:val="de-CH"/>
        </w:rPr>
        <w:t xml:space="preserve"> </w:t>
      </w:r>
      <w:r w:rsidR="00F12480" w:rsidRPr="00CE2A2A">
        <w:rPr>
          <w:lang w:val="de-CH"/>
        </w:rPr>
        <w:t>die Behandlung von Doppelbuchstaben wie</w:t>
      </w:r>
      <w:r w:rsidR="0063125F" w:rsidRPr="00CE2A2A">
        <w:rPr>
          <w:lang w:val="de-CH"/>
        </w:rPr>
        <w:t xml:space="preserve"> </w:t>
      </w:r>
      <w:r w:rsidR="00F12480" w:rsidRPr="00CE2A2A">
        <w:rPr>
          <w:lang w:val="de-CH"/>
        </w:rPr>
        <w:t>„</w:t>
      </w:r>
      <w:r w:rsidR="0063125F" w:rsidRPr="00CE2A2A">
        <w:rPr>
          <w:lang w:val="de-CH"/>
        </w:rPr>
        <w:t>ll</w:t>
      </w:r>
      <w:r w:rsidR="00F12480" w:rsidRPr="00CE2A2A">
        <w:rPr>
          <w:lang w:val="de-CH"/>
        </w:rPr>
        <w:t>“ als einen einzigen Buchstaben) und einen Algo</w:t>
      </w:r>
      <w:r w:rsidR="0063125F" w:rsidRPr="00CE2A2A">
        <w:rPr>
          <w:lang w:val="de-CH"/>
        </w:rPr>
        <w:t>rithm</w:t>
      </w:r>
      <w:r w:rsidR="007C3794" w:rsidRPr="00CE2A2A">
        <w:rPr>
          <w:lang w:val="de-CH"/>
        </w:rPr>
        <w:t>us</w:t>
      </w:r>
      <w:r w:rsidR="002127E2">
        <w:rPr>
          <w:lang w:val="de-CH"/>
        </w:rPr>
        <w:t>, mit dem sich hinsichtlich der Ähnlichkeit eine Rangfolge ermitteln lässt.</w:t>
      </w:r>
      <w:r w:rsidR="0063125F" w:rsidRPr="00CE2A2A">
        <w:rPr>
          <w:lang w:val="de-CH"/>
        </w:rPr>
        <w:t xml:space="preserve">  </w:t>
      </w:r>
    </w:p>
    <w:p w:rsidR="0063125F" w:rsidRPr="00CE2A2A" w:rsidRDefault="0063125F" w:rsidP="0063125F">
      <w:pPr>
        <w:rPr>
          <w:lang w:val="de-CH"/>
        </w:rPr>
      </w:pPr>
    </w:p>
    <w:p w:rsidR="0063125F" w:rsidRPr="00CE2A2A" w:rsidRDefault="00CE2A2A" w:rsidP="000D5DA3">
      <w:pPr>
        <w:spacing w:after="240"/>
        <w:ind w:left="540"/>
        <w:rPr>
          <w:lang w:val="de-CH"/>
        </w:rPr>
      </w:pPr>
      <w:r w:rsidRPr="00CE2A2A">
        <w:rPr>
          <w:lang w:val="de-CH"/>
        </w:rPr>
        <w:t>Mit verschiedenen</w:t>
      </w:r>
      <w:r w:rsidR="001D24DE">
        <w:rPr>
          <w:lang w:val="de-CH"/>
        </w:rPr>
        <w:t xml:space="preserve"> Zusammenstellungen</w:t>
      </w:r>
      <w:r w:rsidRPr="00CE2A2A">
        <w:rPr>
          <w:lang w:val="de-CH"/>
        </w:rPr>
        <w:t xml:space="preserve"> </w:t>
      </w:r>
      <w:r w:rsidR="001D24DE">
        <w:rPr>
          <w:lang w:val="de-CH"/>
        </w:rPr>
        <w:t>von</w:t>
      </w:r>
      <w:r w:rsidRPr="00CE2A2A">
        <w:rPr>
          <w:lang w:val="de-CH"/>
        </w:rPr>
        <w:t xml:space="preserve"> </w:t>
      </w:r>
      <w:r w:rsidR="008F2BAD">
        <w:rPr>
          <w:lang w:val="de-CH"/>
        </w:rPr>
        <w:t>Preprocessing</w:t>
      </w:r>
      <w:r w:rsidR="0063125F" w:rsidRPr="00CE2A2A">
        <w:rPr>
          <w:lang w:val="de-CH"/>
        </w:rPr>
        <w:t xml:space="preserve"> (</w:t>
      </w:r>
      <w:r w:rsidRPr="00CE2A2A">
        <w:rPr>
          <w:lang w:val="de-CH"/>
        </w:rPr>
        <w:t>z. B.</w:t>
      </w:r>
      <w:r w:rsidR="0063125F" w:rsidRPr="00CE2A2A">
        <w:rPr>
          <w:lang w:val="de-CH"/>
        </w:rPr>
        <w:t xml:space="preserve"> </w:t>
      </w:r>
      <w:r w:rsidR="001D24DE">
        <w:rPr>
          <w:lang w:val="de-CH"/>
        </w:rPr>
        <w:t xml:space="preserve">die </w:t>
      </w:r>
      <w:r w:rsidR="00674C96">
        <w:rPr>
          <w:lang w:val="de-CH"/>
        </w:rPr>
        <w:t xml:space="preserve">Behandlung von </w:t>
      </w:r>
      <w:r>
        <w:rPr>
          <w:lang w:val="de-CH"/>
        </w:rPr>
        <w:t>„</w:t>
      </w:r>
      <w:r w:rsidR="0063125F" w:rsidRPr="00CE2A2A">
        <w:rPr>
          <w:lang w:val="de-CH"/>
        </w:rPr>
        <w:t>ll</w:t>
      </w:r>
      <w:r>
        <w:rPr>
          <w:lang w:val="de-CH"/>
        </w:rPr>
        <w:t>“ als einen oder als zwei Buchstaben</w:t>
      </w:r>
      <w:r w:rsidR="0063125F" w:rsidRPr="00CE2A2A">
        <w:rPr>
          <w:lang w:val="de-CH"/>
        </w:rPr>
        <w:t xml:space="preserve">) </w:t>
      </w:r>
      <w:r>
        <w:rPr>
          <w:lang w:val="de-CH"/>
        </w:rPr>
        <w:t>und Algorithm</w:t>
      </w:r>
      <w:r w:rsidR="00D86C19">
        <w:rPr>
          <w:lang w:val="de-CH"/>
        </w:rPr>
        <w:t>en</w:t>
      </w:r>
      <w:r w:rsidR="0063125F" w:rsidRPr="00CE2A2A">
        <w:rPr>
          <w:lang w:val="de-CH"/>
        </w:rPr>
        <w:t xml:space="preserve"> (</w:t>
      </w:r>
      <w:r>
        <w:rPr>
          <w:lang w:val="de-CH"/>
        </w:rPr>
        <w:t xml:space="preserve">z. B. unterschiedliche </w:t>
      </w:r>
      <w:r w:rsidR="001D24DE">
        <w:rPr>
          <w:lang w:val="de-CH"/>
        </w:rPr>
        <w:t>Algorithm</w:t>
      </w:r>
      <w:r w:rsidR="008F2BAD">
        <w:rPr>
          <w:lang w:val="de-CH"/>
        </w:rPr>
        <w:t>en</w:t>
      </w:r>
      <w:r w:rsidR="004A7D16">
        <w:rPr>
          <w:lang w:val="de-CH"/>
        </w:rPr>
        <w:t>-K</w:t>
      </w:r>
      <w:r w:rsidR="008F2BAD">
        <w:rPr>
          <w:lang w:val="de-CH"/>
        </w:rPr>
        <w:t>ombinationen</w:t>
      </w:r>
      <w:r w:rsidR="0063125F" w:rsidRPr="00CE2A2A">
        <w:rPr>
          <w:lang w:val="de-CH"/>
        </w:rPr>
        <w:t xml:space="preserve">) </w:t>
      </w:r>
      <w:r w:rsidR="002B703D">
        <w:rPr>
          <w:lang w:val="de-CH"/>
        </w:rPr>
        <w:t>erhält man</w:t>
      </w:r>
      <w:r w:rsidR="00305705">
        <w:rPr>
          <w:lang w:val="de-CH"/>
        </w:rPr>
        <w:t xml:space="preserve"> ein</w:t>
      </w:r>
      <w:r w:rsidR="000C2102">
        <w:rPr>
          <w:lang w:val="de-CH"/>
        </w:rPr>
        <w:t xml:space="preserve"> breites Spektrum</w:t>
      </w:r>
      <w:r w:rsidR="00305705">
        <w:rPr>
          <w:lang w:val="de-CH"/>
        </w:rPr>
        <w:t xml:space="preserve"> an</w:t>
      </w:r>
      <w:r w:rsidR="0063125F" w:rsidRPr="00CE2A2A">
        <w:rPr>
          <w:lang w:val="de-CH"/>
        </w:rPr>
        <w:t xml:space="preserve"> </w:t>
      </w:r>
      <w:r w:rsidR="008F2BAD">
        <w:rPr>
          <w:lang w:val="de-CH"/>
        </w:rPr>
        <w:t>Preprocessing</w:t>
      </w:r>
      <w:r w:rsidR="00D22372">
        <w:rPr>
          <w:lang w:val="de-CH"/>
        </w:rPr>
        <w:t>/Algorithm</w:t>
      </w:r>
      <w:r w:rsidR="001D24DE">
        <w:rPr>
          <w:lang w:val="de-CH"/>
        </w:rPr>
        <w:t>us-</w:t>
      </w:r>
      <w:r w:rsidR="00DA1AF4">
        <w:rPr>
          <w:lang w:val="de-CH"/>
        </w:rPr>
        <w:t>Paaren</w:t>
      </w:r>
      <w:r w:rsidR="00D22372" w:rsidRPr="00CE2A2A">
        <w:rPr>
          <w:lang w:val="de-CH"/>
        </w:rPr>
        <w:t xml:space="preserve"> </w:t>
      </w:r>
      <w:r w:rsidR="0063125F" w:rsidRPr="00CE2A2A">
        <w:rPr>
          <w:lang w:val="de-CH"/>
        </w:rPr>
        <w:t>(PPA</w:t>
      </w:r>
      <w:r w:rsidR="002B703D">
        <w:rPr>
          <w:lang w:val="de-CH"/>
        </w:rPr>
        <w:t>-</w:t>
      </w:r>
      <w:r w:rsidR="002B703D" w:rsidRPr="00CE2A2A">
        <w:rPr>
          <w:lang w:val="de-CH"/>
        </w:rPr>
        <w:t>Sets</w:t>
      </w:r>
      <w:r w:rsidR="0063125F" w:rsidRPr="00CE2A2A">
        <w:rPr>
          <w:lang w:val="de-CH"/>
        </w:rPr>
        <w:t xml:space="preserve">). </w:t>
      </w:r>
      <w:r w:rsidR="000525C0">
        <w:rPr>
          <w:lang w:val="de-CH"/>
        </w:rPr>
        <w:t>Es</w:t>
      </w:r>
      <w:r w:rsidR="008B5249">
        <w:rPr>
          <w:lang w:val="de-CH"/>
        </w:rPr>
        <w:t xml:space="preserve"> soll ein PPA-</w:t>
      </w:r>
      <w:r w:rsidR="002B703D">
        <w:rPr>
          <w:lang w:val="de-CH"/>
        </w:rPr>
        <w:t>Set</w:t>
      </w:r>
      <w:r w:rsidR="008B5249">
        <w:rPr>
          <w:lang w:val="de-CH"/>
        </w:rPr>
        <w:t xml:space="preserve"> gefunden werden, d</w:t>
      </w:r>
      <w:r w:rsidR="002127E2">
        <w:rPr>
          <w:lang w:val="de-CH"/>
        </w:rPr>
        <w:t>as</w:t>
      </w:r>
      <w:r w:rsidR="008B5249">
        <w:rPr>
          <w:lang w:val="de-CH"/>
        </w:rPr>
        <w:t xml:space="preserve"> gegenüber den PPA-S</w:t>
      </w:r>
      <w:r w:rsidR="002B703D">
        <w:rPr>
          <w:lang w:val="de-CH"/>
        </w:rPr>
        <w:t>ets</w:t>
      </w:r>
      <w:r w:rsidR="008B5249">
        <w:rPr>
          <w:lang w:val="de-CH"/>
        </w:rPr>
        <w:t xml:space="preserve"> in </w:t>
      </w:r>
      <w:r w:rsidR="002B703D">
        <w:rPr>
          <w:lang w:val="de-CH"/>
        </w:rPr>
        <w:t>vorhandenen</w:t>
      </w:r>
      <w:r w:rsidR="008B5249">
        <w:rPr>
          <w:lang w:val="de-CH"/>
        </w:rPr>
        <w:t xml:space="preserve"> </w:t>
      </w:r>
      <w:r w:rsidR="00A75C60">
        <w:rPr>
          <w:lang w:val="de-CH"/>
        </w:rPr>
        <w:t>Suchwerkzeug</w:t>
      </w:r>
      <w:r w:rsidR="008B5249">
        <w:rPr>
          <w:lang w:val="de-CH"/>
        </w:rPr>
        <w:t>en eine verbesserte Rangfolg</w:t>
      </w:r>
      <w:r w:rsidR="00DA1AF4">
        <w:rPr>
          <w:lang w:val="de-CH"/>
        </w:rPr>
        <w:t>e</w:t>
      </w:r>
      <w:r w:rsidR="004A7D16">
        <w:rPr>
          <w:lang w:val="de-CH"/>
        </w:rPr>
        <w:t xml:space="preserve"> </w:t>
      </w:r>
      <w:r w:rsidR="008B5249">
        <w:rPr>
          <w:lang w:val="de-CH"/>
        </w:rPr>
        <w:t>der Bezeichnungen</w:t>
      </w:r>
      <w:r w:rsidR="0063125F" w:rsidRPr="00CE2A2A">
        <w:rPr>
          <w:lang w:val="de-CH"/>
        </w:rPr>
        <w:t xml:space="preserve"> </w:t>
      </w:r>
      <w:r w:rsidR="008B5249">
        <w:rPr>
          <w:lang w:val="de-CH"/>
        </w:rPr>
        <w:t>liefert</w:t>
      </w:r>
      <w:r w:rsidR="0063125F" w:rsidRPr="00CE2A2A">
        <w:rPr>
          <w:lang w:val="de-CH"/>
        </w:rPr>
        <w:t>.</w:t>
      </w:r>
    </w:p>
    <w:p w:rsidR="0063125F" w:rsidRPr="00CE2A2A" w:rsidRDefault="00A724A0" w:rsidP="000D5DA3">
      <w:pPr>
        <w:ind w:left="540"/>
        <w:rPr>
          <w:highlight w:val="yellow"/>
          <w:lang w:val="de-CH"/>
        </w:rPr>
      </w:pPr>
      <w:r w:rsidRPr="001D24DE">
        <w:rPr>
          <w:lang w:val="de-CH"/>
        </w:rPr>
        <w:t xml:space="preserve">Das </w:t>
      </w:r>
      <w:r w:rsidR="001D24DE" w:rsidRPr="001D24DE">
        <w:rPr>
          <w:lang w:val="de-CH"/>
        </w:rPr>
        <w:t>effektiv</w:t>
      </w:r>
      <w:r w:rsidRPr="001D24DE">
        <w:rPr>
          <w:lang w:val="de-CH"/>
        </w:rPr>
        <w:t>ste</w:t>
      </w:r>
      <w:r>
        <w:rPr>
          <w:lang w:val="de-CH"/>
        </w:rPr>
        <w:t xml:space="preserve"> Instrument wird durch wi</w:t>
      </w:r>
      <w:r w:rsidR="003C2017">
        <w:rPr>
          <w:lang w:val="de-CH"/>
        </w:rPr>
        <w:t xml:space="preserve">ederholte Tests </w:t>
      </w:r>
      <w:r w:rsidR="002127E2">
        <w:rPr>
          <w:lang w:val="de-CH"/>
        </w:rPr>
        <w:t>mit</w:t>
      </w:r>
      <w:r>
        <w:rPr>
          <w:lang w:val="de-CH"/>
        </w:rPr>
        <w:t xml:space="preserve"> </w:t>
      </w:r>
      <w:r w:rsidR="003C2017">
        <w:rPr>
          <w:lang w:val="de-CH"/>
        </w:rPr>
        <w:t>unterschiedliche</w:t>
      </w:r>
      <w:r w:rsidR="002B703D">
        <w:rPr>
          <w:lang w:val="de-CH"/>
        </w:rPr>
        <w:t>n</w:t>
      </w:r>
      <w:r>
        <w:rPr>
          <w:lang w:val="de-CH"/>
        </w:rPr>
        <w:t xml:space="preserve"> </w:t>
      </w:r>
      <w:r w:rsidR="001D24DE">
        <w:rPr>
          <w:lang w:val="de-CH"/>
        </w:rPr>
        <w:t>Zusammenstellungen von</w:t>
      </w:r>
      <w:r w:rsidR="008F2BAD">
        <w:rPr>
          <w:lang w:val="de-CH"/>
        </w:rPr>
        <w:t xml:space="preserve"> Preprocessing</w:t>
      </w:r>
      <w:r>
        <w:rPr>
          <w:lang w:val="de-CH"/>
        </w:rPr>
        <w:t xml:space="preserve"> und Algorithmen der PLUTO-Datenbank (</w:t>
      </w:r>
      <w:r w:rsidR="0034520A">
        <w:rPr>
          <w:lang w:val="de-CH"/>
        </w:rPr>
        <w:t>z. B.</w:t>
      </w:r>
      <w:r w:rsidR="0063125F" w:rsidRPr="00CE2A2A">
        <w:rPr>
          <w:lang w:val="de-CH"/>
        </w:rPr>
        <w:t xml:space="preserve"> </w:t>
      </w:r>
      <w:r w:rsidR="0034520A" w:rsidRPr="0034520A">
        <w:rPr>
          <w:lang w:val="de-CH"/>
        </w:rPr>
        <w:t>Ähnlichkeitsfaktor [Such</w:t>
      </w:r>
      <w:r w:rsidR="00993A77">
        <w:rPr>
          <w:lang w:val="de-CH"/>
        </w:rPr>
        <w:t>programm</w:t>
      </w:r>
      <w:r w:rsidR="0034520A" w:rsidRPr="0034520A">
        <w:rPr>
          <w:lang w:val="de-CH"/>
        </w:rPr>
        <w:t xml:space="preserve"> des CPVO], unscharfe Suche, phonetisch, enthält, beginnt, endet)</w:t>
      </w:r>
      <w:r w:rsidR="004A7D16">
        <w:rPr>
          <w:lang w:val="de-CH"/>
        </w:rPr>
        <w:t>, der</w:t>
      </w:r>
      <w:r w:rsidR="0063125F" w:rsidRPr="00CE2A2A">
        <w:rPr>
          <w:lang w:val="de-CH"/>
        </w:rPr>
        <w:t xml:space="preserve"> Global</w:t>
      </w:r>
      <w:r w:rsidR="0034520A">
        <w:rPr>
          <w:lang w:val="de-CH"/>
        </w:rPr>
        <w:t>e</w:t>
      </w:r>
      <w:r w:rsidR="004A7D16">
        <w:rPr>
          <w:lang w:val="de-CH"/>
        </w:rPr>
        <w:t>n</w:t>
      </w:r>
      <w:r w:rsidR="0063125F" w:rsidRPr="00CE2A2A">
        <w:rPr>
          <w:lang w:val="de-CH"/>
        </w:rPr>
        <w:t xml:space="preserve"> </w:t>
      </w:r>
      <w:r w:rsidR="0034520A">
        <w:rPr>
          <w:lang w:val="de-CH"/>
        </w:rPr>
        <w:t xml:space="preserve">Datenbank für Marken und gegebenenfalls </w:t>
      </w:r>
      <w:r w:rsidR="0034520A" w:rsidRPr="002127E2">
        <w:rPr>
          <w:lang w:val="de-CH"/>
        </w:rPr>
        <w:t>andere</w:t>
      </w:r>
      <w:r w:rsidR="00993A77">
        <w:rPr>
          <w:lang w:val="de-CH"/>
        </w:rPr>
        <w:t>r</w:t>
      </w:r>
      <w:r w:rsidR="0034520A" w:rsidRPr="002127E2">
        <w:rPr>
          <w:lang w:val="de-CH"/>
        </w:rPr>
        <w:t xml:space="preserve"> Quellen</w:t>
      </w:r>
      <w:r w:rsidR="004A7D16">
        <w:rPr>
          <w:lang w:val="de-CH"/>
        </w:rPr>
        <w:t xml:space="preserve"> ermittelt</w:t>
      </w:r>
      <w:r w:rsidR="0063125F" w:rsidRPr="00CE2A2A">
        <w:rPr>
          <w:lang w:val="de-CH"/>
        </w:rPr>
        <w:t>.</w:t>
      </w:r>
    </w:p>
    <w:p w:rsidR="0063125F" w:rsidRPr="00CE2A2A" w:rsidRDefault="0063125F" w:rsidP="0063125F">
      <w:pPr>
        <w:rPr>
          <w:lang w:val="de-CH"/>
        </w:rPr>
      </w:pPr>
    </w:p>
    <w:p w:rsidR="0063125F" w:rsidRPr="00CE2A2A" w:rsidRDefault="0034520A" w:rsidP="000D5DA3">
      <w:pPr>
        <w:ind w:left="540"/>
        <w:rPr>
          <w:lang w:val="de-CH"/>
        </w:rPr>
      </w:pPr>
      <w:r>
        <w:rPr>
          <w:lang w:val="de-CH"/>
        </w:rPr>
        <w:t>Die</w:t>
      </w:r>
      <w:r w:rsidR="0063125F" w:rsidRPr="00CE2A2A">
        <w:rPr>
          <w:lang w:val="de-CH"/>
        </w:rPr>
        <w:t xml:space="preserve"> PPA</w:t>
      </w:r>
      <w:r>
        <w:rPr>
          <w:lang w:val="de-CH"/>
        </w:rPr>
        <w:t>-S</w:t>
      </w:r>
      <w:r w:rsidR="0063125F" w:rsidRPr="00CE2A2A">
        <w:rPr>
          <w:lang w:val="de-CH"/>
        </w:rPr>
        <w:t xml:space="preserve">ets </w:t>
      </w:r>
      <w:r>
        <w:rPr>
          <w:lang w:val="de-CH"/>
        </w:rPr>
        <w:t xml:space="preserve">werden unter zwei Gesichtspunkten evaluiert: </w:t>
      </w:r>
      <w:r w:rsidR="003E1A97">
        <w:rPr>
          <w:lang w:val="de-CH"/>
        </w:rPr>
        <w:t>Genauigkeit</w:t>
      </w:r>
      <w:r>
        <w:rPr>
          <w:lang w:val="de-CH"/>
        </w:rPr>
        <w:t xml:space="preserve"> (</w:t>
      </w:r>
      <w:r w:rsidRPr="00CE2A2A">
        <w:rPr>
          <w:lang w:val="de-CH"/>
        </w:rPr>
        <w:t>Precision</w:t>
      </w:r>
      <w:r>
        <w:rPr>
          <w:lang w:val="de-CH"/>
        </w:rPr>
        <w:t>)</w:t>
      </w:r>
      <w:r w:rsidRPr="00CE2A2A">
        <w:rPr>
          <w:lang w:val="de-CH"/>
        </w:rPr>
        <w:t xml:space="preserve"> </w:t>
      </w:r>
      <w:r>
        <w:rPr>
          <w:lang w:val="de-CH"/>
        </w:rPr>
        <w:t>u</w:t>
      </w:r>
      <w:r w:rsidR="0063125F" w:rsidRPr="00CE2A2A">
        <w:rPr>
          <w:lang w:val="de-CH"/>
        </w:rPr>
        <w:t xml:space="preserve">nd </w:t>
      </w:r>
      <w:r w:rsidR="00C9090B">
        <w:rPr>
          <w:lang w:val="de-CH"/>
        </w:rPr>
        <w:t>Vollständigkeit</w:t>
      </w:r>
      <w:r>
        <w:rPr>
          <w:lang w:val="de-CH"/>
        </w:rPr>
        <w:t xml:space="preserve"> (</w:t>
      </w:r>
      <w:r w:rsidRPr="00CE2A2A">
        <w:rPr>
          <w:lang w:val="de-CH"/>
        </w:rPr>
        <w:t>Recall</w:t>
      </w:r>
      <w:r>
        <w:rPr>
          <w:lang w:val="de-CH"/>
        </w:rPr>
        <w:t>)</w:t>
      </w:r>
      <w:r w:rsidR="00496E15">
        <w:rPr>
          <w:lang w:val="de-CH"/>
        </w:rPr>
        <w:t xml:space="preserve"> der Suchergebnisse</w:t>
      </w:r>
      <w:r w:rsidR="0063125F" w:rsidRPr="00CE2A2A">
        <w:rPr>
          <w:lang w:val="de-CH"/>
        </w:rPr>
        <w:t xml:space="preserve">. </w:t>
      </w:r>
      <w:r>
        <w:rPr>
          <w:lang w:val="de-CH"/>
        </w:rPr>
        <w:t>„</w:t>
      </w:r>
      <w:r w:rsidR="003E1A97">
        <w:rPr>
          <w:lang w:val="de-CH"/>
        </w:rPr>
        <w:t>Genauigkeit</w:t>
      </w:r>
      <w:r>
        <w:rPr>
          <w:lang w:val="de-CH"/>
        </w:rPr>
        <w:t>“</w:t>
      </w:r>
      <w:r w:rsidR="0063125F" w:rsidRPr="00CE2A2A">
        <w:rPr>
          <w:lang w:val="de-CH"/>
        </w:rPr>
        <w:t xml:space="preserve"> is</w:t>
      </w:r>
      <w:r>
        <w:rPr>
          <w:lang w:val="de-CH"/>
        </w:rPr>
        <w:t xml:space="preserve">t der Anteil der richtigen </w:t>
      </w:r>
      <w:r w:rsidR="00496E15">
        <w:rPr>
          <w:lang w:val="de-CH"/>
        </w:rPr>
        <w:t>Suche</w:t>
      </w:r>
      <w:r>
        <w:rPr>
          <w:lang w:val="de-CH"/>
        </w:rPr>
        <w:t>rgebnisse</w:t>
      </w:r>
      <w:r w:rsidR="0063125F" w:rsidRPr="00CE2A2A">
        <w:rPr>
          <w:lang w:val="de-CH"/>
        </w:rPr>
        <w:t xml:space="preserve"> (</w:t>
      </w:r>
      <w:r w:rsidR="00181D30">
        <w:rPr>
          <w:lang w:val="de-CH"/>
        </w:rPr>
        <w:t>d. h. derjenigen</w:t>
      </w:r>
      <w:r w:rsidR="002B703D">
        <w:rPr>
          <w:lang w:val="de-CH"/>
        </w:rPr>
        <w:t xml:space="preserve"> </w:t>
      </w:r>
      <w:r w:rsidR="00496E15">
        <w:rPr>
          <w:lang w:val="de-CH"/>
        </w:rPr>
        <w:t>Suche</w:t>
      </w:r>
      <w:r w:rsidR="002B703D">
        <w:rPr>
          <w:lang w:val="de-CH"/>
        </w:rPr>
        <w:t>rgebnisse</w:t>
      </w:r>
      <w:r w:rsidR="00181D30">
        <w:rPr>
          <w:lang w:val="de-CH"/>
        </w:rPr>
        <w:t>, die von den Teilnehmern als ähnlich erachtet werden</w:t>
      </w:r>
      <w:r w:rsidR="0063125F" w:rsidRPr="00CE2A2A">
        <w:rPr>
          <w:lang w:val="de-CH"/>
        </w:rPr>
        <w:t xml:space="preserve">) </w:t>
      </w:r>
      <w:r w:rsidR="00181D30">
        <w:rPr>
          <w:lang w:val="de-CH"/>
        </w:rPr>
        <w:t>im Verhältnis zu allen Suchergebnissen, u</w:t>
      </w:r>
      <w:r w:rsidR="0063125F" w:rsidRPr="00CE2A2A">
        <w:rPr>
          <w:lang w:val="de-CH"/>
        </w:rPr>
        <w:t xml:space="preserve">nd </w:t>
      </w:r>
      <w:r w:rsidR="00181D30">
        <w:rPr>
          <w:lang w:val="de-CH"/>
        </w:rPr>
        <w:t>„</w:t>
      </w:r>
      <w:r w:rsidR="00C9090B">
        <w:rPr>
          <w:lang w:val="de-CH"/>
        </w:rPr>
        <w:t>Vollständigkeit</w:t>
      </w:r>
      <w:r w:rsidR="00181D30">
        <w:rPr>
          <w:lang w:val="de-CH"/>
        </w:rPr>
        <w:t xml:space="preserve">“ ist der Anteil der </w:t>
      </w:r>
      <w:r w:rsidR="00E37A9E">
        <w:rPr>
          <w:lang w:val="de-CH"/>
        </w:rPr>
        <w:t xml:space="preserve">vom </w:t>
      </w:r>
      <w:r w:rsidR="00A75C60">
        <w:rPr>
          <w:lang w:val="de-CH"/>
        </w:rPr>
        <w:t>Suchwerkzeug</w:t>
      </w:r>
      <w:r w:rsidR="00E37A9E">
        <w:rPr>
          <w:lang w:val="de-CH"/>
        </w:rPr>
        <w:t xml:space="preserve"> ermittelten </w:t>
      </w:r>
      <w:r w:rsidR="00181D30">
        <w:rPr>
          <w:lang w:val="de-CH"/>
        </w:rPr>
        <w:t xml:space="preserve">richtigen </w:t>
      </w:r>
      <w:r w:rsidR="00496E15">
        <w:rPr>
          <w:lang w:val="de-CH"/>
        </w:rPr>
        <w:t>Sucher</w:t>
      </w:r>
      <w:r w:rsidR="00181D30">
        <w:rPr>
          <w:lang w:val="de-CH"/>
        </w:rPr>
        <w:t xml:space="preserve">gebnisse im Verhältnis zu allen richtigen Ergebnissen (d. h. einschließlich der nicht </w:t>
      </w:r>
      <w:r w:rsidR="00E37A9E">
        <w:rPr>
          <w:lang w:val="de-CH"/>
        </w:rPr>
        <w:t>ermittelten</w:t>
      </w:r>
      <w:r w:rsidR="00181D30">
        <w:rPr>
          <w:lang w:val="de-CH"/>
        </w:rPr>
        <w:t xml:space="preserve"> richtigen Ergebnisse</w:t>
      </w:r>
      <w:r w:rsidR="0063125F" w:rsidRPr="00CE2A2A">
        <w:rPr>
          <w:lang w:val="de-CH"/>
        </w:rPr>
        <w:t>).</w:t>
      </w:r>
    </w:p>
    <w:p w:rsidR="00DC795D" w:rsidRPr="00CE2A2A" w:rsidRDefault="00DC795D" w:rsidP="0063125F">
      <w:pPr>
        <w:ind w:firstLine="567"/>
        <w:rPr>
          <w:lang w:val="de-CH"/>
        </w:rPr>
      </w:pPr>
    </w:p>
    <w:p w:rsidR="00B06046" w:rsidRPr="00CE2A2A" w:rsidRDefault="00A1050E" w:rsidP="00A2438A">
      <w:pPr>
        <w:rPr>
          <w:lang w:val="de-CH"/>
        </w:rPr>
      </w:pPr>
      <w:r w:rsidRPr="00CE2A2A">
        <w:rPr>
          <w:lang w:val="de-CH"/>
        </w:rPr>
        <w:fldChar w:fldCharType="begin"/>
      </w:r>
      <w:r w:rsidRPr="00CE2A2A">
        <w:rPr>
          <w:lang w:val="de-CH"/>
        </w:rPr>
        <w:instrText xml:space="preserve"> AUTONUM  </w:instrText>
      </w:r>
      <w:r w:rsidRPr="00CE2A2A">
        <w:rPr>
          <w:lang w:val="de-CH"/>
        </w:rPr>
        <w:fldChar w:fldCharType="end"/>
      </w:r>
      <w:r w:rsidRPr="00CE2A2A">
        <w:rPr>
          <w:lang w:val="de-CH"/>
        </w:rPr>
        <w:tab/>
      </w:r>
      <w:r w:rsidR="0098796D">
        <w:rPr>
          <w:lang w:val="de-CH"/>
        </w:rPr>
        <w:t>Die Ergebnisse der Teststudie werden auf der zweiten Tagung der WG-DST vorgestellt</w:t>
      </w:r>
      <w:r w:rsidR="0098796D">
        <w:rPr>
          <w:lang w:val="de-CH" w:eastAsia="ja-JP"/>
        </w:rPr>
        <w:t xml:space="preserve">. Das </w:t>
      </w:r>
      <w:r w:rsidR="002B703D" w:rsidRPr="001D24DE">
        <w:rPr>
          <w:lang w:val="de-CH" w:eastAsia="ja-JP"/>
        </w:rPr>
        <w:t>hinsichtlich</w:t>
      </w:r>
      <w:r w:rsidR="0098796D" w:rsidRPr="001D24DE">
        <w:rPr>
          <w:lang w:val="de-CH" w:eastAsia="ja-JP"/>
        </w:rPr>
        <w:t xml:space="preserve"> Genauigkeit</w:t>
      </w:r>
      <w:r w:rsidR="00257984" w:rsidRPr="001D24DE">
        <w:rPr>
          <w:lang w:val="de-CH" w:eastAsia="ja-JP"/>
        </w:rPr>
        <w:t xml:space="preserve"> und Vollständigkeit</w:t>
      </w:r>
      <w:r w:rsidR="0098796D" w:rsidRPr="001D24DE">
        <w:rPr>
          <w:lang w:val="de-CH" w:eastAsia="ja-JP"/>
        </w:rPr>
        <w:t xml:space="preserve"> </w:t>
      </w:r>
      <w:r w:rsidR="001D24DE" w:rsidRPr="001D24DE">
        <w:rPr>
          <w:lang w:val="de-CH" w:eastAsia="ja-JP"/>
        </w:rPr>
        <w:t>effektiv</w:t>
      </w:r>
      <w:r w:rsidR="0098796D" w:rsidRPr="001D24DE">
        <w:rPr>
          <w:lang w:val="de-CH" w:eastAsia="ja-JP"/>
        </w:rPr>
        <w:t xml:space="preserve">ste </w:t>
      </w:r>
      <w:r w:rsidR="00A75C60">
        <w:rPr>
          <w:lang w:val="de-CH" w:eastAsia="ja-JP"/>
        </w:rPr>
        <w:t>Suchwerkzeug</w:t>
      </w:r>
      <w:r w:rsidRPr="001D24DE">
        <w:rPr>
          <w:lang w:val="de-CH" w:eastAsia="ja-JP"/>
        </w:rPr>
        <w:t xml:space="preserve"> </w:t>
      </w:r>
      <w:r w:rsidR="0098796D" w:rsidRPr="001D24DE">
        <w:rPr>
          <w:lang w:val="de-CH" w:eastAsia="ja-JP"/>
        </w:rPr>
        <w:t>wird beschrieben und dokumentiert</w:t>
      </w:r>
      <w:r w:rsidR="00B06046" w:rsidRPr="001D24DE">
        <w:rPr>
          <w:lang w:val="de-CH"/>
        </w:rPr>
        <w:t>.</w:t>
      </w:r>
    </w:p>
    <w:p w:rsidR="00400F79" w:rsidRDefault="00400F79" w:rsidP="00483972">
      <w:pPr>
        <w:rPr>
          <w:snapToGrid w:val="0"/>
          <w:lang w:val="de-CH"/>
        </w:rPr>
      </w:pPr>
    </w:p>
    <w:p w:rsidR="00F7073A" w:rsidRPr="00CE2A2A" w:rsidRDefault="00F7073A" w:rsidP="00483972">
      <w:pPr>
        <w:rPr>
          <w:snapToGrid w:val="0"/>
          <w:lang w:val="de-CH"/>
        </w:rPr>
      </w:pPr>
    </w:p>
    <w:p w:rsidR="00A1050E" w:rsidRPr="00CE2A2A" w:rsidRDefault="00A1050E" w:rsidP="00A1050E">
      <w:pPr>
        <w:rPr>
          <w:lang w:val="de-CH" w:eastAsia="ja-JP"/>
        </w:rPr>
      </w:pPr>
    </w:p>
    <w:p w:rsidR="00A2438A" w:rsidRPr="00CE2A2A" w:rsidRDefault="001D664A" w:rsidP="00B45126">
      <w:pPr>
        <w:pStyle w:val="Heading1"/>
        <w:rPr>
          <w:snapToGrid w:val="0"/>
          <w:lang w:val="de-CH"/>
        </w:rPr>
      </w:pPr>
      <w:bookmarkStart w:id="18" w:name="_Toc413652563"/>
      <w:r w:rsidRPr="001D664A">
        <w:rPr>
          <w:snapToGrid w:val="0"/>
          <w:lang w:val="de-CH"/>
        </w:rPr>
        <w:t>Überarbeitung des Dokuments UPOV/INF/12 „Erläuterungen zu Sorten</w:t>
      </w:r>
      <w:r>
        <w:rPr>
          <w:snapToGrid w:val="0"/>
          <w:lang w:val="de-CH"/>
        </w:rPr>
        <w:softHyphen/>
      </w:r>
      <w:r w:rsidRPr="001D664A">
        <w:rPr>
          <w:snapToGrid w:val="0"/>
          <w:lang w:val="de-CH"/>
        </w:rPr>
        <w:t>bezeichnungen nach dem UPOV-Übereinkommen“</w:t>
      </w:r>
      <w:bookmarkEnd w:id="18"/>
    </w:p>
    <w:p w:rsidR="00A2438A" w:rsidRPr="00CE2A2A" w:rsidRDefault="00A2438A" w:rsidP="00A2438A">
      <w:pPr>
        <w:keepNext/>
        <w:rPr>
          <w:rFonts w:cs="Arial"/>
          <w:snapToGrid w:val="0"/>
          <w:lang w:val="de-CH" w:eastAsia="ja-JP"/>
        </w:rPr>
      </w:pPr>
    </w:p>
    <w:p w:rsidR="00D81E9C" w:rsidRPr="00CE2A2A" w:rsidRDefault="00D81E9C" w:rsidP="00D81E9C">
      <w:pPr>
        <w:rPr>
          <w:lang w:val="de-CH"/>
        </w:rPr>
      </w:pPr>
      <w:r w:rsidRPr="00CE2A2A">
        <w:rPr>
          <w:lang w:val="de-CH"/>
        </w:rPr>
        <w:fldChar w:fldCharType="begin"/>
      </w:r>
      <w:r w:rsidRPr="00CE2A2A">
        <w:rPr>
          <w:lang w:val="de-CH"/>
        </w:rPr>
        <w:instrText xml:space="preserve"> AUTONUM  </w:instrText>
      </w:r>
      <w:r w:rsidRPr="00CE2A2A">
        <w:rPr>
          <w:lang w:val="de-CH"/>
        </w:rPr>
        <w:fldChar w:fldCharType="end"/>
      </w:r>
      <w:r w:rsidRPr="00CE2A2A">
        <w:rPr>
          <w:lang w:val="de-CH"/>
        </w:rPr>
        <w:tab/>
      </w:r>
      <w:r w:rsidR="001D664A">
        <w:rPr>
          <w:lang w:val="de-CH"/>
        </w:rPr>
        <w:t>Der</w:t>
      </w:r>
      <w:r w:rsidRPr="00CE2A2A">
        <w:rPr>
          <w:lang w:val="de-CH"/>
        </w:rPr>
        <w:t xml:space="preserve"> CAJ</w:t>
      </w:r>
      <w:r w:rsidR="00783221">
        <w:rPr>
          <w:lang w:val="de-CH"/>
        </w:rPr>
        <w:t xml:space="preserve"> billigte auf seiner neunundsechzigsten Tagung</w:t>
      </w:r>
      <w:r w:rsidRPr="00CE2A2A">
        <w:rPr>
          <w:rStyle w:val="FootnoteReference"/>
          <w:lang w:val="de-CH"/>
        </w:rPr>
        <w:footnoteReference w:id="6"/>
      </w:r>
      <w:r w:rsidRPr="00CE2A2A">
        <w:rPr>
          <w:lang w:val="de-CH"/>
        </w:rPr>
        <w:t xml:space="preserve"> </w:t>
      </w:r>
      <w:r w:rsidR="00783221" w:rsidRPr="00783221">
        <w:rPr>
          <w:lang w:val="de-CH"/>
        </w:rPr>
        <w:t xml:space="preserve">das Arbeitsprogramm für die </w:t>
      </w:r>
      <w:r w:rsidR="00294A12">
        <w:rPr>
          <w:lang w:val="de-CH"/>
        </w:rPr>
        <w:t xml:space="preserve">Ausarbeitung </w:t>
      </w:r>
      <w:r w:rsidR="00783221" w:rsidRPr="00783221">
        <w:rPr>
          <w:lang w:val="de-CH"/>
        </w:rPr>
        <w:t xml:space="preserve">von Informationsmaterial für die neunte </w:t>
      </w:r>
      <w:r w:rsidR="00783221">
        <w:rPr>
          <w:lang w:val="de-CH"/>
        </w:rPr>
        <w:t>Tagung</w:t>
      </w:r>
      <w:r w:rsidRPr="00CE2A2A">
        <w:rPr>
          <w:lang w:val="de-CH"/>
        </w:rPr>
        <w:t xml:space="preserve"> </w:t>
      </w:r>
      <w:r w:rsidR="00783221">
        <w:rPr>
          <w:lang w:val="de-CH"/>
        </w:rPr>
        <w:t>der</w:t>
      </w:r>
      <w:r w:rsidRPr="00CE2A2A">
        <w:rPr>
          <w:snapToGrid w:val="0"/>
          <w:lang w:val="de-CH"/>
        </w:rPr>
        <w:t xml:space="preserve"> CAJ</w:t>
      </w:r>
      <w:r w:rsidR="00783221">
        <w:rPr>
          <w:snapToGrid w:val="0"/>
          <w:lang w:val="de-CH"/>
        </w:rPr>
        <w:t>-</w:t>
      </w:r>
      <w:r w:rsidRPr="00CE2A2A">
        <w:rPr>
          <w:snapToGrid w:val="0"/>
          <w:lang w:val="de-CH"/>
        </w:rPr>
        <w:t>AG</w:t>
      </w:r>
      <w:r w:rsidR="00294A12" w:rsidRPr="00CE2A2A">
        <w:rPr>
          <w:rStyle w:val="FootnoteReference"/>
          <w:lang w:val="de-CH"/>
        </w:rPr>
        <w:footnoteReference w:id="7"/>
      </w:r>
      <w:r w:rsidRPr="00CE2A2A">
        <w:rPr>
          <w:snapToGrid w:val="0"/>
          <w:lang w:val="de-CH"/>
        </w:rPr>
        <w:t xml:space="preserve">. </w:t>
      </w:r>
      <w:r w:rsidR="00783221">
        <w:rPr>
          <w:snapToGrid w:val="0"/>
          <w:lang w:val="de-CH"/>
        </w:rPr>
        <w:t xml:space="preserve">Das Arbeitsprogramm umfasste die </w:t>
      </w:r>
      <w:r w:rsidR="00783221" w:rsidRPr="00993A77">
        <w:rPr>
          <w:rFonts w:cs="Arial"/>
          <w:lang w:val="de-CH" w:eastAsia="ja-JP"/>
        </w:rPr>
        <w:t xml:space="preserve">Ausarbeitung von Anleitung durch die </w:t>
      </w:r>
      <w:r w:rsidR="00B45126" w:rsidRPr="00CE2A2A">
        <w:rPr>
          <w:rFonts w:cs="Arial"/>
          <w:lang w:val="de-CH" w:eastAsia="ja-JP"/>
        </w:rPr>
        <w:t xml:space="preserve">CAJ-AG </w:t>
      </w:r>
      <w:r w:rsidR="00783221" w:rsidRPr="00993A77">
        <w:rPr>
          <w:rFonts w:cs="Arial"/>
          <w:lang w:val="de-CH" w:eastAsia="ja-JP"/>
        </w:rPr>
        <w:t>zu</w:t>
      </w:r>
      <w:r w:rsidR="00A75C60" w:rsidRPr="00993A77">
        <w:rPr>
          <w:rFonts w:cs="Arial"/>
          <w:lang w:val="de-CH" w:eastAsia="ja-JP"/>
        </w:rPr>
        <w:t xml:space="preserve"> der von einem</w:t>
      </w:r>
      <w:r w:rsidR="00783221" w:rsidRPr="00993A77">
        <w:rPr>
          <w:rFonts w:cs="Arial"/>
          <w:lang w:val="de-CH" w:eastAsia="ja-JP"/>
        </w:rPr>
        <w:t xml:space="preserve"> Züchter</w:t>
      </w:r>
      <w:r w:rsidR="00A75C60" w:rsidRPr="00993A77">
        <w:rPr>
          <w:rFonts w:cs="Arial"/>
          <w:lang w:val="de-CH" w:eastAsia="ja-JP"/>
        </w:rPr>
        <w:t xml:space="preserve"> beantragten</w:t>
      </w:r>
      <w:r w:rsidR="00783221" w:rsidRPr="00993A77">
        <w:rPr>
          <w:rFonts w:cs="Arial"/>
          <w:lang w:val="de-CH" w:eastAsia="ja-JP"/>
        </w:rPr>
        <w:t xml:space="preserve"> Änderung</w:t>
      </w:r>
      <w:r w:rsidR="00783221">
        <w:rPr>
          <w:rFonts w:cs="Arial"/>
          <w:lang w:val="de-CH" w:eastAsia="ja-JP"/>
        </w:rPr>
        <w:t xml:space="preserve"> einer eingetragenen Sortenbezeich</w:t>
      </w:r>
      <w:r w:rsidR="006A7618">
        <w:rPr>
          <w:rFonts w:cs="Arial"/>
          <w:lang w:val="de-CH" w:eastAsia="ja-JP"/>
        </w:rPr>
        <w:t>n</w:t>
      </w:r>
      <w:r w:rsidR="00783221">
        <w:rPr>
          <w:rFonts w:cs="Arial"/>
          <w:lang w:val="de-CH" w:eastAsia="ja-JP"/>
        </w:rPr>
        <w:t>ung</w:t>
      </w:r>
      <w:r w:rsidR="001F730D" w:rsidRPr="00CE2A2A">
        <w:rPr>
          <w:rStyle w:val="FootnoteReference"/>
          <w:rFonts w:cs="Arial"/>
          <w:lang w:val="de-CH"/>
        </w:rPr>
        <w:footnoteReference w:id="8"/>
      </w:r>
      <w:r w:rsidR="00A1050E" w:rsidRPr="00CE2A2A">
        <w:rPr>
          <w:rFonts w:cs="Arial"/>
          <w:lang w:val="de-CH" w:eastAsia="ja-JP"/>
        </w:rPr>
        <w:t xml:space="preserve">. </w:t>
      </w:r>
      <w:r w:rsidR="006A7618">
        <w:rPr>
          <w:rFonts w:cs="Arial"/>
          <w:lang w:val="de-CH" w:eastAsia="ja-JP"/>
        </w:rPr>
        <w:t xml:space="preserve">Die </w:t>
      </w:r>
      <w:r w:rsidR="00294A12">
        <w:rPr>
          <w:rFonts w:cs="Arial"/>
          <w:lang w:val="de-CH" w:eastAsia="ja-JP"/>
        </w:rPr>
        <w:t>CAJ-AG vereinbart</w:t>
      </w:r>
      <w:r w:rsidR="00A75C60">
        <w:rPr>
          <w:rFonts w:cs="Arial"/>
          <w:lang w:val="de-CH" w:eastAsia="ja-JP"/>
        </w:rPr>
        <w:t>e</w:t>
      </w:r>
      <w:r w:rsidR="00294A12">
        <w:rPr>
          <w:rFonts w:cs="Arial"/>
          <w:lang w:val="de-CH" w:eastAsia="ja-JP"/>
        </w:rPr>
        <w:t xml:space="preserve"> auf ihrer achten Tagung</w:t>
      </w:r>
      <w:r w:rsidR="00294A12" w:rsidRPr="00CE2A2A">
        <w:rPr>
          <w:rStyle w:val="FootnoteReference"/>
          <w:lang w:val="de-CH"/>
        </w:rPr>
        <w:footnoteReference w:id="9"/>
      </w:r>
      <w:r w:rsidR="00294A12">
        <w:rPr>
          <w:rFonts w:cs="Arial"/>
          <w:lang w:val="de-CH" w:eastAsia="ja-JP"/>
        </w:rPr>
        <w:t xml:space="preserve">, welche </w:t>
      </w:r>
      <w:r w:rsidR="00A75C60">
        <w:rPr>
          <w:rFonts w:cs="Arial"/>
          <w:lang w:val="de-CH" w:eastAsia="ja-JP"/>
        </w:rPr>
        <w:t>Kernpunkte</w:t>
      </w:r>
      <w:r w:rsidR="00294A12">
        <w:rPr>
          <w:rFonts w:cs="Arial"/>
          <w:lang w:val="de-CH" w:eastAsia="ja-JP"/>
        </w:rPr>
        <w:t xml:space="preserve"> </w:t>
      </w:r>
      <w:r w:rsidR="006A7618">
        <w:rPr>
          <w:rFonts w:cs="Arial"/>
          <w:lang w:val="de-CH" w:eastAsia="ja-JP"/>
        </w:rPr>
        <w:t xml:space="preserve">in der Anleitung </w:t>
      </w:r>
      <w:r w:rsidR="00294A12">
        <w:rPr>
          <w:rFonts w:cs="Arial"/>
          <w:lang w:val="de-CH" w:eastAsia="ja-JP"/>
        </w:rPr>
        <w:t>vertieft werden sollten</w:t>
      </w:r>
      <w:r w:rsidR="001F730D" w:rsidRPr="00CE2A2A">
        <w:rPr>
          <w:lang w:val="de-CH"/>
        </w:rPr>
        <w:t xml:space="preserve">. </w:t>
      </w:r>
      <w:r w:rsidR="006A7618">
        <w:rPr>
          <w:lang w:val="de-CH"/>
        </w:rPr>
        <w:t>Der</w:t>
      </w:r>
      <w:r w:rsidRPr="00CE2A2A">
        <w:rPr>
          <w:snapToGrid w:val="0"/>
          <w:lang w:val="de-CH"/>
        </w:rPr>
        <w:t xml:space="preserve"> CAJ</w:t>
      </w:r>
      <w:r w:rsidRPr="00CE2A2A">
        <w:rPr>
          <w:rFonts w:cs="Arial"/>
          <w:lang w:val="de-CH"/>
        </w:rPr>
        <w:t xml:space="preserve"> </w:t>
      </w:r>
      <w:r w:rsidR="006A7618">
        <w:rPr>
          <w:rFonts w:cs="Arial"/>
          <w:lang w:val="de-CH"/>
        </w:rPr>
        <w:t>vereinbarte</w:t>
      </w:r>
      <w:r w:rsidR="0092329C">
        <w:rPr>
          <w:rFonts w:cs="Arial"/>
          <w:lang w:val="de-CH"/>
        </w:rPr>
        <w:t>,</w:t>
      </w:r>
      <w:r w:rsidR="006A7618">
        <w:rPr>
          <w:rFonts w:cs="Arial"/>
          <w:lang w:val="de-CH"/>
        </w:rPr>
        <w:t xml:space="preserve"> </w:t>
      </w:r>
      <w:r w:rsidR="004D3533">
        <w:rPr>
          <w:rFonts w:cs="Arial"/>
          <w:lang w:val="de-CH"/>
        </w:rPr>
        <w:t>dass ein Entwurf für eine Überarbeitung der Erläuterungen zu Sortenbezeichnungen nach dem UPOV-Übereinkommen</w:t>
      </w:r>
      <w:r w:rsidRPr="00CE2A2A">
        <w:rPr>
          <w:lang w:val="de-CH"/>
        </w:rPr>
        <w:t xml:space="preserve"> </w:t>
      </w:r>
      <w:r w:rsidR="006C244E">
        <w:rPr>
          <w:lang w:val="de-CH"/>
        </w:rPr>
        <w:t>den Mitgliedern der</w:t>
      </w:r>
      <w:r w:rsidRPr="00CE2A2A">
        <w:rPr>
          <w:szCs w:val="24"/>
          <w:lang w:val="de-CH"/>
        </w:rPr>
        <w:t xml:space="preserve"> CAJ-AG </w:t>
      </w:r>
      <w:r w:rsidR="006C244E">
        <w:rPr>
          <w:szCs w:val="24"/>
          <w:lang w:val="de-CH"/>
        </w:rPr>
        <w:t>bis zum</w:t>
      </w:r>
      <w:r w:rsidRPr="00CE2A2A">
        <w:rPr>
          <w:szCs w:val="24"/>
          <w:lang w:val="de-CH"/>
        </w:rPr>
        <w:t xml:space="preserve"> </w:t>
      </w:r>
      <w:r w:rsidR="006C244E">
        <w:rPr>
          <w:szCs w:val="24"/>
          <w:lang w:val="de-CH"/>
        </w:rPr>
        <w:t>9. </w:t>
      </w:r>
      <w:r w:rsidRPr="00CE2A2A">
        <w:rPr>
          <w:szCs w:val="24"/>
          <w:lang w:val="de-CH"/>
        </w:rPr>
        <w:t>Ma</w:t>
      </w:r>
      <w:r w:rsidR="008F2BAD">
        <w:rPr>
          <w:szCs w:val="24"/>
          <w:lang w:val="de-CH"/>
        </w:rPr>
        <w:t>i</w:t>
      </w:r>
      <w:r w:rsidRPr="00CE2A2A">
        <w:rPr>
          <w:szCs w:val="24"/>
          <w:lang w:val="de-CH"/>
        </w:rPr>
        <w:t> 2014</w:t>
      </w:r>
      <w:r w:rsidR="0011722A">
        <w:rPr>
          <w:szCs w:val="24"/>
          <w:lang w:val="de-CH"/>
        </w:rPr>
        <w:t xml:space="preserve"> zugeleitet werden solle</w:t>
      </w:r>
      <w:r w:rsidRPr="00CE2A2A">
        <w:rPr>
          <w:szCs w:val="24"/>
          <w:lang w:val="de-CH"/>
        </w:rPr>
        <w:t xml:space="preserve"> </w:t>
      </w:r>
      <w:r w:rsidR="006C244E">
        <w:rPr>
          <w:szCs w:val="24"/>
          <w:lang w:val="de-CH"/>
        </w:rPr>
        <w:t>und vereinbarte</w:t>
      </w:r>
      <w:r w:rsidR="009152A1">
        <w:rPr>
          <w:szCs w:val="24"/>
          <w:lang w:val="de-CH"/>
        </w:rPr>
        <w:t xml:space="preserve"> außerdem, die CAJ-Mitglieder und Beobachter aufzufordern, </w:t>
      </w:r>
      <w:r w:rsidR="0011722A">
        <w:rPr>
          <w:szCs w:val="24"/>
          <w:lang w:val="de-CH"/>
        </w:rPr>
        <w:t xml:space="preserve">Bemerkungen </w:t>
      </w:r>
      <w:r w:rsidR="009152A1">
        <w:rPr>
          <w:szCs w:val="24"/>
          <w:lang w:val="de-CH"/>
        </w:rPr>
        <w:t xml:space="preserve">zum Entwurf </w:t>
      </w:r>
      <w:r w:rsidR="0011722A">
        <w:rPr>
          <w:szCs w:val="24"/>
          <w:lang w:val="de-CH"/>
        </w:rPr>
        <w:t>abzugeben</w:t>
      </w:r>
      <w:r w:rsidRPr="00CE2A2A">
        <w:rPr>
          <w:rStyle w:val="FootnoteReference"/>
          <w:szCs w:val="24"/>
          <w:lang w:val="de-CH"/>
        </w:rPr>
        <w:footnoteReference w:id="10"/>
      </w:r>
      <w:r w:rsidRPr="00CE2A2A">
        <w:rPr>
          <w:lang w:val="de-CH"/>
        </w:rPr>
        <w:t>.</w:t>
      </w:r>
    </w:p>
    <w:p w:rsidR="00D81E9C" w:rsidRPr="00CE2A2A" w:rsidRDefault="00D81E9C" w:rsidP="00D81E9C">
      <w:pPr>
        <w:rPr>
          <w:lang w:val="de-CH"/>
        </w:rPr>
      </w:pPr>
    </w:p>
    <w:p w:rsidR="00D81E9C" w:rsidRPr="00CE2A2A" w:rsidRDefault="00D81E9C" w:rsidP="00D81E9C">
      <w:pPr>
        <w:rPr>
          <w:lang w:val="de-CH" w:eastAsia="ja-JP"/>
        </w:rPr>
      </w:pPr>
      <w:r w:rsidRPr="00CE2A2A">
        <w:rPr>
          <w:rFonts w:cs="Arial"/>
          <w:lang w:val="de-CH"/>
        </w:rPr>
        <w:fldChar w:fldCharType="begin"/>
      </w:r>
      <w:r w:rsidRPr="00CE2A2A">
        <w:rPr>
          <w:rFonts w:cs="Arial"/>
          <w:lang w:val="de-CH"/>
        </w:rPr>
        <w:instrText xml:space="preserve"> AUTONUM  </w:instrText>
      </w:r>
      <w:r w:rsidRPr="00CE2A2A">
        <w:rPr>
          <w:rFonts w:cs="Arial"/>
          <w:lang w:val="de-CH"/>
        </w:rPr>
        <w:fldChar w:fldCharType="end"/>
      </w:r>
      <w:r w:rsidRPr="00CE2A2A">
        <w:rPr>
          <w:rFonts w:cs="Arial"/>
          <w:lang w:val="de-CH"/>
        </w:rPr>
        <w:tab/>
      </w:r>
      <w:r w:rsidR="009152A1">
        <w:rPr>
          <w:rFonts w:cs="Arial"/>
          <w:lang w:val="de-CH"/>
        </w:rPr>
        <w:t xml:space="preserve">Der Entwurf wurde als Dokument </w:t>
      </w:r>
      <w:r w:rsidRPr="00CE2A2A">
        <w:rPr>
          <w:lang w:val="de-CH"/>
        </w:rPr>
        <w:t>UPOV/INF/12/5 Draft</w:t>
      </w:r>
      <w:r w:rsidR="009152A1">
        <w:rPr>
          <w:lang w:val="de-CH"/>
        </w:rPr>
        <w:t> </w:t>
      </w:r>
      <w:r w:rsidRPr="00CE2A2A">
        <w:rPr>
          <w:lang w:val="de-CH"/>
        </w:rPr>
        <w:t>1</w:t>
      </w:r>
      <w:r w:rsidRPr="00CE2A2A">
        <w:rPr>
          <w:lang w:val="de-CH" w:eastAsia="ja-JP"/>
        </w:rPr>
        <w:t xml:space="preserve"> </w:t>
      </w:r>
      <w:r w:rsidR="009152A1">
        <w:rPr>
          <w:lang w:val="de-CH" w:eastAsia="ja-JP"/>
        </w:rPr>
        <w:t xml:space="preserve">verbreitet, und es gingen Bemerkungen von Argentinien, Neuseeland, der </w:t>
      </w:r>
      <w:r w:rsidR="009152A1" w:rsidRPr="009152A1">
        <w:rPr>
          <w:lang w:val="de-CH" w:eastAsia="ja-JP"/>
        </w:rPr>
        <w:t xml:space="preserve">Vereinigung für Pflanzenzüchtung zum Nutzen der Gesellschaft (APBREBES) </w:t>
      </w:r>
      <w:r w:rsidR="009152A1">
        <w:rPr>
          <w:lang w:val="de-CH"/>
        </w:rPr>
        <w:t>u</w:t>
      </w:r>
      <w:r w:rsidRPr="00CE2A2A">
        <w:rPr>
          <w:lang w:val="de-CH"/>
        </w:rPr>
        <w:t xml:space="preserve">nd </w:t>
      </w:r>
      <w:r w:rsidR="009152A1">
        <w:rPr>
          <w:lang w:val="de-CH"/>
        </w:rPr>
        <w:t xml:space="preserve">dem </w:t>
      </w:r>
      <w:r w:rsidR="009152A1" w:rsidRPr="009152A1">
        <w:rPr>
          <w:lang w:val="de-CH"/>
        </w:rPr>
        <w:t xml:space="preserve">Europäischen Saatgutverband </w:t>
      </w:r>
      <w:r w:rsidR="00483972" w:rsidRPr="00CE2A2A">
        <w:rPr>
          <w:lang w:val="de-CH"/>
        </w:rPr>
        <w:t>(ESA)</w:t>
      </w:r>
      <w:r w:rsidR="009152A1">
        <w:rPr>
          <w:lang w:val="de-CH"/>
        </w:rPr>
        <w:t xml:space="preserve"> zu diesem Dokument ein</w:t>
      </w:r>
      <w:r w:rsidRPr="00CE2A2A">
        <w:rPr>
          <w:rStyle w:val="FootnoteReference"/>
          <w:lang w:val="de-CH"/>
        </w:rPr>
        <w:footnoteReference w:id="11"/>
      </w:r>
      <w:r w:rsidRPr="00CE2A2A">
        <w:rPr>
          <w:szCs w:val="24"/>
          <w:lang w:val="de-CH"/>
        </w:rPr>
        <w:t>.</w:t>
      </w:r>
    </w:p>
    <w:p w:rsidR="00D81E9C" w:rsidRPr="00CE2A2A" w:rsidRDefault="00D81E9C" w:rsidP="00D81E9C">
      <w:pPr>
        <w:rPr>
          <w:snapToGrid w:val="0"/>
          <w:lang w:val="de-CH" w:eastAsia="ja-JP"/>
        </w:rPr>
      </w:pPr>
    </w:p>
    <w:p w:rsidR="00D81E9C" w:rsidRPr="00CE2A2A" w:rsidRDefault="00D81E9C" w:rsidP="00D81E9C">
      <w:pPr>
        <w:rPr>
          <w:rFonts w:cs="Arial"/>
          <w:lang w:val="de-CH" w:eastAsia="ja-JP"/>
        </w:rPr>
      </w:pPr>
      <w:r w:rsidRPr="00CE2A2A">
        <w:rPr>
          <w:szCs w:val="24"/>
          <w:lang w:val="de-CH"/>
        </w:rPr>
        <w:fldChar w:fldCharType="begin"/>
      </w:r>
      <w:r w:rsidRPr="00CE2A2A">
        <w:rPr>
          <w:szCs w:val="24"/>
          <w:lang w:val="de-CH"/>
        </w:rPr>
        <w:instrText xml:space="preserve"> AUTONUM  </w:instrText>
      </w:r>
      <w:r w:rsidRPr="00CE2A2A">
        <w:rPr>
          <w:szCs w:val="24"/>
          <w:lang w:val="de-CH"/>
        </w:rPr>
        <w:fldChar w:fldCharType="end"/>
      </w:r>
      <w:r w:rsidRPr="00CE2A2A">
        <w:rPr>
          <w:szCs w:val="24"/>
          <w:lang w:val="de-CH"/>
        </w:rPr>
        <w:tab/>
      </w:r>
      <w:r w:rsidR="00FA640E">
        <w:rPr>
          <w:szCs w:val="24"/>
          <w:lang w:val="de-CH"/>
        </w:rPr>
        <w:t>Anhand der eingegangenen Bemerkungen wurde am 10. </w:t>
      </w:r>
      <w:r w:rsidR="00FA640E" w:rsidRPr="00CE2A2A">
        <w:rPr>
          <w:szCs w:val="24"/>
          <w:lang w:val="de-CH"/>
        </w:rPr>
        <w:t>September 2014</w:t>
      </w:r>
      <w:r w:rsidR="00FA640E">
        <w:rPr>
          <w:szCs w:val="24"/>
          <w:lang w:val="de-CH"/>
        </w:rPr>
        <w:t xml:space="preserve"> </w:t>
      </w:r>
      <w:r w:rsidR="0011722A">
        <w:rPr>
          <w:lang w:val="de-CH"/>
        </w:rPr>
        <w:t xml:space="preserve">auf der Website der </w:t>
      </w:r>
      <w:r w:rsidR="0011722A" w:rsidRPr="00CE2A2A">
        <w:rPr>
          <w:lang w:val="de-CH"/>
        </w:rPr>
        <w:t xml:space="preserve">CAJ-AG </w:t>
      </w:r>
      <w:r w:rsidR="00FA640E">
        <w:rPr>
          <w:szCs w:val="24"/>
          <w:lang w:val="de-CH"/>
        </w:rPr>
        <w:t xml:space="preserve">ein neuer Entwurf </w:t>
      </w:r>
      <w:r w:rsidR="0011722A">
        <w:rPr>
          <w:szCs w:val="24"/>
          <w:lang w:val="de-CH"/>
        </w:rPr>
        <w:t>für die</w:t>
      </w:r>
      <w:r w:rsidR="00FA640E">
        <w:rPr>
          <w:szCs w:val="24"/>
          <w:lang w:val="de-CH"/>
        </w:rPr>
        <w:t xml:space="preserve"> </w:t>
      </w:r>
      <w:r w:rsidR="00FA640E">
        <w:rPr>
          <w:rFonts w:cs="Arial"/>
          <w:lang w:val="de-CH"/>
        </w:rPr>
        <w:t>Erläuterungen zu Sortenbezeichnungen nach dem UPOV-Übereinkommen</w:t>
      </w:r>
      <w:r w:rsidR="00FA640E" w:rsidRPr="00CE2A2A">
        <w:rPr>
          <w:lang w:val="de-CH"/>
        </w:rPr>
        <w:t xml:space="preserve"> </w:t>
      </w:r>
      <w:r w:rsidRPr="00CE2A2A">
        <w:rPr>
          <w:lang w:val="de-CH"/>
        </w:rPr>
        <w:lastRenderedPageBreak/>
        <w:t>(</w:t>
      </w:r>
      <w:r w:rsidR="00FA640E" w:rsidRPr="00CE2A2A">
        <w:rPr>
          <w:lang w:val="de-CH"/>
        </w:rPr>
        <w:t>Do</w:t>
      </w:r>
      <w:r w:rsidR="00FA640E">
        <w:rPr>
          <w:lang w:val="de-CH"/>
        </w:rPr>
        <w:t>k</w:t>
      </w:r>
      <w:r w:rsidR="00FA640E" w:rsidRPr="00CE2A2A">
        <w:rPr>
          <w:lang w:val="de-CH"/>
        </w:rPr>
        <w:t>ument </w:t>
      </w:r>
      <w:r w:rsidRPr="00CE2A2A">
        <w:rPr>
          <w:lang w:val="de-CH"/>
        </w:rPr>
        <w:t xml:space="preserve">UPOV/INF/12/5 Draft 2) </w:t>
      </w:r>
      <w:r w:rsidR="0011722A">
        <w:rPr>
          <w:lang w:val="de-CH"/>
        </w:rPr>
        <w:t>zur Prüfung durch die</w:t>
      </w:r>
      <w:r w:rsidR="00214C39">
        <w:rPr>
          <w:lang w:val="de-CH"/>
        </w:rPr>
        <w:t xml:space="preserve"> CAJ-AG auf ihrer neunten Tagung </w:t>
      </w:r>
      <w:r w:rsidR="0011722A">
        <w:rPr>
          <w:lang w:val="de-CH"/>
        </w:rPr>
        <w:t>eingestellt</w:t>
      </w:r>
      <w:r w:rsidR="00483972" w:rsidRPr="00CE2A2A">
        <w:rPr>
          <w:rFonts w:cs="Arial"/>
          <w:lang w:val="de-CH"/>
        </w:rPr>
        <w:t>.</w:t>
      </w:r>
      <w:r w:rsidRPr="00CE2A2A">
        <w:rPr>
          <w:rStyle w:val="FootnoteReference"/>
          <w:rFonts w:cs="Arial"/>
          <w:lang w:val="de-CH"/>
        </w:rPr>
        <w:footnoteReference w:id="12"/>
      </w:r>
      <w:r w:rsidRPr="00CE2A2A">
        <w:rPr>
          <w:rFonts w:cs="Arial"/>
          <w:lang w:val="de-CH" w:eastAsia="ja-JP"/>
        </w:rPr>
        <w:t xml:space="preserve"> </w:t>
      </w:r>
      <w:r w:rsidR="00214C39">
        <w:rPr>
          <w:rFonts w:cs="Arial"/>
          <w:lang w:val="de-CH" w:eastAsia="ja-JP"/>
        </w:rPr>
        <w:t>Eine Kopie des Dokuments</w:t>
      </w:r>
      <w:r w:rsidRPr="00CE2A2A">
        <w:rPr>
          <w:rFonts w:cs="Arial"/>
          <w:lang w:val="de-CH"/>
        </w:rPr>
        <w:t xml:space="preserve"> UPOV/INF/12/5 Draft 2</w:t>
      </w:r>
      <w:r w:rsidRPr="00CE2A2A">
        <w:rPr>
          <w:rFonts w:cs="Arial"/>
          <w:lang w:val="de-CH" w:eastAsia="ja-JP"/>
        </w:rPr>
        <w:t xml:space="preserve"> is</w:t>
      </w:r>
      <w:r w:rsidR="00214C39">
        <w:rPr>
          <w:rFonts w:cs="Arial"/>
          <w:lang w:val="de-CH" w:eastAsia="ja-JP"/>
        </w:rPr>
        <w:t>t</w:t>
      </w:r>
      <w:r w:rsidR="00FA5737">
        <w:rPr>
          <w:rFonts w:cs="Arial"/>
          <w:lang w:val="de-CH" w:eastAsia="ja-JP"/>
        </w:rPr>
        <w:t xml:space="preserve"> auf der </w:t>
      </w:r>
      <w:r w:rsidRPr="00CE2A2A">
        <w:rPr>
          <w:rFonts w:cs="Arial"/>
          <w:lang w:val="de-CH" w:eastAsia="ja-JP"/>
        </w:rPr>
        <w:t>CAJ/71</w:t>
      </w:r>
      <w:r w:rsidR="00FA5737">
        <w:rPr>
          <w:rFonts w:cs="Arial"/>
          <w:lang w:val="de-CH" w:eastAsia="ja-JP"/>
        </w:rPr>
        <w:t xml:space="preserve">-Website </w:t>
      </w:r>
      <w:r w:rsidR="0011722A">
        <w:rPr>
          <w:rFonts w:cs="Arial"/>
          <w:lang w:val="de-CH" w:eastAsia="ja-JP"/>
        </w:rPr>
        <w:t>abrufbar</w:t>
      </w:r>
      <w:r w:rsidR="00483972" w:rsidRPr="00CE2A2A">
        <w:rPr>
          <w:rFonts w:cs="Arial"/>
          <w:lang w:val="de-CH" w:eastAsia="ja-JP"/>
        </w:rPr>
        <w:t>.</w:t>
      </w:r>
      <w:r w:rsidRPr="00CE2A2A">
        <w:rPr>
          <w:rStyle w:val="FootnoteReference"/>
          <w:rFonts w:cs="Arial"/>
          <w:lang w:val="de-CH" w:eastAsia="ja-JP"/>
        </w:rPr>
        <w:footnoteReference w:id="13"/>
      </w:r>
    </w:p>
    <w:p w:rsidR="00D81E9C" w:rsidRPr="00CE2A2A" w:rsidRDefault="00D81E9C" w:rsidP="00D81E9C">
      <w:pPr>
        <w:rPr>
          <w:rFonts w:cs="Arial"/>
          <w:lang w:val="de-CH" w:eastAsia="ja-JP"/>
        </w:rPr>
      </w:pPr>
    </w:p>
    <w:p w:rsidR="006C5654" w:rsidRPr="00CE2A2A" w:rsidRDefault="00D81E9C" w:rsidP="006C5654">
      <w:pPr>
        <w:rPr>
          <w:rFonts w:cs="Arial"/>
          <w:szCs w:val="26"/>
          <w:lang w:val="de-CH" w:eastAsia="ja-JP"/>
        </w:rPr>
      </w:pPr>
      <w:r w:rsidRPr="00CE2A2A">
        <w:rPr>
          <w:lang w:val="de-CH"/>
        </w:rPr>
        <w:fldChar w:fldCharType="begin"/>
      </w:r>
      <w:r w:rsidRPr="00CE2A2A">
        <w:rPr>
          <w:lang w:val="de-CH"/>
        </w:rPr>
        <w:instrText xml:space="preserve"> AUTONUM  </w:instrText>
      </w:r>
      <w:r w:rsidRPr="00CE2A2A">
        <w:rPr>
          <w:lang w:val="de-CH"/>
        </w:rPr>
        <w:fldChar w:fldCharType="end"/>
      </w:r>
      <w:r w:rsidRPr="00CE2A2A">
        <w:rPr>
          <w:lang w:val="de-CH"/>
        </w:rPr>
        <w:tab/>
      </w:r>
      <w:r w:rsidR="00646BA1">
        <w:rPr>
          <w:lang w:val="de-CH"/>
        </w:rPr>
        <w:t>Die</w:t>
      </w:r>
      <w:r w:rsidRPr="00CE2A2A">
        <w:rPr>
          <w:rFonts w:cs="Arial"/>
          <w:lang w:val="de-CH"/>
        </w:rPr>
        <w:t xml:space="preserve"> CAJ­AG</w:t>
      </w:r>
      <w:r w:rsidR="00646BA1">
        <w:rPr>
          <w:rFonts w:cs="Arial"/>
          <w:lang w:val="de-CH"/>
        </w:rPr>
        <w:t xml:space="preserve"> prüfte auf ihrer neunten Tagung das Dokument</w:t>
      </w:r>
      <w:r w:rsidRPr="00CE2A2A">
        <w:rPr>
          <w:rFonts w:cs="Arial"/>
          <w:lang w:val="de-CH"/>
        </w:rPr>
        <w:t xml:space="preserve"> </w:t>
      </w:r>
      <w:r w:rsidRPr="00CE2A2A">
        <w:rPr>
          <w:lang w:val="de-CH"/>
        </w:rPr>
        <w:t xml:space="preserve">UPOV/INF/12/5 Draft 2 </w:t>
      </w:r>
      <w:r w:rsidR="00646BA1">
        <w:rPr>
          <w:lang w:val="de-CH"/>
        </w:rPr>
        <w:t>einschließlich der Beiträge von APBREBES u</w:t>
      </w:r>
      <w:r w:rsidRPr="00CE2A2A">
        <w:rPr>
          <w:lang w:val="de-CH"/>
        </w:rPr>
        <w:t xml:space="preserve">nd </w:t>
      </w:r>
      <w:r w:rsidRPr="00CE2A2A">
        <w:rPr>
          <w:rFonts w:cs="Arial"/>
          <w:szCs w:val="26"/>
          <w:lang w:val="de-CH"/>
        </w:rPr>
        <w:t>ESA</w:t>
      </w:r>
      <w:r w:rsidR="00483972" w:rsidRPr="00CE2A2A">
        <w:rPr>
          <w:rFonts w:cs="Arial"/>
          <w:szCs w:val="26"/>
          <w:lang w:val="de-CH"/>
        </w:rPr>
        <w:t>.</w:t>
      </w:r>
      <w:r w:rsidRPr="00CE2A2A">
        <w:rPr>
          <w:rStyle w:val="FootnoteReference"/>
          <w:rFonts w:cs="Arial"/>
          <w:szCs w:val="26"/>
          <w:lang w:val="de-CH"/>
        </w:rPr>
        <w:footnoteReference w:id="14"/>
      </w:r>
    </w:p>
    <w:p w:rsidR="006C5654" w:rsidRDefault="006C5654" w:rsidP="00483972">
      <w:pPr>
        <w:spacing w:line="360" w:lineRule="auto"/>
        <w:rPr>
          <w:rFonts w:cs="Arial"/>
          <w:szCs w:val="26"/>
          <w:lang w:eastAsia="ja-JP"/>
        </w:rPr>
      </w:pPr>
    </w:p>
    <w:p w:rsidR="002E25B7" w:rsidRPr="000A0F2B" w:rsidRDefault="00A00FB7" w:rsidP="004906C1">
      <w:pPr>
        <w:pStyle w:val="Heading2"/>
        <w:rPr>
          <w:lang w:val="de-CH"/>
        </w:rPr>
      </w:pPr>
      <w:bookmarkStart w:id="19" w:name="_Toc413652564"/>
      <w:r>
        <w:rPr>
          <w:lang w:val="de-CH"/>
        </w:rPr>
        <w:t>Vorschl</w:t>
      </w:r>
      <w:r w:rsidR="00BF17AE">
        <w:rPr>
          <w:lang w:val="de-CH"/>
        </w:rPr>
        <w:t>äge</w:t>
      </w:r>
      <w:r>
        <w:rPr>
          <w:lang w:val="de-CH"/>
        </w:rPr>
        <w:t xml:space="preserve"> für eine</w:t>
      </w:r>
      <w:r w:rsidR="00646BA1" w:rsidRPr="000A0F2B">
        <w:rPr>
          <w:lang w:val="de-CH"/>
        </w:rPr>
        <w:t xml:space="preserve"> Anleitung zur Änderung von eingetragenen Sortenbezeichnungen</w:t>
      </w:r>
      <w:r>
        <w:rPr>
          <w:lang w:val="de-CH"/>
        </w:rPr>
        <w:t xml:space="preserve"> (vom </w:t>
      </w:r>
      <w:r w:rsidRPr="000A0F2B">
        <w:rPr>
          <w:lang w:val="de-CH"/>
        </w:rPr>
        <w:t xml:space="preserve">CAJ auf seiner einundsiebzigsten Tagung </w:t>
      </w:r>
      <w:r>
        <w:rPr>
          <w:lang w:val="de-CH"/>
        </w:rPr>
        <w:t>zu prüfen)</w:t>
      </w:r>
      <w:bookmarkEnd w:id="19"/>
      <w:r w:rsidR="00646BA1" w:rsidRPr="000A0F2B">
        <w:rPr>
          <w:lang w:val="de-CH"/>
        </w:rPr>
        <w:t xml:space="preserve"> </w:t>
      </w:r>
    </w:p>
    <w:p w:rsidR="001164DE" w:rsidRPr="000A0F2B" w:rsidRDefault="001164DE" w:rsidP="002E25B7">
      <w:pPr>
        <w:rPr>
          <w:lang w:val="de-CH" w:eastAsia="ja-JP"/>
        </w:rPr>
      </w:pPr>
    </w:p>
    <w:p w:rsidR="00214B92" w:rsidRPr="000A0F2B" w:rsidRDefault="00E834E6" w:rsidP="00822A3B">
      <w:pPr>
        <w:autoSpaceDE w:val="0"/>
        <w:autoSpaceDN w:val="0"/>
        <w:adjustRightInd w:val="0"/>
        <w:ind w:right="9"/>
        <w:rPr>
          <w:rFonts w:cs="Arial"/>
          <w:lang w:val="de-CH" w:eastAsia="ja-JP"/>
        </w:rPr>
      </w:pPr>
      <w:r w:rsidRPr="000A0F2B">
        <w:rPr>
          <w:lang w:val="de-CH"/>
        </w:rPr>
        <w:fldChar w:fldCharType="begin"/>
      </w:r>
      <w:r w:rsidRPr="000A0F2B">
        <w:rPr>
          <w:lang w:val="de-CH"/>
        </w:rPr>
        <w:instrText xml:space="preserve"> AUTONUM  </w:instrText>
      </w:r>
      <w:r w:rsidRPr="000A0F2B">
        <w:rPr>
          <w:lang w:val="de-CH"/>
        </w:rPr>
        <w:fldChar w:fldCharType="end"/>
      </w:r>
      <w:r w:rsidRPr="000A0F2B">
        <w:rPr>
          <w:lang w:val="de-CH"/>
        </w:rPr>
        <w:tab/>
      </w:r>
      <w:r w:rsidR="001746D4" w:rsidRPr="000A0F2B">
        <w:rPr>
          <w:lang w:val="de-CH"/>
        </w:rPr>
        <w:t>Auf ihrer achten Tagung</w:t>
      </w:r>
      <w:r w:rsidR="001746D4" w:rsidRPr="000A0F2B">
        <w:rPr>
          <w:rStyle w:val="FootnoteReference"/>
          <w:lang w:val="de-CH"/>
        </w:rPr>
        <w:footnoteReference w:id="15"/>
      </w:r>
      <w:r w:rsidR="001746D4" w:rsidRPr="000A0F2B">
        <w:rPr>
          <w:lang w:val="de-CH"/>
        </w:rPr>
        <w:t xml:space="preserve"> vereinbarte die</w:t>
      </w:r>
      <w:r w:rsidR="00214B92" w:rsidRPr="000A0F2B">
        <w:rPr>
          <w:rFonts w:cs="Arial"/>
          <w:lang w:val="de-CH"/>
        </w:rPr>
        <w:t xml:space="preserve"> CAJ-AG</w:t>
      </w:r>
      <w:r w:rsidR="001746D4" w:rsidRPr="000A0F2B">
        <w:rPr>
          <w:rFonts w:cs="Arial"/>
          <w:lang w:val="de-CH"/>
        </w:rPr>
        <w:t xml:space="preserve"> die Ausarbeitung </w:t>
      </w:r>
      <w:r w:rsidR="00B1421B">
        <w:rPr>
          <w:rFonts w:cs="Arial"/>
          <w:lang w:val="de-CH"/>
        </w:rPr>
        <w:t>von</w:t>
      </w:r>
      <w:r w:rsidR="001746D4" w:rsidRPr="000A0F2B">
        <w:rPr>
          <w:rFonts w:cs="Arial"/>
          <w:lang w:val="de-CH"/>
        </w:rPr>
        <w:t xml:space="preserve"> Anleitung zu</w:t>
      </w:r>
      <w:r w:rsidR="00A00FB7">
        <w:rPr>
          <w:rFonts w:cs="Arial"/>
          <w:lang w:val="de-CH"/>
        </w:rPr>
        <w:t xml:space="preserve"> der von einem</w:t>
      </w:r>
      <w:r w:rsidR="001746D4" w:rsidRPr="000A0F2B">
        <w:rPr>
          <w:rFonts w:cs="Arial"/>
          <w:lang w:val="de-CH"/>
        </w:rPr>
        <w:t xml:space="preserve"> Züchter</w:t>
      </w:r>
      <w:r w:rsidR="00A00FB7">
        <w:rPr>
          <w:rFonts w:cs="Arial"/>
          <w:lang w:val="de-CH"/>
        </w:rPr>
        <w:t xml:space="preserve"> beantragten</w:t>
      </w:r>
      <w:r w:rsidR="001746D4" w:rsidRPr="000A0F2B">
        <w:rPr>
          <w:rFonts w:cs="Arial"/>
          <w:lang w:val="de-CH"/>
        </w:rPr>
        <w:t xml:space="preserve"> </w:t>
      </w:r>
      <w:r w:rsidR="00917A91" w:rsidRPr="000A0F2B">
        <w:rPr>
          <w:rFonts w:cs="Arial"/>
          <w:lang w:val="de-CH"/>
        </w:rPr>
        <w:t xml:space="preserve">Änderung einer eingetragenen Sortenbezeichnung </w:t>
      </w:r>
      <w:r w:rsidR="000A0F2B">
        <w:rPr>
          <w:rFonts w:cs="Arial"/>
          <w:lang w:val="de-CH"/>
        </w:rPr>
        <w:t>in Fällen</w:t>
      </w:r>
      <w:r w:rsidR="00B1421B">
        <w:rPr>
          <w:rFonts w:cs="Arial"/>
          <w:lang w:val="de-CH"/>
        </w:rPr>
        <w:t>, die nicht</w:t>
      </w:r>
      <w:r w:rsidR="000A0F2B">
        <w:rPr>
          <w:rFonts w:cs="Arial"/>
          <w:lang w:val="de-CH"/>
        </w:rPr>
        <w:t xml:space="preserve"> die </w:t>
      </w:r>
      <w:r w:rsidR="00DA1AF4">
        <w:rPr>
          <w:rFonts w:cs="Arial"/>
          <w:lang w:val="de-CH"/>
        </w:rPr>
        <w:t>Streichung</w:t>
      </w:r>
      <w:r w:rsidR="00B1421B">
        <w:rPr>
          <w:rFonts w:cs="Arial"/>
          <w:lang w:val="de-CH"/>
        </w:rPr>
        <w:t xml:space="preserve"> der </w:t>
      </w:r>
      <w:r w:rsidR="000A0F2B">
        <w:rPr>
          <w:lang w:val="de-CH"/>
        </w:rPr>
        <w:t xml:space="preserve">Sortenbezeichnung nach Erteilung des </w:t>
      </w:r>
      <w:r w:rsidR="00B1421B">
        <w:rPr>
          <w:lang w:val="de-CH"/>
        </w:rPr>
        <w:t xml:space="preserve">Rechts betreffen, auf der Grundlage, </w:t>
      </w:r>
      <w:r w:rsidR="000A0F2B">
        <w:rPr>
          <w:lang w:val="de-CH"/>
        </w:rPr>
        <w:t>dass ein solche</w:t>
      </w:r>
      <w:r w:rsidR="00B1421B">
        <w:rPr>
          <w:lang w:val="de-CH"/>
        </w:rPr>
        <w:t>r</w:t>
      </w:r>
      <w:r w:rsidR="000A0F2B">
        <w:rPr>
          <w:lang w:val="de-CH"/>
        </w:rPr>
        <w:t xml:space="preserve"> Antrag </w:t>
      </w:r>
      <w:r w:rsidR="00B1421B">
        <w:rPr>
          <w:lang w:val="de-CH"/>
        </w:rPr>
        <w:t xml:space="preserve">abgelehnt </w:t>
      </w:r>
      <w:r w:rsidR="000A0F2B">
        <w:rPr>
          <w:lang w:val="de-CH"/>
        </w:rPr>
        <w:t>werden sollte</w:t>
      </w:r>
      <w:r w:rsidR="00214B92" w:rsidRPr="000A0F2B">
        <w:rPr>
          <w:rFonts w:cs="Arial"/>
          <w:lang w:val="de-CH"/>
        </w:rPr>
        <w:t xml:space="preserve">. </w:t>
      </w:r>
      <w:r w:rsidR="00944A21" w:rsidRPr="00944A21">
        <w:rPr>
          <w:rFonts w:cs="Arial"/>
          <w:lang w:val="de-CH"/>
        </w:rPr>
        <w:t>Allerdings vereinbarte die CAJ-AG, da</w:t>
      </w:r>
      <w:r w:rsidR="00944A21">
        <w:rPr>
          <w:rFonts w:cs="Arial"/>
          <w:lang w:val="de-CH"/>
        </w:rPr>
        <w:t>ss</w:t>
      </w:r>
      <w:r w:rsidR="00944A21" w:rsidRPr="00944A21">
        <w:rPr>
          <w:rFonts w:cs="Arial"/>
          <w:lang w:val="de-CH"/>
        </w:rPr>
        <w:t xml:space="preserve"> Änderungen in folgenden Situationen angemessen wären:</w:t>
      </w:r>
      <w:r w:rsidR="00822A3B" w:rsidRPr="000A0F2B">
        <w:rPr>
          <w:rStyle w:val="FootnoteReference"/>
          <w:snapToGrid w:val="0"/>
          <w:lang w:val="de-CH" w:eastAsia="ja-JP"/>
        </w:rPr>
        <w:footnoteReference w:id="16"/>
      </w:r>
    </w:p>
    <w:p w:rsidR="00214B92" w:rsidRPr="000A0F2B" w:rsidRDefault="00214B92" w:rsidP="00214B92">
      <w:pPr>
        <w:autoSpaceDE w:val="0"/>
        <w:autoSpaceDN w:val="0"/>
        <w:adjustRightInd w:val="0"/>
        <w:ind w:left="540" w:right="549"/>
        <w:rPr>
          <w:rFonts w:cs="Arial"/>
          <w:sz w:val="18"/>
          <w:szCs w:val="18"/>
          <w:lang w:val="de-CH" w:eastAsia="ja-JP"/>
        </w:rPr>
      </w:pPr>
    </w:p>
    <w:p w:rsidR="00214B92" w:rsidRPr="000A0F2B" w:rsidRDefault="00CF4725" w:rsidP="00CF4725">
      <w:pPr>
        <w:autoSpaceDE w:val="0"/>
        <w:autoSpaceDN w:val="0"/>
        <w:adjustRightInd w:val="0"/>
        <w:ind w:left="567" w:right="549" w:firstLine="567"/>
        <w:rPr>
          <w:rFonts w:cs="Arial"/>
          <w:sz w:val="18"/>
          <w:szCs w:val="18"/>
          <w:lang w:val="de-CH" w:eastAsia="ja-JP"/>
        </w:rPr>
      </w:pPr>
      <w:r>
        <w:rPr>
          <w:rFonts w:cs="Arial"/>
          <w:sz w:val="18"/>
          <w:szCs w:val="18"/>
          <w:lang w:val="de-CH"/>
        </w:rPr>
        <w:t>a)</w:t>
      </w:r>
      <w:r>
        <w:rPr>
          <w:rFonts w:cs="Arial"/>
          <w:sz w:val="18"/>
          <w:szCs w:val="18"/>
          <w:lang w:val="de-CH"/>
        </w:rPr>
        <w:tab/>
      </w:r>
      <w:r w:rsidRPr="00CF4725">
        <w:rPr>
          <w:rFonts w:cs="Arial"/>
          <w:sz w:val="18"/>
          <w:szCs w:val="18"/>
          <w:lang w:val="de-CH" w:eastAsia="ja-JP"/>
        </w:rPr>
        <w:t>falls man herausfände, da</w:t>
      </w:r>
      <w:r>
        <w:rPr>
          <w:rFonts w:cs="Arial"/>
          <w:sz w:val="18"/>
          <w:szCs w:val="18"/>
          <w:lang w:val="de-CH" w:eastAsia="ja-JP"/>
        </w:rPr>
        <w:t>ss</w:t>
      </w:r>
      <w:r w:rsidRPr="00CF4725">
        <w:rPr>
          <w:rFonts w:cs="Arial"/>
          <w:sz w:val="18"/>
          <w:szCs w:val="18"/>
          <w:lang w:val="de-CH" w:eastAsia="ja-JP"/>
        </w:rPr>
        <w:t xml:space="preserve"> in Bezug auf die Bezeichnung bereits ein älteres Recht bestünde, das zur Ablehnung der Bezeichnung geführt hätte (siehe Artikel 20 Absätze 4 und 7 der Akte von 1991 und Artikel 13 Absätze 4 und 7 der Akte von 1978 sowie Do</w:t>
      </w:r>
      <w:r w:rsidR="00F7073A">
        <w:rPr>
          <w:rFonts w:cs="Arial"/>
          <w:sz w:val="18"/>
          <w:szCs w:val="18"/>
          <w:lang w:val="de-CH" w:eastAsia="ja-JP"/>
        </w:rPr>
        <w:t>kument UPOV/INF/12/4, Anmerkung </w:t>
      </w:r>
      <w:r w:rsidRPr="00CF4725">
        <w:rPr>
          <w:rFonts w:cs="Arial"/>
          <w:sz w:val="18"/>
          <w:szCs w:val="18"/>
          <w:lang w:val="de-CH" w:eastAsia="ja-JP"/>
        </w:rPr>
        <w:t>7);</w:t>
      </w:r>
    </w:p>
    <w:p w:rsidR="00214B92" w:rsidRPr="000A0F2B" w:rsidRDefault="00F62511" w:rsidP="00214B92">
      <w:pPr>
        <w:autoSpaceDE w:val="0"/>
        <w:autoSpaceDN w:val="0"/>
        <w:adjustRightInd w:val="0"/>
        <w:ind w:left="567" w:right="549" w:firstLine="567"/>
        <w:rPr>
          <w:rFonts w:cs="Arial"/>
          <w:sz w:val="18"/>
          <w:szCs w:val="18"/>
          <w:lang w:val="de-CH" w:eastAsia="ja-JP"/>
        </w:rPr>
      </w:pPr>
      <w:r w:rsidRPr="000A0F2B">
        <w:rPr>
          <w:rFonts w:cs="Arial"/>
          <w:sz w:val="18"/>
          <w:szCs w:val="18"/>
          <w:lang w:val="de-CH"/>
        </w:rPr>
        <w:t>b)</w:t>
      </w:r>
      <w:r w:rsidRPr="000A0F2B">
        <w:rPr>
          <w:rFonts w:cs="Arial"/>
          <w:sz w:val="18"/>
          <w:szCs w:val="18"/>
          <w:lang w:val="de-CH"/>
        </w:rPr>
        <w:tab/>
      </w:r>
      <w:r w:rsidR="006F478B" w:rsidRPr="006F478B">
        <w:rPr>
          <w:rFonts w:cs="Arial"/>
          <w:sz w:val="18"/>
          <w:szCs w:val="18"/>
          <w:lang w:val="de-CH"/>
        </w:rPr>
        <w:t>falls die Bezeichnung ungeeignet wäre, da sie in Widerspruch zu den Bestimmungen von Artikel 20 Absatz 2 der Akte von 1991 und Artikel 13 Absatz 2 der Akte von 1978 stünde; un</w:t>
      </w:r>
      <w:r w:rsidR="00214B92" w:rsidRPr="000A0F2B">
        <w:rPr>
          <w:rFonts w:cs="Arial"/>
          <w:sz w:val="18"/>
          <w:szCs w:val="18"/>
          <w:lang w:val="de-CH"/>
        </w:rPr>
        <w:t>d</w:t>
      </w:r>
    </w:p>
    <w:p w:rsidR="00214B92" w:rsidRPr="000A0F2B" w:rsidRDefault="00214B92" w:rsidP="00214B92">
      <w:pPr>
        <w:autoSpaceDE w:val="0"/>
        <w:autoSpaceDN w:val="0"/>
        <w:adjustRightInd w:val="0"/>
        <w:ind w:left="567" w:right="549" w:firstLine="567"/>
        <w:rPr>
          <w:rFonts w:cs="Arial"/>
          <w:sz w:val="18"/>
          <w:szCs w:val="18"/>
          <w:lang w:val="de-CH" w:eastAsia="ja-JP"/>
        </w:rPr>
      </w:pPr>
    </w:p>
    <w:p w:rsidR="00214B92" w:rsidRPr="000A0F2B" w:rsidRDefault="00214B92" w:rsidP="00214B92">
      <w:pPr>
        <w:autoSpaceDE w:val="0"/>
        <w:autoSpaceDN w:val="0"/>
        <w:adjustRightInd w:val="0"/>
        <w:ind w:left="567" w:right="549" w:firstLine="567"/>
        <w:rPr>
          <w:rFonts w:cs="Arial"/>
          <w:sz w:val="18"/>
          <w:szCs w:val="18"/>
          <w:lang w:val="de-CH" w:eastAsia="ja-JP"/>
        </w:rPr>
      </w:pPr>
      <w:r w:rsidRPr="000A0F2B">
        <w:rPr>
          <w:rFonts w:cs="Arial"/>
          <w:sz w:val="18"/>
          <w:szCs w:val="18"/>
          <w:lang w:val="de-CH"/>
        </w:rPr>
        <w:t>c)</w:t>
      </w:r>
      <w:r w:rsidR="00F62511" w:rsidRPr="000A0F2B">
        <w:rPr>
          <w:rFonts w:cs="Arial"/>
          <w:sz w:val="18"/>
          <w:szCs w:val="18"/>
          <w:lang w:val="de-CH"/>
        </w:rPr>
        <w:tab/>
      </w:r>
      <w:r w:rsidR="007B6484" w:rsidRPr="007B6484">
        <w:rPr>
          <w:rFonts w:cs="Arial"/>
          <w:sz w:val="18"/>
          <w:szCs w:val="18"/>
          <w:lang w:val="de-CH"/>
        </w:rPr>
        <w:t>falls die Bezeichnung im Nachhinein in einem anderen Verbandsmitglied abgelehnt würde und die Behörde auf Antrag des Züchters der Änderung der Bezeichnung in diejenige, die in d</w:t>
      </w:r>
      <w:r w:rsidR="00A00FB7">
        <w:rPr>
          <w:rFonts w:cs="Arial"/>
          <w:sz w:val="18"/>
          <w:szCs w:val="18"/>
          <w:lang w:val="de-CH"/>
        </w:rPr>
        <w:t>ies</w:t>
      </w:r>
      <w:r w:rsidR="007B6484" w:rsidRPr="007B6484">
        <w:rPr>
          <w:rFonts w:cs="Arial"/>
          <w:sz w:val="18"/>
          <w:szCs w:val="18"/>
          <w:lang w:val="de-CH"/>
        </w:rPr>
        <w:t>em anderen Verbandsmitglied eingetragen ist, zustimmen würde</w:t>
      </w:r>
      <w:r w:rsidRPr="000A0F2B">
        <w:rPr>
          <w:rFonts w:cs="Arial"/>
          <w:sz w:val="18"/>
          <w:szCs w:val="18"/>
          <w:lang w:val="de-CH"/>
        </w:rPr>
        <w:t>.</w:t>
      </w:r>
    </w:p>
    <w:p w:rsidR="00214B92" w:rsidRPr="000A0F2B" w:rsidRDefault="00214B92" w:rsidP="00214B92">
      <w:pPr>
        <w:autoSpaceDE w:val="0"/>
        <w:autoSpaceDN w:val="0"/>
        <w:adjustRightInd w:val="0"/>
        <w:ind w:left="567" w:right="549" w:firstLine="567"/>
        <w:jc w:val="left"/>
        <w:rPr>
          <w:rFonts w:cs="Arial"/>
          <w:sz w:val="18"/>
          <w:szCs w:val="18"/>
          <w:lang w:val="de-CH" w:eastAsia="ja-JP"/>
        </w:rPr>
      </w:pPr>
    </w:p>
    <w:p w:rsidR="001164DE" w:rsidRPr="000A0F2B" w:rsidRDefault="00822A3B" w:rsidP="00F62511">
      <w:pPr>
        <w:rPr>
          <w:lang w:val="de-CH"/>
        </w:rPr>
      </w:pPr>
      <w:r w:rsidRPr="000A0F2B">
        <w:rPr>
          <w:lang w:val="de-CH"/>
        </w:rPr>
        <w:fldChar w:fldCharType="begin"/>
      </w:r>
      <w:r w:rsidRPr="000A0F2B">
        <w:rPr>
          <w:lang w:val="de-CH"/>
        </w:rPr>
        <w:instrText xml:space="preserve"> AUTONUM  </w:instrText>
      </w:r>
      <w:r w:rsidRPr="000A0F2B">
        <w:rPr>
          <w:lang w:val="de-CH"/>
        </w:rPr>
        <w:fldChar w:fldCharType="end"/>
      </w:r>
      <w:r w:rsidRPr="000A0F2B">
        <w:rPr>
          <w:lang w:val="de-CH"/>
        </w:rPr>
        <w:tab/>
      </w:r>
      <w:r w:rsidR="007B6484">
        <w:rPr>
          <w:lang w:val="de-CH"/>
        </w:rPr>
        <w:t>Auf ihrer achten Tagung vereinbarte die</w:t>
      </w:r>
      <w:r w:rsidRPr="000A0F2B">
        <w:rPr>
          <w:lang w:val="de-CH" w:eastAsia="ja-JP"/>
        </w:rPr>
        <w:t xml:space="preserve"> CAJ-AG, </w:t>
      </w:r>
      <w:r w:rsidR="007B6484">
        <w:rPr>
          <w:lang w:val="de-CH" w:eastAsia="ja-JP"/>
        </w:rPr>
        <w:t xml:space="preserve">dass die zusätzliche Anleitung als Teil </w:t>
      </w:r>
      <w:r w:rsidR="00A43FEC">
        <w:rPr>
          <w:lang w:val="de-CH" w:eastAsia="ja-JP"/>
        </w:rPr>
        <w:t>der</w:t>
      </w:r>
      <w:r w:rsidR="007B6484">
        <w:rPr>
          <w:lang w:val="de-CH" w:eastAsia="ja-JP"/>
        </w:rPr>
        <w:t xml:space="preserve"> etwaigen Überarbeitung der </w:t>
      </w:r>
      <w:r w:rsidR="00A43FEC" w:rsidRPr="00A43FEC">
        <w:rPr>
          <w:lang w:val="de-CH" w:eastAsia="ja-JP"/>
        </w:rPr>
        <w:t>„Erläuterungen zu Sortenbezeichnungen nach dem UPOV-Übereinkommen“ (Dokument UPOV/INF/12/4) betrachtet werden soll</w:t>
      </w:r>
      <w:r w:rsidR="00993A77">
        <w:rPr>
          <w:lang w:val="de-CH" w:eastAsia="ja-JP"/>
        </w:rPr>
        <w:t>e</w:t>
      </w:r>
      <w:r w:rsidR="00214B92" w:rsidRPr="000A0F2B">
        <w:rPr>
          <w:lang w:val="de-CH"/>
        </w:rPr>
        <w:t>.</w:t>
      </w:r>
    </w:p>
    <w:p w:rsidR="00E834E6" w:rsidRPr="000A0F2B" w:rsidRDefault="00E834E6" w:rsidP="00822A3B">
      <w:pPr>
        <w:tabs>
          <w:tab w:val="left" w:pos="540"/>
        </w:tabs>
        <w:autoSpaceDE w:val="0"/>
        <w:autoSpaceDN w:val="0"/>
        <w:adjustRightInd w:val="0"/>
        <w:ind w:right="549"/>
        <w:rPr>
          <w:rFonts w:cs="Arial"/>
          <w:lang w:val="de-CH"/>
        </w:rPr>
      </w:pPr>
    </w:p>
    <w:p w:rsidR="00E834E6" w:rsidRPr="000A0F2B" w:rsidRDefault="00E834E6" w:rsidP="00F62511">
      <w:pPr>
        <w:rPr>
          <w:lang w:val="de-CH"/>
        </w:rPr>
      </w:pPr>
      <w:r w:rsidRPr="000A0F2B">
        <w:rPr>
          <w:lang w:val="de-CH"/>
        </w:rPr>
        <w:fldChar w:fldCharType="begin"/>
      </w:r>
      <w:r w:rsidRPr="000A0F2B">
        <w:rPr>
          <w:lang w:val="de-CH"/>
        </w:rPr>
        <w:instrText xml:space="preserve"> AUTONUM  </w:instrText>
      </w:r>
      <w:r w:rsidRPr="000A0F2B">
        <w:rPr>
          <w:lang w:val="de-CH"/>
        </w:rPr>
        <w:fldChar w:fldCharType="end"/>
      </w:r>
      <w:r w:rsidRPr="000A0F2B">
        <w:rPr>
          <w:lang w:val="de-CH"/>
        </w:rPr>
        <w:tab/>
      </w:r>
      <w:r w:rsidR="00C1346A">
        <w:rPr>
          <w:lang w:val="de-CH"/>
        </w:rPr>
        <w:t xml:space="preserve">Auf </w:t>
      </w:r>
      <w:r w:rsidR="00A00FB7">
        <w:rPr>
          <w:lang w:val="de-CH"/>
        </w:rPr>
        <w:t>seiner neunundsechzigsten Tagung</w:t>
      </w:r>
      <w:r w:rsidR="00BA4549" w:rsidRPr="000A0F2B">
        <w:rPr>
          <w:rStyle w:val="FootnoteReference"/>
          <w:lang w:val="de-CH"/>
        </w:rPr>
        <w:footnoteReference w:id="17"/>
      </w:r>
      <w:r w:rsidR="00BA4549" w:rsidRPr="000A0F2B">
        <w:rPr>
          <w:rFonts w:cs="Arial"/>
          <w:lang w:val="de-CH"/>
        </w:rPr>
        <w:t xml:space="preserve"> </w:t>
      </w:r>
      <w:r w:rsidR="00C1346A">
        <w:rPr>
          <w:rFonts w:cs="Arial"/>
          <w:lang w:val="de-CH"/>
        </w:rPr>
        <w:t xml:space="preserve">vereinbarte der CAJ, dass ein Entwurf für eine Überarbeitung der </w:t>
      </w:r>
      <w:r w:rsidR="00C1346A" w:rsidRPr="00A43FEC">
        <w:rPr>
          <w:lang w:val="de-CH" w:eastAsia="ja-JP"/>
        </w:rPr>
        <w:t>Erläuterungen zu Sortenbezeichnungen nach dem UPOV-Übereinkommen</w:t>
      </w:r>
      <w:r w:rsidR="00FD640B" w:rsidRPr="000A0F2B">
        <w:rPr>
          <w:lang w:val="de-CH"/>
        </w:rPr>
        <w:t xml:space="preserve"> </w:t>
      </w:r>
      <w:r w:rsidR="003B10BD">
        <w:rPr>
          <w:lang w:val="de-CH"/>
        </w:rPr>
        <w:t>dem</w:t>
      </w:r>
      <w:r w:rsidR="00C372E9" w:rsidRPr="000A0F2B">
        <w:rPr>
          <w:lang w:val="de-CH"/>
        </w:rPr>
        <w:t xml:space="preserve"> CAJ </w:t>
      </w:r>
      <w:r w:rsidRPr="000A0F2B">
        <w:rPr>
          <w:lang w:val="de-CH"/>
        </w:rPr>
        <w:t>a</w:t>
      </w:r>
      <w:r w:rsidR="003B10BD">
        <w:rPr>
          <w:lang w:val="de-CH"/>
        </w:rPr>
        <w:t>l</w:t>
      </w:r>
      <w:r w:rsidRPr="000A0F2B">
        <w:rPr>
          <w:lang w:val="de-CH"/>
        </w:rPr>
        <w:t xml:space="preserve">s </w:t>
      </w:r>
      <w:r w:rsidR="003B10BD" w:rsidRPr="000A0F2B">
        <w:rPr>
          <w:lang w:val="de-CH"/>
        </w:rPr>
        <w:t>Do</w:t>
      </w:r>
      <w:r w:rsidR="003B10BD">
        <w:rPr>
          <w:lang w:val="de-CH"/>
        </w:rPr>
        <w:t>k</w:t>
      </w:r>
      <w:r w:rsidR="003B10BD" w:rsidRPr="000A0F2B">
        <w:rPr>
          <w:lang w:val="de-CH"/>
        </w:rPr>
        <w:t xml:space="preserve">ument </w:t>
      </w:r>
      <w:r w:rsidRPr="000A0F2B">
        <w:rPr>
          <w:lang w:val="de-CH"/>
        </w:rPr>
        <w:t>UPOV/INF/12/5 Draft 1</w:t>
      </w:r>
      <w:r w:rsidR="003B10BD">
        <w:rPr>
          <w:lang w:val="de-CH"/>
        </w:rPr>
        <w:t xml:space="preserve"> zugeleitet würde</w:t>
      </w:r>
      <w:r w:rsidR="00C372E9" w:rsidRPr="000A0F2B">
        <w:rPr>
          <w:lang w:val="de-CH"/>
        </w:rPr>
        <w:t xml:space="preserve">. </w:t>
      </w:r>
      <w:r w:rsidR="003B10BD">
        <w:rPr>
          <w:lang w:val="de-CH"/>
        </w:rPr>
        <w:t>Auf der Grundlage der eingegangenen Bemerkungen wurde ein neuer Entwurf, das D</w:t>
      </w:r>
      <w:r w:rsidR="00D306D7" w:rsidRPr="000A0F2B">
        <w:rPr>
          <w:lang w:val="de-CH"/>
        </w:rPr>
        <w:t>o</w:t>
      </w:r>
      <w:r w:rsidR="003B10BD">
        <w:rPr>
          <w:lang w:val="de-CH"/>
        </w:rPr>
        <w:t>k</w:t>
      </w:r>
      <w:r w:rsidR="00D306D7" w:rsidRPr="000A0F2B">
        <w:rPr>
          <w:lang w:val="de-CH"/>
        </w:rPr>
        <w:t>ument UPOV/INF/12/5 Draft 2</w:t>
      </w:r>
      <w:r w:rsidR="00D306D7" w:rsidRPr="000A0F2B">
        <w:rPr>
          <w:lang w:val="de-CH" w:eastAsia="ja-JP"/>
        </w:rPr>
        <w:t>,</w:t>
      </w:r>
      <w:r w:rsidR="00C372E9" w:rsidRPr="000A0F2B">
        <w:rPr>
          <w:szCs w:val="24"/>
          <w:lang w:val="de-CH"/>
        </w:rPr>
        <w:t xml:space="preserve"> </w:t>
      </w:r>
      <w:r w:rsidR="003B10BD">
        <w:rPr>
          <w:szCs w:val="24"/>
          <w:lang w:val="de-CH"/>
        </w:rPr>
        <w:t xml:space="preserve">zur Prüfung durch die </w:t>
      </w:r>
      <w:r w:rsidR="00C372E9" w:rsidRPr="000A0F2B">
        <w:rPr>
          <w:rFonts w:cs="Arial"/>
          <w:lang w:val="de-CH"/>
        </w:rPr>
        <w:t>CAJ</w:t>
      </w:r>
      <w:r w:rsidR="00C372E9" w:rsidRPr="000A0F2B">
        <w:rPr>
          <w:rFonts w:cs="Arial"/>
          <w:lang w:val="de-CH" w:eastAsia="ja-JP"/>
        </w:rPr>
        <w:noBreakHyphen/>
      </w:r>
      <w:r w:rsidR="00C372E9" w:rsidRPr="000A0F2B">
        <w:rPr>
          <w:rFonts w:cs="Arial"/>
          <w:lang w:val="de-CH"/>
        </w:rPr>
        <w:t>AG</w:t>
      </w:r>
      <w:r w:rsidR="00C372E9" w:rsidRPr="000A0F2B">
        <w:rPr>
          <w:rFonts w:cs="Arial"/>
          <w:lang w:val="de-CH" w:eastAsia="ja-JP"/>
        </w:rPr>
        <w:t xml:space="preserve"> a</w:t>
      </w:r>
      <w:r w:rsidR="003B10BD">
        <w:rPr>
          <w:rFonts w:cs="Arial"/>
          <w:lang w:val="de-CH" w:eastAsia="ja-JP"/>
        </w:rPr>
        <w:t xml:space="preserve">uf ihrer neunten </w:t>
      </w:r>
      <w:r w:rsidR="00625286">
        <w:rPr>
          <w:rFonts w:cs="Arial"/>
          <w:lang w:val="de-CH" w:eastAsia="ja-JP"/>
        </w:rPr>
        <w:t>Tagung</w:t>
      </w:r>
      <w:r w:rsidR="00BA4549" w:rsidRPr="000A0F2B">
        <w:rPr>
          <w:rStyle w:val="FootnoteReference"/>
          <w:rFonts w:cs="Arial"/>
          <w:lang w:val="de-CH" w:eastAsia="ja-JP"/>
        </w:rPr>
        <w:footnoteReference w:id="18"/>
      </w:r>
      <w:r w:rsidR="00A837D5" w:rsidRPr="00A837D5">
        <w:rPr>
          <w:rFonts w:cs="Arial"/>
          <w:lang w:val="de-CH" w:eastAsia="ja-JP"/>
        </w:rPr>
        <w:t xml:space="preserve"> </w:t>
      </w:r>
      <w:r w:rsidR="00A837D5">
        <w:rPr>
          <w:rFonts w:cs="Arial"/>
          <w:lang w:val="de-CH" w:eastAsia="ja-JP"/>
        </w:rPr>
        <w:t>ausgearbeitet</w:t>
      </w:r>
      <w:r w:rsidR="00A837D5" w:rsidRPr="000A0F2B">
        <w:rPr>
          <w:rFonts w:cs="Arial"/>
          <w:lang w:val="de-CH" w:eastAsia="ja-JP"/>
        </w:rPr>
        <w:t>.</w:t>
      </w:r>
    </w:p>
    <w:p w:rsidR="00214B92" w:rsidRPr="000A0F2B" w:rsidRDefault="00214B92" w:rsidP="002E25B7">
      <w:pPr>
        <w:rPr>
          <w:lang w:val="de-CH" w:eastAsia="ja-JP"/>
        </w:rPr>
      </w:pPr>
    </w:p>
    <w:p w:rsidR="002E25B7" w:rsidRPr="000A0F2B" w:rsidRDefault="002E25B7" w:rsidP="002E25B7">
      <w:pPr>
        <w:rPr>
          <w:rFonts w:cs="Arial"/>
          <w:lang w:val="de-CH" w:eastAsia="ja-JP"/>
        </w:rPr>
      </w:pPr>
      <w:r w:rsidRPr="000A0F2B">
        <w:rPr>
          <w:lang w:val="de-CH"/>
        </w:rPr>
        <w:fldChar w:fldCharType="begin"/>
      </w:r>
      <w:r w:rsidRPr="000A0F2B">
        <w:rPr>
          <w:lang w:val="de-CH"/>
        </w:rPr>
        <w:instrText xml:space="preserve"> AUTONUM  </w:instrText>
      </w:r>
      <w:r w:rsidRPr="000A0F2B">
        <w:rPr>
          <w:lang w:val="de-CH"/>
        </w:rPr>
        <w:fldChar w:fldCharType="end"/>
      </w:r>
      <w:r w:rsidRPr="000A0F2B">
        <w:rPr>
          <w:lang w:val="de-CH"/>
        </w:rPr>
        <w:tab/>
      </w:r>
      <w:r w:rsidR="009971AC">
        <w:rPr>
          <w:lang w:val="de-CH"/>
        </w:rPr>
        <w:t>Die folgende Anleitung wurde von der</w:t>
      </w:r>
      <w:r w:rsidRPr="000A0F2B">
        <w:rPr>
          <w:rFonts w:cs="Arial"/>
          <w:lang w:val="de-CH"/>
        </w:rPr>
        <w:t xml:space="preserve"> CAJ</w:t>
      </w:r>
      <w:r w:rsidR="009971AC">
        <w:rPr>
          <w:rFonts w:cs="Arial"/>
          <w:lang w:val="de-CH"/>
        </w:rPr>
        <w:t>-</w:t>
      </w:r>
      <w:r w:rsidRPr="000A0F2B">
        <w:rPr>
          <w:rFonts w:cs="Arial"/>
          <w:lang w:val="de-CH"/>
        </w:rPr>
        <w:t>AG</w:t>
      </w:r>
      <w:r w:rsidRPr="000A0F2B">
        <w:rPr>
          <w:rFonts w:cs="Arial"/>
          <w:lang w:val="de-CH" w:eastAsia="ja-JP"/>
        </w:rPr>
        <w:t xml:space="preserve"> a</w:t>
      </w:r>
      <w:r w:rsidR="009971AC">
        <w:rPr>
          <w:rFonts w:cs="Arial"/>
          <w:lang w:val="de-CH" w:eastAsia="ja-JP"/>
        </w:rPr>
        <w:t xml:space="preserve">uf ihrer neunten Tagung vereinbart, wie </w:t>
      </w:r>
      <w:r w:rsidR="00C84A93">
        <w:rPr>
          <w:rFonts w:cs="Arial"/>
          <w:lang w:val="de-CH" w:eastAsia="ja-JP"/>
        </w:rPr>
        <w:t xml:space="preserve">in </w:t>
      </w:r>
      <w:r w:rsidR="009971AC">
        <w:rPr>
          <w:rFonts w:cs="Arial"/>
          <w:lang w:val="de-CH" w:eastAsia="ja-JP"/>
        </w:rPr>
        <w:t>Dokument</w:t>
      </w:r>
      <w:r w:rsidR="001F730D" w:rsidRPr="000A0F2B">
        <w:rPr>
          <w:rFonts w:cs="Arial"/>
          <w:lang w:val="de-CH"/>
        </w:rPr>
        <w:t xml:space="preserve"> </w:t>
      </w:r>
      <w:r w:rsidR="001F730D" w:rsidRPr="000A0F2B">
        <w:rPr>
          <w:lang w:val="de-CH"/>
        </w:rPr>
        <w:t>UPOV/INF/12/5 Draft 2</w:t>
      </w:r>
      <w:r w:rsidR="009971AC">
        <w:rPr>
          <w:lang w:val="de-CH"/>
        </w:rPr>
        <w:t xml:space="preserve"> </w:t>
      </w:r>
      <w:r w:rsidR="00C84A93">
        <w:rPr>
          <w:lang w:val="de-CH"/>
        </w:rPr>
        <w:t>dargelegt</w:t>
      </w:r>
      <w:r w:rsidRPr="000A0F2B">
        <w:rPr>
          <w:rFonts w:cs="Arial"/>
          <w:lang w:val="de-CH"/>
        </w:rPr>
        <w:t>:</w:t>
      </w:r>
    </w:p>
    <w:p w:rsidR="002E25B7" w:rsidRPr="000A0F2B" w:rsidRDefault="002E25B7" w:rsidP="002E25B7">
      <w:pPr>
        <w:rPr>
          <w:lang w:val="de-CH"/>
        </w:rPr>
      </w:pPr>
    </w:p>
    <w:p w:rsidR="002E25B7" w:rsidRPr="000A0F2B" w:rsidRDefault="002E25B7" w:rsidP="002E25B7">
      <w:pPr>
        <w:ind w:left="567" w:right="567"/>
        <w:rPr>
          <w:sz w:val="18"/>
          <w:lang w:val="de-CH"/>
        </w:rPr>
      </w:pPr>
      <w:r w:rsidRPr="000A0F2B">
        <w:rPr>
          <w:sz w:val="18"/>
          <w:lang w:val="de-CH"/>
        </w:rPr>
        <w:t>“7.2</w:t>
      </w:r>
      <w:r w:rsidRPr="000A0F2B">
        <w:rPr>
          <w:sz w:val="18"/>
          <w:lang w:val="de-CH"/>
        </w:rPr>
        <w:tab/>
      </w:r>
      <w:r w:rsidR="00A837D5" w:rsidRPr="00A837D5">
        <w:rPr>
          <w:sz w:val="18"/>
          <w:lang w:val="de-CH"/>
        </w:rPr>
        <w:t xml:space="preserve">Folgende Punkte </w:t>
      </w:r>
      <w:r w:rsidR="00A837D5" w:rsidRPr="002326CE">
        <w:rPr>
          <w:sz w:val="18"/>
          <w:lang w:val="de-CH"/>
        </w:rPr>
        <w:t>erteilen</w:t>
      </w:r>
      <w:r w:rsidR="00A837D5" w:rsidRPr="00A837D5">
        <w:rPr>
          <w:sz w:val="18"/>
          <w:lang w:val="de-CH"/>
        </w:rPr>
        <w:t xml:space="preserve"> Anleitung zu Änderungen eingetragener Sortenbezeichnungen: </w:t>
      </w:r>
    </w:p>
    <w:p w:rsidR="002E25B7" w:rsidRPr="000A0F2B" w:rsidRDefault="002E25B7" w:rsidP="002E25B7">
      <w:pPr>
        <w:ind w:left="567" w:right="567"/>
        <w:rPr>
          <w:sz w:val="18"/>
          <w:lang w:val="de-CH"/>
        </w:rPr>
      </w:pPr>
    </w:p>
    <w:p w:rsidR="002E25B7" w:rsidRPr="000A0F2B" w:rsidRDefault="002E25B7" w:rsidP="002E25B7">
      <w:pPr>
        <w:ind w:left="567" w:right="567" w:firstLine="567"/>
        <w:rPr>
          <w:sz w:val="18"/>
          <w:lang w:val="de-CH"/>
        </w:rPr>
      </w:pPr>
      <w:r w:rsidRPr="000A0F2B">
        <w:rPr>
          <w:sz w:val="18"/>
          <w:lang w:val="de-CH"/>
        </w:rPr>
        <w:t>a)</w:t>
      </w:r>
      <w:r w:rsidRPr="000A0F2B">
        <w:rPr>
          <w:sz w:val="18"/>
          <w:lang w:val="de-CH"/>
        </w:rPr>
        <w:tab/>
      </w:r>
      <w:r w:rsidR="00195B01" w:rsidRPr="00195B01">
        <w:rPr>
          <w:sz w:val="18"/>
          <w:lang w:val="de-CH"/>
        </w:rPr>
        <w:t>Das UPOV-Übereinkommen erfordert eine Änderung der eingetragenen Bezeichnung, wenn die Bezeichnung der Sorte nach Erteilung des Rechts gestrichen wird. Die zuständige Behörde sollte eine Sortenbezeichnung streichen,</w:t>
      </w:r>
      <w:r w:rsidR="002326CE">
        <w:rPr>
          <w:sz w:val="18"/>
          <w:lang w:val="de-CH"/>
        </w:rPr>
        <w:t xml:space="preserve"> wenn</w:t>
      </w:r>
      <w:r w:rsidR="00195B01" w:rsidRPr="00195B01">
        <w:rPr>
          <w:sz w:val="18"/>
          <w:lang w:val="de-CH"/>
        </w:rPr>
        <w:t xml:space="preserve">: </w:t>
      </w:r>
    </w:p>
    <w:p w:rsidR="002E25B7" w:rsidRPr="000A0F2B" w:rsidRDefault="002E25B7" w:rsidP="002E25B7">
      <w:pPr>
        <w:pStyle w:val="ListParagraph"/>
        <w:ind w:left="1287" w:right="567"/>
        <w:rPr>
          <w:sz w:val="18"/>
          <w:lang w:val="de-CH"/>
        </w:rPr>
      </w:pPr>
    </w:p>
    <w:p w:rsidR="002E25B7" w:rsidRPr="000A0F2B" w:rsidRDefault="002E25B7" w:rsidP="002E25B7">
      <w:pPr>
        <w:ind w:left="567" w:right="567" w:firstLine="567"/>
        <w:rPr>
          <w:sz w:val="18"/>
          <w:lang w:val="de-CH"/>
        </w:rPr>
      </w:pPr>
      <w:r w:rsidRPr="000A0F2B">
        <w:rPr>
          <w:sz w:val="18"/>
          <w:lang w:val="de-CH"/>
        </w:rPr>
        <w:tab/>
        <w:t>i)</w:t>
      </w:r>
      <w:r w:rsidRPr="000A0F2B">
        <w:rPr>
          <w:sz w:val="18"/>
          <w:lang w:val="de-CH"/>
        </w:rPr>
        <w:tab/>
      </w:r>
      <w:r w:rsidR="00195B01" w:rsidRPr="00195B01">
        <w:rPr>
          <w:sz w:val="18"/>
          <w:lang w:val="de-CH"/>
        </w:rPr>
        <w:t>die Benutzung der Sortenbezeichnung einer Person, die nach Absatz 7 zu ihrer Benutzung verpflichtet ist, auf Grund eines älteren Rechtes untersagt wird (siehe Absatz 4 „Ältere Rechte Dritter“</w:t>
      </w:r>
      <w:r w:rsidRPr="000A0F2B">
        <w:rPr>
          <w:sz w:val="18"/>
          <w:lang w:val="de-CH"/>
        </w:rPr>
        <w:t xml:space="preserve">); </w:t>
      </w:r>
    </w:p>
    <w:p w:rsidR="002E25B7" w:rsidRPr="000A0F2B" w:rsidRDefault="002E25B7" w:rsidP="002E25B7">
      <w:pPr>
        <w:ind w:left="567" w:right="567" w:firstLine="567"/>
        <w:rPr>
          <w:sz w:val="18"/>
          <w:lang w:val="de-CH"/>
        </w:rPr>
      </w:pPr>
    </w:p>
    <w:p w:rsidR="002E25B7" w:rsidRPr="000A0F2B" w:rsidRDefault="002E25B7" w:rsidP="002E25B7">
      <w:pPr>
        <w:ind w:left="567" w:right="567" w:firstLine="567"/>
        <w:rPr>
          <w:sz w:val="18"/>
          <w:lang w:val="de-CH"/>
        </w:rPr>
      </w:pPr>
      <w:r w:rsidRPr="000A0F2B">
        <w:rPr>
          <w:sz w:val="18"/>
          <w:lang w:val="de-CH"/>
        </w:rPr>
        <w:tab/>
        <w:t>ii)</w:t>
      </w:r>
      <w:r w:rsidRPr="000A0F2B">
        <w:rPr>
          <w:sz w:val="18"/>
          <w:lang w:val="de-CH"/>
        </w:rPr>
        <w:tab/>
      </w:r>
      <w:r w:rsidR="009D38C1" w:rsidRPr="009D38C1">
        <w:rPr>
          <w:sz w:val="18"/>
          <w:lang w:val="de-CH"/>
        </w:rPr>
        <w:t xml:space="preserve">die Bezeichnung ungeeignet ist, da sie in Widerspruch zu den Bestimmungen in Absatz 2 „Eigenschaften der Bezeichnung“ steht; </w:t>
      </w:r>
    </w:p>
    <w:p w:rsidR="002E25B7" w:rsidRPr="000A0F2B" w:rsidRDefault="002E25B7" w:rsidP="002E25B7">
      <w:pPr>
        <w:pStyle w:val="ListParagraph"/>
        <w:ind w:left="2421" w:right="567"/>
        <w:rPr>
          <w:sz w:val="18"/>
          <w:lang w:val="de-CH"/>
        </w:rPr>
      </w:pPr>
    </w:p>
    <w:p w:rsidR="002E25B7" w:rsidRPr="000A0F2B" w:rsidRDefault="002E25B7" w:rsidP="002E25B7">
      <w:pPr>
        <w:ind w:left="567" w:right="567" w:firstLine="567"/>
        <w:rPr>
          <w:sz w:val="18"/>
          <w:lang w:val="de-CH"/>
        </w:rPr>
      </w:pPr>
      <w:r w:rsidRPr="000A0F2B">
        <w:rPr>
          <w:sz w:val="18"/>
          <w:lang w:val="de-CH"/>
        </w:rPr>
        <w:t>b)</w:t>
      </w:r>
      <w:r w:rsidRPr="000A0F2B">
        <w:rPr>
          <w:sz w:val="18"/>
          <w:lang w:val="de-CH"/>
        </w:rPr>
        <w:tab/>
      </w:r>
      <w:r w:rsidR="009D38C1" w:rsidRPr="009D38C1">
        <w:rPr>
          <w:sz w:val="18"/>
          <w:lang w:val="de-CH"/>
        </w:rPr>
        <w:t xml:space="preserve">In Fällen, in denen die eingetragene Bezeichnung im Nachhinein in einem anderen Verbandsmitglied abgelehnt wird, da sie in </w:t>
      </w:r>
      <w:r w:rsidR="00CA495A">
        <w:rPr>
          <w:sz w:val="18"/>
          <w:lang w:val="de-CH"/>
        </w:rPr>
        <w:t>dessen</w:t>
      </w:r>
      <w:r w:rsidR="002326CE">
        <w:rPr>
          <w:sz w:val="18"/>
          <w:lang w:val="de-CH"/>
        </w:rPr>
        <w:t xml:space="preserve"> </w:t>
      </w:r>
      <w:r w:rsidR="009D38C1" w:rsidRPr="009D38C1">
        <w:rPr>
          <w:sz w:val="18"/>
          <w:lang w:val="de-CH"/>
        </w:rPr>
        <w:t>Hoheitsgebiet ungeeignet ist</w:t>
      </w:r>
      <w:r w:rsidRPr="000A0F2B">
        <w:rPr>
          <w:sz w:val="18"/>
          <w:lang w:val="de-CH"/>
        </w:rPr>
        <w:t xml:space="preserve"> (</w:t>
      </w:r>
      <w:r w:rsidR="00EA21C8">
        <w:rPr>
          <w:sz w:val="18"/>
          <w:lang w:val="de-CH"/>
        </w:rPr>
        <w:t xml:space="preserve">z. B. </w:t>
      </w:r>
      <w:r w:rsidR="00EA21C8" w:rsidRPr="00EA21C8">
        <w:rPr>
          <w:sz w:val="18"/>
          <w:lang w:val="de-CH"/>
        </w:rPr>
        <w:t>älteres Recht), kann es die Behörde auf Antrag des Züchters als zweckmäßig erachten, die Bezeichnung in die in d</w:t>
      </w:r>
      <w:r w:rsidR="002326CE">
        <w:rPr>
          <w:sz w:val="18"/>
          <w:lang w:val="de-CH"/>
        </w:rPr>
        <w:t>ies</w:t>
      </w:r>
      <w:r w:rsidR="00EA21C8" w:rsidRPr="00EA21C8">
        <w:rPr>
          <w:sz w:val="18"/>
          <w:lang w:val="de-CH"/>
        </w:rPr>
        <w:t xml:space="preserve">em </w:t>
      </w:r>
      <w:r w:rsidR="00EA21C8" w:rsidRPr="00EA21C8">
        <w:rPr>
          <w:sz w:val="18"/>
          <w:lang w:val="de-CH"/>
        </w:rPr>
        <w:lastRenderedPageBreak/>
        <w:t xml:space="preserve">anderen Verbandsmitglied eingetragene Bezeichnung abzuändern (siehe Bestimmungen in Absatz 5 „Einheitlichkeit der Bezeichnung in allen Vertragsparteien“); </w:t>
      </w:r>
      <w:r w:rsidR="00EA21C8">
        <w:rPr>
          <w:sz w:val="18"/>
          <w:lang w:val="de-CH"/>
        </w:rPr>
        <w:t>u</w:t>
      </w:r>
      <w:r w:rsidRPr="000A0F2B">
        <w:rPr>
          <w:sz w:val="18"/>
          <w:lang w:val="de-CH"/>
        </w:rPr>
        <w:t>nd</w:t>
      </w:r>
    </w:p>
    <w:p w:rsidR="002E25B7" w:rsidRPr="000A0F2B" w:rsidRDefault="002E25B7" w:rsidP="002E25B7">
      <w:pPr>
        <w:ind w:left="567" w:right="567"/>
        <w:rPr>
          <w:sz w:val="18"/>
          <w:lang w:val="de-CH"/>
        </w:rPr>
      </w:pPr>
    </w:p>
    <w:p w:rsidR="006C5654" w:rsidRPr="000A0F2B" w:rsidRDefault="002E25B7" w:rsidP="002E25B7">
      <w:pPr>
        <w:ind w:left="567" w:right="567" w:firstLine="567"/>
        <w:rPr>
          <w:sz w:val="18"/>
          <w:lang w:val="de-CH" w:eastAsia="ja-JP"/>
        </w:rPr>
      </w:pPr>
      <w:r w:rsidRPr="000A0F2B">
        <w:rPr>
          <w:sz w:val="18"/>
          <w:lang w:val="de-CH"/>
        </w:rPr>
        <w:t>c)</w:t>
      </w:r>
      <w:r w:rsidRPr="000A0F2B">
        <w:rPr>
          <w:sz w:val="18"/>
          <w:lang w:val="de-CH"/>
        </w:rPr>
        <w:tab/>
      </w:r>
      <w:r w:rsidR="004362CF" w:rsidRPr="004362CF">
        <w:rPr>
          <w:sz w:val="18"/>
          <w:lang w:val="de-CH"/>
        </w:rPr>
        <w:t xml:space="preserve">im Allgemeinen </w:t>
      </w:r>
      <w:r w:rsidR="003D35D3">
        <w:rPr>
          <w:sz w:val="18"/>
          <w:lang w:val="de-CH"/>
        </w:rPr>
        <w:t>ist</w:t>
      </w:r>
      <w:r w:rsidR="004362CF" w:rsidRPr="004362CF">
        <w:rPr>
          <w:sz w:val="18"/>
          <w:lang w:val="de-CH"/>
        </w:rPr>
        <w:t xml:space="preserve"> es vorbehaltlich a) und b) oben nicht zweckmäßig, </w:t>
      </w:r>
      <w:r w:rsidR="003D35D3">
        <w:rPr>
          <w:sz w:val="18"/>
          <w:lang w:val="de-CH"/>
        </w:rPr>
        <w:t>dass</w:t>
      </w:r>
      <w:r w:rsidR="004362CF" w:rsidRPr="004362CF">
        <w:rPr>
          <w:sz w:val="18"/>
          <w:lang w:val="de-CH"/>
        </w:rPr>
        <w:t xml:space="preserve"> die Behörde eine eingetragene Bezeichnung auf Anfrage eines Züchters änder</w:t>
      </w:r>
      <w:r w:rsidR="003D35D3">
        <w:rPr>
          <w:sz w:val="18"/>
          <w:lang w:val="de-CH"/>
        </w:rPr>
        <w:t>t</w:t>
      </w:r>
      <w:r w:rsidR="004362CF" w:rsidRPr="004362CF">
        <w:rPr>
          <w:sz w:val="18"/>
          <w:lang w:val="de-CH"/>
        </w:rPr>
        <w:t>.</w:t>
      </w:r>
      <w:r w:rsidR="00CA495A">
        <w:rPr>
          <w:sz w:val="18"/>
          <w:lang w:val="de-CH"/>
        </w:rPr>
        <w:t>“</w:t>
      </w:r>
      <w:r w:rsidR="002F7364" w:rsidRPr="000A0F2B">
        <w:rPr>
          <w:rStyle w:val="FootnoteReference"/>
          <w:rFonts w:cs="Arial"/>
          <w:lang w:val="de-CH" w:eastAsia="ja-JP"/>
        </w:rPr>
        <w:footnoteReference w:id="19"/>
      </w:r>
    </w:p>
    <w:p w:rsidR="006C5654" w:rsidRPr="000A0F2B" w:rsidRDefault="006C5654" w:rsidP="002E25B7">
      <w:pPr>
        <w:ind w:left="567" w:right="567" w:firstLine="567"/>
        <w:rPr>
          <w:sz w:val="18"/>
          <w:lang w:val="de-CH" w:eastAsia="ja-JP"/>
        </w:rPr>
      </w:pPr>
    </w:p>
    <w:p w:rsidR="00740CB2" w:rsidRPr="000A0F2B" w:rsidRDefault="00740CB2" w:rsidP="00433B8A">
      <w:pPr>
        <w:rPr>
          <w:sz w:val="18"/>
          <w:lang w:val="de-CH" w:eastAsia="ja-JP"/>
        </w:rPr>
      </w:pPr>
      <w:r w:rsidRPr="000A0F2B">
        <w:rPr>
          <w:lang w:val="de-CH"/>
        </w:rPr>
        <w:fldChar w:fldCharType="begin"/>
      </w:r>
      <w:r w:rsidRPr="000A0F2B">
        <w:rPr>
          <w:lang w:val="de-CH"/>
        </w:rPr>
        <w:instrText xml:space="preserve"> AUTONUM  </w:instrText>
      </w:r>
      <w:r w:rsidRPr="000A0F2B">
        <w:rPr>
          <w:lang w:val="de-CH"/>
        </w:rPr>
        <w:fldChar w:fldCharType="end"/>
      </w:r>
      <w:r w:rsidRPr="000A0F2B">
        <w:rPr>
          <w:lang w:val="de-CH"/>
        </w:rPr>
        <w:tab/>
      </w:r>
      <w:r w:rsidR="00C62064">
        <w:rPr>
          <w:lang w:val="de-CH"/>
        </w:rPr>
        <w:t xml:space="preserve">Vorbehaltlich der Billigung durch den </w:t>
      </w:r>
      <w:r w:rsidRPr="000A0F2B">
        <w:rPr>
          <w:lang w:val="de-CH" w:eastAsia="ja-JP"/>
        </w:rPr>
        <w:t>CAJ a</w:t>
      </w:r>
      <w:r w:rsidR="00C62064">
        <w:rPr>
          <w:lang w:val="de-CH" w:eastAsia="ja-JP"/>
        </w:rPr>
        <w:t>uf seiner einundsiebzigsten Tagung</w:t>
      </w:r>
      <w:r w:rsidR="00C372E9" w:rsidRPr="000A0F2B">
        <w:rPr>
          <w:rStyle w:val="FootnoteReference"/>
          <w:lang w:val="de-CH" w:eastAsia="ja-JP"/>
        </w:rPr>
        <w:footnoteReference w:id="20"/>
      </w:r>
      <w:r w:rsidRPr="000A0F2B">
        <w:rPr>
          <w:lang w:val="de-CH" w:eastAsia="ja-JP"/>
        </w:rPr>
        <w:t xml:space="preserve"> </w:t>
      </w:r>
      <w:r w:rsidR="00C62064">
        <w:rPr>
          <w:lang w:val="de-CH" w:eastAsia="ja-JP"/>
        </w:rPr>
        <w:t>wird vorgeschlagen, das Dokument</w:t>
      </w:r>
      <w:r w:rsidR="00C35B57" w:rsidRPr="000A0F2B">
        <w:rPr>
          <w:lang w:val="de-CH"/>
        </w:rPr>
        <w:t> </w:t>
      </w:r>
      <w:r w:rsidRPr="000A0F2B">
        <w:rPr>
          <w:lang w:val="de-CH"/>
        </w:rPr>
        <w:t xml:space="preserve">UPOV/INF/12 </w:t>
      </w:r>
      <w:r w:rsidR="00C62064">
        <w:rPr>
          <w:lang w:val="de-CH"/>
        </w:rPr>
        <w:t xml:space="preserve">durch </w:t>
      </w:r>
      <w:r w:rsidR="001E3D6F">
        <w:rPr>
          <w:lang w:val="de-CH"/>
        </w:rPr>
        <w:t>Aufnahme</w:t>
      </w:r>
      <w:r w:rsidR="00C62064">
        <w:rPr>
          <w:lang w:val="de-CH"/>
        </w:rPr>
        <w:t xml:space="preserve"> </w:t>
      </w:r>
      <w:r w:rsidR="00625286">
        <w:rPr>
          <w:lang w:val="de-CH"/>
        </w:rPr>
        <w:t xml:space="preserve">von </w:t>
      </w:r>
      <w:r w:rsidR="00C62064">
        <w:rPr>
          <w:lang w:val="de-CH"/>
        </w:rPr>
        <w:t xml:space="preserve">Anleitung </w:t>
      </w:r>
      <w:r w:rsidR="001E3D6F" w:rsidRPr="001E3D6F">
        <w:rPr>
          <w:lang w:val="de-CH" w:eastAsia="ja-JP"/>
        </w:rPr>
        <w:t>zu Änderungen eingetragener Sortenbezeichnungen</w:t>
      </w:r>
      <w:r w:rsidR="00625286">
        <w:rPr>
          <w:lang w:val="de-CH" w:eastAsia="ja-JP"/>
        </w:rPr>
        <w:t xml:space="preserve">, wie in </w:t>
      </w:r>
      <w:r w:rsidR="00625286">
        <w:rPr>
          <w:lang w:val="de-CH"/>
        </w:rPr>
        <w:t>vorstehendem Absatz 21 dargelegt,</w:t>
      </w:r>
      <w:r w:rsidR="001E3D6F" w:rsidRPr="000A0F2B">
        <w:rPr>
          <w:lang w:val="de-CH" w:eastAsia="ja-JP"/>
        </w:rPr>
        <w:t xml:space="preserve"> </w:t>
      </w:r>
      <w:r w:rsidR="00C62064">
        <w:rPr>
          <w:lang w:val="de-CH" w:eastAsia="ja-JP"/>
        </w:rPr>
        <w:t xml:space="preserve">zu überarbeiten </w:t>
      </w:r>
      <w:r w:rsidR="001E3D6F">
        <w:rPr>
          <w:lang w:val="de-CH" w:eastAsia="ja-JP"/>
        </w:rPr>
        <w:t xml:space="preserve">und dem Rat </w:t>
      </w:r>
      <w:r w:rsidR="00CA495A">
        <w:rPr>
          <w:lang w:val="de-CH" w:eastAsia="ja-JP"/>
        </w:rPr>
        <w:t xml:space="preserve">diese Anleitung </w:t>
      </w:r>
      <w:r w:rsidR="001E3D6F">
        <w:rPr>
          <w:lang w:val="de-CH" w:eastAsia="ja-JP"/>
        </w:rPr>
        <w:t>zur Annahme auf seiner neunundvierzigsten ordentlichen Tagung</w:t>
      </w:r>
      <w:r w:rsidR="00C372E9" w:rsidRPr="000A0F2B">
        <w:rPr>
          <w:rStyle w:val="FootnoteReference"/>
          <w:color w:val="000000"/>
          <w:lang w:val="de-CH"/>
        </w:rPr>
        <w:footnoteReference w:id="21"/>
      </w:r>
      <w:r w:rsidR="001E3D6F">
        <w:rPr>
          <w:lang w:val="de-CH" w:eastAsia="ja-JP"/>
        </w:rPr>
        <w:t xml:space="preserve"> zu unterbreiten</w:t>
      </w:r>
      <w:r w:rsidR="007C6528" w:rsidRPr="000A0F2B">
        <w:rPr>
          <w:lang w:val="de-CH" w:eastAsia="ja-JP"/>
        </w:rPr>
        <w:t>.</w:t>
      </w:r>
    </w:p>
    <w:p w:rsidR="002E25B7" w:rsidRPr="000A0F2B" w:rsidRDefault="002E25B7" w:rsidP="00433B8A">
      <w:pPr>
        <w:spacing w:line="360" w:lineRule="auto"/>
        <w:rPr>
          <w:lang w:val="de-CH"/>
        </w:rPr>
      </w:pPr>
    </w:p>
    <w:p w:rsidR="002E25B7" w:rsidRPr="00784C8F" w:rsidRDefault="00784C8F" w:rsidP="004906C1">
      <w:pPr>
        <w:pStyle w:val="Heading2"/>
        <w:rPr>
          <w:lang w:val="de-CH"/>
        </w:rPr>
      </w:pPr>
      <w:bookmarkStart w:id="20" w:name="_Toc413652565"/>
      <w:r>
        <w:rPr>
          <w:lang w:val="de-CH" w:eastAsia="ja-JP"/>
        </w:rPr>
        <w:t xml:space="preserve">Vorschläge für </w:t>
      </w:r>
      <w:r w:rsidR="00A5070C">
        <w:rPr>
          <w:lang w:val="de-CH" w:eastAsia="ja-JP"/>
        </w:rPr>
        <w:t>die</w:t>
      </w:r>
      <w:r>
        <w:rPr>
          <w:lang w:val="de-CH" w:eastAsia="ja-JP"/>
        </w:rPr>
        <w:t xml:space="preserve"> Überarbeitung von Dokument</w:t>
      </w:r>
      <w:r w:rsidR="002E25B7" w:rsidRPr="00784C8F">
        <w:rPr>
          <w:lang w:val="de-CH" w:eastAsia="ja-JP"/>
        </w:rPr>
        <w:t xml:space="preserve"> UPOV/INF/12/4</w:t>
      </w:r>
      <w:r w:rsidR="00076B53">
        <w:rPr>
          <w:lang w:val="de-CH" w:eastAsia="ja-JP"/>
        </w:rPr>
        <w:t>, in dem die CAJ-AG eine erste Prüfung durchgeführt hat</w:t>
      </w:r>
      <w:bookmarkEnd w:id="20"/>
    </w:p>
    <w:p w:rsidR="002E25B7" w:rsidRPr="00784C8F" w:rsidRDefault="002E25B7" w:rsidP="00A2438A">
      <w:pPr>
        <w:keepNext/>
        <w:rPr>
          <w:rFonts w:cs="Arial"/>
          <w:snapToGrid w:val="0"/>
          <w:lang w:val="de-CH" w:eastAsia="ja-JP"/>
        </w:rPr>
      </w:pPr>
    </w:p>
    <w:p w:rsidR="007767F4" w:rsidRPr="00784C8F" w:rsidRDefault="007767F4" w:rsidP="00433B8A">
      <w:pPr>
        <w:rPr>
          <w:snapToGrid w:val="0"/>
          <w:lang w:val="de-CH" w:eastAsia="ja-JP"/>
        </w:rPr>
      </w:pPr>
      <w:r w:rsidRPr="00784C8F">
        <w:rPr>
          <w:lang w:val="de-CH"/>
        </w:rPr>
        <w:fldChar w:fldCharType="begin"/>
      </w:r>
      <w:r w:rsidRPr="00784C8F">
        <w:rPr>
          <w:lang w:val="de-CH"/>
        </w:rPr>
        <w:instrText xml:space="preserve"> AUTONUM  </w:instrText>
      </w:r>
      <w:r w:rsidRPr="00784C8F">
        <w:rPr>
          <w:lang w:val="de-CH"/>
        </w:rPr>
        <w:fldChar w:fldCharType="end"/>
      </w:r>
      <w:r w:rsidRPr="00784C8F">
        <w:rPr>
          <w:lang w:val="de-CH"/>
        </w:rPr>
        <w:tab/>
      </w:r>
      <w:r w:rsidR="00784C8F">
        <w:rPr>
          <w:lang w:val="de-CH"/>
        </w:rPr>
        <w:t>Als das Dokument</w:t>
      </w:r>
      <w:r w:rsidRPr="00784C8F">
        <w:rPr>
          <w:snapToGrid w:val="0"/>
          <w:lang w:val="de-CH" w:eastAsia="ja-JP"/>
        </w:rPr>
        <w:t xml:space="preserve"> UPOV/INF/12/5 Draft 1, </w:t>
      </w:r>
      <w:r w:rsidR="00784C8F">
        <w:rPr>
          <w:snapToGrid w:val="0"/>
          <w:lang w:val="de-CH" w:eastAsia="ja-JP"/>
        </w:rPr>
        <w:t xml:space="preserve">in das die </w:t>
      </w:r>
      <w:r w:rsidR="00FF1B82">
        <w:rPr>
          <w:snapToGrid w:val="0"/>
          <w:lang w:val="de-CH" w:eastAsia="ja-JP"/>
        </w:rPr>
        <w:t>Kernpunkte</w:t>
      </w:r>
      <w:r w:rsidR="00784C8F">
        <w:rPr>
          <w:snapToGrid w:val="0"/>
          <w:lang w:val="de-CH" w:eastAsia="ja-JP"/>
        </w:rPr>
        <w:t xml:space="preserve"> der von der CAJ-AG auf ihrer achten Tagung vereinbarten Anleitung </w:t>
      </w:r>
      <w:r w:rsidR="00784C8F" w:rsidRPr="001E3D6F">
        <w:rPr>
          <w:lang w:val="de-CH" w:eastAsia="ja-JP"/>
        </w:rPr>
        <w:t>zu Änderungen eingetragener Sortenbezeichnungen</w:t>
      </w:r>
      <w:r w:rsidR="00784C8F" w:rsidRPr="00784C8F">
        <w:rPr>
          <w:snapToGrid w:val="0"/>
          <w:lang w:val="de-CH" w:eastAsia="ja-JP"/>
        </w:rPr>
        <w:t xml:space="preserve"> </w:t>
      </w:r>
      <w:r w:rsidR="006213FA">
        <w:rPr>
          <w:snapToGrid w:val="0"/>
          <w:lang w:val="de-CH" w:eastAsia="ja-JP"/>
        </w:rPr>
        <w:t>aufgenommen</w:t>
      </w:r>
      <w:r w:rsidR="00FF1B82">
        <w:rPr>
          <w:snapToGrid w:val="0"/>
          <w:lang w:val="de-CH" w:eastAsia="ja-JP"/>
        </w:rPr>
        <w:t xml:space="preserve"> </w:t>
      </w:r>
      <w:r w:rsidR="00CA45AA">
        <w:rPr>
          <w:snapToGrid w:val="0"/>
          <w:lang w:val="de-CH" w:eastAsia="ja-JP"/>
        </w:rPr>
        <w:t>wurden</w:t>
      </w:r>
      <w:r w:rsidR="00784C8F">
        <w:rPr>
          <w:snapToGrid w:val="0"/>
          <w:lang w:val="de-CH" w:eastAsia="ja-JP"/>
        </w:rPr>
        <w:t xml:space="preserve">, </w:t>
      </w:r>
      <w:r w:rsidR="00941F65">
        <w:rPr>
          <w:snapToGrid w:val="0"/>
          <w:lang w:val="de-CH" w:eastAsia="ja-JP"/>
        </w:rPr>
        <w:t>dem CAJ auf dem Schriftweg zugeleitet wurde, gingen neue Anmerkungen und Vorschläge ein, die in das Dokument</w:t>
      </w:r>
      <w:r w:rsidRPr="00784C8F">
        <w:rPr>
          <w:snapToGrid w:val="0"/>
          <w:lang w:val="de-CH" w:eastAsia="ja-JP"/>
        </w:rPr>
        <w:t xml:space="preserve"> UPOV/INF/12/5 Draft 2</w:t>
      </w:r>
      <w:r w:rsidR="00E67961">
        <w:rPr>
          <w:snapToGrid w:val="0"/>
          <w:lang w:val="de-CH" w:eastAsia="ja-JP"/>
        </w:rPr>
        <w:t xml:space="preserve"> eingearbeitet wurden</w:t>
      </w:r>
      <w:r w:rsidRPr="00784C8F">
        <w:rPr>
          <w:snapToGrid w:val="0"/>
          <w:lang w:val="de-CH" w:eastAsia="ja-JP"/>
        </w:rPr>
        <w:t>.</w:t>
      </w:r>
    </w:p>
    <w:p w:rsidR="007767F4" w:rsidRPr="00784C8F" w:rsidRDefault="007767F4" w:rsidP="00433B8A">
      <w:pPr>
        <w:rPr>
          <w:snapToGrid w:val="0"/>
          <w:lang w:val="de-CH" w:eastAsia="ja-JP"/>
        </w:rPr>
      </w:pPr>
    </w:p>
    <w:p w:rsidR="002F7364" w:rsidRPr="00784C8F" w:rsidRDefault="00192EC1" w:rsidP="006C5654">
      <w:pPr>
        <w:rPr>
          <w:lang w:val="de-CH" w:eastAsia="ja-JP"/>
        </w:rPr>
      </w:pPr>
      <w:r w:rsidRPr="00784C8F">
        <w:rPr>
          <w:rFonts w:cs="Arial"/>
          <w:lang w:val="de-CH"/>
        </w:rPr>
        <w:fldChar w:fldCharType="begin"/>
      </w:r>
      <w:r w:rsidRPr="00784C8F">
        <w:rPr>
          <w:rFonts w:cs="Arial"/>
          <w:lang w:val="de-CH"/>
        </w:rPr>
        <w:instrText xml:space="preserve"> AUTONUM  </w:instrText>
      </w:r>
      <w:r w:rsidRPr="00784C8F">
        <w:rPr>
          <w:rFonts w:cs="Arial"/>
          <w:lang w:val="de-CH"/>
        </w:rPr>
        <w:fldChar w:fldCharType="end"/>
      </w:r>
      <w:r w:rsidRPr="00784C8F">
        <w:rPr>
          <w:rFonts w:cs="Arial"/>
          <w:lang w:val="de-CH"/>
        </w:rPr>
        <w:tab/>
      </w:r>
      <w:r w:rsidR="00E67961">
        <w:rPr>
          <w:rFonts w:cs="Arial"/>
          <w:lang w:val="de-CH"/>
        </w:rPr>
        <w:t>Die</w:t>
      </w:r>
      <w:r w:rsidRPr="00784C8F">
        <w:rPr>
          <w:rFonts w:cs="Arial"/>
          <w:lang w:val="de-CH"/>
        </w:rPr>
        <w:t xml:space="preserve"> CAJ­AG </w:t>
      </w:r>
      <w:r w:rsidR="00E67961">
        <w:rPr>
          <w:rFonts w:cs="Arial"/>
          <w:lang w:val="de-CH"/>
        </w:rPr>
        <w:t>vereinbarte auf ihrer neunten Tagung, eine erste Prüfung der im Dokument</w:t>
      </w:r>
      <w:r w:rsidR="00C715A5" w:rsidRPr="00784C8F">
        <w:rPr>
          <w:rFonts w:cs="Arial"/>
          <w:lang w:val="de-CH"/>
        </w:rPr>
        <w:t xml:space="preserve"> </w:t>
      </w:r>
      <w:r w:rsidR="00C715A5" w:rsidRPr="00784C8F">
        <w:rPr>
          <w:lang w:val="de-CH"/>
        </w:rPr>
        <w:t>UPOV/INF/12/5 Draft 2</w:t>
      </w:r>
      <w:r w:rsidR="00E67961">
        <w:rPr>
          <w:lang w:val="de-CH"/>
        </w:rPr>
        <w:t xml:space="preserve"> unterbreiteten Vorschläge </w:t>
      </w:r>
      <w:r w:rsidR="003D35D3">
        <w:rPr>
          <w:lang w:val="de-CH"/>
        </w:rPr>
        <w:t>durchzuführen</w:t>
      </w:r>
      <w:r w:rsidR="00C715A5" w:rsidRPr="00784C8F">
        <w:rPr>
          <w:lang w:val="de-CH" w:eastAsia="ja-JP"/>
        </w:rPr>
        <w:t>.</w:t>
      </w:r>
    </w:p>
    <w:p w:rsidR="00192EC1" w:rsidRPr="00784C8F" w:rsidRDefault="00192EC1" w:rsidP="00192EC1">
      <w:pPr>
        <w:rPr>
          <w:rFonts w:cs="Arial"/>
          <w:lang w:val="de-CH" w:eastAsia="ja-JP"/>
        </w:rPr>
      </w:pPr>
    </w:p>
    <w:p w:rsidR="00192EC1" w:rsidRPr="00784C8F" w:rsidRDefault="00192EC1" w:rsidP="00192EC1">
      <w:pPr>
        <w:rPr>
          <w:lang w:val="de-CH"/>
        </w:rPr>
      </w:pPr>
      <w:r w:rsidRPr="00784C8F">
        <w:rPr>
          <w:lang w:val="de-CH"/>
        </w:rPr>
        <w:fldChar w:fldCharType="begin"/>
      </w:r>
      <w:r w:rsidRPr="00784C8F">
        <w:rPr>
          <w:lang w:val="de-CH"/>
        </w:rPr>
        <w:instrText xml:space="preserve"> AUTONUM  </w:instrText>
      </w:r>
      <w:r w:rsidRPr="00784C8F">
        <w:rPr>
          <w:lang w:val="de-CH"/>
        </w:rPr>
        <w:fldChar w:fldCharType="end"/>
      </w:r>
      <w:r w:rsidR="00C715A5" w:rsidRPr="00784C8F">
        <w:rPr>
          <w:lang w:val="de-CH"/>
        </w:rPr>
        <w:tab/>
      </w:r>
      <w:r w:rsidR="00E67961">
        <w:rPr>
          <w:lang w:val="de-CH"/>
        </w:rPr>
        <w:t xml:space="preserve">Zu Dokument </w:t>
      </w:r>
      <w:r w:rsidR="00E67961" w:rsidRPr="00784C8F">
        <w:rPr>
          <w:lang w:val="de-CH"/>
        </w:rPr>
        <w:t>UPOV/INF/12/5 Draft 2</w:t>
      </w:r>
      <w:r w:rsidR="00E67961" w:rsidRPr="00784C8F">
        <w:rPr>
          <w:rStyle w:val="FootnoteReference"/>
          <w:lang w:val="de-CH" w:eastAsia="ja-JP"/>
        </w:rPr>
        <w:footnoteReference w:id="22"/>
      </w:r>
      <w:r w:rsidR="00E67961">
        <w:rPr>
          <w:lang w:val="de-CH"/>
        </w:rPr>
        <w:t xml:space="preserve"> merkte die CAJ-AG folgendes an</w:t>
      </w:r>
      <w:r w:rsidR="00E67961">
        <w:rPr>
          <w:lang w:val="de-CH" w:eastAsia="ja-JP"/>
        </w:rPr>
        <w:t>:</w:t>
      </w:r>
      <w:r w:rsidR="00757F01" w:rsidRPr="00784C8F">
        <w:rPr>
          <w:rFonts w:cs="Arial"/>
          <w:lang w:val="de-CH"/>
        </w:rPr>
        <w:t xml:space="preserve"> </w:t>
      </w:r>
    </w:p>
    <w:p w:rsidR="00192EC1" w:rsidRPr="00784C8F" w:rsidRDefault="00192EC1" w:rsidP="00192EC1">
      <w:pPr>
        <w:keepNext/>
        <w:rPr>
          <w:rFonts w:cs="Arial"/>
          <w:lang w:val="de-CH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192EC1" w:rsidRPr="00784C8F" w:rsidTr="0029150E">
        <w:trPr>
          <w:cantSplit/>
        </w:trPr>
        <w:tc>
          <w:tcPr>
            <w:tcW w:w="1391" w:type="dxa"/>
          </w:tcPr>
          <w:p w:rsidR="00192EC1" w:rsidRPr="00784C8F" w:rsidRDefault="00192EC1" w:rsidP="000A519C">
            <w:pPr>
              <w:rPr>
                <w:rFonts w:cs="Arial"/>
                <w:lang w:val="de-CH"/>
              </w:rPr>
            </w:pPr>
            <w:r w:rsidRPr="00784C8F">
              <w:rPr>
                <w:lang w:val="de-CH"/>
              </w:rPr>
              <w:t>2.2.2</w:t>
            </w:r>
            <w:r w:rsidR="009D5FB2" w:rsidRPr="00784C8F"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b)</w:t>
            </w:r>
          </w:p>
        </w:tc>
        <w:tc>
          <w:tcPr>
            <w:tcW w:w="7789" w:type="dxa"/>
          </w:tcPr>
          <w:p w:rsidR="00192EC1" w:rsidRPr="00784C8F" w:rsidRDefault="000A519C" w:rsidP="0029150E">
            <w:pPr>
              <w:rPr>
                <w:snapToGrid w:val="0"/>
                <w:lang w:val="de-CH"/>
              </w:rPr>
            </w:pPr>
            <w:r w:rsidRPr="000A519C">
              <w:rPr>
                <w:snapToGrid w:val="0"/>
                <w:lang w:val="de-CH"/>
              </w:rPr>
              <w:t>Die Terminologie in 2.2.2 b) ist zu klären.</w:t>
            </w:r>
            <w:r>
              <w:t xml:space="preserve"> </w:t>
            </w:r>
            <w:r w:rsidRPr="000A519C">
              <w:rPr>
                <w:snapToGrid w:val="0"/>
                <w:lang w:val="de-CH"/>
              </w:rPr>
              <w:t xml:space="preserve">Insbesondere ist zu prüfen, ob die Beispiele in folgendem Satz geändert </w:t>
            </w:r>
            <w:r w:rsidR="00CA45AA">
              <w:rPr>
                <w:snapToGrid w:val="0"/>
                <w:lang w:val="de-CH"/>
              </w:rPr>
              <w:t xml:space="preserve">werden </w:t>
            </w:r>
            <w:r w:rsidRPr="000A519C">
              <w:rPr>
                <w:snapToGrid w:val="0"/>
                <w:lang w:val="de-CH"/>
              </w:rPr>
              <w:t xml:space="preserve">oder </w:t>
            </w:r>
            <w:r w:rsidR="00CA45AA">
              <w:rPr>
                <w:snapToGrid w:val="0"/>
                <w:lang w:val="de-CH"/>
              </w:rPr>
              <w:t xml:space="preserve">ob </w:t>
            </w:r>
            <w:r w:rsidRPr="000A519C">
              <w:rPr>
                <w:snapToGrid w:val="0"/>
                <w:lang w:val="de-CH"/>
              </w:rPr>
              <w:t>„Arten“ durch „Gattungen“ oder „Taxa“ ersetzt werden</w:t>
            </w:r>
            <w:r w:rsidR="00CA45AA">
              <w:rPr>
                <w:snapToGrid w:val="0"/>
                <w:lang w:val="de-CH"/>
              </w:rPr>
              <w:t xml:space="preserve"> soll</w:t>
            </w:r>
            <w:r w:rsidRPr="000A519C">
              <w:rPr>
                <w:snapToGrid w:val="0"/>
                <w:lang w:val="de-CH"/>
              </w:rPr>
              <w:t>:</w:t>
            </w:r>
            <w:r w:rsidR="00192EC1" w:rsidRPr="00784C8F">
              <w:rPr>
                <w:snapToGrid w:val="0"/>
                <w:lang w:val="de-CH"/>
              </w:rPr>
              <w:t xml:space="preserve"> </w:t>
            </w:r>
          </w:p>
          <w:p w:rsidR="00192EC1" w:rsidRPr="00784C8F" w:rsidRDefault="00192EC1" w:rsidP="0029150E">
            <w:pPr>
              <w:rPr>
                <w:snapToGrid w:val="0"/>
                <w:lang w:val="de-CH"/>
              </w:rPr>
            </w:pPr>
          </w:p>
          <w:p w:rsidR="00192EC1" w:rsidRPr="00784C8F" w:rsidRDefault="0084451F" w:rsidP="0084451F">
            <w:pPr>
              <w:rPr>
                <w:snapToGrid w:val="0"/>
                <w:lang w:val="de-CH"/>
              </w:rPr>
            </w:pPr>
            <w:r>
              <w:rPr>
                <w:snapToGrid w:val="0"/>
                <w:lang w:val="de-CH"/>
              </w:rPr>
              <w:t>„</w:t>
            </w:r>
            <w:r w:rsidR="00192EC1" w:rsidRPr="00784C8F">
              <w:rPr>
                <w:color w:val="000000"/>
                <w:lang w:val="de-CH"/>
              </w:rPr>
              <w:t>b)</w:t>
            </w:r>
            <w:r w:rsidR="00192EC1" w:rsidRPr="00784C8F">
              <w:rPr>
                <w:color w:val="000000"/>
                <w:lang w:val="de-CH"/>
              </w:rPr>
              <w:tab/>
            </w:r>
            <w:r w:rsidR="00162DD0" w:rsidRPr="00162DD0">
              <w:rPr>
                <w:color w:val="000000"/>
                <w:lang w:val="de-CH"/>
              </w:rPr>
              <w:t xml:space="preserve">die anerkannte Marktpraxis für bestimmte Sortentypen </w:t>
            </w:r>
            <w:r w:rsidR="00192EC1" w:rsidRPr="00784C8F">
              <w:rPr>
                <w:color w:val="000000"/>
                <w:lang w:val="de-CH"/>
              </w:rPr>
              <w:t>(</w:t>
            </w:r>
            <w:r w:rsidR="00162DD0">
              <w:rPr>
                <w:color w:val="000000"/>
                <w:lang w:val="de-CH"/>
              </w:rPr>
              <w:t>z. B. Hybriden</w:t>
            </w:r>
            <w:r w:rsidR="00192EC1" w:rsidRPr="00784C8F">
              <w:rPr>
                <w:color w:val="000000"/>
                <w:lang w:val="de-CH"/>
              </w:rPr>
              <w:t xml:space="preserve">) </w:t>
            </w:r>
            <w:r w:rsidR="00162DD0">
              <w:rPr>
                <w:color w:val="000000"/>
                <w:lang w:val="de-CH"/>
              </w:rPr>
              <w:t>u</w:t>
            </w:r>
            <w:r w:rsidR="00192EC1" w:rsidRPr="00784C8F">
              <w:rPr>
                <w:color w:val="000000"/>
                <w:lang w:val="de-CH"/>
              </w:rPr>
              <w:t xml:space="preserve">nd </w:t>
            </w:r>
            <w:r w:rsidR="00482E92" w:rsidRPr="00482E92">
              <w:rPr>
                <w:color w:val="000000"/>
                <w:lang w:val="de-CH"/>
              </w:rPr>
              <w:t xml:space="preserve">bestimmte Arten </w:t>
            </w:r>
            <w:r w:rsidR="00192EC1" w:rsidRPr="00784C8F">
              <w:rPr>
                <w:color w:val="000000"/>
                <w:lang w:val="de-CH"/>
              </w:rPr>
              <w:t>(</w:t>
            </w:r>
            <w:r w:rsidR="00482E92">
              <w:rPr>
                <w:color w:val="000000"/>
                <w:lang w:val="de-CH"/>
              </w:rPr>
              <w:t>z. B.</w:t>
            </w:r>
            <w:r w:rsidR="00192EC1" w:rsidRPr="00784C8F">
              <w:rPr>
                <w:color w:val="000000"/>
                <w:lang w:val="de-CH"/>
              </w:rPr>
              <w:t xml:space="preserve"> Medicago, Helianthus)</w:t>
            </w:r>
            <w:r>
              <w:rPr>
                <w:color w:val="000000"/>
                <w:lang w:val="de-CH"/>
              </w:rPr>
              <w:t>“</w:t>
            </w:r>
            <w:r w:rsidR="00192EC1" w:rsidRPr="00784C8F">
              <w:rPr>
                <w:color w:val="000000"/>
                <w:lang w:val="de-CH"/>
              </w:rPr>
              <w:t>.</w:t>
            </w:r>
          </w:p>
        </w:tc>
      </w:tr>
      <w:tr w:rsidR="00192EC1" w:rsidRPr="00784C8F" w:rsidTr="0029150E">
        <w:trPr>
          <w:cantSplit/>
        </w:trPr>
        <w:tc>
          <w:tcPr>
            <w:tcW w:w="1391" w:type="dxa"/>
          </w:tcPr>
          <w:p w:rsidR="00192EC1" w:rsidRPr="00784C8F" w:rsidRDefault="00192EC1" w:rsidP="0084451F">
            <w:pPr>
              <w:rPr>
                <w:rFonts w:cs="Arial"/>
                <w:lang w:val="de-CH"/>
              </w:rPr>
            </w:pPr>
            <w:r w:rsidRPr="00784C8F">
              <w:rPr>
                <w:rFonts w:cs="Arial"/>
                <w:lang w:val="de-CH"/>
              </w:rPr>
              <w:t>2.2.2</w:t>
            </w:r>
            <w:r w:rsidR="009D5FB2" w:rsidRPr="00784C8F">
              <w:rPr>
                <w:rFonts w:cs="Arial"/>
                <w:lang w:val="de-CH"/>
              </w:rPr>
              <w:t xml:space="preserve"> </w:t>
            </w:r>
            <w:r w:rsidRPr="00784C8F">
              <w:rPr>
                <w:rFonts w:cs="Arial"/>
                <w:lang w:val="de-CH"/>
              </w:rPr>
              <w:t>c)</w:t>
            </w:r>
          </w:p>
        </w:tc>
        <w:tc>
          <w:tcPr>
            <w:tcW w:w="7789" w:type="dxa"/>
          </w:tcPr>
          <w:p w:rsidR="0084451F" w:rsidRPr="0084451F" w:rsidRDefault="0084451F" w:rsidP="0084451F">
            <w:pPr>
              <w:rPr>
                <w:rFonts w:cs="Arial"/>
                <w:lang w:val="de-CH"/>
              </w:rPr>
            </w:pPr>
            <w:r w:rsidRPr="0084451F">
              <w:rPr>
                <w:rFonts w:cs="Arial"/>
                <w:lang w:val="de-CH"/>
              </w:rPr>
              <w:t>2.2.2 c) ist wie folgt hinzuzufügen:</w:t>
            </w:r>
          </w:p>
          <w:p w:rsidR="00192EC1" w:rsidRPr="00784C8F" w:rsidRDefault="00192EC1" w:rsidP="0029150E">
            <w:pPr>
              <w:rPr>
                <w:rFonts w:cs="Arial"/>
                <w:lang w:val="de-CH"/>
              </w:rPr>
            </w:pPr>
          </w:p>
          <w:p w:rsidR="00192EC1" w:rsidRPr="00784C8F" w:rsidRDefault="0084451F" w:rsidP="003D35D3">
            <w:pPr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„</w:t>
            </w:r>
            <w:r w:rsidR="00192EC1" w:rsidRPr="00784C8F">
              <w:rPr>
                <w:rFonts w:cs="Arial"/>
                <w:lang w:val="de-CH"/>
              </w:rPr>
              <w:t>c)</w:t>
            </w:r>
            <w:r w:rsidR="00192EC1" w:rsidRPr="00784C8F">
              <w:rPr>
                <w:rFonts w:cs="Arial"/>
                <w:lang w:val="de-CH"/>
              </w:rPr>
              <w:tab/>
            </w:r>
            <w:r w:rsidRPr="0084451F">
              <w:rPr>
                <w:rFonts w:cs="Arial"/>
                <w:lang w:val="de-CH"/>
              </w:rPr>
              <w:t xml:space="preserve">als </w:t>
            </w:r>
            <w:r w:rsidR="003D35D3">
              <w:rPr>
                <w:rFonts w:cs="Arial"/>
                <w:lang w:val="de-CH"/>
              </w:rPr>
              <w:t>'</w:t>
            </w:r>
            <w:r w:rsidRPr="0084451F">
              <w:rPr>
                <w:rFonts w:cs="Arial"/>
                <w:lang w:val="de-CH"/>
              </w:rPr>
              <w:t xml:space="preserve">feststehende Praxis' </w:t>
            </w:r>
            <w:r w:rsidR="00821136">
              <w:rPr>
                <w:rFonts w:cs="Arial"/>
                <w:lang w:val="de-CH"/>
              </w:rPr>
              <w:t>gilt es</w:t>
            </w:r>
            <w:r w:rsidRPr="0084451F">
              <w:rPr>
                <w:rFonts w:cs="Arial"/>
                <w:lang w:val="de-CH"/>
              </w:rPr>
              <w:t>, wenn die Eintragung für eine Art oder Gruppe akzeptiert wurde, so da</w:t>
            </w:r>
            <w:r>
              <w:rPr>
                <w:rFonts w:cs="Arial"/>
                <w:lang w:val="de-CH"/>
              </w:rPr>
              <w:t>ss</w:t>
            </w:r>
            <w:r w:rsidRPr="0084451F">
              <w:rPr>
                <w:rFonts w:cs="Arial"/>
                <w:lang w:val="de-CH"/>
              </w:rPr>
              <w:t xml:space="preserve"> sie bei anderen Arten verwendet werden kann, </w:t>
            </w:r>
            <w:r w:rsidR="00821136">
              <w:rPr>
                <w:rFonts w:cs="Arial"/>
                <w:lang w:val="de-CH"/>
              </w:rPr>
              <w:t>für die</w:t>
            </w:r>
            <w:r w:rsidRPr="0084451F">
              <w:rPr>
                <w:rFonts w:cs="Arial"/>
                <w:lang w:val="de-CH"/>
              </w:rPr>
              <w:t xml:space="preserve"> noch keine Sorte eingetragen ist, deren Bezeichnung ausschließlich aus Zahlen besteht</w:t>
            </w:r>
            <w:r w:rsidR="00192EC1" w:rsidRPr="00784C8F">
              <w:rPr>
                <w:rFonts w:cs="Arial"/>
                <w:lang w:val="de-CH"/>
              </w:rPr>
              <w:t>.</w:t>
            </w:r>
            <w:r>
              <w:rPr>
                <w:rFonts w:cs="Arial"/>
                <w:lang w:val="de-CH"/>
              </w:rPr>
              <w:t>“</w:t>
            </w:r>
          </w:p>
        </w:tc>
      </w:tr>
      <w:tr w:rsidR="00192EC1" w:rsidRPr="00784C8F" w:rsidTr="0029150E">
        <w:trPr>
          <w:cantSplit/>
        </w:trPr>
        <w:tc>
          <w:tcPr>
            <w:tcW w:w="1391" w:type="dxa"/>
          </w:tcPr>
          <w:p w:rsidR="00192EC1" w:rsidRPr="00784C8F" w:rsidRDefault="00192EC1" w:rsidP="002374D1">
            <w:pPr>
              <w:rPr>
                <w:rFonts w:cs="Arial"/>
                <w:lang w:val="de-CH"/>
              </w:rPr>
            </w:pPr>
            <w:r w:rsidRPr="00784C8F">
              <w:rPr>
                <w:lang w:val="de-CH"/>
              </w:rPr>
              <w:t>2.3.1</w:t>
            </w:r>
            <w:r w:rsidR="009D5FB2" w:rsidRPr="00784C8F"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c)</w:t>
            </w:r>
          </w:p>
        </w:tc>
        <w:tc>
          <w:tcPr>
            <w:tcW w:w="7789" w:type="dxa"/>
          </w:tcPr>
          <w:p w:rsidR="00192EC1" w:rsidRPr="00784C8F" w:rsidRDefault="002374D1" w:rsidP="0029150E">
            <w:pPr>
              <w:rPr>
                <w:lang w:val="de-CH"/>
              </w:rPr>
            </w:pPr>
            <w:r w:rsidRPr="002374D1">
              <w:rPr>
                <w:lang w:val="de-CH"/>
              </w:rPr>
              <w:t xml:space="preserve">Es ist weitere Anleitung zu 2.3.1 c) zu </w:t>
            </w:r>
            <w:r w:rsidR="00821136">
              <w:rPr>
                <w:lang w:val="de-CH"/>
              </w:rPr>
              <w:t>erarbeiten,</w:t>
            </w:r>
            <w:r w:rsidRPr="002374D1">
              <w:rPr>
                <w:lang w:val="de-CH"/>
              </w:rPr>
              <w:t xml:space="preserve"> und </w:t>
            </w:r>
            <w:r w:rsidR="002E18DE">
              <w:rPr>
                <w:lang w:val="de-CH"/>
              </w:rPr>
              <w:t xml:space="preserve">es sind </w:t>
            </w:r>
            <w:r w:rsidRPr="002374D1">
              <w:rPr>
                <w:lang w:val="de-CH"/>
              </w:rPr>
              <w:t xml:space="preserve">weitere zweckmäßigere Beispiele </w:t>
            </w:r>
            <w:r w:rsidR="002E18DE">
              <w:rPr>
                <w:lang w:val="de-CH"/>
              </w:rPr>
              <w:t>anzuführen</w:t>
            </w:r>
            <w:r w:rsidRPr="002374D1">
              <w:rPr>
                <w:lang w:val="de-CH"/>
              </w:rPr>
              <w:t>.</w:t>
            </w:r>
          </w:p>
          <w:p w:rsidR="00192EC1" w:rsidRPr="00784C8F" w:rsidRDefault="00192EC1" w:rsidP="0029150E">
            <w:pPr>
              <w:keepNext/>
              <w:rPr>
                <w:lang w:val="de-CH"/>
              </w:rPr>
            </w:pPr>
          </w:p>
          <w:p w:rsidR="00192EC1" w:rsidRPr="00784C8F" w:rsidRDefault="002374D1" w:rsidP="0029150E">
            <w:pPr>
              <w:keepNext/>
              <w:rPr>
                <w:lang w:val="de-CH"/>
              </w:rPr>
            </w:pPr>
            <w:r>
              <w:rPr>
                <w:lang w:val="de-CH"/>
              </w:rPr>
              <w:t>„</w:t>
            </w:r>
            <w:r w:rsidR="00192EC1" w:rsidRPr="00784C8F">
              <w:rPr>
                <w:lang w:val="de-CH"/>
              </w:rPr>
              <w:t>c)</w:t>
            </w:r>
            <w:r w:rsidR="00192EC1" w:rsidRPr="00784C8F">
              <w:rPr>
                <w:lang w:val="de-CH"/>
              </w:rPr>
              <w:tab/>
            </w:r>
            <w:r w:rsidRPr="002374D1">
              <w:rPr>
                <w:lang w:val="de-CH"/>
              </w:rPr>
              <w:t>den Eindruck erwecken, da</w:t>
            </w:r>
            <w:r>
              <w:rPr>
                <w:lang w:val="de-CH"/>
              </w:rPr>
              <w:t>ss</w:t>
            </w:r>
            <w:r w:rsidRPr="002374D1">
              <w:rPr>
                <w:lang w:val="de-CH"/>
              </w:rPr>
              <w:t xml:space="preserve"> die Sorte von einer anderen Sorte abstamm</w:t>
            </w:r>
            <w:r w:rsidR="00AD5E4A">
              <w:rPr>
                <w:lang w:val="de-CH"/>
              </w:rPr>
              <w:t>t</w:t>
            </w:r>
            <w:r w:rsidRPr="002374D1">
              <w:rPr>
                <w:lang w:val="de-CH"/>
              </w:rPr>
              <w:t xml:space="preserve"> oder mit ihr verwandt </w:t>
            </w:r>
            <w:r w:rsidR="00AD5E4A">
              <w:rPr>
                <w:lang w:val="de-CH"/>
              </w:rPr>
              <w:t>ist</w:t>
            </w:r>
            <w:r w:rsidRPr="002374D1">
              <w:rPr>
                <w:lang w:val="de-CH"/>
              </w:rPr>
              <w:t>, wenn dies tatsächlich nicht der Fall ist;</w:t>
            </w:r>
          </w:p>
          <w:p w:rsidR="00192EC1" w:rsidRPr="00784C8F" w:rsidRDefault="00192EC1" w:rsidP="0029150E">
            <w:pPr>
              <w:keepNext/>
              <w:rPr>
                <w:lang w:val="de-CH"/>
              </w:rPr>
            </w:pPr>
          </w:p>
          <w:p w:rsidR="00192EC1" w:rsidRPr="00784C8F" w:rsidRDefault="002374D1" w:rsidP="00347C5F">
            <w:pPr>
              <w:rPr>
                <w:rFonts w:cs="Arial"/>
                <w:lang w:val="de-CH"/>
              </w:rPr>
            </w:pPr>
            <w:r>
              <w:rPr>
                <w:i/>
                <w:lang w:val="de-CH"/>
              </w:rPr>
              <w:t>Beispiel</w:t>
            </w:r>
            <w:r w:rsidR="00192EC1" w:rsidRPr="00784C8F">
              <w:rPr>
                <w:i/>
                <w:lang w:val="de-CH"/>
              </w:rPr>
              <w:t>:</w:t>
            </w:r>
            <w:r w:rsidR="00192EC1" w:rsidRPr="00784C8F">
              <w:rPr>
                <w:lang w:val="de-CH"/>
              </w:rPr>
              <w:t xml:space="preserve"> </w:t>
            </w:r>
            <w:r w:rsidR="00364587" w:rsidRPr="00364587">
              <w:rPr>
                <w:lang w:val="de-CH"/>
              </w:rPr>
              <w:t>Eine Sortenbezeichnung, die derjenigen einer anderen Sorte derselben Art oder einer verwandten Art ähnlich ist,</w:t>
            </w:r>
            <w:r w:rsidR="00192EC1" w:rsidRPr="00784C8F">
              <w:rPr>
                <w:lang w:val="de-CH"/>
              </w:rPr>
              <w:t xml:space="preserve"> </w:t>
            </w:r>
            <w:r w:rsidR="00364587">
              <w:rPr>
                <w:lang w:val="de-CH"/>
              </w:rPr>
              <w:t xml:space="preserve">z. B. </w:t>
            </w:r>
            <w:r w:rsidR="00364587" w:rsidRPr="00364587">
              <w:rPr>
                <w:lang w:val="de-CH"/>
              </w:rPr>
              <w:t>„Kreuz des Südens 1“; „Kreuz des Südens 2“ usw., was den Eindruck erweckt, da</w:t>
            </w:r>
            <w:r w:rsidR="00364587">
              <w:rPr>
                <w:lang w:val="de-CH"/>
              </w:rPr>
              <w:t>ss</w:t>
            </w:r>
            <w:r w:rsidR="00364587" w:rsidRPr="00364587">
              <w:rPr>
                <w:lang w:val="de-CH"/>
              </w:rPr>
              <w:t xml:space="preserve"> </w:t>
            </w:r>
            <w:r w:rsidR="00347C5F">
              <w:rPr>
                <w:lang w:val="de-CH"/>
              </w:rPr>
              <w:t>es sich hierbei um</w:t>
            </w:r>
            <w:r w:rsidR="00364587" w:rsidRPr="00364587">
              <w:rPr>
                <w:lang w:val="de-CH"/>
              </w:rPr>
              <w:t xml:space="preserve"> eine Serie verwandter Sorten mit ähnlichen Eigenschaften </w:t>
            </w:r>
            <w:r w:rsidR="00347C5F">
              <w:rPr>
                <w:lang w:val="de-CH"/>
              </w:rPr>
              <w:t>handelt</w:t>
            </w:r>
            <w:r w:rsidR="00364587" w:rsidRPr="00364587">
              <w:rPr>
                <w:lang w:val="de-CH"/>
              </w:rPr>
              <w:t>, wenn dies tatsächlich nicht der Fall ist.“</w:t>
            </w:r>
            <w:r w:rsidR="00192EC1" w:rsidRPr="00784C8F">
              <w:rPr>
                <w:lang w:val="de-CH"/>
              </w:rPr>
              <w:t xml:space="preserve"> </w:t>
            </w:r>
          </w:p>
        </w:tc>
      </w:tr>
      <w:tr w:rsidR="00192EC1" w:rsidRPr="00784C8F" w:rsidTr="0029150E">
        <w:trPr>
          <w:cantSplit/>
        </w:trPr>
        <w:tc>
          <w:tcPr>
            <w:tcW w:w="1391" w:type="dxa"/>
          </w:tcPr>
          <w:p w:rsidR="00192EC1" w:rsidRPr="00784C8F" w:rsidRDefault="00192EC1" w:rsidP="00E53E7F">
            <w:pPr>
              <w:rPr>
                <w:lang w:val="de-CH"/>
              </w:rPr>
            </w:pPr>
            <w:r w:rsidRPr="00784C8F">
              <w:rPr>
                <w:lang w:val="de-CH"/>
              </w:rPr>
              <w:lastRenderedPageBreak/>
              <w:t>2.3.1</w:t>
            </w:r>
            <w:r w:rsidR="009D5FB2" w:rsidRPr="00784C8F"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d)</w:t>
            </w:r>
          </w:p>
        </w:tc>
        <w:tc>
          <w:tcPr>
            <w:tcW w:w="7789" w:type="dxa"/>
          </w:tcPr>
          <w:p w:rsidR="00192EC1" w:rsidRPr="00784C8F" w:rsidRDefault="00E53E7F" w:rsidP="0029150E">
            <w:pPr>
              <w:rPr>
                <w:lang w:val="de-CH"/>
              </w:rPr>
            </w:pPr>
            <w:r w:rsidRPr="00E53E7F">
              <w:rPr>
                <w:lang w:val="de-CH"/>
              </w:rPr>
              <w:t>2.3.1 d) ist wie folgt hinzuzufügen:</w:t>
            </w:r>
          </w:p>
          <w:p w:rsidR="00192EC1" w:rsidRPr="00784C8F" w:rsidRDefault="00192EC1" w:rsidP="0029150E">
            <w:pPr>
              <w:rPr>
                <w:lang w:val="de-CH"/>
              </w:rPr>
            </w:pPr>
          </w:p>
          <w:p w:rsidR="00192EC1" w:rsidRPr="00784C8F" w:rsidRDefault="00E53E7F" w:rsidP="0029150E">
            <w:pPr>
              <w:rPr>
                <w:lang w:val="de-CH"/>
              </w:rPr>
            </w:pPr>
            <w:r>
              <w:rPr>
                <w:lang w:val="de-CH"/>
              </w:rPr>
              <w:t>„</w:t>
            </w:r>
            <w:r w:rsidR="00192EC1" w:rsidRPr="00784C8F">
              <w:rPr>
                <w:lang w:val="de-CH"/>
              </w:rPr>
              <w:t xml:space="preserve">d) </w:t>
            </w:r>
            <w:r w:rsidR="00192EC1" w:rsidRPr="00784C8F">
              <w:rPr>
                <w:lang w:val="de-CH"/>
              </w:rPr>
              <w:tab/>
            </w:r>
            <w:r w:rsidRPr="00E53E7F">
              <w:rPr>
                <w:lang w:val="de-CH"/>
              </w:rPr>
              <w:t xml:space="preserve">den botanischen oder </w:t>
            </w:r>
            <w:r w:rsidRPr="00347C5F">
              <w:rPr>
                <w:lang w:val="de-CH"/>
              </w:rPr>
              <w:t>landesüblichen</w:t>
            </w:r>
            <w:r w:rsidRPr="00E53E7F">
              <w:rPr>
                <w:lang w:val="de-CH"/>
              </w:rPr>
              <w:t xml:space="preserve"> Namen der Gattung</w:t>
            </w:r>
            <w:r w:rsidR="00321658">
              <w:rPr>
                <w:lang w:val="de-CH"/>
              </w:rPr>
              <w:t xml:space="preserve"> enthalten</w:t>
            </w:r>
            <w:r w:rsidRPr="00E53E7F">
              <w:rPr>
                <w:lang w:val="de-CH"/>
              </w:rPr>
              <w:t>, der die Sorte angehört.</w:t>
            </w:r>
            <w:r>
              <w:rPr>
                <w:lang w:val="de-CH"/>
              </w:rPr>
              <w:t xml:space="preserve"> </w:t>
            </w:r>
            <w:r w:rsidR="00321658">
              <w:rPr>
                <w:lang w:val="de-CH"/>
              </w:rPr>
              <w:t>Welches die</w:t>
            </w:r>
            <w:r w:rsidRPr="00E53E7F">
              <w:rPr>
                <w:lang w:val="de-CH"/>
              </w:rPr>
              <w:t xml:space="preserve"> </w:t>
            </w:r>
            <w:r w:rsidR="00321658">
              <w:rPr>
                <w:lang w:val="de-CH"/>
              </w:rPr>
              <w:t>Sortenb</w:t>
            </w:r>
            <w:r w:rsidRPr="00E53E7F">
              <w:rPr>
                <w:lang w:val="de-CH"/>
              </w:rPr>
              <w:t xml:space="preserve">ezeichnung </w:t>
            </w:r>
            <w:r w:rsidR="00437E17">
              <w:rPr>
                <w:lang w:val="de-CH"/>
              </w:rPr>
              <w:t>bzw.</w:t>
            </w:r>
            <w:r w:rsidRPr="00E53E7F">
              <w:rPr>
                <w:lang w:val="de-CH"/>
              </w:rPr>
              <w:t xml:space="preserve"> d</w:t>
            </w:r>
            <w:r w:rsidR="00321658">
              <w:rPr>
                <w:lang w:val="de-CH"/>
              </w:rPr>
              <w:t>er Name</w:t>
            </w:r>
            <w:r w:rsidRPr="00E53E7F">
              <w:rPr>
                <w:lang w:val="de-CH"/>
              </w:rPr>
              <w:t xml:space="preserve"> der </w:t>
            </w:r>
            <w:r w:rsidR="00321658">
              <w:rPr>
                <w:lang w:val="de-CH"/>
              </w:rPr>
              <w:t xml:space="preserve">zugehörigen </w:t>
            </w:r>
            <w:r w:rsidRPr="00E53E7F">
              <w:rPr>
                <w:lang w:val="de-CH"/>
              </w:rPr>
              <w:t>Gattung</w:t>
            </w:r>
            <w:r w:rsidR="00321658">
              <w:rPr>
                <w:lang w:val="de-CH"/>
              </w:rPr>
              <w:t xml:space="preserve"> ist, </w:t>
            </w:r>
            <w:r w:rsidRPr="00E53E7F">
              <w:rPr>
                <w:lang w:val="de-CH"/>
              </w:rPr>
              <w:t xml:space="preserve">könnte unklar </w:t>
            </w:r>
            <w:r w:rsidR="00A5070C">
              <w:rPr>
                <w:lang w:val="de-CH"/>
              </w:rPr>
              <w:t>sein</w:t>
            </w:r>
            <w:r w:rsidR="00321658">
              <w:rPr>
                <w:lang w:val="de-CH"/>
              </w:rPr>
              <w:t xml:space="preserve"> </w:t>
            </w:r>
            <w:r w:rsidR="00437E17">
              <w:rPr>
                <w:lang w:val="de-CH"/>
              </w:rPr>
              <w:t>oder</w:t>
            </w:r>
            <w:r w:rsidR="00321658">
              <w:rPr>
                <w:lang w:val="de-CH"/>
              </w:rPr>
              <w:t xml:space="preserve"> verwechselt </w:t>
            </w:r>
            <w:r w:rsidRPr="00E53E7F">
              <w:rPr>
                <w:lang w:val="de-CH"/>
              </w:rPr>
              <w:t>werden.“</w:t>
            </w:r>
          </w:p>
          <w:p w:rsidR="00192EC1" w:rsidRPr="00784C8F" w:rsidRDefault="00192EC1" w:rsidP="0029150E">
            <w:pPr>
              <w:rPr>
                <w:highlight w:val="lightGray"/>
                <w:lang w:val="de-CH"/>
              </w:rPr>
            </w:pPr>
          </w:p>
          <w:p w:rsidR="00C32CBF" w:rsidRPr="00784C8F" w:rsidRDefault="00C32CBF" w:rsidP="00C32CBF">
            <w:pPr>
              <w:rPr>
                <w:lang w:val="de-CH"/>
              </w:rPr>
            </w:pPr>
            <w:r>
              <w:rPr>
                <w:lang w:val="de-CH"/>
              </w:rPr>
              <w:t>Folgendes Beispiel ist klarer zu fassen</w:t>
            </w:r>
            <w:r w:rsidRPr="00E53E7F">
              <w:rPr>
                <w:lang w:val="de-CH"/>
              </w:rPr>
              <w:t>:</w:t>
            </w:r>
          </w:p>
          <w:p w:rsidR="00C32CBF" w:rsidRPr="00784C8F" w:rsidRDefault="00C32CBF" w:rsidP="00C32CBF">
            <w:pPr>
              <w:rPr>
                <w:lang w:val="de-CH"/>
              </w:rPr>
            </w:pPr>
          </w:p>
          <w:p w:rsidR="00C32CBF" w:rsidRPr="00784C8F" w:rsidRDefault="00C32CBF" w:rsidP="00C32CBF">
            <w:pPr>
              <w:ind w:left="567"/>
              <w:rPr>
                <w:lang w:val="de-CH"/>
              </w:rPr>
            </w:pPr>
            <w:r>
              <w:rPr>
                <w:i/>
                <w:lang w:val="de-CH"/>
              </w:rPr>
              <w:t>Beispiel</w:t>
            </w:r>
            <w:r w:rsidRPr="00784C8F">
              <w:rPr>
                <w:lang w:val="de-CH"/>
              </w:rPr>
              <w:t xml:space="preserve">: </w:t>
            </w:r>
            <w:r w:rsidRPr="00784C8F">
              <w:rPr>
                <w:i/>
                <w:lang w:val="de-CH"/>
              </w:rPr>
              <w:t xml:space="preserve">Carex </w:t>
            </w:r>
            <w:r w:rsidRPr="00E53E7F">
              <w:rPr>
                <w:lang w:val="de-CH"/>
              </w:rPr>
              <w:t>Sorte ‘Sedge</w:t>
            </w:r>
            <w:r w:rsidRPr="00784C8F">
              <w:rPr>
                <w:lang w:val="de-CH"/>
              </w:rPr>
              <w:t xml:space="preserve">’. </w:t>
            </w:r>
            <w:r w:rsidRPr="00E53E7F">
              <w:rPr>
                <w:lang w:val="de-CH"/>
              </w:rPr>
              <w:t>Darauf könnte möglicherweise als ‘Sedge' Carex Bezug genommen werden</w:t>
            </w:r>
            <w:r>
              <w:rPr>
                <w:lang w:val="de-CH"/>
              </w:rPr>
              <w:t>,</w:t>
            </w:r>
            <w:r w:rsidRPr="00E53E7F">
              <w:rPr>
                <w:lang w:val="de-CH"/>
              </w:rPr>
              <w:t xml:space="preserve"> und ohne Verwendung von Kursivdruck oder einfachen Anführungszeichen könnte </w:t>
            </w:r>
            <w:r>
              <w:rPr>
                <w:lang w:val="de-CH"/>
              </w:rPr>
              <w:t>unklar sein, welches die Sortenbezeichnung bzw. der Gattungsname ist</w:t>
            </w:r>
            <w:r w:rsidRPr="00E53E7F">
              <w:rPr>
                <w:lang w:val="de-CH"/>
              </w:rPr>
              <w:t>.</w:t>
            </w:r>
          </w:p>
          <w:p w:rsidR="00C32CBF" w:rsidRPr="00784C8F" w:rsidRDefault="00C32CBF" w:rsidP="00C32CBF">
            <w:pPr>
              <w:rPr>
                <w:lang w:val="de-CH"/>
              </w:rPr>
            </w:pPr>
          </w:p>
          <w:p w:rsidR="00192EC1" w:rsidRPr="00784C8F" w:rsidRDefault="00C32CBF" w:rsidP="00C32CBF">
            <w:pPr>
              <w:rPr>
                <w:lang w:val="de-CH"/>
              </w:rPr>
            </w:pPr>
            <w:r w:rsidRPr="00E53E7F">
              <w:rPr>
                <w:lang w:val="de-CH"/>
              </w:rPr>
              <w:t>Es ist Anleit</w:t>
            </w:r>
            <w:r>
              <w:rPr>
                <w:lang w:val="de-CH"/>
              </w:rPr>
              <w:t xml:space="preserve">ung zu einer möglichen Verwechslungsgefahr </w:t>
            </w:r>
            <w:r w:rsidRPr="00E53E7F">
              <w:rPr>
                <w:lang w:val="de-CH"/>
              </w:rPr>
              <w:t xml:space="preserve">bezüglich des botanischen oder </w:t>
            </w:r>
            <w:r w:rsidRPr="00500AFF">
              <w:rPr>
                <w:lang w:val="de-CH"/>
              </w:rPr>
              <w:t>landesüblichen</w:t>
            </w:r>
            <w:r w:rsidRPr="00E53E7F">
              <w:rPr>
                <w:lang w:val="de-CH"/>
              </w:rPr>
              <w:t xml:space="preserve"> Namens einer Gattung, zu der die Sorte </w:t>
            </w:r>
            <w:r w:rsidRPr="00EA220D">
              <w:rPr>
                <w:u w:val="single"/>
                <w:lang w:val="de-CH"/>
              </w:rPr>
              <w:t>nicht</w:t>
            </w:r>
            <w:r w:rsidRPr="00E53E7F">
              <w:rPr>
                <w:lang w:val="de-CH"/>
              </w:rPr>
              <w:t xml:space="preserve"> gehört</w:t>
            </w:r>
            <w:r>
              <w:rPr>
                <w:lang w:val="de-CH"/>
              </w:rPr>
              <w:t>,</w:t>
            </w:r>
            <w:r w:rsidRPr="00E53E7F">
              <w:rPr>
                <w:lang w:val="de-CH"/>
              </w:rPr>
              <w:t xml:space="preserve"> zu erarbeiten</w:t>
            </w:r>
            <w:r>
              <w:rPr>
                <w:lang w:val="de-CH"/>
              </w:rPr>
              <w:t xml:space="preserve"> –</w:t>
            </w:r>
            <w:r w:rsidRPr="00E53E7F">
              <w:rPr>
                <w:lang w:val="de-CH"/>
              </w:rPr>
              <w:t xml:space="preserve"> von Fall zu Fall.</w:t>
            </w:r>
          </w:p>
        </w:tc>
      </w:tr>
      <w:tr w:rsidR="00192EC1" w:rsidRPr="00784C8F" w:rsidTr="0029150E">
        <w:trPr>
          <w:cantSplit/>
        </w:trPr>
        <w:tc>
          <w:tcPr>
            <w:tcW w:w="1391" w:type="dxa"/>
          </w:tcPr>
          <w:p w:rsidR="00192EC1" w:rsidRPr="00784C8F" w:rsidRDefault="00192EC1" w:rsidP="00F62511">
            <w:pPr>
              <w:rPr>
                <w:lang w:val="de-CH"/>
              </w:rPr>
            </w:pPr>
            <w:r w:rsidRPr="00784C8F">
              <w:rPr>
                <w:lang w:val="de-CH"/>
              </w:rPr>
              <w:t>2.3.3</w:t>
            </w:r>
          </w:p>
        </w:tc>
        <w:tc>
          <w:tcPr>
            <w:tcW w:w="7789" w:type="dxa"/>
          </w:tcPr>
          <w:p w:rsidR="00192EC1" w:rsidRPr="00784C8F" w:rsidRDefault="00437E17" w:rsidP="00005626">
            <w:pPr>
              <w:rPr>
                <w:snapToGrid w:val="0"/>
                <w:lang w:val="de-CH"/>
              </w:rPr>
            </w:pPr>
            <w:r>
              <w:rPr>
                <w:snapToGrid w:val="0"/>
                <w:lang w:val="de-CH"/>
              </w:rPr>
              <w:t xml:space="preserve">Die </w:t>
            </w:r>
            <w:r w:rsidR="00005626" w:rsidRPr="00005626">
              <w:rPr>
                <w:snapToGrid w:val="0"/>
                <w:lang w:val="de-CH"/>
              </w:rPr>
              <w:t>Vorschläge in 2.3.3 von Dokument UPOV/INF/12/5 Draft 2 sind als erster Schritt zur Ausarbeitung weiterer Anleitung und zweckmäßiger Beispiele in Verbindung mit der Entwicklung eines effektiven UPOV-</w:t>
            </w:r>
            <w:r w:rsidR="00A75C60">
              <w:rPr>
                <w:snapToGrid w:val="0"/>
                <w:lang w:val="de-CH"/>
              </w:rPr>
              <w:t>Suchwerkzeug</w:t>
            </w:r>
            <w:r w:rsidR="00005626" w:rsidRPr="00005626">
              <w:rPr>
                <w:snapToGrid w:val="0"/>
                <w:lang w:val="de-CH"/>
              </w:rPr>
              <w:t>s für Ähnlichkeiten zu prüfen.</w:t>
            </w:r>
          </w:p>
        </w:tc>
      </w:tr>
      <w:tr w:rsidR="00192EC1" w:rsidRPr="00784C8F" w:rsidTr="0029150E">
        <w:trPr>
          <w:cantSplit/>
        </w:trPr>
        <w:tc>
          <w:tcPr>
            <w:tcW w:w="1391" w:type="dxa"/>
          </w:tcPr>
          <w:p w:rsidR="00192EC1" w:rsidRPr="00784C8F" w:rsidRDefault="00192EC1" w:rsidP="00005626">
            <w:pPr>
              <w:rPr>
                <w:lang w:val="de-CH"/>
              </w:rPr>
            </w:pPr>
            <w:r w:rsidRPr="00784C8F">
              <w:rPr>
                <w:lang w:val="de-CH"/>
              </w:rPr>
              <w:t>4</w:t>
            </w:r>
            <w:r w:rsidR="00005626"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a)</w:t>
            </w:r>
          </w:p>
        </w:tc>
        <w:tc>
          <w:tcPr>
            <w:tcW w:w="7789" w:type="dxa"/>
          </w:tcPr>
          <w:p w:rsidR="00192EC1" w:rsidRPr="00784C8F" w:rsidRDefault="00005626" w:rsidP="0029150E">
            <w:pPr>
              <w:rPr>
                <w:snapToGrid w:val="0"/>
                <w:lang w:val="de-CH"/>
              </w:rPr>
            </w:pPr>
            <w:r w:rsidRPr="00005626">
              <w:rPr>
                <w:snapToGrid w:val="0"/>
                <w:lang w:val="de-CH"/>
              </w:rPr>
              <w:t>4 a) ist wie folgt zu ändern:</w:t>
            </w:r>
          </w:p>
          <w:p w:rsidR="00192EC1" w:rsidRPr="00784C8F" w:rsidRDefault="00192EC1" w:rsidP="0029150E">
            <w:pPr>
              <w:rPr>
                <w:snapToGrid w:val="0"/>
                <w:lang w:val="de-CH"/>
              </w:rPr>
            </w:pPr>
          </w:p>
          <w:p w:rsidR="00192EC1" w:rsidRPr="00784C8F" w:rsidRDefault="00005626" w:rsidP="006B6628">
            <w:pPr>
              <w:ind w:firstLine="567"/>
              <w:rPr>
                <w:lang w:val="de-CH"/>
              </w:rPr>
            </w:pPr>
            <w:r>
              <w:rPr>
                <w:lang w:val="de-CH"/>
              </w:rPr>
              <w:t>„</w:t>
            </w:r>
            <w:r w:rsidR="00192EC1" w:rsidRPr="00784C8F">
              <w:rPr>
                <w:lang w:val="de-CH"/>
              </w:rPr>
              <w:t>a)</w:t>
            </w:r>
            <w:r w:rsidR="00192EC1" w:rsidRPr="00784C8F">
              <w:rPr>
                <w:lang w:val="de-CH"/>
              </w:rPr>
              <w:tab/>
            </w:r>
            <w:r w:rsidRPr="00005626">
              <w:rPr>
                <w:lang w:val="de-CH"/>
              </w:rPr>
              <w:t>Eine Behörde sollte eine Sortenbezeichnung nicht akzeptieren, wenn ein älteres Recht vorliegt, dessen Ausübung der Benutzung der vorgeschlagenen Sortenbezeichnung entgegenstehen könnte.</w:t>
            </w:r>
            <w:r w:rsidRPr="00005626">
              <w:rPr>
                <w:strike/>
                <w:lang w:val="de-CH"/>
              </w:rPr>
              <w:t>bereits einem Dritten nach den Züchterrechtsvorschriften, dem Markenrecht oder anderen Rechtsvorschriften über geistiges Eigentum erteilt wurde.</w:t>
            </w:r>
            <w:r>
              <w:rPr>
                <w:lang w:val="de-CH"/>
              </w:rPr>
              <w:t xml:space="preserve"> </w:t>
            </w:r>
            <w:r w:rsidR="00FC162D" w:rsidRPr="00FC162D">
              <w:rPr>
                <w:lang w:val="de-CH"/>
              </w:rPr>
              <w:t xml:space="preserve">Es obliegt dem Inhaber eines älteren Rechts, seine Rechte mittels der verfügbaren </w:t>
            </w:r>
            <w:r w:rsidR="00FC162D" w:rsidRPr="006B6628">
              <w:rPr>
                <w:lang w:val="de-CH"/>
              </w:rPr>
              <w:t>Einwendungs- o</w:t>
            </w:r>
            <w:r w:rsidR="00FC162D" w:rsidRPr="00FC162D">
              <w:rPr>
                <w:lang w:val="de-CH"/>
              </w:rPr>
              <w:t>der Gerichtsverfahren geltend zu machen.</w:t>
            </w:r>
            <w:r w:rsidR="00192EC1" w:rsidRPr="00784C8F">
              <w:rPr>
                <w:lang w:val="de-CH"/>
              </w:rPr>
              <w:t xml:space="preserve"> </w:t>
            </w:r>
            <w:r w:rsidR="00FC162D" w:rsidRPr="00FC162D">
              <w:rPr>
                <w:lang w:val="de-CH"/>
              </w:rPr>
              <w:t xml:space="preserve">Die Behörden werden jedoch dazu angehalten, in entsprechenden Veröffentlichungen </w:t>
            </w:r>
            <w:r w:rsidR="00FC162D">
              <w:rPr>
                <w:lang w:val="de-CH"/>
              </w:rPr>
              <w:t xml:space="preserve">(z. B. </w:t>
            </w:r>
            <w:r w:rsidR="00FC162D" w:rsidRPr="00FC162D">
              <w:rPr>
                <w:lang w:val="de-CH"/>
              </w:rPr>
              <w:t>Amtsblättern) und Datenbanken (z.</w:t>
            </w:r>
            <w:r w:rsidR="00FC162D">
              <w:rPr>
                <w:lang w:val="de-CH"/>
              </w:rPr>
              <w:t xml:space="preserve"> B. </w:t>
            </w:r>
            <w:r w:rsidR="00FC162D" w:rsidRPr="00FC162D">
              <w:rPr>
                <w:lang w:val="de-CH"/>
              </w:rPr>
              <w:t xml:space="preserve">UPOV-Datenbank für Pflanzensorten (PLUTO) </w:t>
            </w:r>
            <w:hyperlink r:id="rId11" w:history="1">
              <w:r w:rsidR="006B6628" w:rsidRPr="002769F1">
                <w:rPr>
                  <w:rStyle w:val="Hyperlink"/>
                  <w:lang w:val="de-CH"/>
                </w:rPr>
                <w:t>http://www.upov.int/pluto/de/</w:t>
              </w:r>
            </w:hyperlink>
            <w:r w:rsidR="00FC162D">
              <w:rPr>
                <w:lang w:val="de-CH"/>
              </w:rPr>
              <w:t>)</w:t>
            </w:r>
            <w:r w:rsidR="00FC162D" w:rsidRPr="00FC162D">
              <w:rPr>
                <w:lang w:val="de-CH"/>
              </w:rPr>
              <w:t xml:space="preserve"> vorherige Nachforschungen anzustellen, um ältere Rechte an Sortenbezeichnungen zu ermitteln.</w:t>
            </w:r>
            <w:r w:rsidR="00805713">
              <w:rPr>
                <w:lang w:val="de-CH"/>
              </w:rPr>
              <w:t xml:space="preserve"> </w:t>
            </w:r>
            <w:r w:rsidR="00805713" w:rsidRPr="00805713">
              <w:rPr>
                <w:lang w:val="de-CH"/>
              </w:rPr>
              <w:t>Sie können auch in anderen Registern wie Handelsmarkenregistern suchen, bevor sie eine</w:t>
            </w:r>
            <w:r w:rsidR="00805713">
              <w:rPr>
                <w:lang w:val="de-CH"/>
              </w:rPr>
              <w:t xml:space="preserve"> Sortenbezeichnung akzeptieren.“</w:t>
            </w:r>
          </w:p>
        </w:tc>
      </w:tr>
      <w:tr w:rsidR="00192EC1" w:rsidRPr="00784C8F" w:rsidTr="0029150E">
        <w:trPr>
          <w:cantSplit/>
        </w:trPr>
        <w:tc>
          <w:tcPr>
            <w:tcW w:w="1391" w:type="dxa"/>
          </w:tcPr>
          <w:p w:rsidR="00192EC1" w:rsidRPr="00784C8F" w:rsidRDefault="00192EC1" w:rsidP="007F5563">
            <w:pPr>
              <w:rPr>
                <w:lang w:val="de-CH"/>
              </w:rPr>
            </w:pPr>
            <w:r w:rsidRPr="00784C8F">
              <w:rPr>
                <w:lang w:val="de-CH"/>
              </w:rPr>
              <w:t>4</w:t>
            </w:r>
            <w:r w:rsidR="007F5563"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e)</w:t>
            </w:r>
            <w:r w:rsidR="007F5563"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i)</w:t>
            </w:r>
          </w:p>
        </w:tc>
        <w:tc>
          <w:tcPr>
            <w:tcW w:w="7789" w:type="dxa"/>
          </w:tcPr>
          <w:p w:rsidR="00192EC1" w:rsidRPr="00784C8F" w:rsidRDefault="006B6628" w:rsidP="0029150E">
            <w:pPr>
              <w:rPr>
                <w:snapToGrid w:val="0"/>
                <w:lang w:val="de-CH"/>
              </w:rPr>
            </w:pPr>
            <w:r>
              <w:rPr>
                <w:snapToGrid w:val="0"/>
                <w:lang w:val="de-CH"/>
              </w:rPr>
              <w:t>Der l</w:t>
            </w:r>
            <w:r w:rsidR="007F5563" w:rsidRPr="007F5563">
              <w:rPr>
                <w:snapToGrid w:val="0"/>
                <w:lang w:val="de-CH"/>
              </w:rPr>
              <w:t>etzte Satz von 4 e) i) ist wie folgt zu ändern:</w:t>
            </w:r>
          </w:p>
          <w:p w:rsidR="00192EC1" w:rsidRPr="00784C8F" w:rsidRDefault="00192EC1" w:rsidP="0029150E">
            <w:pPr>
              <w:rPr>
                <w:snapToGrid w:val="0"/>
                <w:lang w:val="de-CH"/>
              </w:rPr>
            </w:pPr>
          </w:p>
          <w:p w:rsidR="00192EC1" w:rsidRPr="00784C8F" w:rsidRDefault="007F5563" w:rsidP="00A5070C">
            <w:pPr>
              <w:tabs>
                <w:tab w:val="right" w:pos="1134"/>
                <w:tab w:val="left" w:pos="1418"/>
              </w:tabs>
              <w:rPr>
                <w:lang w:val="de-CH"/>
              </w:rPr>
            </w:pPr>
            <w:r w:rsidRPr="007F5563">
              <w:rPr>
                <w:lang w:val="de-CH"/>
              </w:rPr>
              <w:t>„In Fällen bloßer Ähnlichkeit oder einer geringen Wahrscheinlichkeit</w:t>
            </w:r>
            <w:r w:rsidRPr="007F5563">
              <w:rPr>
                <w:strike/>
                <w:lang w:val="de-CH"/>
              </w:rPr>
              <w:t>, da</w:t>
            </w:r>
            <w:r w:rsidR="00BB290D">
              <w:rPr>
                <w:strike/>
                <w:lang w:val="de-CH"/>
              </w:rPr>
              <w:t>ss</w:t>
            </w:r>
            <w:r w:rsidRPr="007F5563">
              <w:rPr>
                <w:strike/>
                <w:lang w:val="de-CH"/>
              </w:rPr>
              <w:t xml:space="preserve"> sie</w:t>
            </w:r>
            <w:r w:rsidRPr="007F5563">
              <w:rPr>
                <w:lang w:val="de-CH"/>
              </w:rPr>
              <w:t xml:space="preserve"> </w:t>
            </w:r>
            <w:r w:rsidRPr="007F5563">
              <w:rPr>
                <w:strike/>
                <w:lang w:val="de-CH"/>
              </w:rPr>
              <w:t>von den Benutzern in Zusammenhang gebracht werden</w:t>
            </w:r>
            <w:r w:rsidRPr="007F5563">
              <w:rPr>
                <w:lang w:val="de-CH"/>
              </w:rPr>
              <w:t xml:space="preserve"> der Ver</w:t>
            </w:r>
            <w:r w:rsidR="00A5070C">
              <w:rPr>
                <w:lang w:val="de-CH"/>
              </w:rPr>
              <w:t>wechslung durch</w:t>
            </w:r>
            <w:r w:rsidRPr="007F5563">
              <w:rPr>
                <w:lang w:val="de-CH"/>
              </w:rPr>
              <w:t xml:space="preserve"> Benutzer könnte ein Verzicht auf Einwendungen durch die Rechtsinhaber einer Handelsmarke zugunsten der Züchter eine geeignete Lösung sein.”</w:t>
            </w:r>
          </w:p>
        </w:tc>
      </w:tr>
    </w:tbl>
    <w:p w:rsidR="000D5DA3" w:rsidRPr="00784C8F" w:rsidRDefault="000D5DA3" w:rsidP="004906C1">
      <w:pPr>
        <w:pStyle w:val="Heading2"/>
        <w:rPr>
          <w:lang w:val="de-CH"/>
        </w:rPr>
      </w:pPr>
    </w:p>
    <w:p w:rsidR="00CD4E41" w:rsidRPr="00784C8F" w:rsidRDefault="00517163" w:rsidP="004906C1">
      <w:pPr>
        <w:pStyle w:val="Heading2"/>
        <w:rPr>
          <w:lang w:val="de-CH"/>
        </w:rPr>
      </w:pPr>
      <w:bookmarkStart w:id="21" w:name="_Toc413652566"/>
      <w:r>
        <w:rPr>
          <w:lang w:val="de-CH"/>
        </w:rPr>
        <w:t>Vorgeschlagene</w:t>
      </w:r>
      <w:r w:rsidR="001E6164">
        <w:rPr>
          <w:lang w:val="de-CH"/>
        </w:rPr>
        <w:t>s Vorgehen</w:t>
      </w:r>
      <w:r>
        <w:rPr>
          <w:lang w:val="de-CH"/>
        </w:rPr>
        <w:t xml:space="preserve"> be</w:t>
      </w:r>
      <w:r w:rsidR="00133176">
        <w:rPr>
          <w:lang w:val="de-CH"/>
        </w:rPr>
        <w:t>treffend die</w:t>
      </w:r>
      <w:r>
        <w:rPr>
          <w:lang w:val="de-CH"/>
        </w:rPr>
        <w:t xml:space="preserve"> Arbeit der </w:t>
      </w:r>
      <w:r w:rsidR="00155977" w:rsidRPr="00784C8F">
        <w:rPr>
          <w:rFonts w:cs="Arial"/>
          <w:lang w:val="de-CH" w:eastAsia="ja-JP"/>
        </w:rPr>
        <w:t>WG-DST</w:t>
      </w:r>
      <w:bookmarkEnd w:id="21"/>
    </w:p>
    <w:p w:rsidR="00CD4E41" w:rsidRPr="00784C8F" w:rsidRDefault="00CD4E41" w:rsidP="00CD518F">
      <w:pPr>
        <w:keepNext/>
        <w:rPr>
          <w:rFonts w:cs="Arial"/>
          <w:lang w:val="de-CH" w:eastAsia="ja-JP"/>
        </w:rPr>
      </w:pPr>
    </w:p>
    <w:p w:rsidR="000D5DA3" w:rsidRPr="00784C8F" w:rsidRDefault="00CD518F" w:rsidP="00433B8A">
      <w:pPr>
        <w:rPr>
          <w:rFonts w:cs="Arial"/>
          <w:lang w:val="de-CH" w:eastAsia="ja-JP"/>
        </w:rPr>
      </w:pPr>
      <w:r w:rsidRPr="00784C8F">
        <w:rPr>
          <w:rFonts w:cs="Arial"/>
          <w:lang w:val="de-CH"/>
        </w:rPr>
        <w:fldChar w:fldCharType="begin"/>
      </w:r>
      <w:r w:rsidRPr="00784C8F">
        <w:rPr>
          <w:rFonts w:cs="Arial"/>
          <w:lang w:val="de-CH"/>
        </w:rPr>
        <w:instrText xml:space="preserve"> AUTONUM  </w:instrText>
      </w:r>
      <w:r w:rsidRPr="00784C8F">
        <w:rPr>
          <w:rFonts w:cs="Arial"/>
          <w:lang w:val="de-CH"/>
        </w:rPr>
        <w:fldChar w:fldCharType="end"/>
      </w:r>
      <w:r w:rsidRPr="00784C8F">
        <w:rPr>
          <w:rFonts w:cs="Arial"/>
          <w:lang w:val="de-CH"/>
        </w:rPr>
        <w:tab/>
      </w:r>
      <w:r w:rsidR="00517163">
        <w:rPr>
          <w:rFonts w:cs="Arial"/>
          <w:lang w:val="de-CH"/>
        </w:rPr>
        <w:t>Die</w:t>
      </w:r>
      <w:r w:rsidR="006454C2" w:rsidRPr="00784C8F">
        <w:rPr>
          <w:rFonts w:cs="Arial"/>
          <w:lang w:val="de-CH"/>
        </w:rPr>
        <w:t xml:space="preserve"> </w:t>
      </w:r>
      <w:r w:rsidR="008E3B88" w:rsidRPr="00784C8F">
        <w:rPr>
          <w:rFonts w:cs="Arial"/>
          <w:lang w:val="de-CH"/>
        </w:rPr>
        <w:t>CAJ-AG</w:t>
      </w:r>
      <w:r w:rsidR="00517163">
        <w:rPr>
          <w:rFonts w:cs="Arial"/>
          <w:lang w:val="de-CH"/>
        </w:rPr>
        <w:t xml:space="preserve"> regte auf ihrer neunten Tagung an, </w:t>
      </w:r>
      <w:r w:rsidR="00517163">
        <w:rPr>
          <w:rFonts w:cs="Arial"/>
          <w:lang w:val="de-CH" w:eastAsia="ja-JP"/>
        </w:rPr>
        <w:t>„</w:t>
      </w:r>
      <w:r w:rsidR="00517163" w:rsidRPr="00517163">
        <w:rPr>
          <w:rFonts w:cs="Arial"/>
          <w:lang w:val="de-CH" w:eastAsia="ja-JP"/>
        </w:rPr>
        <w:t xml:space="preserve">Vorschläge in 2.3.3 von Dokument UPOV/INF/12/5 Draft 2 </w:t>
      </w:r>
      <w:r w:rsidR="00517163">
        <w:rPr>
          <w:rFonts w:cs="Arial"/>
          <w:lang w:val="de-CH" w:eastAsia="ja-JP"/>
        </w:rPr>
        <w:t xml:space="preserve">[…] </w:t>
      </w:r>
      <w:r w:rsidR="00517163" w:rsidRPr="00517163">
        <w:rPr>
          <w:rFonts w:cs="Arial"/>
          <w:lang w:val="de-CH" w:eastAsia="ja-JP"/>
        </w:rPr>
        <w:t>als erste</w:t>
      </w:r>
      <w:r w:rsidR="00136CFB">
        <w:rPr>
          <w:rFonts w:cs="Arial"/>
          <w:lang w:val="de-CH" w:eastAsia="ja-JP"/>
        </w:rPr>
        <w:t>[n]</w:t>
      </w:r>
      <w:r w:rsidR="00517163" w:rsidRPr="00517163">
        <w:rPr>
          <w:rFonts w:cs="Arial"/>
          <w:lang w:val="de-CH" w:eastAsia="ja-JP"/>
        </w:rPr>
        <w:t xml:space="preserve"> Schritt zur Ausarbeitung weiterer Anleitung und zweckmäßiger Beispiele in Verbindung mit der </w:t>
      </w:r>
      <w:r w:rsidR="00517163" w:rsidRPr="001D24DE">
        <w:rPr>
          <w:rFonts w:cs="Arial"/>
          <w:lang w:val="de-CH" w:eastAsia="ja-JP"/>
        </w:rPr>
        <w:t>Entwicklung eines effektiven</w:t>
      </w:r>
      <w:r w:rsidR="00AC7239">
        <w:rPr>
          <w:rFonts w:cs="Arial"/>
          <w:lang w:val="de-CH" w:eastAsia="ja-JP"/>
        </w:rPr>
        <w:t xml:space="preserve"> </w:t>
      </w:r>
      <w:r w:rsidR="00517163" w:rsidRPr="00517163">
        <w:rPr>
          <w:rFonts w:cs="Arial"/>
          <w:lang w:val="de-CH" w:eastAsia="ja-JP"/>
        </w:rPr>
        <w:t>UPOV-</w:t>
      </w:r>
      <w:r w:rsidR="00A75C60">
        <w:rPr>
          <w:rFonts w:cs="Arial"/>
          <w:lang w:val="de-CH" w:eastAsia="ja-JP"/>
        </w:rPr>
        <w:t>Suchwerkzeug</w:t>
      </w:r>
      <w:r w:rsidR="00517163" w:rsidRPr="00517163">
        <w:rPr>
          <w:rFonts w:cs="Arial"/>
          <w:lang w:val="de-CH" w:eastAsia="ja-JP"/>
        </w:rPr>
        <w:t>s für Ähnlichkeiten zu prüfen.</w:t>
      </w:r>
      <w:r w:rsidR="007767F4" w:rsidRPr="00784C8F">
        <w:rPr>
          <w:rFonts w:cs="Arial"/>
          <w:lang w:val="de-CH" w:eastAsia="ja-JP"/>
        </w:rPr>
        <w:t>“</w:t>
      </w:r>
      <w:r w:rsidR="00DE2A64" w:rsidRPr="00784C8F">
        <w:rPr>
          <w:rStyle w:val="FootnoteReference"/>
          <w:lang w:val="de-CH" w:eastAsia="ja-JP"/>
        </w:rPr>
        <w:footnoteReference w:id="23"/>
      </w:r>
      <w:r w:rsidR="00B04842" w:rsidRPr="00784C8F">
        <w:rPr>
          <w:rFonts w:cs="Arial"/>
          <w:lang w:val="de-CH" w:eastAsia="ja-JP"/>
        </w:rPr>
        <w:t xml:space="preserve">. </w:t>
      </w:r>
    </w:p>
    <w:p w:rsidR="000D5DA3" w:rsidRPr="00784C8F" w:rsidRDefault="000D5DA3" w:rsidP="00433B8A">
      <w:pPr>
        <w:rPr>
          <w:rFonts w:cs="Arial"/>
          <w:lang w:val="de-CH" w:eastAsia="ja-JP"/>
        </w:rPr>
      </w:pPr>
    </w:p>
    <w:p w:rsidR="002F7364" w:rsidRPr="00784C8F" w:rsidRDefault="00FE7EC3" w:rsidP="002F7364">
      <w:pPr>
        <w:keepNext/>
        <w:rPr>
          <w:rFonts w:cs="Arial"/>
          <w:lang w:val="de-CH" w:eastAsia="ja-JP"/>
        </w:rPr>
      </w:pPr>
      <w:r w:rsidRPr="00784C8F">
        <w:rPr>
          <w:rFonts w:cs="Arial"/>
          <w:lang w:val="de-CH"/>
        </w:rPr>
        <w:lastRenderedPageBreak/>
        <w:fldChar w:fldCharType="begin"/>
      </w:r>
      <w:r w:rsidRPr="00784C8F">
        <w:rPr>
          <w:rFonts w:cs="Arial"/>
          <w:lang w:val="de-CH"/>
        </w:rPr>
        <w:instrText xml:space="preserve"> AUTONUM  </w:instrText>
      </w:r>
      <w:r w:rsidRPr="00784C8F">
        <w:rPr>
          <w:rFonts w:cs="Arial"/>
          <w:lang w:val="de-CH"/>
        </w:rPr>
        <w:fldChar w:fldCharType="end"/>
      </w:r>
      <w:r w:rsidRPr="00784C8F">
        <w:rPr>
          <w:rFonts w:cs="Arial"/>
          <w:lang w:val="de-CH"/>
        </w:rPr>
        <w:tab/>
      </w:r>
      <w:r w:rsidR="00AC7239">
        <w:rPr>
          <w:rFonts w:cs="Arial"/>
          <w:lang w:val="de-CH"/>
        </w:rPr>
        <w:t xml:space="preserve">Diesbezüglich wird der </w:t>
      </w:r>
      <w:r w:rsidR="00C372E9" w:rsidRPr="00784C8F">
        <w:rPr>
          <w:rFonts w:cs="Arial"/>
          <w:lang w:val="de-CH" w:eastAsia="ja-JP"/>
        </w:rPr>
        <w:t xml:space="preserve">CAJ </w:t>
      </w:r>
      <w:r w:rsidR="00AC7239" w:rsidRPr="00AC7239">
        <w:rPr>
          <w:rFonts w:cs="Arial"/>
          <w:lang w:val="de-CH" w:eastAsia="ja-JP"/>
        </w:rPr>
        <w:t>d</w:t>
      </w:r>
      <w:r w:rsidR="00AC7239">
        <w:rPr>
          <w:rFonts w:cs="Arial"/>
          <w:lang w:val="de-CH" w:eastAsia="ja-JP"/>
        </w:rPr>
        <w:t>ie WG-DST</w:t>
      </w:r>
      <w:r w:rsidR="00AC7239" w:rsidRPr="00AC7239">
        <w:rPr>
          <w:rFonts w:cs="Arial"/>
          <w:lang w:val="de-CH" w:eastAsia="ja-JP"/>
        </w:rPr>
        <w:t xml:space="preserve"> gegebenenfalls ersuchen wollen</w:t>
      </w:r>
      <w:r w:rsidR="00AC7239">
        <w:rPr>
          <w:rFonts w:cs="Arial"/>
          <w:lang w:val="de-CH" w:eastAsia="ja-JP"/>
        </w:rPr>
        <w:t>,</w:t>
      </w:r>
      <w:r w:rsidR="00AC7239" w:rsidRPr="00AC7239">
        <w:rPr>
          <w:rFonts w:cs="Arial"/>
          <w:lang w:val="de-CH" w:eastAsia="ja-JP"/>
        </w:rPr>
        <w:t xml:space="preserve"> </w:t>
      </w:r>
      <w:r w:rsidR="00AC7239">
        <w:rPr>
          <w:rFonts w:cs="Arial"/>
          <w:lang w:val="de-CH" w:eastAsia="ja-JP"/>
        </w:rPr>
        <w:t>die folgenden</w:t>
      </w:r>
      <w:r w:rsidR="003D35D3">
        <w:rPr>
          <w:rFonts w:cs="Arial"/>
          <w:lang w:val="de-CH" w:eastAsia="ja-JP"/>
        </w:rPr>
        <w:t>, von</w:t>
      </w:r>
      <w:r w:rsidR="00AC7239">
        <w:rPr>
          <w:rFonts w:cs="Arial"/>
          <w:lang w:val="de-CH" w:eastAsia="ja-JP"/>
        </w:rPr>
        <w:t xml:space="preserve"> </w:t>
      </w:r>
      <w:r w:rsidR="003D35D3">
        <w:rPr>
          <w:rFonts w:cs="Arial"/>
          <w:lang w:val="de-CH" w:eastAsia="ja-JP"/>
        </w:rPr>
        <w:t xml:space="preserve">der CAJ-AG </w:t>
      </w:r>
      <w:r w:rsidR="003D35D3" w:rsidRPr="00180984">
        <w:rPr>
          <w:rFonts w:cs="Arial"/>
          <w:lang w:val="de-CH" w:eastAsia="ja-JP"/>
        </w:rPr>
        <w:t xml:space="preserve">auf ihrer neunten Tagung </w:t>
      </w:r>
      <w:r w:rsidR="003D35D3">
        <w:rPr>
          <w:rFonts w:cs="Arial"/>
          <w:lang w:val="de-CH" w:eastAsia="ja-JP"/>
        </w:rPr>
        <w:t>abgegebenen Be</w:t>
      </w:r>
      <w:r w:rsidR="00AC7239">
        <w:rPr>
          <w:rFonts w:cs="Arial"/>
          <w:lang w:val="de-CH" w:eastAsia="ja-JP"/>
        </w:rPr>
        <w:t xml:space="preserve">merkungen zu den Vorschlägen </w:t>
      </w:r>
      <w:r w:rsidR="00384902">
        <w:rPr>
          <w:lang w:val="de-CH"/>
        </w:rPr>
        <w:t>zu den Abschnitten</w:t>
      </w:r>
      <w:r w:rsidR="00384902" w:rsidRPr="00784C8F">
        <w:rPr>
          <w:lang w:val="de-CH" w:eastAsia="ja-JP"/>
        </w:rPr>
        <w:t> </w:t>
      </w:r>
      <w:r w:rsidR="00384902" w:rsidRPr="00784C8F">
        <w:rPr>
          <w:rFonts w:cs="Arial"/>
          <w:lang w:val="de-CH"/>
        </w:rPr>
        <w:t xml:space="preserve">2.2.2 b), 2.3.1 c) </w:t>
      </w:r>
      <w:r w:rsidR="00384902">
        <w:rPr>
          <w:rFonts w:cs="Arial"/>
          <w:lang w:val="de-CH"/>
        </w:rPr>
        <w:t>u</w:t>
      </w:r>
      <w:r w:rsidR="00384902" w:rsidRPr="00784C8F">
        <w:rPr>
          <w:rFonts w:cs="Arial"/>
          <w:lang w:val="de-CH"/>
        </w:rPr>
        <w:t>nd d)</w:t>
      </w:r>
      <w:r w:rsidR="00384902" w:rsidRPr="00784C8F">
        <w:rPr>
          <w:rFonts w:cs="Arial"/>
          <w:lang w:val="de-CH" w:eastAsia="ja-JP"/>
        </w:rPr>
        <w:t xml:space="preserve"> </w:t>
      </w:r>
      <w:r w:rsidR="00384902">
        <w:rPr>
          <w:rFonts w:cs="Arial"/>
          <w:lang w:val="de-CH" w:eastAsia="ja-JP"/>
        </w:rPr>
        <w:t>sowie</w:t>
      </w:r>
      <w:r w:rsidR="00384902" w:rsidRPr="00784C8F">
        <w:rPr>
          <w:rFonts w:cs="Arial"/>
          <w:lang w:val="de-CH" w:eastAsia="ja-JP"/>
        </w:rPr>
        <w:t xml:space="preserve"> 2.3.3</w:t>
      </w:r>
      <w:r w:rsidR="00384902">
        <w:rPr>
          <w:rFonts w:cs="Arial"/>
          <w:lang w:val="de-CH" w:eastAsia="ja-JP"/>
        </w:rPr>
        <w:t xml:space="preserve"> in</w:t>
      </w:r>
      <w:r w:rsidR="00AC7239">
        <w:rPr>
          <w:rFonts w:cs="Arial"/>
          <w:lang w:val="de-CH" w:eastAsia="ja-JP"/>
        </w:rPr>
        <w:t xml:space="preserve"> Dokument </w:t>
      </w:r>
      <w:r w:rsidR="00C372E9" w:rsidRPr="00784C8F">
        <w:rPr>
          <w:lang w:val="de-CH"/>
        </w:rPr>
        <w:t xml:space="preserve">UPOV/INF/12/5 Draft 2 </w:t>
      </w:r>
      <w:r w:rsidR="002F7364" w:rsidRPr="00784C8F">
        <w:rPr>
          <w:rFonts w:cs="Arial"/>
          <w:lang w:val="de-CH" w:eastAsia="ja-JP"/>
        </w:rPr>
        <w:t xml:space="preserve">in </w:t>
      </w:r>
      <w:r w:rsidR="00AC7239">
        <w:rPr>
          <w:rFonts w:cs="Arial"/>
          <w:lang w:val="de-CH" w:eastAsia="ja-JP"/>
        </w:rPr>
        <w:t xml:space="preserve">Verbindung mit der </w:t>
      </w:r>
      <w:r w:rsidR="00AC7239" w:rsidRPr="00517163">
        <w:rPr>
          <w:rFonts w:cs="Arial"/>
          <w:lang w:val="de-CH" w:eastAsia="ja-JP"/>
        </w:rPr>
        <w:t xml:space="preserve">Entwicklung eines </w:t>
      </w:r>
      <w:r w:rsidR="005A5EBD">
        <w:rPr>
          <w:rFonts w:cs="Arial"/>
          <w:lang w:val="de-CH" w:eastAsia="ja-JP"/>
        </w:rPr>
        <w:t>effektiven</w:t>
      </w:r>
      <w:r w:rsidR="00AC7239" w:rsidRPr="00517163">
        <w:rPr>
          <w:rFonts w:cs="Arial"/>
          <w:lang w:val="de-CH" w:eastAsia="ja-JP"/>
        </w:rPr>
        <w:t xml:space="preserve"> UPOV-</w:t>
      </w:r>
      <w:r w:rsidR="00A75C60">
        <w:rPr>
          <w:rFonts w:cs="Arial"/>
          <w:lang w:val="de-CH" w:eastAsia="ja-JP"/>
        </w:rPr>
        <w:t>Suchwerkzeug</w:t>
      </w:r>
      <w:r w:rsidR="00AC7239" w:rsidRPr="00517163">
        <w:rPr>
          <w:rFonts w:cs="Arial"/>
          <w:lang w:val="de-CH" w:eastAsia="ja-JP"/>
        </w:rPr>
        <w:t>s für Ähnlichkeiten</w:t>
      </w:r>
      <w:r w:rsidR="00AC7239">
        <w:rPr>
          <w:rFonts w:cs="Arial"/>
          <w:lang w:val="de-CH" w:eastAsia="ja-JP"/>
        </w:rPr>
        <w:t xml:space="preserve">, </w:t>
      </w:r>
      <w:r w:rsidR="00AC7239" w:rsidRPr="00180984">
        <w:rPr>
          <w:rFonts w:cs="Arial"/>
          <w:lang w:val="de-CH" w:eastAsia="ja-JP"/>
        </w:rPr>
        <w:t xml:space="preserve">sowie </w:t>
      </w:r>
      <w:r w:rsidR="00384902" w:rsidRPr="00180984">
        <w:rPr>
          <w:rFonts w:cs="Arial"/>
          <w:lang w:val="de-CH" w:eastAsia="ja-JP"/>
        </w:rPr>
        <w:t xml:space="preserve">gegebenenfalls </w:t>
      </w:r>
      <w:r w:rsidR="007C2F56">
        <w:rPr>
          <w:rFonts w:cs="Arial"/>
          <w:lang w:val="de-CH" w:eastAsia="ja-JP"/>
        </w:rPr>
        <w:t xml:space="preserve">die </w:t>
      </w:r>
      <w:r w:rsidR="00AC7239" w:rsidRPr="00180984">
        <w:rPr>
          <w:rFonts w:cs="Arial"/>
          <w:lang w:val="de-CH" w:eastAsia="ja-JP"/>
        </w:rPr>
        <w:t>Entschließungen der WG-DST zur Überarbeitung von Dokument UPOV/INF/12</w:t>
      </w:r>
      <w:r w:rsidR="00180984" w:rsidRPr="00180984">
        <w:rPr>
          <w:rFonts w:cs="Arial"/>
          <w:lang w:val="de-CH" w:eastAsia="ja-JP"/>
        </w:rPr>
        <w:t xml:space="preserve"> </w:t>
      </w:r>
      <w:r w:rsidR="00AC7239" w:rsidRPr="00180984">
        <w:rPr>
          <w:rFonts w:cs="Arial"/>
          <w:lang w:val="de-CH" w:eastAsia="ja-JP"/>
        </w:rPr>
        <w:t>zu prüfen</w:t>
      </w:r>
      <w:r w:rsidR="0099507C">
        <w:rPr>
          <w:rFonts w:cs="Arial"/>
          <w:lang w:val="de-CH" w:eastAsia="ja-JP"/>
        </w:rPr>
        <w:t>.</w:t>
      </w:r>
    </w:p>
    <w:p w:rsidR="002F7364" w:rsidRPr="00784C8F" w:rsidRDefault="002F7364" w:rsidP="00B24D15">
      <w:pPr>
        <w:keepNext/>
        <w:ind w:firstLine="567"/>
        <w:rPr>
          <w:rFonts w:cs="Arial"/>
          <w:lang w:val="de-CH"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2E18DE" w:rsidRPr="00784C8F" w:rsidTr="0029150E">
        <w:trPr>
          <w:cantSplit/>
        </w:trPr>
        <w:tc>
          <w:tcPr>
            <w:tcW w:w="1391" w:type="dxa"/>
          </w:tcPr>
          <w:p w:rsidR="002E18DE" w:rsidRPr="00784C8F" w:rsidRDefault="002E18DE" w:rsidP="00440AC0">
            <w:pPr>
              <w:rPr>
                <w:rFonts w:cs="Arial"/>
                <w:lang w:val="de-CH"/>
              </w:rPr>
            </w:pPr>
            <w:r w:rsidRPr="00784C8F">
              <w:rPr>
                <w:lang w:val="de-CH"/>
              </w:rPr>
              <w:t>2.2.2 b)</w:t>
            </w:r>
          </w:p>
        </w:tc>
        <w:tc>
          <w:tcPr>
            <w:tcW w:w="7789" w:type="dxa"/>
          </w:tcPr>
          <w:p w:rsidR="002E18DE" w:rsidRPr="00784C8F" w:rsidRDefault="002E18DE" w:rsidP="00440AC0">
            <w:pPr>
              <w:rPr>
                <w:snapToGrid w:val="0"/>
                <w:lang w:val="de-CH"/>
              </w:rPr>
            </w:pPr>
            <w:r w:rsidRPr="000A519C">
              <w:rPr>
                <w:snapToGrid w:val="0"/>
                <w:lang w:val="de-CH"/>
              </w:rPr>
              <w:t>Die Terminologie in 2.2.2 b) ist zu klären.</w:t>
            </w:r>
            <w:r>
              <w:t xml:space="preserve"> </w:t>
            </w:r>
            <w:r w:rsidRPr="000A519C">
              <w:rPr>
                <w:snapToGrid w:val="0"/>
                <w:lang w:val="de-CH"/>
              </w:rPr>
              <w:t xml:space="preserve">Insbesondere ist zu prüfen, ob die Beispiele in folgendem Satz geändert </w:t>
            </w:r>
            <w:r>
              <w:rPr>
                <w:snapToGrid w:val="0"/>
                <w:lang w:val="de-CH"/>
              </w:rPr>
              <w:t xml:space="preserve">werden </w:t>
            </w:r>
            <w:r w:rsidRPr="000A519C">
              <w:rPr>
                <w:snapToGrid w:val="0"/>
                <w:lang w:val="de-CH"/>
              </w:rPr>
              <w:t xml:space="preserve">oder </w:t>
            </w:r>
            <w:r>
              <w:rPr>
                <w:snapToGrid w:val="0"/>
                <w:lang w:val="de-CH"/>
              </w:rPr>
              <w:t xml:space="preserve">ob </w:t>
            </w:r>
            <w:r w:rsidRPr="000A519C">
              <w:rPr>
                <w:snapToGrid w:val="0"/>
                <w:lang w:val="de-CH"/>
              </w:rPr>
              <w:t>„Arten“ durch „Gattungen“ oder „Taxa“ ersetzt werden</w:t>
            </w:r>
            <w:r>
              <w:rPr>
                <w:snapToGrid w:val="0"/>
                <w:lang w:val="de-CH"/>
              </w:rPr>
              <w:t xml:space="preserve"> soll</w:t>
            </w:r>
            <w:r w:rsidRPr="000A519C">
              <w:rPr>
                <w:snapToGrid w:val="0"/>
                <w:lang w:val="de-CH"/>
              </w:rPr>
              <w:t>:</w:t>
            </w:r>
            <w:r w:rsidRPr="00784C8F">
              <w:rPr>
                <w:snapToGrid w:val="0"/>
                <w:lang w:val="de-CH"/>
              </w:rPr>
              <w:t xml:space="preserve"> </w:t>
            </w:r>
          </w:p>
          <w:p w:rsidR="002E18DE" w:rsidRPr="00784C8F" w:rsidRDefault="002E18DE" w:rsidP="00440AC0">
            <w:pPr>
              <w:rPr>
                <w:snapToGrid w:val="0"/>
                <w:lang w:val="de-CH"/>
              </w:rPr>
            </w:pPr>
          </w:p>
          <w:p w:rsidR="002E18DE" w:rsidRPr="00784C8F" w:rsidRDefault="002E18DE" w:rsidP="00440AC0">
            <w:pPr>
              <w:rPr>
                <w:snapToGrid w:val="0"/>
                <w:lang w:val="de-CH"/>
              </w:rPr>
            </w:pPr>
            <w:r>
              <w:rPr>
                <w:snapToGrid w:val="0"/>
                <w:lang w:val="de-CH"/>
              </w:rPr>
              <w:t>„</w:t>
            </w:r>
            <w:r w:rsidRPr="00784C8F">
              <w:rPr>
                <w:color w:val="000000"/>
                <w:lang w:val="de-CH"/>
              </w:rPr>
              <w:t>b)</w:t>
            </w:r>
            <w:r w:rsidRPr="00784C8F">
              <w:rPr>
                <w:color w:val="000000"/>
                <w:lang w:val="de-CH"/>
              </w:rPr>
              <w:tab/>
            </w:r>
            <w:r w:rsidRPr="00162DD0">
              <w:rPr>
                <w:color w:val="000000"/>
                <w:lang w:val="de-CH"/>
              </w:rPr>
              <w:t xml:space="preserve">die anerkannte Marktpraxis für bestimmte Sortentypen </w:t>
            </w:r>
            <w:r w:rsidRPr="00784C8F">
              <w:rPr>
                <w:color w:val="000000"/>
                <w:lang w:val="de-CH"/>
              </w:rPr>
              <w:t>(</w:t>
            </w:r>
            <w:r>
              <w:rPr>
                <w:color w:val="000000"/>
                <w:lang w:val="de-CH"/>
              </w:rPr>
              <w:t>z. B. Hybriden</w:t>
            </w:r>
            <w:r w:rsidRPr="00784C8F">
              <w:rPr>
                <w:color w:val="000000"/>
                <w:lang w:val="de-CH"/>
              </w:rPr>
              <w:t xml:space="preserve">) </w:t>
            </w:r>
            <w:r>
              <w:rPr>
                <w:color w:val="000000"/>
                <w:lang w:val="de-CH"/>
              </w:rPr>
              <w:t>u</w:t>
            </w:r>
            <w:r w:rsidRPr="00784C8F">
              <w:rPr>
                <w:color w:val="000000"/>
                <w:lang w:val="de-CH"/>
              </w:rPr>
              <w:t xml:space="preserve">nd </w:t>
            </w:r>
            <w:r w:rsidRPr="00482E92">
              <w:rPr>
                <w:color w:val="000000"/>
                <w:lang w:val="de-CH"/>
              </w:rPr>
              <w:t xml:space="preserve">bestimmte Arten </w:t>
            </w:r>
            <w:r w:rsidRPr="00784C8F">
              <w:rPr>
                <w:color w:val="000000"/>
                <w:lang w:val="de-CH"/>
              </w:rPr>
              <w:t>(</w:t>
            </w:r>
            <w:r>
              <w:rPr>
                <w:color w:val="000000"/>
                <w:lang w:val="de-CH"/>
              </w:rPr>
              <w:t>z. B.</w:t>
            </w:r>
            <w:r w:rsidRPr="00784C8F">
              <w:rPr>
                <w:color w:val="000000"/>
                <w:lang w:val="de-CH"/>
              </w:rPr>
              <w:t xml:space="preserve"> Medicago, Helianthus)</w:t>
            </w:r>
            <w:r>
              <w:rPr>
                <w:color w:val="000000"/>
                <w:lang w:val="de-CH"/>
              </w:rPr>
              <w:t>“</w:t>
            </w:r>
            <w:r w:rsidRPr="00784C8F">
              <w:rPr>
                <w:color w:val="000000"/>
                <w:lang w:val="de-CH"/>
              </w:rPr>
              <w:t>.</w:t>
            </w:r>
          </w:p>
        </w:tc>
      </w:tr>
      <w:tr w:rsidR="002E18DE" w:rsidRPr="00784C8F" w:rsidTr="002F7364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E" w:rsidRPr="00784C8F" w:rsidRDefault="002E18DE" w:rsidP="00440AC0">
            <w:pPr>
              <w:rPr>
                <w:rFonts w:cs="Arial"/>
                <w:lang w:val="de-CH"/>
              </w:rPr>
            </w:pPr>
            <w:r w:rsidRPr="00784C8F">
              <w:rPr>
                <w:lang w:val="de-CH"/>
              </w:rPr>
              <w:t>2.3.1 c)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E" w:rsidRPr="00784C8F" w:rsidRDefault="002E18DE" w:rsidP="00440AC0">
            <w:pPr>
              <w:rPr>
                <w:lang w:val="de-CH"/>
              </w:rPr>
            </w:pPr>
            <w:r w:rsidRPr="002374D1">
              <w:rPr>
                <w:lang w:val="de-CH"/>
              </w:rPr>
              <w:t xml:space="preserve">Es ist weitere Anleitung zu 2.3.1 c) zu </w:t>
            </w:r>
            <w:r>
              <w:rPr>
                <w:lang w:val="de-CH"/>
              </w:rPr>
              <w:t>erarbeiten,</w:t>
            </w:r>
            <w:r w:rsidRPr="002374D1">
              <w:rPr>
                <w:lang w:val="de-CH"/>
              </w:rPr>
              <w:t xml:space="preserve"> und </w:t>
            </w:r>
            <w:r>
              <w:rPr>
                <w:lang w:val="de-CH"/>
              </w:rPr>
              <w:t xml:space="preserve">es sind </w:t>
            </w:r>
            <w:r w:rsidRPr="002374D1">
              <w:rPr>
                <w:lang w:val="de-CH"/>
              </w:rPr>
              <w:t xml:space="preserve">weitere zweckmäßigere Beispiele </w:t>
            </w:r>
            <w:r>
              <w:rPr>
                <w:lang w:val="de-CH"/>
              </w:rPr>
              <w:t>anzuführen</w:t>
            </w:r>
            <w:r w:rsidRPr="002374D1">
              <w:rPr>
                <w:lang w:val="de-CH"/>
              </w:rPr>
              <w:t>.</w:t>
            </w:r>
          </w:p>
          <w:p w:rsidR="002E18DE" w:rsidRPr="00784C8F" w:rsidRDefault="002E18DE" w:rsidP="00440AC0">
            <w:pPr>
              <w:keepNext/>
              <w:rPr>
                <w:lang w:val="de-CH"/>
              </w:rPr>
            </w:pPr>
          </w:p>
          <w:p w:rsidR="002E18DE" w:rsidRPr="00784C8F" w:rsidRDefault="002E18DE" w:rsidP="00440AC0">
            <w:pPr>
              <w:keepNext/>
              <w:rPr>
                <w:lang w:val="de-CH"/>
              </w:rPr>
            </w:pPr>
            <w:r>
              <w:rPr>
                <w:lang w:val="de-CH"/>
              </w:rPr>
              <w:t>„</w:t>
            </w:r>
            <w:r w:rsidRPr="00784C8F">
              <w:rPr>
                <w:lang w:val="de-CH"/>
              </w:rPr>
              <w:t>c)</w:t>
            </w:r>
            <w:r w:rsidRPr="00784C8F">
              <w:rPr>
                <w:lang w:val="de-CH"/>
              </w:rPr>
              <w:tab/>
            </w:r>
            <w:r w:rsidRPr="002374D1">
              <w:rPr>
                <w:lang w:val="de-CH"/>
              </w:rPr>
              <w:t>den Eindruck erwecken, da</w:t>
            </w:r>
            <w:r>
              <w:rPr>
                <w:lang w:val="de-CH"/>
              </w:rPr>
              <w:t>ss</w:t>
            </w:r>
            <w:r w:rsidRPr="002374D1">
              <w:rPr>
                <w:lang w:val="de-CH"/>
              </w:rPr>
              <w:t xml:space="preserve"> die Sorte von einer anderen Sorte abstamm</w:t>
            </w:r>
            <w:r w:rsidR="00437E17">
              <w:rPr>
                <w:lang w:val="de-CH"/>
              </w:rPr>
              <w:t>t</w:t>
            </w:r>
            <w:r w:rsidRPr="002374D1">
              <w:rPr>
                <w:lang w:val="de-CH"/>
              </w:rPr>
              <w:t xml:space="preserve"> oder mit ihr verwandt </w:t>
            </w:r>
            <w:r w:rsidR="00437E17">
              <w:rPr>
                <w:lang w:val="de-CH"/>
              </w:rPr>
              <w:t>ist</w:t>
            </w:r>
            <w:r w:rsidRPr="002374D1">
              <w:rPr>
                <w:lang w:val="de-CH"/>
              </w:rPr>
              <w:t>, wenn dies tatsächlich nicht der Fall ist;</w:t>
            </w:r>
          </w:p>
          <w:p w:rsidR="002E18DE" w:rsidRPr="00784C8F" w:rsidRDefault="002E18DE" w:rsidP="00440AC0">
            <w:pPr>
              <w:keepNext/>
              <w:rPr>
                <w:lang w:val="de-CH"/>
              </w:rPr>
            </w:pPr>
          </w:p>
          <w:p w:rsidR="002E18DE" w:rsidRPr="00784C8F" w:rsidRDefault="002E18DE" w:rsidP="00440AC0">
            <w:pPr>
              <w:rPr>
                <w:rFonts w:cs="Arial"/>
                <w:lang w:val="de-CH"/>
              </w:rPr>
            </w:pPr>
            <w:r>
              <w:rPr>
                <w:i/>
                <w:lang w:val="de-CH"/>
              </w:rPr>
              <w:t>Beispiel</w:t>
            </w:r>
            <w:r w:rsidRPr="00784C8F">
              <w:rPr>
                <w:i/>
                <w:lang w:val="de-CH"/>
              </w:rPr>
              <w:t>:</w:t>
            </w:r>
            <w:r w:rsidRPr="00784C8F">
              <w:rPr>
                <w:lang w:val="de-CH"/>
              </w:rPr>
              <w:t xml:space="preserve"> </w:t>
            </w:r>
            <w:r w:rsidRPr="00364587">
              <w:rPr>
                <w:lang w:val="de-CH"/>
              </w:rPr>
              <w:t>Eine Sortenbezeichnung, die derjenigen einer anderen Sorte derselben Art oder einer verwandten Art ähnlich ist,</w:t>
            </w:r>
            <w:r w:rsidRPr="00784C8F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z. B. </w:t>
            </w:r>
            <w:r w:rsidRPr="00364587">
              <w:rPr>
                <w:lang w:val="de-CH"/>
              </w:rPr>
              <w:t>„Kreuz des Südens 1“; „Kreuz des Südens 2“ usw., was den Eindruck erweckt, da</w:t>
            </w:r>
            <w:r>
              <w:rPr>
                <w:lang w:val="de-CH"/>
              </w:rPr>
              <w:t>ss</w:t>
            </w:r>
            <w:r w:rsidRPr="00364587">
              <w:rPr>
                <w:lang w:val="de-CH"/>
              </w:rPr>
              <w:t xml:space="preserve"> </w:t>
            </w:r>
            <w:r>
              <w:rPr>
                <w:lang w:val="de-CH"/>
              </w:rPr>
              <w:t>es sich hierbei um</w:t>
            </w:r>
            <w:r w:rsidRPr="00364587">
              <w:rPr>
                <w:lang w:val="de-CH"/>
              </w:rPr>
              <w:t xml:space="preserve"> eine Serie verwandter Sorten mit ähnlichen Eigenschaften </w:t>
            </w:r>
            <w:r>
              <w:rPr>
                <w:lang w:val="de-CH"/>
              </w:rPr>
              <w:t>handelt</w:t>
            </w:r>
            <w:r w:rsidRPr="00364587">
              <w:rPr>
                <w:lang w:val="de-CH"/>
              </w:rPr>
              <w:t>, wenn dies tatsächlich nicht der Fall ist.“</w:t>
            </w:r>
            <w:r w:rsidRPr="00784C8F">
              <w:rPr>
                <w:lang w:val="de-CH"/>
              </w:rPr>
              <w:t xml:space="preserve"> </w:t>
            </w:r>
          </w:p>
        </w:tc>
      </w:tr>
      <w:tr w:rsidR="002E18DE" w:rsidRPr="00784C8F" w:rsidTr="002F7364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E" w:rsidRPr="00784C8F" w:rsidRDefault="002E18DE" w:rsidP="00440AC0">
            <w:pPr>
              <w:rPr>
                <w:lang w:val="de-CH"/>
              </w:rPr>
            </w:pPr>
            <w:r w:rsidRPr="00784C8F">
              <w:rPr>
                <w:lang w:val="de-CH"/>
              </w:rPr>
              <w:t>2.3.1 d)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E" w:rsidRPr="00784C8F" w:rsidRDefault="002E18DE" w:rsidP="00440AC0">
            <w:pPr>
              <w:rPr>
                <w:lang w:val="de-CH"/>
              </w:rPr>
            </w:pPr>
            <w:r w:rsidRPr="00E53E7F">
              <w:rPr>
                <w:lang w:val="de-CH"/>
              </w:rPr>
              <w:t>2.3.1 d) ist wie folgt hinzuzufügen:</w:t>
            </w:r>
          </w:p>
          <w:p w:rsidR="002E18DE" w:rsidRPr="00784C8F" w:rsidRDefault="002E18DE" w:rsidP="00440AC0">
            <w:pPr>
              <w:rPr>
                <w:lang w:val="de-CH"/>
              </w:rPr>
            </w:pPr>
          </w:p>
          <w:p w:rsidR="002E18DE" w:rsidRPr="00784C8F" w:rsidRDefault="002E18DE" w:rsidP="00440AC0">
            <w:pPr>
              <w:rPr>
                <w:lang w:val="de-CH"/>
              </w:rPr>
            </w:pPr>
            <w:r>
              <w:rPr>
                <w:lang w:val="de-CH"/>
              </w:rPr>
              <w:t>„</w:t>
            </w:r>
            <w:r w:rsidRPr="00784C8F">
              <w:rPr>
                <w:lang w:val="de-CH"/>
              </w:rPr>
              <w:t xml:space="preserve">d) </w:t>
            </w:r>
            <w:r w:rsidRPr="00784C8F">
              <w:rPr>
                <w:lang w:val="de-CH"/>
              </w:rPr>
              <w:tab/>
            </w:r>
            <w:r w:rsidRPr="00E53E7F">
              <w:rPr>
                <w:lang w:val="de-CH"/>
              </w:rPr>
              <w:t xml:space="preserve">den botanischen oder </w:t>
            </w:r>
            <w:r w:rsidRPr="00347C5F">
              <w:rPr>
                <w:lang w:val="de-CH"/>
              </w:rPr>
              <w:t>landesüblichen</w:t>
            </w:r>
            <w:r w:rsidRPr="00E53E7F">
              <w:rPr>
                <w:lang w:val="de-CH"/>
              </w:rPr>
              <w:t xml:space="preserve"> Namen der Gattung</w:t>
            </w:r>
            <w:r>
              <w:rPr>
                <w:lang w:val="de-CH"/>
              </w:rPr>
              <w:t xml:space="preserve"> enthalten</w:t>
            </w:r>
            <w:r w:rsidRPr="00E53E7F">
              <w:rPr>
                <w:lang w:val="de-CH"/>
              </w:rPr>
              <w:t>, der die Sorte angehört.</w:t>
            </w:r>
            <w:r>
              <w:rPr>
                <w:lang w:val="de-CH"/>
              </w:rPr>
              <w:t xml:space="preserve"> Welches die</w:t>
            </w:r>
            <w:r w:rsidRPr="00E53E7F">
              <w:rPr>
                <w:lang w:val="de-CH"/>
              </w:rPr>
              <w:t xml:space="preserve"> </w:t>
            </w:r>
            <w:r>
              <w:rPr>
                <w:lang w:val="de-CH"/>
              </w:rPr>
              <w:t>Sortenb</w:t>
            </w:r>
            <w:r w:rsidRPr="00E53E7F">
              <w:rPr>
                <w:lang w:val="de-CH"/>
              </w:rPr>
              <w:t xml:space="preserve">ezeichnung </w:t>
            </w:r>
            <w:r w:rsidR="00437E17">
              <w:rPr>
                <w:lang w:val="de-CH"/>
              </w:rPr>
              <w:t>bzw.</w:t>
            </w:r>
            <w:r w:rsidRPr="00E53E7F">
              <w:rPr>
                <w:lang w:val="de-CH"/>
              </w:rPr>
              <w:t xml:space="preserve"> d</w:t>
            </w:r>
            <w:r>
              <w:rPr>
                <w:lang w:val="de-CH"/>
              </w:rPr>
              <w:t>er Name</w:t>
            </w:r>
            <w:r w:rsidRPr="00E53E7F">
              <w:rPr>
                <w:lang w:val="de-CH"/>
              </w:rPr>
              <w:t xml:space="preserve"> der </w:t>
            </w:r>
            <w:r>
              <w:rPr>
                <w:lang w:val="de-CH"/>
              </w:rPr>
              <w:t xml:space="preserve">zugehörigen </w:t>
            </w:r>
            <w:r w:rsidRPr="00E53E7F">
              <w:rPr>
                <w:lang w:val="de-CH"/>
              </w:rPr>
              <w:t>Gattung</w:t>
            </w:r>
            <w:r>
              <w:rPr>
                <w:lang w:val="de-CH"/>
              </w:rPr>
              <w:t xml:space="preserve"> ist, </w:t>
            </w:r>
            <w:r w:rsidRPr="00E53E7F">
              <w:rPr>
                <w:lang w:val="de-CH"/>
              </w:rPr>
              <w:t xml:space="preserve">könnte unklar </w:t>
            </w:r>
            <w:r w:rsidR="00A5070C">
              <w:rPr>
                <w:lang w:val="de-CH"/>
              </w:rPr>
              <w:t>sein</w:t>
            </w:r>
            <w:r>
              <w:rPr>
                <w:lang w:val="de-CH"/>
              </w:rPr>
              <w:t xml:space="preserve"> </w:t>
            </w:r>
            <w:r w:rsidR="00437E17">
              <w:rPr>
                <w:lang w:val="de-CH"/>
              </w:rPr>
              <w:t>oder</w:t>
            </w:r>
            <w:r>
              <w:rPr>
                <w:lang w:val="de-CH"/>
              </w:rPr>
              <w:t xml:space="preserve"> verwechselt </w:t>
            </w:r>
            <w:r w:rsidRPr="00E53E7F">
              <w:rPr>
                <w:lang w:val="de-CH"/>
              </w:rPr>
              <w:t>werden.“</w:t>
            </w:r>
          </w:p>
          <w:p w:rsidR="002E18DE" w:rsidRPr="00784C8F" w:rsidRDefault="002E18DE" w:rsidP="00440AC0">
            <w:pPr>
              <w:rPr>
                <w:highlight w:val="lightGray"/>
                <w:lang w:val="de-CH"/>
              </w:rPr>
            </w:pPr>
          </w:p>
          <w:p w:rsidR="002E18DE" w:rsidRPr="00784C8F" w:rsidRDefault="00EB6848" w:rsidP="00440AC0">
            <w:pPr>
              <w:rPr>
                <w:lang w:val="de-CH"/>
              </w:rPr>
            </w:pPr>
            <w:r>
              <w:rPr>
                <w:lang w:val="de-CH"/>
              </w:rPr>
              <w:t>Folgendes Beispiel ist klarer zu fassen</w:t>
            </w:r>
            <w:r w:rsidR="002E18DE" w:rsidRPr="00E53E7F">
              <w:rPr>
                <w:lang w:val="de-CH"/>
              </w:rPr>
              <w:t>:</w:t>
            </w:r>
          </w:p>
          <w:p w:rsidR="002E18DE" w:rsidRPr="00784C8F" w:rsidRDefault="002E18DE" w:rsidP="00440AC0">
            <w:pPr>
              <w:rPr>
                <w:lang w:val="de-CH"/>
              </w:rPr>
            </w:pPr>
          </w:p>
          <w:p w:rsidR="002E18DE" w:rsidRPr="00784C8F" w:rsidRDefault="002E18DE" w:rsidP="00440AC0">
            <w:pPr>
              <w:ind w:left="567"/>
              <w:rPr>
                <w:lang w:val="de-CH"/>
              </w:rPr>
            </w:pPr>
            <w:r>
              <w:rPr>
                <w:i/>
                <w:lang w:val="de-CH"/>
              </w:rPr>
              <w:t>Beispiel</w:t>
            </w:r>
            <w:r w:rsidRPr="00784C8F">
              <w:rPr>
                <w:lang w:val="de-CH"/>
              </w:rPr>
              <w:t xml:space="preserve">: </w:t>
            </w:r>
            <w:r w:rsidRPr="00784C8F">
              <w:rPr>
                <w:i/>
                <w:lang w:val="de-CH"/>
              </w:rPr>
              <w:t xml:space="preserve">Carex </w:t>
            </w:r>
            <w:r w:rsidRPr="00E53E7F">
              <w:rPr>
                <w:lang w:val="de-CH"/>
              </w:rPr>
              <w:t>Sorte ‘Sedge</w:t>
            </w:r>
            <w:r w:rsidRPr="00784C8F">
              <w:rPr>
                <w:lang w:val="de-CH"/>
              </w:rPr>
              <w:t xml:space="preserve">’. </w:t>
            </w:r>
            <w:r w:rsidRPr="00E53E7F">
              <w:rPr>
                <w:lang w:val="de-CH"/>
              </w:rPr>
              <w:t>Darauf könnte möglicherweise als ‘Sedge' Carex Bezug genommen werden</w:t>
            </w:r>
            <w:r>
              <w:rPr>
                <w:lang w:val="de-CH"/>
              </w:rPr>
              <w:t>,</w:t>
            </w:r>
            <w:r w:rsidRPr="00E53E7F">
              <w:rPr>
                <w:lang w:val="de-CH"/>
              </w:rPr>
              <w:t xml:space="preserve"> und ohne Verwendung von Kursivdruck oder einfachen Anführungszeichen könnte </w:t>
            </w:r>
            <w:r>
              <w:rPr>
                <w:lang w:val="de-CH"/>
              </w:rPr>
              <w:t>unklar sein, welches die Sortenbezeichnung bzw. der Gattungsname ist</w:t>
            </w:r>
            <w:r w:rsidRPr="00E53E7F">
              <w:rPr>
                <w:lang w:val="de-CH"/>
              </w:rPr>
              <w:t>.</w:t>
            </w:r>
          </w:p>
          <w:p w:rsidR="002E18DE" w:rsidRPr="00784C8F" w:rsidRDefault="002E18DE" w:rsidP="00440AC0">
            <w:pPr>
              <w:rPr>
                <w:lang w:val="de-CH"/>
              </w:rPr>
            </w:pPr>
          </w:p>
          <w:p w:rsidR="002E18DE" w:rsidRPr="00784C8F" w:rsidRDefault="002E18DE" w:rsidP="00EB6848">
            <w:pPr>
              <w:rPr>
                <w:lang w:val="de-CH"/>
              </w:rPr>
            </w:pPr>
            <w:r w:rsidRPr="00E53E7F">
              <w:rPr>
                <w:lang w:val="de-CH"/>
              </w:rPr>
              <w:t>Es ist Anleit</w:t>
            </w:r>
            <w:r>
              <w:rPr>
                <w:lang w:val="de-CH"/>
              </w:rPr>
              <w:t xml:space="preserve">ung zu einer möglichen Verwechslungsgefahr </w:t>
            </w:r>
            <w:r w:rsidRPr="00E53E7F">
              <w:rPr>
                <w:lang w:val="de-CH"/>
              </w:rPr>
              <w:t xml:space="preserve">bezüglich des botanischen oder </w:t>
            </w:r>
            <w:r w:rsidRPr="00500AFF">
              <w:rPr>
                <w:lang w:val="de-CH"/>
              </w:rPr>
              <w:t>landesüblichen</w:t>
            </w:r>
            <w:r w:rsidRPr="00E53E7F">
              <w:rPr>
                <w:lang w:val="de-CH"/>
              </w:rPr>
              <w:t xml:space="preserve"> Namens einer Gattung, zu der die Sorte </w:t>
            </w:r>
            <w:r w:rsidRPr="00EA220D">
              <w:rPr>
                <w:u w:val="single"/>
                <w:lang w:val="de-CH"/>
              </w:rPr>
              <w:t>nicht</w:t>
            </w:r>
            <w:r w:rsidRPr="00E53E7F">
              <w:rPr>
                <w:lang w:val="de-CH"/>
              </w:rPr>
              <w:t xml:space="preserve"> gehört</w:t>
            </w:r>
            <w:r>
              <w:rPr>
                <w:lang w:val="de-CH"/>
              </w:rPr>
              <w:t>,</w:t>
            </w:r>
            <w:r w:rsidRPr="00E53E7F">
              <w:rPr>
                <w:lang w:val="de-CH"/>
              </w:rPr>
              <w:t xml:space="preserve"> zu erarbeiten</w:t>
            </w:r>
            <w:r w:rsidR="00EB6848">
              <w:rPr>
                <w:lang w:val="de-CH"/>
              </w:rPr>
              <w:t xml:space="preserve"> –</w:t>
            </w:r>
            <w:r w:rsidR="00EB6848" w:rsidRPr="00E53E7F">
              <w:rPr>
                <w:lang w:val="de-CH"/>
              </w:rPr>
              <w:t xml:space="preserve"> von Fall zu Fall</w:t>
            </w:r>
            <w:r w:rsidRPr="00E53E7F">
              <w:rPr>
                <w:lang w:val="de-CH"/>
              </w:rPr>
              <w:t>.</w:t>
            </w:r>
          </w:p>
        </w:tc>
      </w:tr>
      <w:tr w:rsidR="002F7364" w:rsidRPr="00784C8F" w:rsidTr="002F7364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64" w:rsidRPr="00784C8F" w:rsidRDefault="00F62511" w:rsidP="0029150E">
            <w:pPr>
              <w:rPr>
                <w:rFonts w:cs="Arial"/>
                <w:lang w:val="de-CH"/>
              </w:rPr>
            </w:pPr>
            <w:r w:rsidRPr="00784C8F">
              <w:rPr>
                <w:rFonts w:cs="Arial"/>
                <w:lang w:val="de-CH"/>
              </w:rPr>
              <w:t>2.3.3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64" w:rsidRPr="00784C8F" w:rsidRDefault="00437E17" w:rsidP="006274F9">
            <w:pPr>
              <w:rPr>
                <w:rFonts w:cs="Arial"/>
                <w:lang w:val="de-CH"/>
              </w:rPr>
            </w:pPr>
            <w:r>
              <w:rPr>
                <w:snapToGrid w:val="0"/>
                <w:lang w:val="de-CH"/>
              </w:rPr>
              <w:t xml:space="preserve">Die </w:t>
            </w:r>
            <w:r w:rsidR="006274F9" w:rsidRPr="00005626">
              <w:rPr>
                <w:snapToGrid w:val="0"/>
                <w:lang w:val="de-CH"/>
              </w:rPr>
              <w:t>Vorschläge in 2.3.3 von Dokument UPOV/INF/12/5 Draft 2 sind als erster Schritt zur Ausarbeitung weiterer Anleitung und zweckmäßiger Beispiele in Verbindung mit der Entwicklung eines effektiven UPOV-</w:t>
            </w:r>
            <w:r w:rsidR="00A75C60">
              <w:rPr>
                <w:snapToGrid w:val="0"/>
                <w:lang w:val="de-CH"/>
              </w:rPr>
              <w:t>Suchwerkzeug</w:t>
            </w:r>
            <w:r w:rsidR="006274F9" w:rsidRPr="00005626">
              <w:rPr>
                <w:snapToGrid w:val="0"/>
                <w:lang w:val="de-CH"/>
              </w:rPr>
              <w:t>s für Ähnlichkeiten zu prüfen.</w:t>
            </w:r>
          </w:p>
        </w:tc>
      </w:tr>
    </w:tbl>
    <w:p w:rsidR="0066192B" w:rsidRPr="00784C8F" w:rsidRDefault="0066192B" w:rsidP="00433B8A">
      <w:pPr>
        <w:rPr>
          <w:lang w:val="de-CH" w:eastAsia="ja-JP"/>
        </w:rPr>
      </w:pPr>
    </w:p>
    <w:p w:rsidR="0066192B" w:rsidRPr="00784C8F" w:rsidRDefault="0066192B" w:rsidP="00433B8A">
      <w:pPr>
        <w:rPr>
          <w:lang w:val="de-CH" w:eastAsia="ja-JP"/>
        </w:rPr>
      </w:pPr>
    </w:p>
    <w:p w:rsidR="00CD4E41" w:rsidRPr="00784C8F" w:rsidRDefault="00505D87" w:rsidP="004906C1">
      <w:pPr>
        <w:pStyle w:val="Heading2"/>
        <w:rPr>
          <w:lang w:val="de-CH"/>
        </w:rPr>
      </w:pPr>
      <w:bookmarkStart w:id="22" w:name="_Toc413652567"/>
      <w:r w:rsidRPr="000A0F2B">
        <w:rPr>
          <w:lang w:val="de-CH"/>
        </w:rPr>
        <w:t>Vor</w:t>
      </w:r>
      <w:r w:rsidR="00BF17AE">
        <w:rPr>
          <w:lang w:val="de-CH"/>
        </w:rPr>
        <w:t>schläge für eine</w:t>
      </w:r>
      <w:r w:rsidRPr="000A0F2B">
        <w:rPr>
          <w:lang w:val="de-CH"/>
        </w:rPr>
        <w:t xml:space="preserve"> Anleitung</w:t>
      </w:r>
      <w:r w:rsidR="00BF17AE">
        <w:rPr>
          <w:lang w:val="de-CH"/>
        </w:rPr>
        <w:t xml:space="preserve"> (vom</w:t>
      </w:r>
      <w:r w:rsidRPr="000A0F2B">
        <w:rPr>
          <w:lang w:val="de-CH"/>
        </w:rPr>
        <w:t xml:space="preserve"> CAJ auf seiner </w:t>
      </w:r>
      <w:r>
        <w:rPr>
          <w:lang w:val="de-CH"/>
        </w:rPr>
        <w:t>zwei</w:t>
      </w:r>
      <w:r w:rsidRPr="000A0F2B">
        <w:rPr>
          <w:lang w:val="de-CH"/>
        </w:rPr>
        <w:t>undsiebzigsten Tagung</w:t>
      </w:r>
      <w:r w:rsidR="00BF17AE">
        <w:rPr>
          <w:lang w:val="de-CH"/>
        </w:rPr>
        <w:t xml:space="preserve"> zu prüfen)</w:t>
      </w:r>
      <w:bookmarkEnd w:id="22"/>
    </w:p>
    <w:p w:rsidR="00CD4E41" w:rsidRPr="00784C8F" w:rsidRDefault="00CD4E41" w:rsidP="00B24D15">
      <w:pPr>
        <w:keepNext/>
        <w:ind w:firstLine="567"/>
        <w:rPr>
          <w:rFonts w:cs="Arial"/>
          <w:lang w:val="de-CH" w:eastAsia="ja-JP"/>
        </w:rPr>
      </w:pPr>
    </w:p>
    <w:p w:rsidR="00B04842" w:rsidRPr="00784C8F" w:rsidRDefault="000C6236" w:rsidP="00F62511">
      <w:pPr>
        <w:rPr>
          <w:lang w:val="de-CH" w:eastAsia="ja-JP"/>
        </w:rPr>
      </w:pPr>
      <w:r w:rsidRPr="00784C8F">
        <w:rPr>
          <w:lang w:val="de-CH"/>
        </w:rPr>
        <w:fldChar w:fldCharType="begin"/>
      </w:r>
      <w:r w:rsidRPr="00784C8F">
        <w:rPr>
          <w:lang w:val="de-CH"/>
        </w:rPr>
        <w:instrText xml:space="preserve"> AUTONUM  </w:instrText>
      </w:r>
      <w:r w:rsidRPr="00784C8F">
        <w:rPr>
          <w:lang w:val="de-CH"/>
        </w:rPr>
        <w:fldChar w:fldCharType="end"/>
      </w:r>
      <w:r w:rsidRPr="00784C8F">
        <w:rPr>
          <w:lang w:val="de-CH"/>
        </w:rPr>
        <w:tab/>
      </w:r>
      <w:r w:rsidR="00505D87">
        <w:rPr>
          <w:lang w:val="de-CH"/>
        </w:rPr>
        <w:t>Es wird angeregt, dass die folgenden Vorschläge zu den Abschnitten</w:t>
      </w:r>
      <w:r w:rsidR="00F62511" w:rsidRPr="00784C8F">
        <w:rPr>
          <w:lang w:val="de-CH"/>
        </w:rPr>
        <w:t xml:space="preserve"> 2.2.2</w:t>
      </w:r>
      <w:r w:rsidR="009D5FB2" w:rsidRPr="00784C8F">
        <w:rPr>
          <w:lang w:val="de-CH"/>
        </w:rPr>
        <w:t xml:space="preserve"> </w:t>
      </w:r>
      <w:r w:rsidR="00A277F9" w:rsidRPr="00784C8F">
        <w:rPr>
          <w:lang w:val="de-CH"/>
        </w:rPr>
        <w:t>c), 4</w:t>
      </w:r>
      <w:r w:rsidR="00505D87">
        <w:rPr>
          <w:lang w:val="de-CH"/>
        </w:rPr>
        <w:t xml:space="preserve"> </w:t>
      </w:r>
      <w:r w:rsidR="00F62511" w:rsidRPr="00784C8F">
        <w:rPr>
          <w:lang w:val="de-CH"/>
        </w:rPr>
        <w:t xml:space="preserve">a) </w:t>
      </w:r>
      <w:r w:rsidR="00505D87">
        <w:rPr>
          <w:lang w:val="de-CH"/>
        </w:rPr>
        <w:t>u</w:t>
      </w:r>
      <w:r w:rsidR="00F62511" w:rsidRPr="00784C8F">
        <w:rPr>
          <w:lang w:val="de-CH"/>
        </w:rPr>
        <w:t>nd 4</w:t>
      </w:r>
      <w:r w:rsidR="00505D87">
        <w:rPr>
          <w:lang w:val="de-CH"/>
        </w:rPr>
        <w:t xml:space="preserve"> </w:t>
      </w:r>
      <w:r w:rsidR="00F62511" w:rsidRPr="00784C8F">
        <w:rPr>
          <w:lang w:val="de-CH"/>
        </w:rPr>
        <w:t>e)</w:t>
      </w:r>
      <w:r w:rsidR="00505D87">
        <w:rPr>
          <w:lang w:val="de-CH"/>
        </w:rPr>
        <w:t xml:space="preserve"> </w:t>
      </w:r>
      <w:r w:rsidR="00C35B57" w:rsidRPr="00784C8F">
        <w:rPr>
          <w:lang w:val="de-CH"/>
        </w:rPr>
        <w:t>i)</w:t>
      </w:r>
      <w:r w:rsidR="00740CB2" w:rsidRPr="00784C8F">
        <w:rPr>
          <w:lang w:val="de-CH"/>
        </w:rPr>
        <w:t xml:space="preserve"> </w:t>
      </w:r>
      <w:r w:rsidR="00505D87">
        <w:rPr>
          <w:lang w:val="de-CH"/>
        </w:rPr>
        <w:t>vom CAJ auf seiner zweiundsiebzigsten Tagung</w:t>
      </w:r>
      <w:r w:rsidR="00B04842" w:rsidRPr="00784C8F">
        <w:rPr>
          <w:rStyle w:val="FootnoteReference"/>
          <w:rFonts w:cs="Arial"/>
          <w:lang w:val="de-CH" w:eastAsia="ja-JP"/>
        </w:rPr>
        <w:footnoteReference w:id="24"/>
      </w:r>
      <w:r w:rsidR="00740CB2" w:rsidRPr="00784C8F">
        <w:rPr>
          <w:lang w:val="de-CH" w:eastAsia="ja-JP"/>
        </w:rPr>
        <w:t xml:space="preserve"> </w:t>
      </w:r>
      <w:r w:rsidR="00505D87">
        <w:rPr>
          <w:lang w:val="de-CH" w:eastAsia="ja-JP"/>
        </w:rPr>
        <w:t>geprüft werden:</w:t>
      </w:r>
    </w:p>
    <w:p w:rsidR="00E97DFE" w:rsidRPr="00A07CF1" w:rsidRDefault="00E97DFE" w:rsidP="00A07CF1">
      <w:pPr>
        <w:keepNext/>
        <w:ind w:firstLine="567"/>
        <w:rPr>
          <w:rFonts w:cs="Arial"/>
          <w:lang w:val="de-CH"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716724" w:rsidRPr="00784C8F" w:rsidTr="0029150E">
        <w:trPr>
          <w:cantSplit/>
        </w:trPr>
        <w:tc>
          <w:tcPr>
            <w:tcW w:w="1391" w:type="dxa"/>
          </w:tcPr>
          <w:p w:rsidR="00716724" w:rsidRPr="00784C8F" w:rsidRDefault="00716724" w:rsidP="00440AC0">
            <w:pPr>
              <w:rPr>
                <w:rFonts w:cs="Arial"/>
                <w:lang w:val="de-CH"/>
              </w:rPr>
            </w:pPr>
            <w:r w:rsidRPr="00784C8F">
              <w:rPr>
                <w:rFonts w:cs="Arial"/>
                <w:lang w:val="de-CH"/>
              </w:rPr>
              <w:t>2.2.2 c)</w:t>
            </w:r>
          </w:p>
        </w:tc>
        <w:tc>
          <w:tcPr>
            <w:tcW w:w="7789" w:type="dxa"/>
          </w:tcPr>
          <w:p w:rsidR="00716724" w:rsidRPr="0084451F" w:rsidRDefault="00716724" w:rsidP="00440AC0">
            <w:pPr>
              <w:rPr>
                <w:rFonts w:cs="Arial"/>
                <w:lang w:val="de-CH"/>
              </w:rPr>
            </w:pPr>
            <w:r w:rsidRPr="0084451F">
              <w:rPr>
                <w:rFonts w:cs="Arial"/>
                <w:lang w:val="de-CH"/>
              </w:rPr>
              <w:t>2.2.2 c) ist wie folgt hinzuzufügen:</w:t>
            </w:r>
          </w:p>
          <w:p w:rsidR="00716724" w:rsidRPr="00A07CF1" w:rsidRDefault="00716724" w:rsidP="00A07CF1">
            <w:pPr>
              <w:keepNext/>
              <w:ind w:firstLine="567"/>
              <w:rPr>
                <w:rFonts w:cs="Arial"/>
                <w:lang w:val="de-CH" w:eastAsia="ja-JP"/>
              </w:rPr>
            </w:pPr>
          </w:p>
          <w:p w:rsidR="00716724" w:rsidRPr="00784C8F" w:rsidRDefault="00716724" w:rsidP="00440AC0">
            <w:pPr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„</w:t>
            </w:r>
            <w:r w:rsidRPr="00784C8F">
              <w:rPr>
                <w:rFonts w:cs="Arial"/>
                <w:lang w:val="de-CH"/>
              </w:rPr>
              <w:t>c)</w:t>
            </w:r>
            <w:r w:rsidRPr="00784C8F">
              <w:rPr>
                <w:rFonts w:cs="Arial"/>
                <w:lang w:val="de-CH"/>
              </w:rPr>
              <w:tab/>
            </w:r>
            <w:r w:rsidRPr="0084451F">
              <w:rPr>
                <w:rFonts w:cs="Arial"/>
                <w:lang w:val="de-CH"/>
              </w:rPr>
              <w:t xml:space="preserve">als ‘feststehende Praxis' </w:t>
            </w:r>
            <w:r>
              <w:rPr>
                <w:rFonts w:cs="Arial"/>
                <w:lang w:val="de-CH"/>
              </w:rPr>
              <w:t>gilt es</w:t>
            </w:r>
            <w:r w:rsidRPr="0084451F">
              <w:rPr>
                <w:rFonts w:cs="Arial"/>
                <w:lang w:val="de-CH"/>
              </w:rPr>
              <w:t>, wenn die Eintragung für eine Art oder Gruppe akzeptiert wurde, so da</w:t>
            </w:r>
            <w:r>
              <w:rPr>
                <w:rFonts w:cs="Arial"/>
                <w:lang w:val="de-CH"/>
              </w:rPr>
              <w:t>ss</w:t>
            </w:r>
            <w:r w:rsidRPr="0084451F">
              <w:rPr>
                <w:rFonts w:cs="Arial"/>
                <w:lang w:val="de-CH"/>
              </w:rPr>
              <w:t xml:space="preserve"> sie bei anderen Arten verwendet werden kann, </w:t>
            </w:r>
            <w:r>
              <w:rPr>
                <w:rFonts w:cs="Arial"/>
                <w:lang w:val="de-CH"/>
              </w:rPr>
              <w:t>für die</w:t>
            </w:r>
            <w:r w:rsidRPr="0084451F">
              <w:rPr>
                <w:rFonts w:cs="Arial"/>
                <w:lang w:val="de-CH"/>
              </w:rPr>
              <w:t xml:space="preserve"> noch keine Sorte eingetragen ist, deren Bezeichnung ausschließlich aus Zahlen besteht</w:t>
            </w:r>
            <w:r w:rsidRPr="00784C8F">
              <w:rPr>
                <w:rFonts w:cs="Arial"/>
                <w:lang w:val="de-CH"/>
              </w:rPr>
              <w:t>.</w:t>
            </w:r>
            <w:r>
              <w:rPr>
                <w:rFonts w:cs="Arial"/>
                <w:lang w:val="de-CH"/>
              </w:rPr>
              <w:t>“</w:t>
            </w:r>
          </w:p>
        </w:tc>
      </w:tr>
      <w:tr w:rsidR="00716724" w:rsidRPr="00784C8F" w:rsidTr="0029150E">
        <w:trPr>
          <w:cantSplit/>
        </w:trPr>
        <w:tc>
          <w:tcPr>
            <w:tcW w:w="1391" w:type="dxa"/>
          </w:tcPr>
          <w:p w:rsidR="00716724" w:rsidRPr="00784C8F" w:rsidRDefault="00716724" w:rsidP="00440AC0">
            <w:pPr>
              <w:rPr>
                <w:lang w:val="de-CH"/>
              </w:rPr>
            </w:pPr>
            <w:r w:rsidRPr="00784C8F">
              <w:rPr>
                <w:lang w:val="de-CH"/>
              </w:rPr>
              <w:lastRenderedPageBreak/>
              <w:t>4</w:t>
            </w:r>
            <w:r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a)</w:t>
            </w:r>
          </w:p>
        </w:tc>
        <w:tc>
          <w:tcPr>
            <w:tcW w:w="7789" w:type="dxa"/>
          </w:tcPr>
          <w:p w:rsidR="00716724" w:rsidRPr="00784C8F" w:rsidRDefault="00716724" w:rsidP="00440AC0">
            <w:pPr>
              <w:rPr>
                <w:snapToGrid w:val="0"/>
                <w:lang w:val="de-CH"/>
              </w:rPr>
            </w:pPr>
            <w:r w:rsidRPr="00005626">
              <w:rPr>
                <w:snapToGrid w:val="0"/>
                <w:lang w:val="de-CH"/>
              </w:rPr>
              <w:t>4 a) ist wie folgt zu ändern:</w:t>
            </w:r>
          </w:p>
          <w:p w:rsidR="00716724" w:rsidRPr="00A07CF1" w:rsidRDefault="00716724" w:rsidP="00A07CF1">
            <w:pPr>
              <w:keepNext/>
              <w:ind w:firstLine="567"/>
              <w:rPr>
                <w:rFonts w:cs="Arial"/>
                <w:lang w:val="de-CH" w:eastAsia="ja-JP"/>
              </w:rPr>
            </w:pPr>
          </w:p>
          <w:p w:rsidR="00716724" w:rsidRPr="00784C8F" w:rsidRDefault="00716724" w:rsidP="00440AC0">
            <w:pPr>
              <w:ind w:firstLine="567"/>
              <w:rPr>
                <w:lang w:val="de-CH"/>
              </w:rPr>
            </w:pPr>
            <w:r>
              <w:rPr>
                <w:lang w:val="de-CH"/>
              </w:rPr>
              <w:t>„</w:t>
            </w:r>
            <w:r w:rsidRPr="00784C8F">
              <w:rPr>
                <w:lang w:val="de-CH"/>
              </w:rPr>
              <w:t>a)</w:t>
            </w:r>
            <w:r w:rsidRPr="00784C8F">
              <w:rPr>
                <w:lang w:val="de-CH"/>
              </w:rPr>
              <w:tab/>
            </w:r>
            <w:r w:rsidRPr="00005626">
              <w:rPr>
                <w:lang w:val="de-CH"/>
              </w:rPr>
              <w:t>Eine Behörde sollte eine Sortenbezeichnung nicht akzeptieren, wenn ein älteres Recht vorliegt, dessen Ausübung der Benutzung der vorgeschlagenen Sortenbezeichnung entgegenstehen könnte.</w:t>
            </w:r>
            <w:r w:rsidRPr="00005626">
              <w:rPr>
                <w:strike/>
                <w:lang w:val="de-CH"/>
              </w:rPr>
              <w:t>bereits einem Dritten nach den Züchterrechtsvorschriften, dem Markenrecht oder anderen Rechtsvorschriften über geistiges Eigentum erteilt wurde.</w:t>
            </w:r>
            <w:r>
              <w:rPr>
                <w:lang w:val="de-CH"/>
              </w:rPr>
              <w:t xml:space="preserve"> </w:t>
            </w:r>
            <w:r w:rsidRPr="00FC162D">
              <w:rPr>
                <w:lang w:val="de-CH"/>
              </w:rPr>
              <w:t xml:space="preserve">Es obliegt dem Inhaber eines älteren Rechts, seine Rechte mittels der verfügbaren </w:t>
            </w:r>
            <w:r w:rsidRPr="006B6628">
              <w:rPr>
                <w:lang w:val="de-CH"/>
              </w:rPr>
              <w:t>Einwendungs- o</w:t>
            </w:r>
            <w:r w:rsidRPr="00FC162D">
              <w:rPr>
                <w:lang w:val="de-CH"/>
              </w:rPr>
              <w:t>der Gerichtsverfahren geltend zu machen.</w:t>
            </w:r>
            <w:r w:rsidRPr="00784C8F">
              <w:rPr>
                <w:lang w:val="de-CH"/>
              </w:rPr>
              <w:t xml:space="preserve"> </w:t>
            </w:r>
            <w:r w:rsidRPr="00FC162D">
              <w:rPr>
                <w:lang w:val="de-CH"/>
              </w:rPr>
              <w:t xml:space="preserve">Die Behörden werden jedoch dazu angehalten, in entsprechenden Veröffentlichungen </w:t>
            </w:r>
            <w:r>
              <w:rPr>
                <w:lang w:val="de-CH"/>
              </w:rPr>
              <w:t xml:space="preserve">(z. B. </w:t>
            </w:r>
            <w:r w:rsidRPr="00FC162D">
              <w:rPr>
                <w:lang w:val="de-CH"/>
              </w:rPr>
              <w:t>Amtsblättern) und Datenbanken (z.</w:t>
            </w:r>
            <w:r>
              <w:rPr>
                <w:lang w:val="de-CH"/>
              </w:rPr>
              <w:t xml:space="preserve"> B. </w:t>
            </w:r>
            <w:r w:rsidRPr="00FC162D">
              <w:rPr>
                <w:lang w:val="de-CH"/>
              </w:rPr>
              <w:t xml:space="preserve">UPOV-Datenbank für Pflanzensorten (PLUTO) </w:t>
            </w:r>
            <w:hyperlink r:id="rId12" w:history="1">
              <w:r w:rsidRPr="002769F1">
                <w:rPr>
                  <w:rStyle w:val="Hyperlink"/>
                  <w:lang w:val="de-CH"/>
                </w:rPr>
                <w:t>http://www.upov.int/pluto/de/</w:t>
              </w:r>
            </w:hyperlink>
            <w:r>
              <w:rPr>
                <w:lang w:val="de-CH"/>
              </w:rPr>
              <w:t>)</w:t>
            </w:r>
            <w:r w:rsidRPr="00FC162D">
              <w:rPr>
                <w:lang w:val="de-CH"/>
              </w:rPr>
              <w:t xml:space="preserve"> vorherige Nachforschungen anzustellen, um ältere Rechte an Sortenbezeichnungen zu ermitteln.</w:t>
            </w:r>
            <w:r>
              <w:rPr>
                <w:lang w:val="de-CH"/>
              </w:rPr>
              <w:t xml:space="preserve"> </w:t>
            </w:r>
            <w:r w:rsidRPr="00805713">
              <w:rPr>
                <w:lang w:val="de-CH"/>
              </w:rPr>
              <w:t>Sie können auch in anderen Registern wie Handelsmarkenregistern suchen, bevor sie eine</w:t>
            </w:r>
            <w:r>
              <w:rPr>
                <w:lang w:val="de-CH"/>
              </w:rPr>
              <w:t xml:space="preserve"> Sortenbezeichnung akzeptieren.“</w:t>
            </w:r>
          </w:p>
        </w:tc>
      </w:tr>
      <w:tr w:rsidR="00716724" w:rsidRPr="00784C8F" w:rsidTr="0029150E">
        <w:trPr>
          <w:cantSplit/>
        </w:trPr>
        <w:tc>
          <w:tcPr>
            <w:tcW w:w="1391" w:type="dxa"/>
          </w:tcPr>
          <w:p w:rsidR="00716724" w:rsidRPr="00784C8F" w:rsidRDefault="00716724" w:rsidP="00440AC0">
            <w:pPr>
              <w:rPr>
                <w:lang w:val="de-CH"/>
              </w:rPr>
            </w:pPr>
            <w:r w:rsidRPr="00784C8F">
              <w:rPr>
                <w:lang w:val="de-CH"/>
              </w:rPr>
              <w:t>4</w:t>
            </w:r>
            <w:r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e)</w:t>
            </w:r>
            <w:r>
              <w:rPr>
                <w:lang w:val="de-CH"/>
              </w:rPr>
              <w:t xml:space="preserve"> </w:t>
            </w:r>
            <w:r w:rsidRPr="00784C8F">
              <w:rPr>
                <w:lang w:val="de-CH"/>
              </w:rPr>
              <w:t>i)</w:t>
            </w:r>
          </w:p>
        </w:tc>
        <w:tc>
          <w:tcPr>
            <w:tcW w:w="7789" w:type="dxa"/>
          </w:tcPr>
          <w:p w:rsidR="00716724" w:rsidRPr="00784C8F" w:rsidRDefault="00716724" w:rsidP="00440AC0">
            <w:pPr>
              <w:rPr>
                <w:snapToGrid w:val="0"/>
                <w:lang w:val="de-CH"/>
              </w:rPr>
            </w:pPr>
            <w:r>
              <w:rPr>
                <w:snapToGrid w:val="0"/>
                <w:lang w:val="de-CH"/>
              </w:rPr>
              <w:t>Der l</w:t>
            </w:r>
            <w:r w:rsidRPr="007F5563">
              <w:rPr>
                <w:snapToGrid w:val="0"/>
                <w:lang w:val="de-CH"/>
              </w:rPr>
              <w:t>etzte Satz von 4 e) i) ist wie folgt zu ändern:</w:t>
            </w:r>
          </w:p>
          <w:p w:rsidR="00716724" w:rsidRPr="00A07CF1" w:rsidRDefault="00716724" w:rsidP="00A07CF1">
            <w:pPr>
              <w:keepNext/>
              <w:ind w:firstLine="567"/>
              <w:rPr>
                <w:rFonts w:cs="Arial"/>
                <w:lang w:val="de-CH" w:eastAsia="ja-JP"/>
              </w:rPr>
            </w:pPr>
          </w:p>
          <w:p w:rsidR="00716724" w:rsidRPr="00784C8F" w:rsidRDefault="00716724" w:rsidP="00A5070C">
            <w:pPr>
              <w:tabs>
                <w:tab w:val="right" w:pos="1134"/>
                <w:tab w:val="left" w:pos="1418"/>
              </w:tabs>
              <w:rPr>
                <w:lang w:val="de-CH"/>
              </w:rPr>
            </w:pPr>
            <w:r w:rsidRPr="007F5563">
              <w:rPr>
                <w:lang w:val="de-CH"/>
              </w:rPr>
              <w:t>„In Fällen bloßer Ähnlichkeit oder einer geringen Wahrscheinlichkeit</w:t>
            </w:r>
            <w:r w:rsidRPr="007F5563">
              <w:rPr>
                <w:strike/>
                <w:lang w:val="de-CH"/>
              </w:rPr>
              <w:t>, da</w:t>
            </w:r>
            <w:r>
              <w:rPr>
                <w:strike/>
                <w:lang w:val="de-CH"/>
              </w:rPr>
              <w:t>ss</w:t>
            </w:r>
            <w:r w:rsidRPr="007F5563">
              <w:rPr>
                <w:strike/>
                <w:lang w:val="de-CH"/>
              </w:rPr>
              <w:t xml:space="preserve"> sie</w:t>
            </w:r>
            <w:r w:rsidRPr="007F5563">
              <w:rPr>
                <w:lang w:val="de-CH"/>
              </w:rPr>
              <w:t xml:space="preserve"> </w:t>
            </w:r>
            <w:r w:rsidRPr="007F5563">
              <w:rPr>
                <w:strike/>
                <w:lang w:val="de-CH"/>
              </w:rPr>
              <w:t>von den Benutzern in Zusammenhang gebracht werden</w:t>
            </w:r>
            <w:r w:rsidRPr="007F5563">
              <w:rPr>
                <w:lang w:val="de-CH"/>
              </w:rPr>
              <w:t xml:space="preserve"> der Ver</w:t>
            </w:r>
            <w:r w:rsidR="00A5070C">
              <w:rPr>
                <w:lang w:val="de-CH"/>
              </w:rPr>
              <w:t>wechslung durch</w:t>
            </w:r>
            <w:r w:rsidRPr="007F5563">
              <w:rPr>
                <w:lang w:val="de-CH"/>
              </w:rPr>
              <w:t xml:space="preserve"> Benutzer könnte ein Verzicht auf Einwendungen durch die Rechtsinhaber einer Handelsmarke zugunsten der Züchter eine geeignete Lösung sein.”</w:t>
            </w:r>
          </w:p>
        </w:tc>
      </w:tr>
    </w:tbl>
    <w:p w:rsidR="00026478" w:rsidRPr="00A07CF1" w:rsidRDefault="00026478" w:rsidP="00A07CF1">
      <w:pPr>
        <w:keepNext/>
        <w:ind w:firstLine="567"/>
        <w:rPr>
          <w:rFonts w:cs="Arial"/>
          <w:lang w:val="de-CH" w:eastAsia="ja-JP"/>
        </w:rPr>
      </w:pPr>
    </w:p>
    <w:p w:rsidR="003E3D83" w:rsidRPr="00784C8F" w:rsidRDefault="003E3D83" w:rsidP="00464850">
      <w:pPr>
        <w:pStyle w:val="dec"/>
        <w:tabs>
          <w:tab w:val="left" w:pos="5387"/>
          <w:tab w:val="left" w:pos="5954"/>
        </w:tabs>
        <w:ind w:left="4678"/>
        <w:rPr>
          <w:rFonts w:eastAsia="MS Mincho"/>
          <w:color w:val="000000" w:themeColor="text1"/>
          <w:spacing w:val="0"/>
          <w:lang w:val="de-CH" w:eastAsia="ja-JP"/>
        </w:rPr>
      </w:pPr>
      <w:r w:rsidRPr="00784C8F">
        <w:rPr>
          <w:lang w:val="de-CH"/>
        </w:rPr>
        <w:fldChar w:fldCharType="begin"/>
      </w:r>
      <w:r w:rsidRPr="00784C8F">
        <w:rPr>
          <w:lang w:val="de-CH"/>
        </w:rPr>
        <w:instrText xml:space="preserve"> AUTONUM  </w:instrText>
      </w:r>
      <w:r w:rsidRPr="00784C8F">
        <w:rPr>
          <w:lang w:val="de-CH"/>
        </w:rPr>
        <w:fldChar w:fldCharType="end"/>
      </w:r>
      <w:r w:rsidRPr="00784C8F">
        <w:rPr>
          <w:lang w:val="de-CH"/>
        </w:rPr>
        <w:tab/>
      </w:r>
      <w:r w:rsidR="006B6628">
        <w:rPr>
          <w:lang w:val="de-CH"/>
        </w:rPr>
        <w:t>Der</w:t>
      </w:r>
      <w:r w:rsidRPr="00784C8F">
        <w:rPr>
          <w:color w:val="000000" w:themeColor="text1"/>
          <w:spacing w:val="0"/>
          <w:lang w:val="de-CH"/>
        </w:rPr>
        <w:t xml:space="preserve"> C</w:t>
      </w:r>
      <w:r w:rsidRPr="00784C8F">
        <w:rPr>
          <w:rFonts w:eastAsia="MS Mincho"/>
          <w:color w:val="000000" w:themeColor="text1"/>
          <w:spacing w:val="0"/>
          <w:lang w:val="de-CH" w:eastAsia="ja-JP"/>
        </w:rPr>
        <w:t>AJ</w:t>
      </w:r>
      <w:r w:rsidRPr="00784C8F">
        <w:rPr>
          <w:color w:val="000000" w:themeColor="text1"/>
          <w:spacing w:val="0"/>
          <w:lang w:val="de-CH"/>
        </w:rPr>
        <w:t xml:space="preserve"> </w:t>
      </w:r>
      <w:r w:rsidR="006B6628">
        <w:rPr>
          <w:color w:val="000000" w:themeColor="text1"/>
          <w:spacing w:val="0"/>
          <w:lang w:val="de-CH"/>
        </w:rPr>
        <w:t>wird ersucht</w:t>
      </w:r>
      <w:r w:rsidR="00303BC1" w:rsidRPr="00784C8F">
        <w:rPr>
          <w:rFonts w:eastAsia="MS Mincho"/>
          <w:color w:val="000000" w:themeColor="text1"/>
          <w:spacing w:val="0"/>
          <w:lang w:val="de-CH" w:eastAsia="ja-JP"/>
        </w:rPr>
        <w:t>:</w:t>
      </w:r>
    </w:p>
    <w:p w:rsidR="003E3D83" w:rsidRPr="00A07CF1" w:rsidRDefault="003E3D83" w:rsidP="00A07CF1">
      <w:pPr>
        <w:keepNext/>
        <w:ind w:firstLine="567"/>
        <w:rPr>
          <w:rFonts w:cs="Arial"/>
          <w:lang w:val="de-CH" w:eastAsia="ja-JP"/>
        </w:rPr>
      </w:pPr>
    </w:p>
    <w:p w:rsidR="003E3D83" w:rsidRPr="00784C8F" w:rsidRDefault="003E3D83" w:rsidP="00464850">
      <w:pPr>
        <w:pStyle w:val="dec"/>
        <w:tabs>
          <w:tab w:val="left" w:pos="5387"/>
          <w:tab w:val="left" w:pos="5954"/>
        </w:tabs>
        <w:ind w:left="4678" w:firstLine="567"/>
        <w:rPr>
          <w:color w:val="000000" w:themeColor="text1"/>
          <w:spacing w:val="0"/>
          <w:lang w:val="de-CH"/>
        </w:rPr>
      </w:pPr>
      <w:r w:rsidRPr="00784C8F">
        <w:rPr>
          <w:color w:val="000000" w:themeColor="text1"/>
          <w:spacing w:val="0"/>
          <w:lang w:val="de-CH"/>
        </w:rPr>
        <w:t>a)</w:t>
      </w:r>
      <w:r w:rsidRPr="00784C8F">
        <w:rPr>
          <w:color w:val="000000" w:themeColor="text1"/>
          <w:spacing w:val="0"/>
          <w:lang w:val="de-CH"/>
        </w:rPr>
        <w:tab/>
      </w:r>
      <w:r w:rsidR="006B2F51">
        <w:rPr>
          <w:color w:val="000000" w:themeColor="text1"/>
          <w:spacing w:val="0"/>
          <w:lang w:val="de-CH"/>
        </w:rPr>
        <w:t xml:space="preserve">die Arbeit der </w:t>
      </w:r>
      <w:r w:rsidR="006B2F51" w:rsidRPr="006B2F51">
        <w:rPr>
          <w:color w:val="000000" w:themeColor="text1"/>
          <w:spacing w:val="0"/>
          <w:lang w:val="de-CH"/>
        </w:rPr>
        <w:t xml:space="preserve">Arbeitsgruppe </w:t>
      </w:r>
      <w:r w:rsidR="00F0125D">
        <w:rPr>
          <w:color w:val="000000" w:themeColor="text1"/>
          <w:spacing w:val="0"/>
          <w:lang w:val="de-CH"/>
        </w:rPr>
        <w:t>für die</w:t>
      </w:r>
      <w:r w:rsidR="006B2F51" w:rsidRPr="006B2F51">
        <w:rPr>
          <w:color w:val="000000" w:themeColor="text1"/>
          <w:spacing w:val="0"/>
          <w:lang w:val="de-CH"/>
        </w:rPr>
        <w:t xml:space="preserve"> Entwicklung eines UPOV-</w:t>
      </w:r>
      <w:r w:rsidR="00A75C60">
        <w:rPr>
          <w:color w:val="000000" w:themeColor="text1"/>
          <w:spacing w:val="0"/>
          <w:lang w:val="de-CH"/>
        </w:rPr>
        <w:t>Suchwerkzeug</w:t>
      </w:r>
      <w:r w:rsidR="006B2F51" w:rsidRPr="006B2F51">
        <w:rPr>
          <w:color w:val="000000" w:themeColor="text1"/>
          <w:spacing w:val="0"/>
          <w:lang w:val="de-CH"/>
        </w:rPr>
        <w:t xml:space="preserve">s für Ähnlichkeiten zum Zweck der Sortenbezeichnung (WG-DST) </w:t>
      </w:r>
      <w:r w:rsidR="00F21765" w:rsidRPr="008260AE">
        <w:rPr>
          <w:rFonts w:cs="Arial"/>
          <w:lang w:val="de-CH"/>
        </w:rPr>
        <w:t>zur etwaigen Entwicklung eines UPOV-</w:t>
      </w:r>
      <w:r w:rsidR="00F21765">
        <w:rPr>
          <w:rFonts w:cs="Arial"/>
          <w:lang w:val="de-CH"/>
        </w:rPr>
        <w:t>Suchwerkzeug</w:t>
      </w:r>
      <w:r w:rsidR="00F21765" w:rsidRPr="008260AE">
        <w:rPr>
          <w:rFonts w:cs="Arial"/>
          <w:lang w:val="de-CH"/>
        </w:rPr>
        <w:t xml:space="preserve">s für Ähnlichkeiten zum Zweck der Sortenbezeichnung </w:t>
      </w:r>
      <w:r w:rsidR="006B2F51">
        <w:rPr>
          <w:color w:val="000000" w:themeColor="text1"/>
          <w:spacing w:val="0"/>
          <w:lang w:val="de-CH"/>
        </w:rPr>
        <w:t>einschließlich der Teststudie</w:t>
      </w:r>
      <w:r w:rsidR="00C07976">
        <w:rPr>
          <w:color w:val="000000" w:themeColor="text1"/>
          <w:spacing w:val="0"/>
          <w:lang w:val="de-CH"/>
        </w:rPr>
        <w:t>,</w:t>
      </w:r>
      <w:r w:rsidR="006B2F51">
        <w:rPr>
          <w:color w:val="000000" w:themeColor="text1"/>
          <w:spacing w:val="0"/>
          <w:lang w:val="de-CH"/>
        </w:rPr>
        <w:t xml:space="preserve"> wie in den Absätzen 6 bis 13 oben dargelegt</w:t>
      </w:r>
      <w:r w:rsidR="00C07976">
        <w:rPr>
          <w:color w:val="000000" w:themeColor="text1"/>
          <w:spacing w:val="0"/>
          <w:lang w:val="de-CH"/>
        </w:rPr>
        <w:t>,</w:t>
      </w:r>
      <w:r w:rsidR="006B2F51">
        <w:rPr>
          <w:color w:val="000000" w:themeColor="text1"/>
          <w:spacing w:val="0"/>
          <w:lang w:val="de-CH"/>
        </w:rPr>
        <w:t xml:space="preserve"> zur Kenntnis zu nehmen</w:t>
      </w:r>
      <w:r w:rsidR="00400F79" w:rsidRPr="00784C8F">
        <w:rPr>
          <w:rFonts w:eastAsia="MS Mincho"/>
          <w:snapToGrid w:val="0"/>
          <w:spacing w:val="0"/>
          <w:lang w:val="de-CH" w:eastAsia="ja-JP"/>
        </w:rPr>
        <w:t>;</w:t>
      </w:r>
    </w:p>
    <w:p w:rsidR="003E3D83" w:rsidRPr="00A07CF1" w:rsidRDefault="003E3D83" w:rsidP="00A07CF1">
      <w:pPr>
        <w:keepNext/>
        <w:ind w:firstLine="567"/>
        <w:rPr>
          <w:rFonts w:cs="Arial"/>
          <w:lang w:val="de-CH" w:eastAsia="ja-JP"/>
        </w:rPr>
      </w:pPr>
    </w:p>
    <w:bookmarkEnd w:id="17"/>
    <w:p w:rsidR="00C421CB" w:rsidRPr="00784C8F" w:rsidRDefault="002B5FE4" w:rsidP="00464850">
      <w:pPr>
        <w:pStyle w:val="dec"/>
        <w:tabs>
          <w:tab w:val="left" w:pos="5387"/>
          <w:tab w:val="left" w:pos="5954"/>
        </w:tabs>
        <w:ind w:left="4678"/>
        <w:rPr>
          <w:rFonts w:eastAsia="MS Mincho"/>
          <w:color w:val="000000"/>
          <w:lang w:val="de-CH" w:eastAsia="ja-JP"/>
        </w:rPr>
      </w:pPr>
      <w:r w:rsidRPr="00784C8F">
        <w:rPr>
          <w:rFonts w:eastAsia="MS Mincho" w:cs="Arial"/>
          <w:lang w:val="de-CH" w:eastAsia="ja-JP"/>
        </w:rPr>
        <w:tab/>
      </w:r>
      <w:r w:rsidR="00802781" w:rsidRPr="00784C8F">
        <w:rPr>
          <w:rFonts w:eastAsia="MS Mincho" w:cs="Arial"/>
          <w:lang w:val="de-CH" w:eastAsia="ja-JP"/>
        </w:rPr>
        <w:t>b)</w:t>
      </w:r>
      <w:r w:rsidR="00CB47D9" w:rsidRPr="00784C8F">
        <w:rPr>
          <w:rFonts w:eastAsia="MS Mincho" w:cs="Arial"/>
          <w:lang w:val="de-CH" w:eastAsia="ja-JP"/>
        </w:rPr>
        <w:tab/>
      </w:r>
      <w:r w:rsidR="001F5F0E">
        <w:rPr>
          <w:rFonts w:eastAsia="MS Mincho" w:cs="Arial"/>
          <w:lang w:val="de-CH" w:eastAsia="ja-JP"/>
        </w:rPr>
        <w:t>die vorgeschlagene Überarbeitung von Dokument</w:t>
      </w:r>
      <w:r w:rsidR="00F72ADF" w:rsidRPr="00784C8F">
        <w:rPr>
          <w:lang w:val="de-CH"/>
        </w:rPr>
        <w:t xml:space="preserve"> UPOV/INF/12 </w:t>
      </w:r>
      <w:r w:rsidR="00F21765">
        <w:rPr>
          <w:lang w:val="de-CH"/>
        </w:rPr>
        <w:t>in Bezug auf die</w:t>
      </w:r>
      <w:r w:rsidR="001F5F0E" w:rsidRPr="001F5F0E">
        <w:rPr>
          <w:lang w:val="de-CH"/>
        </w:rPr>
        <w:t xml:space="preserve"> Änderung eingetragener Sortenbezeichnungen</w:t>
      </w:r>
      <w:r w:rsidR="001F5F0E">
        <w:rPr>
          <w:lang w:val="de-CH"/>
        </w:rPr>
        <w:t xml:space="preserve">, wie in Absatz 21 dargelegt, zu </w:t>
      </w:r>
      <w:r w:rsidR="001F5F0E" w:rsidRPr="008A38D3">
        <w:rPr>
          <w:lang w:val="de-CH"/>
        </w:rPr>
        <w:t xml:space="preserve">prüfen, </w:t>
      </w:r>
      <w:r w:rsidR="007634A4">
        <w:rPr>
          <w:lang w:val="de-CH"/>
        </w:rPr>
        <w:t xml:space="preserve">und </w:t>
      </w:r>
      <w:r w:rsidR="001F5F0E" w:rsidRPr="008A38D3">
        <w:rPr>
          <w:lang w:val="de-CH"/>
        </w:rPr>
        <w:t>diese</w:t>
      </w:r>
      <w:r w:rsidR="001F5F0E">
        <w:rPr>
          <w:lang w:val="de-CH"/>
        </w:rPr>
        <w:t xml:space="preserve"> Anleitung </w:t>
      </w:r>
      <w:r w:rsidR="008A38D3">
        <w:rPr>
          <w:lang w:val="de-CH"/>
        </w:rPr>
        <w:t xml:space="preserve">vorbehaltlich der Billigung durch den CAJ </w:t>
      </w:r>
      <w:r w:rsidR="001F5F0E">
        <w:rPr>
          <w:lang w:val="de-CH"/>
        </w:rPr>
        <w:t>dem Rat auf seiner neunundvierzigsten ordentlichen Tagung am 29. Oktober</w:t>
      </w:r>
      <w:r w:rsidR="00F72ADF" w:rsidRPr="00784C8F">
        <w:rPr>
          <w:lang w:val="de-CH"/>
        </w:rPr>
        <w:t xml:space="preserve"> 2015</w:t>
      </w:r>
      <w:r w:rsidR="001F5F0E">
        <w:rPr>
          <w:lang w:val="de-CH"/>
        </w:rPr>
        <w:t xml:space="preserve"> zur Annahme vorzulegen</w:t>
      </w:r>
      <w:r w:rsidR="005300D4" w:rsidRPr="00784C8F">
        <w:rPr>
          <w:rFonts w:eastAsia="MS Mincho"/>
          <w:color w:val="000000"/>
          <w:lang w:val="de-CH"/>
        </w:rPr>
        <w:t>;</w:t>
      </w:r>
    </w:p>
    <w:p w:rsidR="000E42F8" w:rsidRPr="00A07CF1" w:rsidRDefault="000E42F8" w:rsidP="00A07CF1">
      <w:pPr>
        <w:keepNext/>
        <w:ind w:firstLine="567"/>
        <w:rPr>
          <w:rFonts w:cs="Arial"/>
          <w:lang w:val="de-CH" w:eastAsia="ja-JP"/>
        </w:rPr>
      </w:pPr>
    </w:p>
    <w:p w:rsidR="0072003C" w:rsidRPr="00784C8F" w:rsidRDefault="00E97DFE" w:rsidP="00464850">
      <w:pPr>
        <w:pStyle w:val="dec"/>
        <w:tabs>
          <w:tab w:val="left" w:pos="5387"/>
          <w:tab w:val="left" w:pos="5954"/>
        </w:tabs>
        <w:ind w:left="4678" w:firstLine="567"/>
        <w:rPr>
          <w:rFonts w:eastAsia="MS Mincho" w:cs="Arial"/>
          <w:lang w:val="de-CH" w:eastAsia="ja-JP"/>
        </w:rPr>
      </w:pPr>
      <w:r w:rsidRPr="00784C8F">
        <w:rPr>
          <w:rFonts w:eastAsia="MS Mincho" w:cs="Arial"/>
          <w:lang w:val="de-CH" w:eastAsia="ja-JP"/>
        </w:rPr>
        <w:t>c</w:t>
      </w:r>
      <w:r w:rsidR="008E3B88" w:rsidRPr="00784C8F">
        <w:rPr>
          <w:rFonts w:eastAsia="MS Mincho" w:cs="Arial"/>
          <w:lang w:val="de-CH" w:eastAsia="ja-JP"/>
        </w:rPr>
        <w:t>)</w:t>
      </w:r>
      <w:r w:rsidR="008E3B88" w:rsidRPr="00784C8F">
        <w:rPr>
          <w:rFonts w:eastAsia="MS Mincho" w:cs="Arial"/>
          <w:lang w:val="de-CH" w:eastAsia="ja-JP"/>
        </w:rPr>
        <w:tab/>
      </w:r>
      <w:r w:rsidR="00F343C0">
        <w:rPr>
          <w:rFonts w:eastAsia="MS Mincho" w:cs="Arial"/>
          <w:lang w:val="de-CH" w:eastAsia="ja-JP"/>
        </w:rPr>
        <w:t>die</w:t>
      </w:r>
      <w:r w:rsidR="00F72ADF" w:rsidRPr="00784C8F">
        <w:rPr>
          <w:rFonts w:cs="Arial"/>
          <w:lang w:val="de-CH" w:eastAsia="ja-JP"/>
        </w:rPr>
        <w:t xml:space="preserve"> WG-DST </w:t>
      </w:r>
      <w:r w:rsidR="00F343C0">
        <w:rPr>
          <w:rFonts w:cs="Arial"/>
          <w:lang w:val="de-CH" w:eastAsia="ja-JP"/>
        </w:rPr>
        <w:t>zu ersuchen, die Anmerkungen der</w:t>
      </w:r>
      <w:r w:rsidR="00F72ADF" w:rsidRPr="00784C8F">
        <w:rPr>
          <w:rFonts w:cs="Arial"/>
          <w:lang w:val="de-CH" w:eastAsia="ja-JP"/>
        </w:rPr>
        <w:t xml:space="preserve"> </w:t>
      </w:r>
      <w:r w:rsidR="00F72ADF" w:rsidRPr="00624E4C">
        <w:rPr>
          <w:rFonts w:cs="Arial"/>
          <w:lang w:val="de-CH" w:eastAsia="ja-JP"/>
        </w:rPr>
        <w:t>CAJ-AG</w:t>
      </w:r>
      <w:r w:rsidR="00F72ADF" w:rsidRPr="00784C8F">
        <w:rPr>
          <w:rFonts w:cs="Arial"/>
          <w:lang w:val="de-CH" w:eastAsia="ja-JP"/>
        </w:rPr>
        <w:t xml:space="preserve"> </w:t>
      </w:r>
      <w:r w:rsidR="00F343C0">
        <w:rPr>
          <w:rFonts w:cs="Arial"/>
          <w:lang w:val="de-CH" w:eastAsia="ja-JP"/>
        </w:rPr>
        <w:t xml:space="preserve">auf </w:t>
      </w:r>
      <w:r w:rsidR="00F343C0" w:rsidRPr="00624E4C">
        <w:rPr>
          <w:rFonts w:cs="Arial"/>
          <w:lang w:val="de-CH" w:eastAsia="ja-JP"/>
        </w:rPr>
        <w:t>ihrer</w:t>
      </w:r>
      <w:r w:rsidR="00F343C0">
        <w:rPr>
          <w:rFonts w:cs="Arial"/>
          <w:lang w:val="de-CH" w:eastAsia="ja-JP"/>
        </w:rPr>
        <w:t xml:space="preserve"> neunten Tagung zu den Vorschlägen </w:t>
      </w:r>
      <w:r w:rsidR="00005AAB">
        <w:rPr>
          <w:rFonts w:cs="Arial"/>
          <w:lang w:val="de-CH" w:eastAsia="ja-JP"/>
        </w:rPr>
        <w:t>zu den Abschnitten </w:t>
      </w:r>
      <w:r w:rsidR="00005AAB" w:rsidRPr="00784C8F">
        <w:rPr>
          <w:rFonts w:cs="Arial"/>
          <w:lang w:val="de-CH" w:eastAsia="ja-JP"/>
        </w:rPr>
        <w:t xml:space="preserve">2.2.2 b), 2.3.1 c) </w:t>
      </w:r>
      <w:r w:rsidR="00005AAB">
        <w:rPr>
          <w:rFonts w:cs="Arial"/>
          <w:lang w:val="de-CH" w:eastAsia="ja-JP"/>
        </w:rPr>
        <w:t>u</w:t>
      </w:r>
      <w:r w:rsidR="00005AAB" w:rsidRPr="00784C8F">
        <w:rPr>
          <w:rFonts w:cs="Arial"/>
          <w:lang w:val="de-CH" w:eastAsia="ja-JP"/>
        </w:rPr>
        <w:t>nd d)</w:t>
      </w:r>
      <w:r w:rsidR="00005AAB">
        <w:rPr>
          <w:rFonts w:cs="Arial"/>
          <w:lang w:val="de-CH" w:eastAsia="ja-JP"/>
        </w:rPr>
        <w:t xml:space="preserve"> sowie</w:t>
      </w:r>
      <w:r w:rsidR="00005AAB" w:rsidRPr="00784C8F">
        <w:rPr>
          <w:rFonts w:cs="Arial"/>
          <w:lang w:val="de-CH" w:eastAsia="ja-JP"/>
        </w:rPr>
        <w:t xml:space="preserve"> 2.3.3</w:t>
      </w:r>
      <w:r w:rsidR="00005AAB">
        <w:rPr>
          <w:rFonts w:cs="Arial"/>
          <w:lang w:val="de-CH" w:eastAsia="ja-JP"/>
        </w:rPr>
        <w:t xml:space="preserve"> </w:t>
      </w:r>
      <w:r w:rsidR="00F343C0">
        <w:rPr>
          <w:rFonts w:cs="Arial"/>
          <w:lang w:val="de-CH" w:eastAsia="ja-JP"/>
        </w:rPr>
        <w:t>in Dokument</w:t>
      </w:r>
      <w:r w:rsidR="00F72ADF" w:rsidRPr="00784C8F">
        <w:rPr>
          <w:rFonts w:cs="Arial"/>
          <w:lang w:val="de-CH" w:eastAsia="ja-JP"/>
        </w:rPr>
        <w:t xml:space="preserve"> UPOV/INF/12/5 Draft 2</w:t>
      </w:r>
      <w:r w:rsidR="00464850">
        <w:rPr>
          <w:rFonts w:cs="Arial"/>
          <w:lang w:val="de-CH" w:eastAsia="ja-JP"/>
        </w:rPr>
        <w:t>,</w:t>
      </w:r>
      <w:r w:rsidR="00005AAB">
        <w:rPr>
          <w:rFonts w:cs="Arial"/>
          <w:lang w:val="de-CH" w:eastAsia="ja-JP"/>
        </w:rPr>
        <w:t xml:space="preserve"> wie in</w:t>
      </w:r>
      <w:r w:rsidR="00F72ADF" w:rsidRPr="00784C8F">
        <w:rPr>
          <w:rFonts w:cs="Arial"/>
          <w:lang w:val="de-CH" w:eastAsia="ja-JP"/>
        </w:rPr>
        <w:t xml:space="preserve"> </w:t>
      </w:r>
      <w:r w:rsidR="00005AAB">
        <w:rPr>
          <w:rFonts w:cs="Arial"/>
          <w:lang w:val="de-CH" w:eastAsia="ja-JP"/>
        </w:rPr>
        <w:t>Absatz </w:t>
      </w:r>
      <w:r w:rsidR="00F72ADF" w:rsidRPr="00784C8F">
        <w:rPr>
          <w:rFonts w:cs="Arial"/>
          <w:lang w:val="de-CH" w:eastAsia="ja-JP"/>
        </w:rPr>
        <w:t xml:space="preserve">27 </w:t>
      </w:r>
      <w:r w:rsidR="00005AAB">
        <w:rPr>
          <w:rFonts w:cs="Arial"/>
          <w:lang w:val="de-CH" w:eastAsia="ja-JP"/>
        </w:rPr>
        <w:t>oben dargelegt</w:t>
      </w:r>
      <w:r w:rsidR="00464850">
        <w:rPr>
          <w:rFonts w:cs="Arial"/>
          <w:lang w:val="de-CH" w:eastAsia="ja-JP"/>
        </w:rPr>
        <w:t>,</w:t>
      </w:r>
      <w:r w:rsidR="00005AAB">
        <w:rPr>
          <w:rFonts w:cs="Arial"/>
          <w:lang w:val="de-CH" w:eastAsia="ja-JP"/>
        </w:rPr>
        <w:t xml:space="preserve"> zu prüfen</w:t>
      </w:r>
      <w:r w:rsidR="008C2316">
        <w:rPr>
          <w:rFonts w:cs="Arial"/>
          <w:lang w:val="de-CH" w:eastAsia="ja-JP"/>
        </w:rPr>
        <w:t>;</w:t>
      </w:r>
      <w:r w:rsidR="0072003C" w:rsidRPr="00784C8F">
        <w:rPr>
          <w:rFonts w:eastAsia="MS Mincho" w:cs="Arial"/>
          <w:lang w:val="de-CH" w:eastAsia="ja-JP"/>
        </w:rPr>
        <w:t xml:space="preserve"> </w:t>
      </w:r>
      <w:r w:rsidR="008C2316">
        <w:rPr>
          <w:rFonts w:eastAsia="MS Mincho" w:cs="Arial"/>
          <w:lang w:val="de-CH" w:eastAsia="ja-JP"/>
        </w:rPr>
        <w:t>und</w:t>
      </w:r>
    </w:p>
    <w:p w:rsidR="002C05E5" w:rsidRPr="00A07CF1" w:rsidRDefault="002C05E5" w:rsidP="00A07CF1">
      <w:pPr>
        <w:keepNext/>
        <w:ind w:firstLine="567"/>
        <w:rPr>
          <w:rFonts w:cs="Arial"/>
          <w:lang w:val="de-CH" w:eastAsia="ja-JP"/>
        </w:rPr>
      </w:pPr>
    </w:p>
    <w:p w:rsidR="00973A6F" w:rsidRPr="00CA1BB6" w:rsidRDefault="00E97DFE" w:rsidP="00464850">
      <w:pPr>
        <w:pStyle w:val="dec"/>
        <w:tabs>
          <w:tab w:val="left" w:pos="5387"/>
          <w:tab w:val="left" w:pos="5954"/>
        </w:tabs>
        <w:spacing w:after="120"/>
        <w:ind w:left="4678" w:firstLine="567"/>
        <w:rPr>
          <w:rFonts w:cs="Arial"/>
          <w:lang w:val="de-CH"/>
        </w:rPr>
      </w:pPr>
      <w:r w:rsidRPr="00784C8F">
        <w:rPr>
          <w:rFonts w:eastAsia="MS Mincho" w:cs="Arial"/>
          <w:lang w:val="de-CH" w:eastAsia="ja-JP"/>
        </w:rPr>
        <w:t>d</w:t>
      </w:r>
      <w:r w:rsidR="002C05E5" w:rsidRPr="00784C8F">
        <w:rPr>
          <w:rFonts w:cs="Arial"/>
          <w:lang w:val="de-CH"/>
        </w:rPr>
        <w:t>)</w:t>
      </w:r>
      <w:r w:rsidR="002C05E5" w:rsidRPr="00CA1BB6">
        <w:rPr>
          <w:rFonts w:cs="Arial"/>
          <w:lang w:val="de-CH"/>
        </w:rPr>
        <w:tab/>
      </w:r>
      <w:r w:rsidR="00005AAB" w:rsidRPr="00CA1BB6">
        <w:rPr>
          <w:rFonts w:cs="Arial"/>
          <w:lang w:val="de-CH"/>
        </w:rPr>
        <w:t>die Vorschläge der</w:t>
      </w:r>
      <w:r w:rsidR="00F72ADF" w:rsidRPr="00CA1BB6">
        <w:rPr>
          <w:rFonts w:cs="Arial"/>
          <w:lang w:val="de-CH"/>
        </w:rPr>
        <w:t xml:space="preserve"> CAJ-AG </w:t>
      </w:r>
      <w:r w:rsidR="007634A4" w:rsidRPr="00CA1BB6">
        <w:rPr>
          <w:rFonts w:cs="Arial"/>
          <w:lang w:val="de-CH"/>
        </w:rPr>
        <w:t>gemäß</w:t>
      </w:r>
      <w:r w:rsidR="00005AAB" w:rsidRPr="00CA1BB6">
        <w:rPr>
          <w:rFonts w:cs="Arial"/>
          <w:lang w:val="de-CH"/>
        </w:rPr>
        <w:t xml:space="preserve"> den Abschnitten</w:t>
      </w:r>
      <w:r w:rsidR="00F72ADF" w:rsidRPr="00CA1BB6">
        <w:rPr>
          <w:rFonts w:cs="Arial"/>
          <w:lang w:val="de-CH"/>
        </w:rPr>
        <w:t xml:space="preserve"> 2.2.2 c), </w:t>
      </w:r>
      <w:r w:rsidR="00026478" w:rsidRPr="00CA1BB6">
        <w:rPr>
          <w:rFonts w:cs="Arial"/>
          <w:lang w:val="de-CH"/>
        </w:rPr>
        <w:t>4</w:t>
      </w:r>
      <w:r w:rsidR="00005AAB" w:rsidRPr="00CA1BB6">
        <w:rPr>
          <w:rFonts w:cs="Arial"/>
          <w:lang w:val="de-CH"/>
        </w:rPr>
        <w:t xml:space="preserve"> </w:t>
      </w:r>
      <w:r w:rsidR="00026478" w:rsidRPr="00CA1BB6">
        <w:rPr>
          <w:rFonts w:cs="Arial"/>
          <w:lang w:val="de-CH"/>
        </w:rPr>
        <w:t xml:space="preserve">a) </w:t>
      </w:r>
      <w:r w:rsidR="00005AAB" w:rsidRPr="00CA1BB6">
        <w:rPr>
          <w:rFonts w:cs="Arial"/>
          <w:lang w:val="de-CH"/>
        </w:rPr>
        <w:t>u</w:t>
      </w:r>
      <w:r w:rsidR="00026478" w:rsidRPr="00CA1BB6">
        <w:rPr>
          <w:rFonts w:cs="Arial"/>
          <w:lang w:val="de-CH"/>
        </w:rPr>
        <w:t>nd 4</w:t>
      </w:r>
      <w:r w:rsidR="00005AAB" w:rsidRPr="00CA1BB6">
        <w:rPr>
          <w:rFonts w:cs="Arial"/>
          <w:lang w:val="de-CH"/>
        </w:rPr>
        <w:t xml:space="preserve"> </w:t>
      </w:r>
      <w:r w:rsidR="00026478" w:rsidRPr="00CA1BB6">
        <w:rPr>
          <w:rFonts w:cs="Arial"/>
          <w:lang w:val="de-CH"/>
        </w:rPr>
        <w:t>e)</w:t>
      </w:r>
      <w:r w:rsidR="00005AAB" w:rsidRPr="00CA1BB6">
        <w:rPr>
          <w:rFonts w:cs="Arial"/>
          <w:lang w:val="de-CH"/>
        </w:rPr>
        <w:t xml:space="preserve"> </w:t>
      </w:r>
      <w:r w:rsidR="00026478" w:rsidRPr="00CA1BB6">
        <w:rPr>
          <w:rFonts w:cs="Arial"/>
          <w:lang w:val="de-CH"/>
        </w:rPr>
        <w:t>i)</w:t>
      </w:r>
      <w:r w:rsidR="00005AAB" w:rsidRPr="00CA1BB6">
        <w:rPr>
          <w:rFonts w:cs="Arial"/>
          <w:lang w:val="de-CH"/>
        </w:rPr>
        <w:t xml:space="preserve">, wie in Absatz 28 oben dargelegt, </w:t>
      </w:r>
      <w:r w:rsidR="00807A08" w:rsidRPr="00CA1BB6">
        <w:rPr>
          <w:rFonts w:cs="Arial"/>
          <w:lang w:val="de-CH"/>
        </w:rPr>
        <w:t xml:space="preserve">auf seiner zweiundsiebzigsten Tagung </w:t>
      </w:r>
      <w:r w:rsidR="00005AAB" w:rsidRPr="00CA1BB6">
        <w:rPr>
          <w:rFonts w:cs="Arial"/>
          <w:lang w:val="de-CH"/>
        </w:rPr>
        <w:t>zu prüfen</w:t>
      </w:r>
      <w:r w:rsidR="00F01F36" w:rsidRPr="00CA1BB6">
        <w:rPr>
          <w:rFonts w:cs="Arial"/>
          <w:lang w:val="de-CH"/>
        </w:rPr>
        <w:t>.</w:t>
      </w:r>
    </w:p>
    <w:p w:rsidR="00F72ADF" w:rsidRDefault="00F72ADF" w:rsidP="00F7073A"/>
    <w:p w:rsidR="00F7073A" w:rsidRDefault="00F7073A" w:rsidP="00F7073A"/>
    <w:p w:rsidR="00F7073A" w:rsidRPr="00F7073A" w:rsidRDefault="00F7073A" w:rsidP="00F7073A"/>
    <w:p w:rsidR="003E3D83" w:rsidRPr="00CA1BB6" w:rsidRDefault="003E3D83" w:rsidP="00973A6F">
      <w:pPr>
        <w:pStyle w:val="dec"/>
        <w:ind w:firstLine="567"/>
        <w:jc w:val="right"/>
        <w:rPr>
          <w:rFonts w:cs="Arial"/>
          <w:i w:val="0"/>
          <w:iCs/>
          <w:lang w:val="de-CH"/>
        </w:rPr>
      </w:pPr>
      <w:r w:rsidRPr="00CA1BB6">
        <w:rPr>
          <w:rFonts w:cs="Arial"/>
          <w:i w:val="0"/>
          <w:iCs/>
          <w:lang w:val="de-CH"/>
        </w:rPr>
        <w:t>[</w:t>
      </w:r>
      <w:r w:rsidRPr="00CA1BB6">
        <w:rPr>
          <w:rFonts w:cs="Arial"/>
          <w:i w:val="0"/>
          <w:iCs/>
          <w:lang w:val="de-CH" w:eastAsia="ja-JP"/>
        </w:rPr>
        <w:t>End</w:t>
      </w:r>
      <w:r w:rsidR="00005AAB" w:rsidRPr="00CA1BB6">
        <w:rPr>
          <w:rFonts w:cs="Arial"/>
          <w:i w:val="0"/>
          <w:iCs/>
          <w:lang w:val="de-CH" w:eastAsia="ja-JP"/>
        </w:rPr>
        <w:t>e</w:t>
      </w:r>
      <w:r w:rsidRPr="00CA1BB6">
        <w:rPr>
          <w:rFonts w:cs="Arial"/>
          <w:i w:val="0"/>
          <w:iCs/>
          <w:lang w:val="de-CH" w:eastAsia="ja-JP"/>
        </w:rPr>
        <w:t xml:space="preserve"> </w:t>
      </w:r>
      <w:r w:rsidR="00005AAB" w:rsidRPr="00CA1BB6">
        <w:rPr>
          <w:rFonts w:cs="Arial"/>
          <w:i w:val="0"/>
          <w:iCs/>
          <w:lang w:val="de-CH" w:eastAsia="ja-JP"/>
        </w:rPr>
        <w:t>des Dokuments</w:t>
      </w:r>
      <w:r w:rsidRPr="00CA1BB6">
        <w:rPr>
          <w:rFonts w:cs="Arial"/>
          <w:i w:val="0"/>
          <w:iCs/>
          <w:lang w:val="de-CH"/>
        </w:rPr>
        <w:t>]</w:t>
      </w:r>
    </w:p>
    <w:sectPr w:rsidR="003E3D83" w:rsidRPr="00CA1BB6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B1" w:rsidRDefault="009452B1">
      <w:r>
        <w:separator/>
      </w:r>
    </w:p>
    <w:p w:rsidR="009452B1" w:rsidRDefault="009452B1"/>
    <w:p w:rsidR="009452B1" w:rsidRDefault="009452B1"/>
  </w:endnote>
  <w:endnote w:type="continuationSeparator" w:id="0">
    <w:p w:rsidR="009452B1" w:rsidRDefault="009452B1">
      <w:r>
        <w:separator/>
      </w:r>
    </w:p>
    <w:p w:rsidR="009452B1" w:rsidRPr="00664515" w:rsidRDefault="009452B1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9452B1" w:rsidRPr="00664515" w:rsidRDefault="009452B1">
      <w:pPr>
        <w:rPr>
          <w:lang w:val="fr-CH"/>
        </w:rPr>
      </w:pPr>
    </w:p>
    <w:p w:rsidR="009452B1" w:rsidRPr="00664515" w:rsidRDefault="009452B1">
      <w:pPr>
        <w:rPr>
          <w:lang w:val="fr-CH"/>
        </w:rPr>
      </w:pPr>
    </w:p>
  </w:endnote>
  <w:endnote w:type="continuationNotice" w:id="1">
    <w:p w:rsidR="009452B1" w:rsidRPr="00664515" w:rsidRDefault="009452B1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9452B1" w:rsidRPr="00664515" w:rsidRDefault="009452B1">
      <w:pPr>
        <w:rPr>
          <w:lang w:val="fr-CH"/>
        </w:rPr>
      </w:pPr>
    </w:p>
    <w:p w:rsidR="009452B1" w:rsidRPr="00664515" w:rsidRDefault="009452B1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B1" w:rsidRDefault="009452B1" w:rsidP="009D690D">
      <w:pPr>
        <w:spacing w:before="120"/>
      </w:pPr>
      <w:r>
        <w:separator/>
      </w:r>
    </w:p>
  </w:footnote>
  <w:footnote w:type="continuationSeparator" w:id="0">
    <w:p w:rsidR="009452B1" w:rsidRDefault="009452B1" w:rsidP="00520297">
      <w:pPr>
        <w:spacing w:before="120"/>
        <w:jc w:val="left"/>
      </w:pPr>
      <w:r>
        <w:separator/>
      </w:r>
    </w:p>
  </w:footnote>
  <w:footnote w:type="continuationNotice" w:id="1">
    <w:p w:rsidR="009452B1" w:rsidRDefault="009452B1"/>
  </w:footnote>
  <w:footnote w:id="2">
    <w:p w:rsidR="0029150E" w:rsidRPr="00CC0577" w:rsidRDefault="0029150E" w:rsidP="005546A4">
      <w:pPr>
        <w:pStyle w:val="FootnoteText"/>
        <w:rPr>
          <w:lang w:val="de-CH" w:eastAsia="ja-JP"/>
        </w:rPr>
      </w:pPr>
      <w:r w:rsidRPr="00A63BED">
        <w:rPr>
          <w:rStyle w:val="FootnoteReference"/>
          <w:lang w:val="de-CH"/>
        </w:rPr>
        <w:footnoteRef/>
      </w:r>
      <w:r w:rsidRPr="00A63BED">
        <w:rPr>
          <w:lang w:val="de-CH"/>
        </w:rPr>
        <w:t xml:space="preserve"> </w:t>
      </w:r>
      <w:r w:rsidRPr="00A63BED">
        <w:rPr>
          <w:lang w:val="de-CH" w:eastAsia="ja-JP"/>
        </w:rPr>
        <w:tab/>
        <w:t>A</w:t>
      </w:r>
      <w:r w:rsidRPr="00CC0577">
        <w:rPr>
          <w:lang w:val="de-CH" w:eastAsia="ja-JP"/>
        </w:rPr>
        <w:t>m 13. Oktober 2014 in Genf.</w:t>
      </w:r>
    </w:p>
  </w:footnote>
  <w:footnote w:id="3">
    <w:p w:rsidR="0029150E" w:rsidRPr="00CC0577" w:rsidRDefault="0029150E" w:rsidP="005546A4">
      <w:pPr>
        <w:pStyle w:val="FootnoteText"/>
        <w:rPr>
          <w:lang w:val="de-CH" w:eastAsia="ja-JP"/>
        </w:rPr>
      </w:pPr>
      <w:r w:rsidRPr="00CC0577">
        <w:rPr>
          <w:rStyle w:val="FootnoteReference"/>
          <w:lang w:val="de-CH"/>
        </w:rPr>
        <w:footnoteRef/>
      </w:r>
      <w:r w:rsidRPr="00CC0577">
        <w:rPr>
          <w:lang w:val="de-CH"/>
        </w:rPr>
        <w:t xml:space="preserve"> </w:t>
      </w:r>
      <w:r w:rsidRPr="00CC0577">
        <w:rPr>
          <w:lang w:val="de-CH" w:eastAsia="ja-JP"/>
        </w:rPr>
        <w:tab/>
        <w:t>Am 3. September 2014</w:t>
      </w:r>
      <w:r w:rsidRPr="00CC0577">
        <w:rPr>
          <w:lang w:val="de-CH"/>
        </w:rPr>
        <w:t xml:space="preserve"> in Genf.</w:t>
      </w:r>
    </w:p>
  </w:footnote>
  <w:footnote w:id="4">
    <w:p w:rsidR="0029150E" w:rsidRPr="00CC0577" w:rsidRDefault="0029150E" w:rsidP="005546A4">
      <w:pPr>
        <w:pStyle w:val="FootnoteText"/>
        <w:rPr>
          <w:lang w:val="de-CH" w:eastAsia="ja-JP"/>
        </w:rPr>
      </w:pPr>
      <w:r w:rsidRPr="00CC0577">
        <w:rPr>
          <w:rStyle w:val="FootnoteReference"/>
          <w:lang w:val="de-CH"/>
        </w:rPr>
        <w:footnoteRef/>
      </w:r>
      <w:r w:rsidRPr="00CC0577">
        <w:rPr>
          <w:lang w:val="de-CH"/>
        </w:rPr>
        <w:t xml:space="preserve"> </w:t>
      </w:r>
      <w:r w:rsidRPr="00CC0577">
        <w:rPr>
          <w:lang w:val="de-CH" w:eastAsia="ja-JP"/>
        </w:rPr>
        <w:tab/>
        <w:t>Si</w:t>
      </w:r>
      <w:r w:rsidRPr="00CC0577">
        <w:rPr>
          <w:lang w:val="de-CH"/>
        </w:rPr>
        <w:t>ehe Dokument CAJ/70/10</w:t>
      </w:r>
      <w:r w:rsidR="00A63BED" w:rsidRPr="00CC0577">
        <w:rPr>
          <w:lang w:val="de-CH"/>
        </w:rPr>
        <w:t xml:space="preserve"> „</w:t>
      </w:r>
      <w:r w:rsidRPr="00CC0577">
        <w:rPr>
          <w:lang w:val="de-CH"/>
        </w:rPr>
        <w:t>Bericht über die En</w:t>
      </w:r>
      <w:r w:rsidR="00A63BED" w:rsidRPr="00CC0577">
        <w:rPr>
          <w:lang w:val="de-CH"/>
        </w:rPr>
        <w:t>t</w:t>
      </w:r>
      <w:r w:rsidRPr="00CC0577">
        <w:rPr>
          <w:lang w:val="de-CH"/>
        </w:rPr>
        <w:t>schließungen</w:t>
      </w:r>
      <w:r w:rsidR="00A63BED" w:rsidRPr="00CC0577">
        <w:rPr>
          <w:lang w:val="de-CH"/>
        </w:rPr>
        <w:t>“</w:t>
      </w:r>
      <w:r w:rsidRPr="00CC0577">
        <w:rPr>
          <w:lang w:val="de-CH"/>
        </w:rPr>
        <w:t>, Absätze 26 bis 29.</w:t>
      </w:r>
    </w:p>
  </w:footnote>
  <w:footnote w:id="5">
    <w:p w:rsidR="0029150E" w:rsidRPr="00CC0577" w:rsidRDefault="0029150E" w:rsidP="005546A4">
      <w:pPr>
        <w:pStyle w:val="FootnoteText"/>
        <w:rPr>
          <w:lang w:val="de-CH" w:eastAsia="ja-JP"/>
        </w:rPr>
      </w:pPr>
      <w:r w:rsidRPr="00CC0577">
        <w:rPr>
          <w:rStyle w:val="FootnoteReference"/>
          <w:lang w:val="de-CH"/>
        </w:rPr>
        <w:footnoteRef/>
      </w:r>
      <w:r w:rsidRPr="00CC0577">
        <w:rPr>
          <w:lang w:val="de-CH"/>
        </w:rPr>
        <w:t xml:space="preserve"> </w:t>
      </w:r>
      <w:r w:rsidRPr="00CC0577">
        <w:rPr>
          <w:lang w:val="de-CH" w:eastAsia="ja-JP"/>
        </w:rPr>
        <w:tab/>
        <w:t xml:space="preserve">Siehe </w:t>
      </w:r>
      <w:r w:rsidRPr="00CC0577">
        <w:rPr>
          <w:snapToGrid w:val="0"/>
          <w:lang w:val="de-CH"/>
        </w:rPr>
        <w:t>UPOV-Rundschreiben E-15/018</w:t>
      </w:r>
      <w:r w:rsidRPr="00CC0577">
        <w:rPr>
          <w:snapToGrid w:val="0"/>
          <w:lang w:val="de-CH" w:eastAsia="ja-JP"/>
        </w:rPr>
        <w:t xml:space="preserve"> vom 6. </w:t>
      </w:r>
      <w:r w:rsidRPr="00CC0577">
        <w:rPr>
          <w:lang w:val="de-CH" w:eastAsia="ja-JP"/>
        </w:rPr>
        <w:t>Februar 2015.</w:t>
      </w:r>
    </w:p>
  </w:footnote>
  <w:footnote w:id="6">
    <w:p w:rsidR="0029150E" w:rsidRPr="003018C7" w:rsidRDefault="0029150E" w:rsidP="005546A4">
      <w:pPr>
        <w:pStyle w:val="FootnoteText"/>
        <w:rPr>
          <w:lang w:val="de-CH"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 w:eastAsia="ja-JP"/>
        </w:rPr>
        <w:tab/>
      </w:r>
      <w:r w:rsidR="00CC0577" w:rsidRPr="003018C7">
        <w:rPr>
          <w:lang w:val="de-CH" w:eastAsia="ja-JP"/>
        </w:rPr>
        <w:t>Am 10. </w:t>
      </w:r>
      <w:r w:rsidRPr="003018C7">
        <w:rPr>
          <w:snapToGrid w:val="0"/>
          <w:lang w:val="de-CH"/>
        </w:rPr>
        <w:t>April 2014.</w:t>
      </w:r>
    </w:p>
  </w:footnote>
  <w:footnote w:id="7">
    <w:p w:rsidR="00294A12" w:rsidRPr="003018C7" w:rsidRDefault="00294A12" w:rsidP="00294A12">
      <w:pPr>
        <w:pStyle w:val="FootnoteText"/>
        <w:rPr>
          <w:lang w:val="de-CH"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/>
        </w:rPr>
        <w:tab/>
        <w:t>Am 14. und 17. Oktober 2014.</w:t>
      </w:r>
    </w:p>
  </w:footnote>
  <w:footnote w:id="8">
    <w:p w:rsidR="0029150E" w:rsidRPr="003018C7" w:rsidRDefault="0029150E" w:rsidP="005546A4">
      <w:pPr>
        <w:pStyle w:val="FootnoteText"/>
        <w:rPr>
          <w:lang w:val="de-CH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/>
        </w:rPr>
        <w:tab/>
        <w:t>S</w:t>
      </w:r>
      <w:r w:rsidR="00CC0577" w:rsidRPr="003018C7">
        <w:rPr>
          <w:lang w:val="de-CH"/>
        </w:rPr>
        <w:t>i</w:t>
      </w:r>
      <w:r w:rsidRPr="003018C7">
        <w:rPr>
          <w:lang w:val="de-CH"/>
        </w:rPr>
        <w:t>e</w:t>
      </w:r>
      <w:r w:rsidR="00CC0577" w:rsidRPr="003018C7">
        <w:rPr>
          <w:lang w:val="de-CH"/>
        </w:rPr>
        <w:t>h</w:t>
      </w:r>
      <w:r w:rsidRPr="003018C7">
        <w:rPr>
          <w:lang w:val="de-CH"/>
        </w:rPr>
        <w:t xml:space="preserve">e </w:t>
      </w:r>
      <w:r w:rsidR="00CC0577" w:rsidRPr="003018C7">
        <w:rPr>
          <w:lang w:val="de-CH"/>
        </w:rPr>
        <w:t xml:space="preserve">Dokument </w:t>
      </w:r>
      <w:r w:rsidRPr="003018C7">
        <w:rPr>
          <w:lang w:val="de-CH"/>
        </w:rPr>
        <w:t xml:space="preserve">CAJ-AG/13/8/10 </w:t>
      </w:r>
      <w:r w:rsidR="00CC0577" w:rsidRPr="003018C7">
        <w:rPr>
          <w:lang w:val="de-CH"/>
        </w:rPr>
        <w:t>„Bericht über die Entschließungen“</w:t>
      </w:r>
      <w:r w:rsidRPr="003018C7">
        <w:rPr>
          <w:lang w:val="de-CH"/>
        </w:rPr>
        <w:t xml:space="preserve">, </w:t>
      </w:r>
      <w:r w:rsidR="00CC0577" w:rsidRPr="003018C7">
        <w:rPr>
          <w:lang w:val="de-CH"/>
        </w:rPr>
        <w:t>Absätze 70 u</w:t>
      </w:r>
      <w:r w:rsidRPr="003018C7">
        <w:rPr>
          <w:lang w:val="de-CH"/>
        </w:rPr>
        <w:t>nd 71.</w:t>
      </w:r>
    </w:p>
  </w:footnote>
  <w:footnote w:id="9">
    <w:p w:rsidR="00294A12" w:rsidRPr="003018C7" w:rsidRDefault="00294A12" w:rsidP="00294A12">
      <w:pPr>
        <w:pStyle w:val="FootnoteText"/>
        <w:rPr>
          <w:lang w:val="de-CH"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 w:eastAsia="ja-JP"/>
        </w:rPr>
        <w:tab/>
        <w:t xml:space="preserve">Am 21. und 25. </w:t>
      </w:r>
      <w:r w:rsidRPr="003018C7">
        <w:rPr>
          <w:lang w:val="de-CH"/>
        </w:rPr>
        <w:t>Oktober 2013 in Genf.</w:t>
      </w:r>
    </w:p>
  </w:footnote>
  <w:footnote w:id="10">
    <w:p w:rsidR="0029150E" w:rsidRPr="003018C7" w:rsidRDefault="0029150E" w:rsidP="005546A4">
      <w:pPr>
        <w:pStyle w:val="FootnoteText"/>
        <w:rPr>
          <w:lang w:val="de-CH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/>
        </w:rPr>
        <w:tab/>
      </w:r>
      <w:r w:rsidR="00CC0577" w:rsidRPr="003018C7">
        <w:rPr>
          <w:lang w:val="de-CH"/>
        </w:rPr>
        <w:t>Siehe</w:t>
      </w:r>
      <w:r w:rsidRPr="003018C7">
        <w:rPr>
          <w:lang w:val="de-CH"/>
        </w:rPr>
        <w:t xml:space="preserve"> </w:t>
      </w:r>
      <w:r w:rsidR="00CC0577" w:rsidRPr="003018C7">
        <w:rPr>
          <w:lang w:val="de-CH"/>
        </w:rPr>
        <w:t xml:space="preserve">Dokument </w:t>
      </w:r>
      <w:r w:rsidRPr="003018C7">
        <w:rPr>
          <w:lang w:val="de-CH"/>
        </w:rPr>
        <w:t xml:space="preserve">CAJ/69/12 </w:t>
      </w:r>
      <w:r w:rsidR="00CC0577" w:rsidRPr="003018C7">
        <w:rPr>
          <w:lang w:val="de-CH"/>
        </w:rPr>
        <w:t>„Bericht über die Entschließungen“</w:t>
      </w:r>
      <w:r w:rsidRPr="003018C7">
        <w:rPr>
          <w:lang w:val="de-CH"/>
        </w:rPr>
        <w:t xml:space="preserve">, </w:t>
      </w:r>
      <w:r w:rsidR="00CC0577" w:rsidRPr="003018C7">
        <w:rPr>
          <w:lang w:val="de-CH"/>
        </w:rPr>
        <w:t>Absatz</w:t>
      </w:r>
      <w:r w:rsidRPr="003018C7">
        <w:rPr>
          <w:lang w:val="de-CH"/>
        </w:rPr>
        <w:t> 27.</w:t>
      </w:r>
    </w:p>
  </w:footnote>
  <w:footnote w:id="11">
    <w:p w:rsidR="0029150E" w:rsidRPr="003018C7" w:rsidRDefault="0029150E" w:rsidP="005546A4">
      <w:pPr>
        <w:pStyle w:val="FootnoteText"/>
        <w:rPr>
          <w:lang w:val="de-CH"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 </w:t>
      </w:r>
      <w:r w:rsidRPr="003018C7">
        <w:rPr>
          <w:lang w:val="de-CH" w:eastAsia="ja-JP"/>
        </w:rPr>
        <w:tab/>
        <w:t>S</w:t>
      </w:r>
      <w:r w:rsidR="00CC0577" w:rsidRPr="003018C7">
        <w:rPr>
          <w:lang w:val="de-CH" w:eastAsia="ja-JP"/>
        </w:rPr>
        <w:t>i</w:t>
      </w:r>
      <w:r w:rsidRPr="003018C7">
        <w:rPr>
          <w:lang w:val="de-CH"/>
        </w:rPr>
        <w:t>e</w:t>
      </w:r>
      <w:r w:rsidR="00CC0577" w:rsidRPr="003018C7">
        <w:rPr>
          <w:lang w:val="de-CH"/>
        </w:rPr>
        <w:t>h</w:t>
      </w:r>
      <w:r w:rsidRPr="003018C7">
        <w:rPr>
          <w:lang w:val="de-CH"/>
        </w:rPr>
        <w:t xml:space="preserve">e CAJ-AG/13 </w:t>
      </w:r>
      <w:r w:rsidR="00CC0577" w:rsidRPr="003018C7">
        <w:rPr>
          <w:lang w:val="de-CH"/>
        </w:rPr>
        <w:t>unter</w:t>
      </w:r>
      <w:r w:rsidRPr="003018C7">
        <w:rPr>
          <w:lang w:val="de-CH"/>
        </w:rPr>
        <w:t xml:space="preserve"> </w:t>
      </w:r>
      <w:r w:rsidR="00924FC0" w:rsidRPr="003018C7">
        <w:rPr>
          <w:lang w:val="de-CH"/>
        </w:rPr>
        <w:t>„</w:t>
      </w:r>
      <w:r w:rsidRPr="003018C7">
        <w:rPr>
          <w:lang w:val="de-CH"/>
        </w:rPr>
        <w:t>Consideration by Correspondence</w:t>
      </w:r>
      <w:r w:rsidR="00924FC0" w:rsidRPr="003018C7">
        <w:rPr>
          <w:lang w:val="de-CH"/>
        </w:rPr>
        <w:t>“</w:t>
      </w:r>
      <w:r w:rsidRPr="003018C7">
        <w:rPr>
          <w:lang w:val="de-CH"/>
        </w:rPr>
        <w:t xml:space="preserve">:  </w:t>
      </w:r>
      <w:hyperlink r:id="rId1" w:history="1">
        <w:r w:rsidRPr="003018C7">
          <w:rPr>
            <w:rStyle w:val="Hyperlink"/>
            <w:szCs w:val="24"/>
            <w:lang w:val="de-CH"/>
          </w:rPr>
          <w:t>http://www.upov.int/meetings/en/details.jsp?meeting_id=29783</w:t>
        </w:r>
      </w:hyperlink>
      <w:r w:rsidRPr="003018C7">
        <w:rPr>
          <w:rStyle w:val="Hyperlink"/>
          <w:szCs w:val="24"/>
          <w:lang w:val="de-CH"/>
        </w:rPr>
        <w:t>.</w:t>
      </w:r>
    </w:p>
  </w:footnote>
  <w:footnote w:id="12">
    <w:p w:rsidR="0029150E" w:rsidRPr="003018C7" w:rsidRDefault="0029150E" w:rsidP="005546A4">
      <w:pPr>
        <w:pStyle w:val="FootnoteText"/>
        <w:rPr>
          <w:lang w:val="de-CH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ab/>
        <w:t>S</w:t>
      </w:r>
      <w:r w:rsidR="00924FC0" w:rsidRPr="003018C7">
        <w:rPr>
          <w:lang w:val="de-CH"/>
        </w:rPr>
        <w:t>i</w:t>
      </w:r>
      <w:r w:rsidRPr="003018C7">
        <w:rPr>
          <w:lang w:val="de-CH"/>
        </w:rPr>
        <w:t>e</w:t>
      </w:r>
      <w:r w:rsidR="00924FC0" w:rsidRPr="003018C7">
        <w:rPr>
          <w:lang w:val="de-CH"/>
        </w:rPr>
        <w:t>h</w:t>
      </w:r>
      <w:r w:rsidRPr="003018C7">
        <w:rPr>
          <w:lang w:val="de-CH"/>
        </w:rPr>
        <w:t xml:space="preserve">e </w:t>
      </w:r>
      <w:r w:rsidR="00924FC0" w:rsidRPr="003018C7">
        <w:rPr>
          <w:lang w:val="de-CH"/>
        </w:rPr>
        <w:t xml:space="preserve">Dokument </w:t>
      </w:r>
      <w:r w:rsidRPr="003018C7">
        <w:rPr>
          <w:lang w:val="de-CH"/>
        </w:rPr>
        <w:t xml:space="preserve">CAJ/69/12 </w:t>
      </w:r>
      <w:r w:rsidR="00924FC0" w:rsidRPr="003018C7">
        <w:rPr>
          <w:lang w:val="de-CH"/>
        </w:rPr>
        <w:t>„Bericht über die Entschließungen“</w:t>
      </w:r>
      <w:r w:rsidRPr="003018C7">
        <w:rPr>
          <w:lang w:val="de-CH"/>
        </w:rPr>
        <w:t xml:space="preserve">, </w:t>
      </w:r>
      <w:r w:rsidR="00924FC0" w:rsidRPr="003018C7">
        <w:rPr>
          <w:lang w:val="de-CH"/>
        </w:rPr>
        <w:t>Absatz</w:t>
      </w:r>
      <w:r w:rsidR="003018C7">
        <w:rPr>
          <w:lang w:val="de-CH"/>
        </w:rPr>
        <w:t> </w:t>
      </w:r>
      <w:r w:rsidRPr="003018C7">
        <w:rPr>
          <w:lang w:val="de-CH"/>
        </w:rPr>
        <w:t>28.</w:t>
      </w:r>
    </w:p>
  </w:footnote>
  <w:footnote w:id="13">
    <w:p w:rsidR="0029150E" w:rsidRPr="003018C7" w:rsidRDefault="0029150E" w:rsidP="005546A4">
      <w:pPr>
        <w:pStyle w:val="FootnoteText"/>
        <w:rPr>
          <w:lang w:val="de-CH"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 w:eastAsia="ja-JP"/>
        </w:rPr>
        <w:tab/>
      </w:r>
      <w:hyperlink r:id="rId2" w:history="1">
        <w:r w:rsidR="00625286" w:rsidRPr="00D36F8B">
          <w:rPr>
            <w:rStyle w:val="Hyperlink"/>
            <w:lang w:val="de-CH" w:eastAsia="ja-JP"/>
          </w:rPr>
          <w:t>http://www.upov.int/meetings/de/details.jsp?meeting_id=35055</w:t>
        </w:r>
      </w:hyperlink>
      <w:r w:rsidRPr="003018C7">
        <w:rPr>
          <w:lang w:val="de-CH" w:eastAsia="ja-JP"/>
        </w:rPr>
        <w:t>.</w:t>
      </w:r>
    </w:p>
  </w:footnote>
  <w:footnote w:id="14">
    <w:p w:rsidR="0029150E" w:rsidRPr="003018C7" w:rsidRDefault="0029150E" w:rsidP="005546A4">
      <w:pPr>
        <w:pStyle w:val="FootnoteText"/>
        <w:rPr>
          <w:lang w:val="de-CH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/>
        </w:rPr>
        <w:tab/>
      </w:r>
      <w:r w:rsidRPr="003018C7">
        <w:rPr>
          <w:szCs w:val="26"/>
          <w:lang w:val="de-CH"/>
        </w:rPr>
        <w:t>S</w:t>
      </w:r>
      <w:r w:rsidR="003018C7" w:rsidRPr="003018C7">
        <w:rPr>
          <w:szCs w:val="26"/>
          <w:lang w:val="de-CH"/>
        </w:rPr>
        <w:t>i</w:t>
      </w:r>
      <w:r w:rsidRPr="003018C7">
        <w:rPr>
          <w:szCs w:val="26"/>
          <w:lang w:val="de-CH"/>
        </w:rPr>
        <w:t>e</w:t>
      </w:r>
      <w:r w:rsidR="003018C7" w:rsidRPr="003018C7">
        <w:rPr>
          <w:szCs w:val="26"/>
          <w:lang w:val="de-CH"/>
        </w:rPr>
        <w:t>h</w:t>
      </w:r>
      <w:r w:rsidRPr="003018C7">
        <w:rPr>
          <w:szCs w:val="26"/>
          <w:lang w:val="de-CH"/>
        </w:rPr>
        <w:t xml:space="preserve">e </w:t>
      </w:r>
      <w:r w:rsidR="003018C7" w:rsidRPr="003018C7">
        <w:rPr>
          <w:szCs w:val="26"/>
          <w:lang w:val="de-CH"/>
        </w:rPr>
        <w:t xml:space="preserve">Dokument </w:t>
      </w:r>
      <w:r w:rsidRPr="003018C7">
        <w:rPr>
          <w:lang w:val="de-CH"/>
        </w:rPr>
        <w:t>CAJ</w:t>
      </w:r>
      <w:r w:rsidRPr="003018C7">
        <w:rPr>
          <w:lang w:val="de-CH"/>
        </w:rPr>
        <w:noBreakHyphen/>
        <w:t>AG/14/9/6</w:t>
      </w:r>
      <w:r w:rsidR="002326CE">
        <w:rPr>
          <w:lang w:val="de-CH"/>
        </w:rPr>
        <w:t xml:space="preserve"> </w:t>
      </w:r>
      <w:r w:rsidR="000525C0" w:rsidRPr="003018C7">
        <w:rPr>
          <w:lang w:val="de-CH"/>
        </w:rPr>
        <w:t xml:space="preserve">„Bericht über die Entschließungen“, </w:t>
      </w:r>
      <w:r w:rsidR="002326CE">
        <w:rPr>
          <w:lang w:val="de-CH"/>
        </w:rPr>
        <w:t>Absatz </w:t>
      </w:r>
      <w:r w:rsidRPr="003018C7">
        <w:rPr>
          <w:lang w:val="de-CH"/>
        </w:rPr>
        <w:t>15.</w:t>
      </w:r>
    </w:p>
  </w:footnote>
  <w:footnote w:id="15">
    <w:p w:rsidR="001746D4" w:rsidRPr="003018C7" w:rsidRDefault="001746D4" w:rsidP="001746D4">
      <w:pPr>
        <w:pStyle w:val="FootnoteText"/>
        <w:rPr>
          <w:lang w:val="de-CH"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 w:eastAsia="ja-JP"/>
        </w:rPr>
        <w:tab/>
      </w:r>
      <w:r w:rsidR="003018C7">
        <w:rPr>
          <w:lang w:val="de-CH" w:eastAsia="ja-JP"/>
        </w:rPr>
        <w:t xml:space="preserve">Am </w:t>
      </w:r>
      <w:r w:rsidRPr="003018C7">
        <w:rPr>
          <w:lang w:val="de-CH"/>
        </w:rPr>
        <w:t>21</w:t>
      </w:r>
      <w:r w:rsidR="003018C7">
        <w:rPr>
          <w:lang w:val="de-CH"/>
        </w:rPr>
        <w:t>. u</w:t>
      </w:r>
      <w:r w:rsidRPr="003018C7">
        <w:rPr>
          <w:lang w:val="de-CH"/>
        </w:rPr>
        <w:t>nd 25</w:t>
      </w:r>
      <w:r w:rsidR="003018C7">
        <w:rPr>
          <w:lang w:val="de-CH"/>
        </w:rPr>
        <w:t>. Oktober</w:t>
      </w:r>
      <w:r w:rsidRPr="003018C7">
        <w:rPr>
          <w:lang w:val="de-CH"/>
        </w:rPr>
        <w:t xml:space="preserve"> 2013</w:t>
      </w:r>
      <w:r w:rsidR="003018C7">
        <w:rPr>
          <w:lang w:val="de-CH"/>
        </w:rPr>
        <w:t xml:space="preserve"> in Genf</w:t>
      </w:r>
      <w:r w:rsidRPr="003018C7">
        <w:rPr>
          <w:lang w:val="de-CH"/>
        </w:rPr>
        <w:t>.</w:t>
      </w:r>
    </w:p>
  </w:footnote>
  <w:footnote w:id="16">
    <w:p w:rsidR="0029150E" w:rsidRPr="003018C7" w:rsidRDefault="0029150E" w:rsidP="005546A4">
      <w:pPr>
        <w:pStyle w:val="FootnoteText"/>
        <w:rPr>
          <w:lang w:val="de-CH"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 w:eastAsia="ja-JP"/>
        </w:rPr>
        <w:tab/>
      </w:r>
      <w:r w:rsidRPr="003018C7">
        <w:rPr>
          <w:lang w:val="de-CH"/>
        </w:rPr>
        <w:t>S</w:t>
      </w:r>
      <w:r w:rsidR="003018C7">
        <w:rPr>
          <w:lang w:val="de-CH"/>
        </w:rPr>
        <w:t>i</w:t>
      </w:r>
      <w:r w:rsidRPr="003018C7">
        <w:rPr>
          <w:lang w:val="de-CH"/>
        </w:rPr>
        <w:t>e</w:t>
      </w:r>
      <w:r w:rsidR="003018C7">
        <w:rPr>
          <w:lang w:val="de-CH"/>
        </w:rPr>
        <w:t>h</w:t>
      </w:r>
      <w:r w:rsidRPr="003018C7">
        <w:rPr>
          <w:lang w:val="de-CH"/>
        </w:rPr>
        <w:t xml:space="preserve">e </w:t>
      </w:r>
      <w:r w:rsidR="003018C7" w:rsidRPr="003018C7">
        <w:rPr>
          <w:lang w:val="de-CH"/>
        </w:rPr>
        <w:t>Do</w:t>
      </w:r>
      <w:r w:rsidR="003018C7">
        <w:rPr>
          <w:lang w:val="de-CH"/>
        </w:rPr>
        <w:t>k</w:t>
      </w:r>
      <w:r w:rsidR="003018C7" w:rsidRPr="003018C7">
        <w:rPr>
          <w:lang w:val="de-CH"/>
        </w:rPr>
        <w:t xml:space="preserve">ument </w:t>
      </w:r>
      <w:r w:rsidRPr="003018C7">
        <w:rPr>
          <w:lang w:val="de-CH"/>
        </w:rPr>
        <w:t xml:space="preserve">CAJ-AG/13/8/10 </w:t>
      </w:r>
      <w:r w:rsidR="003018C7">
        <w:rPr>
          <w:lang w:val="de-CH"/>
        </w:rPr>
        <w:t>„Bericht über die Entschließungen“</w:t>
      </w:r>
      <w:r w:rsidR="003018C7" w:rsidRPr="003018C7">
        <w:rPr>
          <w:lang w:val="de-CH"/>
        </w:rPr>
        <w:t xml:space="preserve">, </w:t>
      </w:r>
      <w:r w:rsidR="003018C7">
        <w:rPr>
          <w:lang w:val="de-CH"/>
        </w:rPr>
        <w:t>Absätze </w:t>
      </w:r>
      <w:r w:rsidR="003018C7" w:rsidRPr="003018C7">
        <w:rPr>
          <w:lang w:val="de-CH"/>
        </w:rPr>
        <w:t xml:space="preserve"> </w:t>
      </w:r>
      <w:r w:rsidRPr="003018C7">
        <w:rPr>
          <w:lang w:val="de-CH"/>
        </w:rPr>
        <w:t xml:space="preserve">70 </w:t>
      </w:r>
      <w:r w:rsidR="003018C7">
        <w:rPr>
          <w:lang w:val="de-CH"/>
        </w:rPr>
        <w:t>u</w:t>
      </w:r>
      <w:r w:rsidRPr="003018C7">
        <w:rPr>
          <w:lang w:val="de-CH"/>
        </w:rPr>
        <w:t>nd 71.</w:t>
      </w:r>
    </w:p>
  </w:footnote>
  <w:footnote w:id="17">
    <w:p w:rsidR="0029150E" w:rsidRPr="003018C7" w:rsidRDefault="0029150E" w:rsidP="00BA4549">
      <w:pPr>
        <w:pStyle w:val="FootnoteText"/>
        <w:rPr>
          <w:lang w:val="de-CH"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 w:eastAsia="ja-JP"/>
        </w:rPr>
        <w:tab/>
      </w:r>
      <w:r w:rsidR="003018C7">
        <w:rPr>
          <w:lang w:val="de-CH" w:eastAsia="ja-JP"/>
        </w:rPr>
        <w:t>Am 10. </w:t>
      </w:r>
      <w:r w:rsidRPr="003018C7">
        <w:rPr>
          <w:snapToGrid w:val="0"/>
          <w:lang w:val="de-CH"/>
        </w:rPr>
        <w:t>April 2014.</w:t>
      </w:r>
    </w:p>
  </w:footnote>
  <w:footnote w:id="18">
    <w:p w:rsidR="0029150E" w:rsidRPr="00214B92" w:rsidRDefault="0029150E" w:rsidP="00BA4549">
      <w:pPr>
        <w:pStyle w:val="FootnoteText"/>
        <w:rPr>
          <w:lang w:eastAsia="ja-JP"/>
        </w:rPr>
      </w:pPr>
      <w:r w:rsidRPr="003018C7">
        <w:rPr>
          <w:rStyle w:val="FootnoteReference"/>
          <w:lang w:val="de-CH"/>
        </w:rPr>
        <w:footnoteRef/>
      </w:r>
      <w:r w:rsidRPr="003018C7">
        <w:rPr>
          <w:lang w:val="de-CH"/>
        </w:rPr>
        <w:t xml:space="preserve"> </w:t>
      </w:r>
      <w:r w:rsidRPr="003018C7">
        <w:rPr>
          <w:lang w:val="de-CH" w:eastAsia="ja-JP"/>
        </w:rPr>
        <w:tab/>
      </w:r>
      <w:r w:rsidR="003018C7">
        <w:rPr>
          <w:lang w:val="de-CH" w:eastAsia="ja-JP"/>
        </w:rPr>
        <w:t xml:space="preserve">Am 14. und 17. Oktober 2104 </w:t>
      </w:r>
      <w:r w:rsidRPr="003018C7">
        <w:rPr>
          <w:lang w:val="de-CH" w:eastAsia="ja-JP"/>
        </w:rPr>
        <w:t>in Gen</w:t>
      </w:r>
      <w:r w:rsidR="003018C7">
        <w:rPr>
          <w:lang w:val="de-CH" w:eastAsia="ja-JP"/>
        </w:rPr>
        <w:t>f</w:t>
      </w:r>
      <w:r w:rsidRPr="003018C7">
        <w:rPr>
          <w:lang w:val="de-CH" w:eastAsia="ja-JP"/>
        </w:rPr>
        <w:t>.</w:t>
      </w:r>
    </w:p>
  </w:footnote>
  <w:footnote w:id="19">
    <w:p w:rsidR="0029150E" w:rsidRPr="008F5CAE" w:rsidRDefault="0029150E" w:rsidP="005546A4">
      <w:pPr>
        <w:pStyle w:val="FootnoteText"/>
        <w:rPr>
          <w:lang w:val="de-CH" w:eastAsia="ja-JP"/>
        </w:rPr>
      </w:pPr>
      <w:r w:rsidRPr="008F5CAE">
        <w:rPr>
          <w:rStyle w:val="FootnoteReference"/>
          <w:lang w:val="de-CH"/>
        </w:rPr>
        <w:footnoteRef/>
      </w:r>
      <w:r w:rsidRPr="008F5CAE">
        <w:rPr>
          <w:lang w:val="de-CH"/>
        </w:rPr>
        <w:t xml:space="preserve"> </w:t>
      </w:r>
      <w:r w:rsidRPr="008F5CAE">
        <w:rPr>
          <w:lang w:val="de-CH" w:eastAsia="ja-JP"/>
        </w:rPr>
        <w:tab/>
        <w:t>S</w:t>
      </w:r>
      <w:r w:rsidR="008F5CAE" w:rsidRPr="008F5CAE">
        <w:rPr>
          <w:lang w:val="de-CH" w:eastAsia="ja-JP"/>
        </w:rPr>
        <w:t>i</w:t>
      </w:r>
      <w:r w:rsidRPr="008F5CAE">
        <w:rPr>
          <w:lang w:val="de-CH"/>
        </w:rPr>
        <w:t>e</w:t>
      </w:r>
      <w:r w:rsidR="008F5CAE" w:rsidRPr="008F5CAE">
        <w:rPr>
          <w:lang w:val="de-CH"/>
        </w:rPr>
        <w:t>h</w:t>
      </w:r>
      <w:r w:rsidRPr="008F5CAE">
        <w:rPr>
          <w:lang w:val="de-CH"/>
        </w:rPr>
        <w:t>e </w:t>
      </w:r>
      <w:r w:rsidR="008F5CAE" w:rsidRPr="008F5CAE">
        <w:rPr>
          <w:lang w:val="de-CH"/>
        </w:rPr>
        <w:t>Dokument </w:t>
      </w:r>
      <w:r w:rsidRPr="008F5CAE">
        <w:rPr>
          <w:lang w:val="de-CH"/>
        </w:rPr>
        <w:t>CAJ</w:t>
      </w:r>
      <w:r w:rsidRPr="008F5CAE">
        <w:rPr>
          <w:lang w:val="de-CH"/>
        </w:rPr>
        <w:noBreakHyphen/>
        <w:t>AG/14/9/6</w:t>
      </w:r>
      <w:r w:rsidR="0066004E">
        <w:rPr>
          <w:lang w:val="de-CH"/>
        </w:rPr>
        <w:t xml:space="preserve"> „Bericht über die Entschließungen“</w:t>
      </w:r>
      <w:r w:rsidRPr="008F5CAE">
        <w:rPr>
          <w:lang w:val="de-CH"/>
        </w:rPr>
        <w:t xml:space="preserve">, </w:t>
      </w:r>
      <w:r w:rsidR="0066004E">
        <w:rPr>
          <w:lang w:val="de-CH"/>
        </w:rPr>
        <w:t>Absatz </w:t>
      </w:r>
      <w:r w:rsidRPr="008F5CAE">
        <w:rPr>
          <w:lang w:val="de-CH"/>
        </w:rPr>
        <w:t>16.</w:t>
      </w:r>
    </w:p>
  </w:footnote>
  <w:footnote w:id="20">
    <w:p w:rsidR="0029150E" w:rsidRPr="008F5CAE" w:rsidRDefault="0029150E" w:rsidP="005546A4">
      <w:pPr>
        <w:pStyle w:val="FootnoteText"/>
        <w:rPr>
          <w:lang w:val="de-CH"/>
        </w:rPr>
      </w:pPr>
      <w:r w:rsidRPr="008F5CAE">
        <w:rPr>
          <w:rStyle w:val="FootnoteReference"/>
          <w:szCs w:val="16"/>
          <w:lang w:val="de-CH"/>
        </w:rPr>
        <w:footnoteRef/>
      </w:r>
      <w:r w:rsidRPr="008F5CAE">
        <w:rPr>
          <w:lang w:val="de-CH"/>
        </w:rPr>
        <w:tab/>
      </w:r>
      <w:r w:rsidR="00B3412C">
        <w:rPr>
          <w:lang w:val="de-CH"/>
        </w:rPr>
        <w:t>Für den</w:t>
      </w:r>
      <w:r w:rsidR="0066004E">
        <w:rPr>
          <w:lang w:val="de-CH" w:eastAsia="ja-JP"/>
        </w:rPr>
        <w:t xml:space="preserve"> 26. März</w:t>
      </w:r>
      <w:r w:rsidRPr="008F5CAE">
        <w:rPr>
          <w:lang w:val="de-CH" w:eastAsia="ja-JP"/>
        </w:rPr>
        <w:t xml:space="preserve"> 2015</w:t>
      </w:r>
      <w:r w:rsidR="0066004E">
        <w:rPr>
          <w:lang w:val="de-CH" w:eastAsia="ja-JP"/>
        </w:rPr>
        <w:t xml:space="preserve"> in Genf</w:t>
      </w:r>
      <w:r w:rsidR="00B3412C">
        <w:rPr>
          <w:lang w:val="de-CH" w:eastAsia="ja-JP"/>
        </w:rPr>
        <w:t xml:space="preserve"> anberaumt</w:t>
      </w:r>
      <w:r w:rsidRPr="008F5CAE">
        <w:rPr>
          <w:lang w:val="de-CH" w:eastAsia="ja-JP"/>
        </w:rPr>
        <w:t>.</w:t>
      </w:r>
    </w:p>
  </w:footnote>
  <w:footnote w:id="21">
    <w:p w:rsidR="0029150E" w:rsidRPr="008F5CAE" w:rsidRDefault="0029150E" w:rsidP="00433B8A">
      <w:pPr>
        <w:spacing w:before="60"/>
        <w:ind w:right="567"/>
        <w:rPr>
          <w:lang w:val="de-CH"/>
        </w:rPr>
      </w:pPr>
      <w:r w:rsidRPr="008F5CAE">
        <w:rPr>
          <w:rStyle w:val="FootnoteReference"/>
          <w:sz w:val="16"/>
          <w:szCs w:val="16"/>
          <w:lang w:val="de-CH"/>
        </w:rPr>
        <w:footnoteRef/>
      </w:r>
      <w:r w:rsidRPr="008F5CAE">
        <w:rPr>
          <w:sz w:val="16"/>
          <w:szCs w:val="16"/>
          <w:lang w:val="de-CH"/>
        </w:rPr>
        <w:t xml:space="preserve"> </w:t>
      </w:r>
      <w:r w:rsidRPr="008F5CAE">
        <w:rPr>
          <w:sz w:val="16"/>
          <w:szCs w:val="16"/>
          <w:lang w:val="de-CH"/>
        </w:rPr>
        <w:tab/>
      </w:r>
      <w:r w:rsidR="00B3412C">
        <w:rPr>
          <w:sz w:val="16"/>
          <w:szCs w:val="16"/>
          <w:lang w:val="de-CH"/>
        </w:rPr>
        <w:t xml:space="preserve">Für den </w:t>
      </w:r>
      <w:r w:rsidR="0066004E">
        <w:rPr>
          <w:color w:val="000000"/>
          <w:sz w:val="16"/>
          <w:szCs w:val="16"/>
          <w:lang w:val="de-CH"/>
        </w:rPr>
        <w:t>28. </w:t>
      </w:r>
      <w:r w:rsidRPr="008F5CAE">
        <w:rPr>
          <w:color w:val="000000"/>
          <w:sz w:val="16"/>
          <w:szCs w:val="16"/>
          <w:lang w:val="de-CH"/>
        </w:rPr>
        <w:t>O</w:t>
      </w:r>
      <w:r w:rsidR="0066004E">
        <w:rPr>
          <w:color w:val="000000"/>
          <w:sz w:val="16"/>
          <w:szCs w:val="16"/>
          <w:lang w:val="de-CH"/>
        </w:rPr>
        <w:t>k</w:t>
      </w:r>
      <w:r w:rsidRPr="008F5CAE">
        <w:rPr>
          <w:color w:val="000000"/>
          <w:sz w:val="16"/>
          <w:szCs w:val="16"/>
          <w:lang w:val="de-CH"/>
        </w:rPr>
        <w:t>tober 2015</w:t>
      </w:r>
      <w:r w:rsidR="00B3412C">
        <w:rPr>
          <w:color w:val="000000"/>
          <w:sz w:val="16"/>
          <w:szCs w:val="16"/>
          <w:lang w:val="de-CH"/>
        </w:rPr>
        <w:t xml:space="preserve"> anberaumt</w:t>
      </w:r>
      <w:r w:rsidRPr="008F5CAE">
        <w:rPr>
          <w:color w:val="000000"/>
          <w:sz w:val="16"/>
          <w:szCs w:val="16"/>
          <w:lang w:val="de-CH" w:eastAsia="ja-JP"/>
        </w:rPr>
        <w:t>.</w:t>
      </w:r>
    </w:p>
  </w:footnote>
  <w:footnote w:id="22">
    <w:p w:rsidR="00E67961" w:rsidRPr="008F5CAE" w:rsidRDefault="00E67961" w:rsidP="00E67961">
      <w:pPr>
        <w:pStyle w:val="FootnoteText"/>
        <w:rPr>
          <w:lang w:val="de-CH" w:eastAsia="ja-JP"/>
        </w:rPr>
      </w:pPr>
      <w:r w:rsidRPr="008F5CAE">
        <w:rPr>
          <w:rStyle w:val="FootnoteReference"/>
          <w:lang w:val="de-CH"/>
        </w:rPr>
        <w:footnoteRef/>
      </w:r>
      <w:r w:rsidRPr="008F5CAE">
        <w:rPr>
          <w:lang w:val="de-CH"/>
        </w:rPr>
        <w:t xml:space="preserve"> </w:t>
      </w:r>
      <w:r w:rsidRPr="008F5CAE">
        <w:rPr>
          <w:lang w:val="de-CH" w:eastAsia="ja-JP"/>
        </w:rPr>
        <w:tab/>
        <w:t>S</w:t>
      </w:r>
      <w:r w:rsidR="0066004E">
        <w:rPr>
          <w:lang w:val="de-CH" w:eastAsia="ja-JP"/>
        </w:rPr>
        <w:t>i</w:t>
      </w:r>
      <w:r w:rsidRPr="008F5CAE">
        <w:rPr>
          <w:lang w:val="de-CH"/>
        </w:rPr>
        <w:t>e</w:t>
      </w:r>
      <w:r w:rsidR="0066004E">
        <w:rPr>
          <w:lang w:val="de-CH"/>
        </w:rPr>
        <w:t>h</w:t>
      </w:r>
      <w:r w:rsidRPr="008F5CAE">
        <w:rPr>
          <w:lang w:val="de-CH"/>
        </w:rPr>
        <w:t>e </w:t>
      </w:r>
      <w:r w:rsidR="0066004E" w:rsidRPr="008F5CAE">
        <w:rPr>
          <w:lang w:val="de-CH"/>
        </w:rPr>
        <w:t>Do</w:t>
      </w:r>
      <w:r w:rsidR="0066004E">
        <w:rPr>
          <w:lang w:val="de-CH"/>
        </w:rPr>
        <w:t>k</w:t>
      </w:r>
      <w:r w:rsidR="0066004E" w:rsidRPr="008F5CAE">
        <w:rPr>
          <w:lang w:val="de-CH"/>
        </w:rPr>
        <w:t>ument </w:t>
      </w:r>
      <w:r w:rsidRPr="008F5CAE">
        <w:rPr>
          <w:lang w:val="de-CH"/>
        </w:rPr>
        <w:t>CAJ</w:t>
      </w:r>
      <w:r w:rsidRPr="008F5CAE">
        <w:rPr>
          <w:lang w:val="de-CH"/>
        </w:rPr>
        <w:noBreakHyphen/>
        <w:t xml:space="preserve">AG/14/9/6 </w:t>
      </w:r>
      <w:r w:rsidR="0066004E">
        <w:rPr>
          <w:lang w:val="de-CH"/>
        </w:rPr>
        <w:t>„Bericht über die Entschließungen“, Absatz </w:t>
      </w:r>
      <w:r w:rsidRPr="008F5CAE">
        <w:rPr>
          <w:lang w:val="de-CH"/>
        </w:rPr>
        <w:t>18.</w:t>
      </w:r>
    </w:p>
  </w:footnote>
  <w:footnote w:id="23">
    <w:p w:rsidR="0029150E" w:rsidRPr="00136CFB" w:rsidRDefault="0029150E">
      <w:pPr>
        <w:pStyle w:val="FootnoteText"/>
        <w:rPr>
          <w:lang w:val="de-CH"/>
        </w:rPr>
      </w:pPr>
      <w:r w:rsidRPr="00136CFB">
        <w:rPr>
          <w:rStyle w:val="FootnoteReference"/>
          <w:lang w:val="de-CH"/>
        </w:rPr>
        <w:footnoteRef/>
      </w:r>
      <w:r w:rsidRPr="00136CFB">
        <w:rPr>
          <w:lang w:val="de-CH"/>
        </w:rPr>
        <w:t xml:space="preserve"> </w:t>
      </w:r>
      <w:r w:rsidRPr="00136CFB">
        <w:rPr>
          <w:lang w:val="de-CH"/>
        </w:rPr>
        <w:tab/>
        <w:t>S</w:t>
      </w:r>
      <w:r w:rsidR="00136CFB" w:rsidRPr="00136CFB">
        <w:rPr>
          <w:lang w:val="de-CH"/>
        </w:rPr>
        <w:t>i</w:t>
      </w:r>
      <w:r w:rsidRPr="00136CFB">
        <w:rPr>
          <w:lang w:val="de-CH"/>
        </w:rPr>
        <w:t>e</w:t>
      </w:r>
      <w:r w:rsidR="00136CFB" w:rsidRPr="00136CFB">
        <w:rPr>
          <w:lang w:val="de-CH"/>
        </w:rPr>
        <w:t>h</w:t>
      </w:r>
      <w:r w:rsidRPr="00136CFB">
        <w:rPr>
          <w:lang w:val="de-CH"/>
        </w:rPr>
        <w:t xml:space="preserve">e </w:t>
      </w:r>
      <w:r w:rsidR="00136CFB" w:rsidRPr="00136CFB">
        <w:rPr>
          <w:lang w:val="de-CH"/>
        </w:rPr>
        <w:t xml:space="preserve">Dokument </w:t>
      </w:r>
      <w:r w:rsidRPr="00136CFB">
        <w:rPr>
          <w:lang w:val="de-CH"/>
        </w:rPr>
        <w:t>CAJ-AG/14/9/6</w:t>
      </w:r>
      <w:r w:rsidR="00136CFB" w:rsidRPr="00136CFB">
        <w:rPr>
          <w:lang w:val="de-CH"/>
        </w:rPr>
        <w:t xml:space="preserve"> </w:t>
      </w:r>
      <w:r w:rsidR="00136CFB">
        <w:rPr>
          <w:lang w:val="de-CH"/>
        </w:rPr>
        <w:t>„Bericht über die Entschließungen“</w:t>
      </w:r>
      <w:r w:rsidRPr="00136CFB">
        <w:rPr>
          <w:lang w:val="de-CH"/>
        </w:rPr>
        <w:t xml:space="preserve">, </w:t>
      </w:r>
      <w:r w:rsidR="00136CFB">
        <w:rPr>
          <w:lang w:val="de-CH"/>
        </w:rPr>
        <w:t>Absatz </w:t>
      </w:r>
      <w:r w:rsidRPr="00136CFB">
        <w:rPr>
          <w:lang w:val="de-CH"/>
        </w:rPr>
        <w:t>18</w:t>
      </w:r>
    </w:p>
  </w:footnote>
  <w:footnote w:id="24">
    <w:p w:rsidR="0029150E" w:rsidRPr="00CA1BB6" w:rsidRDefault="0029150E" w:rsidP="005546A4">
      <w:pPr>
        <w:pStyle w:val="FootnoteText"/>
        <w:rPr>
          <w:lang w:val="de-DE"/>
        </w:rPr>
      </w:pPr>
      <w:r w:rsidRPr="00CA1BB6">
        <w:rPr>
          <w:rStyle w:val="FootnoteReference"/>
          <w:lang w:val="de-DE"/>
        </w:rPr>
        <w:footnoteRef/>
      </w:r>
      <w:r w:rsidRPr="00CA1BB6">
        <w:rPr>
          <w:lang w:val="de-DE"/>
        </w:rPr>
        <w:t xml:space="preserve"> </w:t>
      </w:r>
      <w:r w:rsidRPr="00CA1BB6">
        <w:rPr>
          <w:lang w:val="de-DE" w:eastAsia="ja-JP"/>
        </w:rPr>
        <w:tab/>
      </w:r>
      <w:r w:rsidR="00B3412C" w:rsidRPr="00CA1BB6">
        <w:rPr>
          <w:lang w:val="de-DE" w:eastAsia="ja-JP"/>
        </w:rPr>
        <w:t>Für den</w:t>
      </w:r>
      <w:r w:rsidR="00005AAB" w:rsidRPr="00CA1BB6">
        <w:rPr>
          <w:lang w:val="de-DE" w:eastAsia="ja-JP"/>
        </w:rPr>
        <w:t xml:space="preserve"> 26. und 27. Oktober 2015 in Genf</w:t>
      </w:r>
      <w:r w:rsidR="00B3412C" w:rsidRPr="00CA1BB6">
        <w:rPr>
          <w:lang w:val="de-DE" w:eastAsia="ja-JP"/>
        </w:rPr>
        <w:t xml:space="preserve"> anberaumt</w:t>
      </w:r>
      <w:r w:rsidRPr="00CA1BB6">
        <w:rPr>
          <w:lang w:val="de-DE"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0E" w:rsidRPr="00997029" w:rsidRDefault="0029150E" w:rsidP="00E23920">
    <w:pPr>
      <w:jc w:val="center"/>
      <w:rPr>
        <w:rStyle w:val="PageNumber"/>
      </w:rPr>
    </w:pPr>
    <w:r>
      <w:rPr>
        <w:rStyle w:val="PageNumber"/>
      </w:rPr>
      <w:t>CAJ/71/3</w:t>
    </w:r>
  </w:p>
  <w:p w:rsidR="0029150E" w:rsidRPr="00997029" w:rsidRDefault="0029150E" w:rsidP="00E23920">
    <w:pPr>
      <w:jc w:val="center"/>
    </w:pPr>
    <w:r>
      <w:t>Seite</w:t>
    </w:r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597DAB">
      <w:rPr>
        <w:rStyle w:val="PageNumber"/>
        <w:noProof/>
      </w:rPr>
      <w:t>9</w:t>
    </w:r>
    <w:r w:rsidRPr="00997029">
      <w:rPr>
        <w:rStyle w:val="PageNumber"/>
      </w:rPr>
      <w:fldChar w:fldCharType="end"/>
    </w:r>
  </w:p>
  <w:p w:rsidR="0029150E" w:rsidRPr="00997029" w:rsidRDefault="0029150E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6E6"/>
    <w:multiLevelType w:val="hybridMultilevel"/>
    <w:tmpl w:val="56322C6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42A"/>
    <w:multiLevelType w:val="hybridMultilevel"/>
    <w:tmpl w:val="CFFC8DC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A1C5B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6BBA"/>
    <w:multiLevelType w:val="hybridMultilevel"/>
    <w:tmpl w:val="0C2430FC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F41D54">
      <w:start w:val="1"/>
      <w:numFmt w:val="lowerRoman"/>
      <w:lvlText w:val="(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7AB2"/>
    <w:multiLevelType w:val="hybridMultilevel"/>
    <w:tmpl w:val="AAA60BE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F41D54">
      <w:start w:val="1"/>
      <w:numFmt w:val="lowerRoman"/>
      <w:lvlText w:val="(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FE"/>
    <w:rsid w:val="00001380"/>
    <w:rsid w:val="00001D48"/>
    <w:rsid w:val="0000224E"/>
    <w:rsid w:val="00005626"/>
    <w:rsid w:val="00005AAB"/>
    <w:rsid w:val="00010CF3"/>
    <w:rsid w:val="00010DCB"/>
    <w:rsid w:val="00011E27"/>
    <w:rsid w:val="000148BC"/>
    <w:rsid w:val="000228BD"/>
    <w:rsid w:val="00024AB8"/>
    <w:rsid w:val="00026478"/>
    <w:rsid w:val="00036028"/>
    <w:rsid w:val="000446B9"/>
    <w:rsid w:val="00047E21"/>
    <w:rsid w:val="000525C0"/>
    <w:rsid w:val="0006472C"/>
    <w:rsid w:val="00076B53"/>
    <w:rsid w:val="000828FF"/>
    <w:rsid w:val="00085505"/>
    <w:rsid w:val="000A0F2B"/>
    <w:rsid w:val="000A519C"/>
    <w:rsid w:val="000C2102"/>
    <w:rsid w:val="000C6236"/>
    <w:rsid w:val="000C7021"/>
    <w:rsid w:val="000D492E"/>
    <w:rsid w:val="000D5DA3"/>
    <w:rsid w:val="000D6679"/>
    <w:rsid w:val="000D6BBC"/>
    <w:rsid w:val="000D7224"/>
    <w:rsid w:val="000D7780"/>
    <w:rsid w:val="000E42F8"/>
    <w:rsid w:val="000F05D7"/>
    <w:rsid w:val="00105929"/>
    <w:rsid w:val="00110481"/>
    <w:rsid w:val="001131D5"/>
    <w:rsid w:val="001164DE"/>
    <w:rsid w:val="0011722A"/>
    <w:rsid w:val="00123820"/>
    <w:rsid w:val="0013296B"/>
    <w:rsid w:val="00133176"/>
    <w:rsid w:val="00136CFB"/>
    <w:rsid w:val="001408F0"/>
    <w:rsid w:val="00141DB8"/>
    <w:rsid w:val="0015185B"/>
    <w:rsid w:val="00155977"/>
    <w:rsid w:val="00155F6F"/>
    <w:rsid w:val="0015781C"/>
    <w:rsid w:val="00162DD0"/>
    <w:rsid w:val="001746D4"/>
    <w:rsid w:val="0017474A"/>
    <w:rsid w:val="001758C6"/>
    <w:rsid w:val="00180984"/>
    <w:rsid w:val="00181D30"/>
    <w:rsid w:val="00184A04"/>
    <w:rsid w:val="00192EC1"/>
    <w:rsid w:val="0019355E"/>
    <w:rsid w:val="00195B01"/>
    <w:rsid w:val="00197636"/>
    <w:rsid w:val="001A60B8"/>
    <w:rsid w:val="001A7029"/>
    <w:rsid w:val="001C3DF3"/>
    <w:rsid w:val="001C646D"/>
    <w:rsid w:val="001D24DE"/>
    <w:rsid w:val="001D5473"/>
    <w:rsid w:val="001D664A"/>
    <w:rsid w:val="001E17A2"/>
    <w:rsid w:val="001E3D6F"/>
    <w:rsid w:val="001E6164"/>
    <w:rsid w:val="001E63FC"/>
    <w:rsid w:val="001F1F2A"/>
    <w:rsid w:val="001F5F0E"/>
    <w:rsid w:val="001F730D"/>
    <w:rsid w:val="001F7E0C"/>
    <w:rsid w:val="002127E2"/>
    <w:rsid w:val="0021332C"/>
    <w:rsid w:val="00213982"/>
    <w:rsid w:val="00214B92"/>
    <w:rsid w:val="00214C39"/>
    <w:rsid w:val="0021582C"/>
    <w:rsid w:val="00217B65"/>
    <w:rsid w:val="002326CE"/>
    <w:rsid w:val="002374D1"/>
    <w:rsid w:val="00237C7D"/>
    <w:rsid w:val="0024416D"/>
    <w:rsid w:val="00257984"/>
    <w:rsid w:val="0026489E"/>
    <w:rsid w:val="002661BE"/>
    <w:rsid w:val="00270F6C"/>
    <w:rsid w:val="0027309C"/>
    <w:rsid w:val="002800A0"/>
    <w:rsid w:val="00281060"/>
    <w:rsid w:val="0029150E"/>
    <w:rsid w:val="0029439F"/>
    <w:rsid w:val="00294A12"/>
    <w:rsid w:val="002A2C65"/>
    <w:rsid w:val="002A6E50"/>
    <w:rsid w:val="002B5FE4"/>
    <w:rsid w:val="002B703D"/>
    <w:rsid w:val="002C05E5"/>
    <w:rsid w:val="002C256A"/>
    <w:rsid w:val="002C2DFF"/>
    <w:rsid w:val="002C4F23"/>
    <w:rsid w:val="002D410B"/>
    <w:rsid w:val="002E18DE"/>
    <w:rsid w:val="002E25B7"/>
    <w:rsid w:val="002E7180"/>
    <w:rsid w:val="002E7BA1"/>
    <w:rsid w:val="002F655E"/>
    <w:rsid w:val="002F7364"/>
    <w:rsid w:val="002F78FA"/>
    <w:rsid w:val="003018C7"/>
    <w:rsid w:val="00303BC1"/>
    <w:rsid w:val="00305705"/>
    <w:rsid w:val="00305A7F"/>
    <w:rsid w:val="00306308"/>
    <w:rsid w:val="00307C75"/>
    <w:rsid w:val="003138BF"/>
    <w:rsid w:val="003152FE"/>
    <w:rsid w:val="00321658"/>
    <w:rsid w:val="0032221F"/>
    <w:rsid w:val="00327436"/>
    <w:rsid w:val="00344BD6"/>
    <w:rsid w:val="00344EB8"/>
    <w:rsid w:val="0034520A"/>
    <w:rsid w:val="00347C5F"/>
    <w:rsid w:val="00347E25"/>
    <w:rsid w:val="003533FA"/>
    <w:rsid w:val="0035528D"/>
    <w:rsid w:val="003614AC"/>
    <w:rsid w:val="00361821"/>
    <w:rsid w:val="00364587"/>
    <w:rsid w:val="00367F3E"/>
    <w:rsid w:val="00384902"/>
    <w:rsid w:val="00385DA2"/>
    <w:rsid w:val="003A17C8"/>
    <w:rsid w:val="003B10BD"/>
    <w:rsid w:val="003B388C"/>
    <w:rsid w:val="003C178D"/>
    <w:rsid w:val="003C2017"/>
    <w:rsid w:val="003C563E"/>
    <w:rsid w:val="003D0C5A"/>
    <w:rsid w:val="003D227C"/>
    <w:rsid w:val="003D2B4D"/>
    <w:rsid w:val="003D35D3"/>
    <w:rsid w:val="003E1A97"/>
    <w:rsid w:val="003E3D83"/>
    <w:rsid w:val="003F115C"/>
    <w:rsid w:val="003F6136"/>
    <w:rsid w:val="00400F79"/>
    <w:rsid w:val="00406D69"/>
    <w:rsid w:val="00406F69"/>
    <w:rsid w:val="00417FA1"/>
    <w:rsid w:val="004270CF"/>
    <w:rsid w:val="00427139"/>
    <w:rsid w:val="00433B8A"/>
    <w:rsid w:val="004362CF"/>
    <w:rsid w:val="00437E17"/>
    <w:rsid w:val="00444A88"/>
    <w:rsid w:val="00464850"/>
    <w:rsid w:val="00474DA4"/>
    <w:rsid w:val="00482E92"/>
    <w:rsid w:val="00483972"/>
    <w:rsid w:val="004906C1"/>
    <w:rsid w:val="00496E15"/>
    <w:rsid w:val="004A4CE7"/>
    <w:rsid w:val="004A7D16"/>
    <w:rsid w:val="004D047D"/>
    <w:rsid w:val="004D3533"/>
    <w:rsid w:val="004E34C3"/>
    <w:rsid w:val="004F305A"/>
    <w:rsid w:val="004F69F4"/>
    <w:rsid w:val="004F73E6"/>
    <w:rsid w:val="00500AFF"/>
    <w:rsid w:val="005011A7"/>
    <w:rsid w:val="00505D87"/>
    <w:rsid w:val="00512164"/>
    <w:rsid w:val="00517163"/>
    <w:rsid w:val="00520297"/>
    <w:rsid w:val="005300D4"/>
    <w:rsid w:val="005338F9"/>
    <w:rsid w:val="00534940"/>
    <w:rsid w:val="00536D46"/>
    <w:rsid w:val="0054281C"/>
    <w:rsid w:val="00543E63"/>
    <w:rsid w:val="005509C3"/>
    <w:rsid w:val="00550CFA"/>
    <w:rsid w:val="00551E76"/>
    <w:rsid w:val="0055268D"/>
    <w:rsid w:val="005546A4"/>
    <w:rsid w:val="0056672C"/>
    <w:rsid w:val="00572A8B"/>
    <w:rsid w:val="00572E44"/>
    <w:rsid w:val="00576BE4"/>
    <w:rsid w:val="005774AC"/>
    <w:rsid w:val="00597DAB"/>
    <w:rsid w:val="005A2580"/>
    <w:rsid w:val="005A400A"/>
    <w:rsid w:val="005A5EBD"/>
    <w:rsid w:val="005B5FD9"/>
    <w:rsid w:val="00602E7E"/>
    <w:rsid w:val="00607F6A"/>
    <w:rsid w:val="00612379"/>
    <w:rsid w:val="00612593"/>
    <w:rsid w:val="0061555F"/>
    <w:rsid w:val="00616118"/>
    <w:rsid w:val="006213FA"/>
    <w:rsid w:val="00624E4C"/>
    <w:rsid w:val="00625286"/>
    <w:rsid w:val="0062591F"/>
    <w:rsid w:val="006274F9"/>
    <w:rsid w:val="00631124"/>
    <w:rsid w:val="0063125F"/>
    <w:rsid w:val="00637070"/>
    <w:rsid w:val="0064096C"/>
    <w:rsid w:val="00641200"/>
    <w:rsid w:val="006454C2"/>
    <w:rsid w:val="00645627"/>
    <w:rsid w:val="00646BA1"/>
    <w:rsid w:val="0066004E"/>
    <w:rsid w:val="0066192B"/>
    <w:rsid w:val="00663ED8"/>
    <w:rsid w:val="00664515"/>
    <w:rsid w:val="00665549"/>
    <w:rsid w:val="00674C96"/>
    <w:rsid w:val="00676B9F"/>
    <w:rsid w:val="00680BCD"/>
    <w:rsid w:val="00682A23"/>
    <w:rsid w:val="00687EB4"/>
    <w:rsid w:val="006A24A2"/>
    <w:rsid w:val="006A7618"/>
    <w:rsid w:val="006B0500"/>
    <w:rsid w:val="006B17D2"/>
    <w:rsid w:val="006B2E46"/>
    <w:rsid w:val="006B2F51"/>
    <w:rsid w:val="006B45FA"/>
    <w:rsid w:val="006B6628"/>
    <w:rsid w:val="006C224E"/>
    <w:rsid w:val="006C244E"/>
    <w:rsid w:val="006C4BC9"/>
    <w:rsid w:val="006C5654"/>
    <w:rsid w:val="006C60FE"/>
    <w:rsid w:val="006E5E6D"/>
    <w:rsid w:val="006F04CC"/>
    <w:rsid w:val="006F34B2"/>
    <w:rsid w:val="006F478B"/>
    <w:rsid w:val="007009C0"/>
    <w:rsid w:val="00707B78"/>
    <w:rsid w:val="00716724"/>
    <w:rsid w:val="0072003C"/>
    <w:rsid w:val="00732DEC"/>
    <w:rsid w:val="00735BD5"/>
    <w:rsid w:val="00740CB2"/>
    <w:rsid w:val="0075117E"/>
    <w:rsid w:val="007513CB"/>
    <w:rsid w:val="007530EB"/>
    <w:rsid w:val="007556F6"/>
    <w:rsid w:val="00757F01"/>
    <w:rsid w:val="00760EEF"/>
    <w:rsid w:val="007634A4"/>
    <w:rsid w:val="00774FAA"/>
    <w:rsid w:val="007767F4"/>
    <w:rsid w:val="00777EE5"/>
    <w:rsid w:val="0078229D"/>
    <w:rsid w:val="00783221"/>
    <w:rsid w:val="00784836"/>
    <w:rsid w:val="00784C8F"/>
    <w:rsid w:val="0079023E"/>
    <w:rsid w:val="00793DA4"/>
    <w:rsid w:val="007A747B"/>
    <w:rsid w:val="007B6484"/>
    <w:rsid w:val="007B6894"/>
    <w:rsid w:val="007C1BF5"/>
    <w:rsid w:val="007C2F56"/>
    <w:rsid w:val="007C3794"/>
    <w:rsid w:val="007C6528"/>
    <w:rsid w:val="007C6639"/>
    <w:rsid w:val="007D0B9D"/>
    <w:rsid w:val="007D1802"/>
    <w:rsid w:val="007D19B0"/>
    <w:rsid w:val="007D1EC5"/>
    <w:rsid w:val="007D73FC"/>
    <w:rsid w:val="007F498F"/>
    <w:rsid w:val="007F5563"/>
    <w:rsid w:val="00802781"/>
    <w:rsid w:val="00805713"/>
    <w:rsid w:val="0080679D"/>
    <w:rsid w:val="00807A08"/>
    <w:rsid w:val="008108B0"/>
    <w:rsid w:val="00811B20"/>
    <w:rsid w:val="00821136"/>
    <w:rsid w:val="0082296E"/>
    <w:rsid w:val="00822A3B"/>
    <w:rsid w:val="00824099"/>
    <w:rsid w:val="008260AE"/>
    <w:rsid w:val="0083223D"/>
    <w:rsid w:val="00836E88"/>
    <w:rsid w:val="00843F63"/>
    <w:rsid w:val="0084451F"/>
    <w:rsid w:val="00846A21"/>
    <w:rsid w:val="00855DBD"/>
    <w:rsid w:val="00867AC1"/>
    <w:rsid w:val="00882E21"/>
    <w:rsid w:val="008A38D3"/>
    <w:rsid w:val="008A395B"/>
    <w:rsid w:val="008A64BC"/>
    <w:rsid w:val="008A743F"/>
    <w:rsid w:val="008B51D0"/>
    <w:rsid w:val="008B5249"/>
    <w:rsid w:val="008C0970"/>
    <w:rsid w:val="008C2316"/>
    <w:rsid w:val="008C2D9C"/>
    <w:rsid w:val="008C3FCB"/>
    <w:rsid w:val="008D2CF7"/>
    <w:rsid w:val="008E07A2"/>
    <w:rsid w:val="008E3B88"/>
    <w:rsid w:val="008E793E"/>
    <w:rsid w:val="008F2BAD"/>
    <w:rsid w:val="008F5CAE"/>
    <w:rsid w:val="00900C26"/>
    <w:rsid w:val="0090197F"/>
    <w:rsid w:val="009025A3"/>
    <w:rsid w:val="00903802"/>
    <w:rsid w:val="00906DDC"/>
    <w:rsid w:val="0090775D"/>
    <w:rsid w:val="0090789B"/>
    <w:rsid w:val="009136C0"/>
    <w:rsid w:val="009152A1"/>
    <w:rsid w:val="00917A91"/>
    <w:rsid w:val="0092329C"/>
    <w:rsid w:val="00924FC0"/>
    <w:rsid w:val="00925996"/>
    <w:rsid w:val="00934E09"/>
    <w:rsid w:val="00936253"/>
    <w:rsid w:val="00941F65"/>
    <w:rsid w:val="00944815"/>
    <w:rsid w:val="00944A21"/>
    <w:rsid w:val="009452B1"/>
    <w:rsid w:val="00961DB7"/>
    <w:rsid w:val="00970FED"/>
    <w:rsid w:val="00973A6F"/>
    <w:rsid w:val="009848BA"/>
    <w:rsid w:val="0098796D"/>
    <w:rsid w:val="00993A77"/>
    <w:rsid w:val="0099507C"/>
    <w:rsid w:val="00997029"/>
    <w:rsid w:val="009971AC"/>
    <w:rsid w:val="009A1E48"/>
    <w:rsid w:val="009A2493"/>
    <w:rsid w:val="009B092F"/>
    <w:rsid w:val="009C565E"/>
    <w:rsid w:val="009D0DE5"/>
    <w:rsid w:val="009D2990"/>
    <w:rsid w:val="009D38C1"/>
    <w:rsid w:val="009D5FB2"/>
    <w:rsid w:val="009D690D"/>
    <w:rsid w:val="009D6AFD"/>
    <w:rsid w:val="009D77D3"/>
    <w:rsid w:val="009E65B6"/>
    <w:rsid w:val="009F4A50"/>
    <w:rsid w:val="00A00FB7"/>
    <w:rsid w:val="00A02AD7"/>
    <w:rsid w:val="00A03FC2"/>
    <w:rsid w:val="00A04CBE"/>
    <w:rsid w:val="00A06E67"/>
    <w:rsid w:val="00A07CF1"/>
    <w:rsid w:val="00A1050E"/>
    <w:rsid w:val="00A14CF8"/>
    <w:rsid w:val="00A2438A"/>
    <w:rsid w:val="00A26331"/>
    <w:rsid w:val="00A277F9"/>
    <w:rsid w:val="00A30FA3"/>
    <w:rsid w:val="00A3329D"/>
    <w:rsid w:val="00A42AC3"/>
    <w:rsid w:val="00A430CF"/>
    <w:rsid w:val="00A43FEC"/>
    <w:rsid w:val="00A5024F"/>
    <w:rsid w:val="00A5070C"/>
    <w:rsid w:val="00A54309"/>
    <w:rsid w:val="00A63BED"/>
    <w:rsid w:val="00A714B8"/>
    <w:rsid w:val="00A724A0"/>
    <w:rsid w:val="00A74316"/>
    <w:rsid w:val="00A75C60"/>
    <w:rsid w:val="00A77EEC"/>
    <w:rsid w:val="00A81B86"/>
    <w:rsid w:val="00A81CB3"/>
    <w:rsid w:val="00A837D5"/>
    <w:rsid w:val="00A92C55"/>
    <w:rsid w:val="00AB2B93"/>
    <w:rsid w:val="00AB693B"/>
    <w:rsid w:val="00AC7239"/>
    <w:rsid w:val="00AC77E2"/>
    <w:rsid w:val="00AD1F31"/>
    <w:rsid w:val="00AD5E4A"/>
    <w:rsid w:val="00AE0EF1"/>
    <w:rsid w:val="00AF1DB8"/>
    <w:rsid w:val="00AF6234"/>
    <w:rsid w:val="00B02385"/>
    <w:rsid w:val="00B04654"/>
    <w:rsid w:val="00B04842"/>
    <w:rsid w:val="00B06046"/>
    <w:rsid w:val="00B07301"/>
    <w:rsid w:val="00B1421B"/>
    <w:rsid w:val="00B224DE"/>
    <w:rsid w:val="00B24D15"/>
    <w:rsid w:val="00B2755F"/>
    <w:rsid w:val="00B3412C"/>
    <w:rsid w:val="00B356BD"/>
    <w:rsid w:val="00B40DE3"/>
    <w:rsid w:val="00B45126"/>
    <w:rsid w:val="00B54A99"/>
    <w:rsid w:val="00B55CC2"/>
    <w:rsid w:val="00B60BDB"/>
    <w:rsid w:val="00B63300"/>
    <w:rsid w:val="00B65A8F"/>
    <w:rsid w:val="00B81A9A"/>
    <w:rsid w:val="00B84BBD"/>
    <w:rsid w:val="00B91499"/>
    <w:rsid w:val="00BA3BC1"/>
    <w:rsid w:val="00BA43FB"/>
    <w:rsid w:val="00BA4549"/>
    <w:rsid w:val="00BB290D"/>
    <w:rsid w:val="00BB5C0E"/>
    <w:rsid w:val="00BC127D"/>
    <w:rsid w:val="00BC1FE6"/>
    <w:rsid w:val="00BD4C24"/>
    <w:rsid w:val="00BE39BB"/>
    <w:rsid w:val="00BF17AE"/>
    <w:rsid w:val="00C061B6"/>
    <w:rsid w:val="00C0650D"/>
    <w:rsid w:val="00C07976"/>
    <w:rsid w:val="00C1346A"/>
    <w:rsid w:val="00C14353"/>
    <w:rsid w:val="00C17124"/>
    <w:rsid w:val="00C21DBF"/>
    <w:rsid w:val="00C23522"/>
    <w:rsid w:val="00C2446C"/>
    <w:rsid w:val="00C32CBF"/>
    <w:rsid w:val="00C35B57"/>
    <w:rsid w:val="00C3674C"/>
    <w:rsid w:val="00C36AE5"/>
    <w:rsid w:val="00C372E9"/>
    <w:rsid w:val="00C412D8"/>
    <w:rsid w:val="00C41E31"/>
    <w:rsid w:val="00C41F17"/>
    <w:rsid w:val="00C421CB"/>
    <w:rsid w:val="00C54BF4"/>
    <w:rsid w:val="00C5791C"/>
    <w:rsid w:val="00C62064"/>
    <w:rsid w:val="00C625C5"/>
    <w:rsid w:val="00C66290"/>
    <w:rsid w:val="00C715A5"/>
    <w:rsid w:val="00C72B7A"/>
    <w:rsid w:val="00C74508"/>
    <w:rsid w:val="00C8030E"/>
    <w:rsid w:val="00C84A93"/>
    <w:rsid w:val="00C9090B"/>
    <w:rsid w:val="00C973F2"/>
    <w:rsid w:val="00CA1BB6"/>
    <w:rsid w:val="00CA2F60"/>
    <w:rsid w:val="00CA45AA"/>
    <w:rsid w:val="00CA495A"/>
    <w:rsid w:val="00CA774A"/>
    <w:rsid w:val="00CB25A2"/>
    <w:rsid w:val="00CB47D9"/>
    <w:rsid w:val="00CB7214"/>
    <w:rsid w:val="00CC0577"/>
    <w:rsid w:val="00CC11B0"/>
    <w:rsid w:val="00CD310B"/>
    <w:rsid w:val="00CD31CD"/>
    <w:rsid w:val="00CD3684"/>
    <w:rsid w:val="00CD4E41"/>
    <w:rsid w:val="00CD518F"/>
    <w:rsid w:val="00CE2A2A"/>
    <w:rsid w:val="00CF4725"/>
    <w:rsid w:val="00CF7E36"/>
    <w:rsid w:val="00D22372"/>
    <w:rsid w:val="00D233D8"/>
    <w:rsid w:val="00D24210"/>
    <w:rsid w:val="00D306D7"/>
    <w:rsid w:val="00D3708D"/>
    <w:rsid w:val="00D40426"/>
    <w:rsid w:val="00D57C96"/>
    <w:rsid w:val="00D70CD4"/>
    <w:rsid w:val="00D81E9C"/>
    <w:rsid w:val="00D82FC2"/>
    <w:rsid w:val="00D86C19"/>
    <w:rsid w:val="00D91203"/>
    <w:rsid w:val="00D91F46"/>
    <w:rsid w:val="00D943A1"/>
    <w:rsid w:val="00D95174"/>
    <w:rsid w:val="00D95A5C"/>
    <w:rsid w:val="00DA10C8"/>
    <w:rsid w:val="00DA1AF4"/>
    <w:rsid w:val="00DA6F36"/>
    <w:rsid w:val="00DB113F"/>
    <w:rsid w:val="00DC00EA"/>
    <w:rsid w:val="00DC795D"/>
    <w:rsid w:val="00DD54C8"/>
    <w:rsid w:val="00DD7347"/>
    <w:rsid w:val="00DE2A64"/>
    <w:rsid w:val="00E03BF3"/>
    <w:rsid w:val="00E14A58"/>
    <w:rsid w:val="00E23920"/>
    <w:rsid w:val="00E37A9E"/>
    <w:rsid w:val="00E53E7F"/>
    <w:rsid w:val="00E60E4F"/>
    <w:rsid w:val="00E613F7"/>
    <w:rsid w:val="00E645D6"/>
    <w:rsid w:val="00E66B3C"/>
    <w:rsid w:val="00E67961"/>
    <w:rsid w:val="00E71F11"/>
    <w:rsid w:val="00E72D49"/>
    <w:rsid w:val="00E7593C"/>
    <w:rsid w:val="00E7678A"/>
    <w:rsid w:val="00E76C9D"/>
    <w:rsid w:val="00E77A16"/>
    <w:rsid w:val="00E834E6"/>
    <w:rsid w:val="00E90BDF"/>
    <w:rsid w:val="00E935F1"/>
    <w:rsid w:val="00E94A81"/>
    <w:rsid w:val="00E97DFE"/>
    <w:rsid w:val="00EA1FFB"/>
    <w:rsid w:val="00EA21C8"/>
    <w:rsid w:val="00EA220D"/>
    <w:rsid w:val="00EB048E"/>
    <w:rsid w:val="00EB3EFA"/>
    <w:rsid w:val="00EB6848"/>
    <w:rsid w:val="00EF2F89"/>
    <w:rsid w:val="00F0066E"/>
    <w:rsid w:val="00F011BD"/>
    <w:rsid w:val="00F0125D"/>
    <w:rsid w:val="00F01F36"/>
    <w:rsid w:val="00F0228C"/>
    <w:rsid w:val="00F04DEB"/>
    <w:rsid w:val="00F07D4B"/>
    <w:rsid w:val="00F1237A"/>
    <w:rsid w:val="00F12480"/>
    <w:rsid w:val="00F21765"/>
    <w:rsid w:val="00F22CBD"/>
    <w:rsid w:val="00F3421C"/>
    <w:rsid w:val="00F343C0"/>
    <w:rsid w:val="00F37961"/>
    <w:rsid w:val="00F53766"/>
    <w:rsid w:val="00F57B93"/>
    <w:rsid w:val="00F62511"/>
    <w:rsid w:val="00F6334D"/>
    <w:rsid w:val="00F7073A"/>
    <w:rsid w:val="00F72ADF"/>
    <w:rsid w:val="00F77E69"/>
    <w:rsid w:val="00F808CA"/>
    <w:rsid w:val="00F9309D"/>
    <w:rsid w:val="00FA47CE"/>
    <w:rsid w:val="00FA49AB"/>
    <w:rsid w:val="00FA4EEA"/>
    <w:rsid w:val="00FA5737"/>
    <w:rsid w:val="00FA5DAC"/>
    <w:rsid w:val="00FA640E"/>
    <w:rsid w:val="00FB0D37"/>
    <w:rsid w:val="00FC162D"/>
    <w:rsid w:val="00FD640B"/>
    <w:rsid w:val="00FE158F"/>
    <w:rsid w:val="00FE39C7"/>
    <w:rsid w:val="00FE4AF3"/>
    <w:rsid w:val="00FE7EC3"/>
    <w:rsid w:val="00FF1B82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45126"/>
    <w:pPr>
      <w:keepNext/>
      <w:jc w:val="both"/>
      <w:outlineLvl w:val="0"/>
    </w:pPr>
    <w:rPr>
      <w:rFonts w:ascii="Arial" w:hAnsi="Arial"/>
      <w:caps/>
      <w:lang w:eastAsia="ja-JP"/>
    </w:rPr>
  </w:style>
  <w:style w:type="paragraph" w:styleId="Heading2">
    <w:name w:val="heading 2"/>
    <w:next w:val="Normal"/>
    <w:autoRedefine/>
    <w:qFormat/>
    <w:rsid w:val="004906C1"/>
    <w:pPr>
      <w:keepNext/>
      <w:spacing w:before="6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546A4"/>
    <w:pPr>
      <w:spacing w:before="60"/>
      <w:ind w:left="567" w:right="-142" w:hanging="567"/>
      <w:jc w:val="both"/>
    </w:pPr>
    <w:rPr>
      <w:rFonts w:ascii="Arial" w:hAnsi="Arial"/>
      <w:spacing w:val="-2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631124"/>
    <w:pPr>
      <w:tabs>
        <w:tab w:val="right" w:leader="dot" w:pos="9639"/>
      </w:tabs>
      <w:spacing w:before="120"/>
      <w:ind w:left="270" w:right="851" w:firstLine="14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F05D7"/>
    <w:pPr>
      <w:tabs>
        <w:tab w:val="right" w:leader="dot" w:pos="9639"/>
      </w:tabs>
      <w:spacing w:before="60" w:after="12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customStyle="1" w:styleId="dec">
    <w:name w:val="dec"/>
    <w:basedOn w:val="Normal"/>
    <w:link w:val="decChar"/>
    <w:qFormat/>
    <w:rsid w:val="003E3D83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3E3D83"/>
    <w:rPr>
      <w:rFonts w:ascii="Arial" w:eastAsiaTheme="minorEastAsia" w:hAnsi="Arial"/>
      <w:i/>
      <w:spacing w:val="-2"/>
    </w:rPr>
  </w:style>
  <w:style w:type="paragraph" w:styleId="ListParagraph">
    <w:name w:val="List Paragraph"/>
    <w:basedOn w:val="Normal"/>
    <w:uiPriority w:val="34"/>
    <w:qFormat/>
    <w:rsid w:val="003E3D83"/>
    <w:pPr>
      <w:ind w:left="720"/>
      <w:contextualSpacing/>
    </w:pPr>
  </w:style>
  <w:style w:type="character" w:customStyle="1" w:styleId="FootnoteTextChar">
    <w:name w:val="Footnote Text Char"/>
    <w:link w:val="FootnoteText"/>
    <w:rsid w:val="005546A4"/>
    <w:rPr>
      <w:rFonts w:ascii="Arial" w:hAnsi="Arial"/>
      <w:spacing w:val="-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45126"/>
    <w:pPr>
      <w:keepNext/>
      <w:jc w:val="both"/>
      <w:outlineLvl w:val="0"/>
    </w:pPr>
    <w:rPr>
      <w:rFonts w:ascii="Arial" w:hAnsi="Arial"/>
      <w:caps/>
      <w:lang w:eastAsia="ja-JP"/>
    </w:rPr>
  </w:style>
  <w:style w:type="paragraph" w:styleId="Heading2">
    <w:name w:val="heading 2"/>
    <w:next w:val="Normal"/>
    <w:autoRedefine/>
    <w:qFormat/>
    <w:rsid w:val="004906C1"/>
    <w:pPr>
      <w:keepNext/>
      <w:spacing w:before="6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546A4"/>
    <w:pPr>
      <w:spacing w:before="60"/>
      <w:ind w:left="567" w:right="-142" w:hanging="567"/>
      <w:jc w:val="both"/>
    </w:pPr>
    <w:rPr>
      <w:rFonts w:ascii="Arial" w:hAnsi="Arial"/>
      <w:spacing w:val="-2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631124"/>
    <w:pPr>
      <w:tabs>
        <w:tab w:val="right" w:leader="dot" w:pos="9639"/>
      </w:tabs>
      <w:spacing w:before="120"/>
      <w:ind w:left="270" w:right="851" w:firstLine="14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F05D7"/>
    <w:pPr>
      <w:tabs>
        <w:tab w:val="right" w:leader="dot" w:pos="9639"/>
      </w:tabs>
      <w:spacing w:before="60" w:after="12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customStyle="1" w:styleId="dec">
    <w:name w:val="dec"/>
    <w:basedOn w:val="Normal"/>
    <w:link w:val="decChar"/>
    <w:qFormat/>
    <w:rsid w:val="003E3D83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3E3D83"/>
    <w:rPr>
      <w:rFonts w:ascii="Arial" w:eastAsiaTheme="minorEastAsia" w:hAnsi="Arial"/>
      <w:i/>
      <w:spacing w:val="-2"/>
    </w:rPr>
  </w:style>
  <w:style w:type="paragraph" w:styleId="ListParagraph">
    <w:name w:val="List Paragraph"/>
    <w:basedOn w:val="Normal"/>
    <w:uiPriority w:val="34"/>
    <w:qFormat/>
    <w:rsid w:val="003E3D83"/>
    <w:pPr>
      <w:ind w:left="720"/>
      <w:contextualSpacing/>
    </w:pPr>
  </w:style>
  <w:style w:type="character" w:customStyle="1" w:styleId="FootnoteTextChar">
    <w:name w:val="Footnote Text Char"/>
    <w:link w:val="FootnoteText"/>
    <w:rsid w:val="005546A4"/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ov.int/pluto/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pluto/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meetings/en/details.jsp?meeting_id=344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ov.int/meetings/de/details.jsp?meeting_id=35055" TargetMode="External"/><Relationship Id="rId1" Type="http://schemas.openxmlformats.org/officeDocument/2006/relationships/hyperlink" Target="http://www.upov.int/meetings/en/details.jsp?meeting_id=2978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CAJ\CAJ71\templates\CAJ_7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BE3D-2334-4918-B4E9-83192A96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CAJ_71_EN.dotx</Template>
  <TotalTime>4</TotalTime>
  <Pages>9</Pages>
  <Words>3106</Words>
  <Characters>20884</Characters>
  <Application>Microsoft Office Word</Application>
  <DocSecurity>0</DocSecurity>
  <Lines>174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CAJ/70/</vt:lpstr>
      <vt:lpstr>CAJ/70/</vt:lpstr>
    </vt:vector>
  </TitlesOfParts>
  <Company>UPOV</Company>
  <LinksUpToDate>false</LinksUpToDate>
  <CharactersWithSpaces>23943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PASIEKA Allie</dc:creator>
  <cp:lastModifiedBy>BESSE Ariane</cp:lastModifiedBy>
  <cp:revision>6</cp:revision>
  <cp:lastPrinted>2015-03-09T15:52:00Z</cp:lastPrinted>
  <dcterms:created xsi:type="dcterms:W3CDTF">2015-03-09T07:46:00Z</dcterms:created>
  <dcterms:modified xsi:type="dcterms:W3CDTF">2015-03-09T15:53:00Z</dcterms:modified>
</cp:coreProperties>
</file>