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3C3A9D" w:rsidRPr="003C3A9D" w:rsidTr="00176C7D">
        <w:trPr>
          <w:trHeight w:val="1760"/>
        </w:trPr>
        <w:tc>
          <w:tcPr>
            <w:tcW w:w="4243" w:type="dxa"/>
          </w:tcPr>
          <w:p w:rsidR="003C3A9D" w:rsidRPr="00414E3C" w:rsidRDefault="003C3A9D" w:rsidP="00176C7D">
            <w:bookmarkStart w:id="0" w:name="_GoBack"/>
            <w:bookmarkEnd w:id="0"/>
          </w:p>
        </w:tc>
        <w:tc>
          <w:tcPr>
            <w:tcW w:w="1646" w:type="dxa"/>
            <w:vAlign w:val="center"/>
          </w:tcPr>
          <w:p w:rsidR="003C3A9D" w:rsidRPr="00414E3C" w:rsidRDefault="003C3A9D" w:rsidP="00176C7D">
            <w:pPr>
              <w:pStyle w:val="LogoUPOV"/>
            </w:pPr>
            <w:r w:rsidRPr="00414E3C">
              <w:rPr>
                <w:noProof/>
              </w:rPr>
              <w:drawing>
                <wp:inline distT="0" distB="0" distL="0" distR="0" wp14:anchorId="78A1D93D" wp14:editId="7417F9F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3C3A9D" w:rsidRPr="003C3A9D" w:rsidRDefault="003C3A9D" w:rsidP="00176C7D">
            <w:pPr>
              <w:pStyle w:val="Lettrine"/>
              <w:rPr>
                <w:lang w:val="de-DE"/>
              </w:rPr>
            </w:pPr>
            <w:r w:rsidRPr="003C3A9D">
              <w:rPr>
                <w:lang w:val="de-DE"/>
              </w:rPr>
              <w:t>G</w:t>
            </w:r>
          </w:p>
          <w:p w:rsidR="003C3A9D" w:rsidRPr="003C3A9D" w:rsidRDefault="003C3A9D" w:rsidP="00176C7D">
            <w:pPr>
              <w:pStyle w:val="Docoriginal"/>
              <w:jc w:val="left"/>
              <w:rPr>
                <w:lang w:val="de-DE"/>
              </w:rPr>
            </w:pPr>
            <w:r w:rsidRPr="003C3A9D">
              <w:rPr>
                <w:lang w:val="de-DE"/>
              </w:rPr>
              <w:t>CAJ/7</w:t>
            </w:r>
            <w:r>
              <w:rPr>
                <w:lang w:val="de-DE"/>
              </w:rPr>
              <w:t>1</w:t>
            </w:r>
            <w:r w:rsidRPr="003C3A9D">
              <w:rPr>
                <w:lang w:val="de-DE"/>
              </w:rPr>
              <w:t>/</w:t>
            </w:r>
            <w:bookmarkStart w:id="1" w:name="Code"/>
            <w:bookmarkEnd w:id="1"/>
            <w:r>
              <w:rPr>
                <w:lang w:val="de-DE"/>
              </w:rPr>
              <w:t>11</w:t>
            </w:r>
          </w:p>
          <w:p w:rsidR="003C3A9D" w:rsidRPr="003C3A9D" w:rsidRDefault="003C3A9D" w:rsidP="00176C7D">
            <w:pPr>
              <w:pStyle w:val="Docoriginal"/>
              <w:jc w:val="left"/>
              <w:rPr>
                <w:lang w:val="de-DE"/>
              </w:rPr>
            </w:pPr>
            <w:r w:rsidRPr="00414E3C">
              <w:rPr>
                <w:rStyle w:val="StyleDoclangBold"/>
                <w:b/>
                <w:bCs/>
                <w:spacing w:val="0"/>
                <w:lang w:val="de-DE"/>
              </w:rPr>
              <w:t>ORIGINAL:</w:t>
            </w:r>
            <w:r w:rsidRPr="00414E3C">
              <w:rPr>
                <w:rStyle w:val="StyleDocoriginalNotBold1"/>
                <w:spacing w:val="0"/>
                <w:lang w:val="de-DE"/>
              </w:rPr>
              <w:t xml:space="preserve"> </w:t>
            </w:r>
            <w:bookmarkStart w:id="2" w:name="Original"/>
            <w:bookmarkEnd w:id="2"/>
            <w:r w:rsidRPr="003C3A9D">
              <w:rPr>
                <w:b w:val="0"/>
                <w:spacing w:val="0"/>
                <w:lang w:val="de-DE"/>
              </w:rPr>
              <w:t>englisch</w:t>
            </w:r>
          </w:p>
          <w:p w:rsidR="003C3A9D" w:rsidRPr="00633F67" w:rsidRDefault="003C3A9D" w:rsidP="00DB4033">
            <w:pPr>
              <w:pStyle w:val="Docoriginal"/>
              <w:jc w:val="left"/>
              <w:rPr>
                <w:spacing w:val="0"/>
                <w:lang w:val="de-DE"/>
              </w:rPr>
            </w:pPr>
            <w:r w:rsidRPr="00633F67">
              <w:rPr>
                <w:spacing w:val="0"/>
                <w:lang w:val="de-DE"/>
              </w:rPr>
              <w:t xml:space="preserve">DATUM: </w:t>
            </w:r>
            <w:bookmarkStart w:id="3" w:name="Date"/>
            <w:bookmarkEnd w:id="3"/>
            <w:r w:rsidR="00633F67" w:rsidRPr="00633F67">
              <w:rPr>
                <w:b w:val="0"/>
                <w:spacing w:val="0"/>
                <w:lang w:val="de-DE"/>
              </w:rPr>
              <w:t>1</w:t>
            </w:r>
            <w:r w:rsidRPr="00633F67">
              <w:rPr>
                <w:b w:val="0"/>
                <w:spacing w:val="0"/>
                <w:lang w:val="de-DE"/>
              </w:rPr>
              <w:t xml:space="preserve">. </w:t>
            </w:r>
            <w:r w:rsidR="00DB4033">
              <w:rPr>
                <w:b w:val="0"/>
                <w:spacing w:val="0"/>
                <w:lang w:val="de-DE"/>
              </w:rPr>
              <w:t>Oktober</w:t>
            </w:r>
            <w:r w:rsidR="00633F67" w:rsidRPr="00633F67">
              <w:rPr>
                <w:b w:val="0"/>
                <w:spacing w:val="0"/>
                <w:lang w:val="de-DE"/>
              </w:rPr>
              <w:t xml:space="preserve"> </w:t>
            </w:r>
            <w:r w:rsidRPr="00633F67">
              <w:rPr>
                <w:b w:val="0"/>
                <w:spacing w:val="0"/>
                <w:lang w:val="de-DE"/>
              </w:rPr>
              <w:t>2015</w:t>
            </w:r>
          </w:p>
        </w:tc>
      </w:tr>
      <w:tr w:rsidR="003C3A9D" w:rsidRPr="003D724A" w:rsidTr="00176C7D">
        <w:tc>
          <w:tcPr>
            <w:tcW w:w="10131" w:type="dxa"/>
            <w:gridSpan w:val="3"/>
          </w:tcPr>
          <w:p w:rsidR="003C3A9D" w:rsidRPr="003C3A9D" w:rsidRDefault="003C3A9D" w:rsidP="00176C7D">
            <w:pPr>
              <w:pStyle w:val="upove"/>
              <w:rPr>
                <w:spacing w:val="10"/>
                <w:sz w:val="28"/>
                <w:lang w:val="de-DE"/>
              </w:rPr>
            </w:pPr>
            <w:r w:rsidRPr="003C3A9D">
              <w:rPr>
                <w:snapToGrid w:val="0"/>
                <w:spacing w:val="10"/>
                <w:lang w:val="de-DE"/>
              </w:rPr>
              <w:t>INTERNATIONALER VERBAND ZUM SCHUTZ VON PFLANZENZÜCHTUNGEN</w:t>
            </w:r>
          </w:p>
        </w:tc>
      </w:tr>
      <w:tr w:rsidR="003C3A9D" w:rsidRPr="003C3A9D" w:rsidTr="00176C7D">
        <w:tc>
          <w:tcPr>
            <w:tcW w:w="10131" w:type="dxa"/>
            <w:gridSpan w:val="3"/>
          </w:tcPr>
          <w:p w:rsidR="003C3A9D" w:rsidRPr="003C3A9D" w:rsidRDefault="003C3A9D" w:rsidP="00176C7D">
            <w:pPr>
              <w:pStyle w:val="Country"/>
              <w:rPr>
                <w:lang w:val="de-DE"/>
              </w:rPr>
            </w:pPr>
            <w:r w:rsidRPr="003C3A9D">
              <w:rPr>
                <w:lang w:val="de-DE"/>
              </w:rPr>
              <w:t>Genf</w:t>
            </w:r>
          </w:p>
        </w:tc>
      </w:tr>
    </w:tbl>
    <w:p w:rsidR="003C3A9D" w:rsidRPr="003C3A9D" w:rsidRDefault="003C3A9D" w:rsidP="003C3A9D">
      <w:pPr>
        <w:pStyle w:val="Sessiontc"/>
        <w:rPr>
          <w:lang w:val="de-DE"/>
        </w:rPr>
      </w:pPr>
      <w:r w:rsidRPr="003C3A9D">
        <w:rPr>
          <w:lang w:val="de-DE"/>
        </w:rPr>
        <w:t>Verwaltungs- und Rechtsausschuss</w:t>
      </w:r>
    </w:p>
    <w:p w:rsidR="00361821" w:rsidRPr="003D724A" w:rsidRDefault="003D724A" w:rsidP="004E4F91">
      <w:pPr>
        <w:pStyle w:val="Sessiontcplacedate"/>
        <w:rPr>
          <w:lang w:val="de-DE"/>
        </w:rPr>
      </w:pPr>
      <w:r w:rsidRPr="003D724A">
        <w:rPr>
          <w:lang w:val="de-DE"/>
        </w:rPr>
        <w:t>Einundsiebzigste Tagung</w:t>
      </w:r>
      <w:r w:rsidR="00361821" w:rsidRPr="003D724A">
        <w:rPr>
          <w:lang w:val="de-DE"/>
        </w:rPr>
        <w:br/>
      </w:r>
      <w:r w:rsidR="00FB0D37" w:rsidRPr="003D724A">
        <w:rPr>
          <w:lang w:val="de-DE"/>
        </w:rPr>
        <w:t>Gen</w:t>
      </w:r>
      <w:r w:rsidRPr="003D724A">
        <w:rPr>
          <w:lang w:val="de-DE"/>
        </w:rPr>
        <w:t>f</w:t>
      </w:r>
      <w:r w:rsidR="00FB0D37" w:rsidRPr="003D724A">
        <w:rPr>
          <w:lang w:val="de-DE"/>
        </w:rPr>
        <w:t xml:space="preserve">, </w:t>
      </w:r>
      <w:r w:rsidR="00551E76" w:rsidRPr="003D724A">
        <w:rPr>
          <w:lang w:val="de-DE"/>
        </w:rPr>
        <w:t>2</w:t>
      </w:r>
      <w:r w:rsidRPr="003D724A">
        <w:rPr>
          <w:lang w:val="de-DE"/>
        </w:rPr>
        <w:t>6.</w:t>
      </w:r>
      <w:r>
        <w:rPr>
          <w:lang w:val="de-DE"/>
        </w:rPr>
        <w:t xml:space="preserve"> März</w:t>
      </w:r>
      <w:r w:rsidR="00551E76" w:rsidRPr="003D724A">
        <w:rPr>
          <w:lang w:val="de-DE"/>
        </w:rPr>
        <w:t xml:space="preserve"> 2015</w:t>
      </w:r>
    </w:p>
    <w:p w:rsidR="001B0A14" w:rsidRPr="003C3A9D" w:rsidRDefault="003D724A" w:rsidP="004E4F91">
      <w:pPr>
        <w:pStyle w:val="Titleofdoc0"/>
        <w:rPr>
          <w:lang w:val="de-DE"/>
        </w:rPr>
      </w:pPr>
      <w:bookmarkStart w:id="4" w:name="TitleOfDoc"/>
      <w:bookmarkEnd w:id="4"/>
      <w:r>
        <w:rPr>
          <w:kern w:val="28"/>
          <w:lang w:val="de-DE"/>
        </w:rPr>
        <w:t>BERICHT</w:t>
      </w:r>
    </w:p>
    <w:p w:rsidR="003C3A9D" w:rsidRPr="003C3A9D" w:rsidRDefault="00DB4033" w:rsidP="003C3A9D">
      <w:pPr>
        <w:pStyle w:val="preparedby1"/>
        <w:rPr>
          <w:lang w:val="de-DE"/>
        </w:rPr>
      </w:pPr>
      <w:bookmarkStart w:id="5" w:name="Prepared"/>
      <w:bookmarkEnd w:id="5"/>
      <w:r w:rsidRPr="00DB4033">
        <w:rPr>
          <w:lang w:val="de-DE"/>
        </w:rPr>
        <w:t>vom Verwaltungs- und Rechtsausschuß angenommen</w:t>
      </w:r>
      <w:r w:rsidR="003C3A9D" w:rsidRPr="003C3A9D">
        <w:rPr>
          <w:lang w:val="de-DE"/>
        </w:rPr>
        <w:br/>
      </w:r>
      <w:r w:rsidR="003C3A9D" w:rsidRPr="003C3A9D">
        <w:rPr>
          <w:lang w:val="de-DE"/>
        </w:rPr>
        <w:br/>
      </w:r>
      <w:r w:rsidR="003C3A9D" w:rsidRPr="003C3A9D">
        <w:rPr>
          <w:color w:val="A6A6A6" w:themeColor="background1" w:themeShade="A6"/>
          <w:lang w:val="de-DE"/>
        </w:rPr>
        <w:t>Haftungsausschluß: dieses Dokument gibt nicht die Grundsätze oder eine Anleitung der UPOV wieder</w:t>
      </w:r>
    </w:p>
    <w:p w:rsidR="003C3A9D" w:rsidRPr="007F371C" w:rsidRDefault="003C3A9D" w:rsidP="003C3A9D">
      <w:pPr>
        <w:keepNext/>
        <w:jc w:val="left"/>
        <w:outlineLvl w:val="0"/>
        <w:rPr>
          <w:snapToGrid w:val="0"/>
          <w:u w:val="single"/>
          <w:lang w:val="de-DE"/>
        </w:rPr>
      </w:pPr>
      <w:r w:rsidRPr="007F371C">
        <w:rPr>
          <w:snapToGrid w:val="0"/>
          <w:u w:val="single"/>
          <w:lang w:val="de-DE"/>
        </w:rPr>
        <w:t>Eröffnung der Tagung</w:t>
      </w:r>
    </w:p>
    <w:p w:rsidR="00175AE8" w:rsidRPr="003D724A" w:rsidRDefault="00175AE8" w:rsidP="004E4F91">
      <w:pPr>
        <w:rPr>
          <w:lang w:val="de-DE"/>
        </w:rPr>
      </w:pPr>
    </w:p>
    <w:p w:rsidR="00175AE8" w:rsidRPr="003C3A9D" w:rsidRDefault="00B85B59" w:rsidP="004E4F91">
      <w:pPr>
        <w:rPr>
          <w:lang w:val="de-DE"/>
        </w:rPr>
      </w:pPr>
      <w:bookmarkStart w:id="6" w:name="_Ref345599622"/>
      <w:r w:rsidRPr="003C3A9D">
        <w:rPr>
          <w:rStyle w:val="FootnoteReference"/>
          <w:lang w:val="de-DE"/>
        </w:rPr>
        <w:footnoteReference w:customMarkFollows="1" w:id="2"/>
        <w:t>*</w:t>
      </w:r>
      <w:bookmarkEnd w:id="6"/>
      <w:r w:rsidR="00175AE8" w:rsidRPr="00AB63DB">
        <w:fldChar w:fldCharType="begin"/>
      </w:r>
      <w:r w:rsidR="00175AE8" w:rsidRPr="003C3A9D">
        <w:rPr>
          <w:lang w:val="de-DE"/>
        </w:rPr>
        <w:instrText xml:space="preserve"> AUTONUM  </w:instrText>
      </w:r>
      <w:r w:rsidR="00175AE8" w:rsidRPr="00AB63DB">
        <w:fldChar w:fldCharType="end"/>
      </w:r>
      <w:r w:rsidR="00175AE8" w:rsidRPr="003C3A9D">
        <w:rPr>
          <w:lang w:val="de-DE"/>
        </w:rPr>
        <w:tab/>
      </w:r>
      <w:r w:rsidR="003C3A9D" w:rsidRPr="007F371C">
        <w:rPr>
          <w:lang w:val="de-DE"/>
        </w:rPr>
        <w:t>Der Verwaltungs- und Rechtsausschuß (CAJ) hielt seine einund</w:t>
      </w:r>
      <w:r w:rsidR="004708F2">
        <w:rPr>
          <w:lang w:val="de-DE"/>
        </w:rPr>
        <w:t>siebzigste Tagung in Genf am 26 </w:t>
      </w:r>
      <w:r w:rsidR="003C3A9D" w:rsidRPr="007F371C">
        <w:rPr>
          <w:lang w:val="de-DE"/>
        </w:rPr>
        <w:t xml:space="preserve"> März 2015 unter dem Vorsitz von Herrn Martin Ekvad (Europäische Union) ab</w:t>
      </w:r>
      <w:r w:rsidR="00175AE8" w:rsidRPr="003C3A9D">
        <w:rPr>
          <w:lang w:val="de-DE"/>
        </w:rPr>
        <w:t>.</w:t>
      </w:r>
    </w:p>
    <w:p w:rsidR="00175AE8" w:rsidRPr="003C3A9D" w:rsidRDefault="00175AE8" w:rsidP="004E4F91">
      <w:pPr>
        <w:rPr>
          <w:lang w:val="de-DE"/>
        </w:rPr>
      </w:pPr>
    </w:p>
    <w:p w:rsidR="00175AE8" w:rsidRPr="003C3A9D" w:rsidRDefault="00B85B59" w:rsidP="004E4F91">
      <w:pPr>
        <w:rPr>
          <w:lang w:val="de-DE"/>
        </w:rPr>
      </w:pPr>
      <w:r w:rsidRPr="003C3A9D">
        <w:rPr>
          <w:vertAlign w:val="superscript"/>
          <w:lang w:val="de-DE"/>
        </w:rPr>
        <w:t>*</w:t>
      </w:r>
      <w:r w:rsidRPr="00AB63DB">
        <w:fldChar w:fldCharType="begin"/>
      </w:r>
      <w:r w:rsidRPr="003C3A9D">
        <w:rPr>
          <w:lang w:val="de-DE"/>
        </w:rPr>
        <w:instrText xml:space="preserve"> AUTONUM  </w:instrText>
      </w:r>
      <w:r w:rsidRPr="00AB63DB">
        <w:fldChar w:fldCharType="end"/>
      </w:r>
      <w:r w:rsidR="00175AE8" w:rsidRPr="003C3A9D">
        <w:rPr>
          <w:lang w:val="de-DE"/>
        </w:rPr>
        <w:tab/>
      </w:r>
      <w:r w:rsidR="003C3A9D" w:rsidRPr="007F371C">
        <w:rPr>
          <w:lang w:val="de-DE"/>
        </w:rPr>
        <w:t>Die Tagung wurde vom Vorsitzenden eröffnet, der die Teilnehmer begrüßte. Die Teilnehmerliste ist der Anlage dieses Berichts zu entnehmen</w:t>
      </w:r>
      <w:r w:rsidR="00175AE8" w:rsidRPr="003C3A9D">
        <w:rPr>
          <w:lang w:val="de-DE"/>
        </w:rPr>
        <w:t>.</w:t>
      </w:r>
    </w:p>
    <w:p w:rsidR="00175AE8" w:rsidRPr="003C3A9D" w:rsidRDefault="00175AE8" w:rsidP="004E4F91">
      <w:pPr>
        <w:rPr>
          <w:lang w:val="de-DE"/>
        </w:rPr>
      </w:pPr>
    </w:p>
    <w:p w:rsidR="00A1111C" w:rsidRPr="003C3A9D" w:rsidRDefault="00B85B59" w:rsidP="004E4F91">
      <w:pPr>
        <w:rPr>
          <w:lang w:val="de-DE"/>
        </w:rPr>
      </w:pPr>
      <w:r w:rsidRPr="003C3A9D">
        <w:rPr>
          <w:vertAlign w:val="superscript"/>
          <w:lang w:val="de-DE"/>
        </w:rPr>
        <w:t>*</w:t>
      </w:r>
      <w:r w:rsidRPr="00AB63DB">
        <w:fldChar w:fldCharType="begin"/>
      </w:r>
      <w:r w:rsidRPr="003C3A9D">
        <w:rPr>
          <w:lang w:val="de-DE"/>
        </w:rPr>
        <w:instrText xml:space="preserve"> AUTONUM  </w:instrText>
      </w:r>
      <w:r w:rsidRPr="00AB63DB">
        <w:fldChar w:fldCharType="end"/>
      </w:r>
      <w:r w:rsidR="00A1111C" w:rsidRPr="003C3A9D">
        <w:rPr>
          <w:lang w:val="de-DE"/>
        </w:rPr>
        <w:tab/>
      </w:r>
      <w:r w:rsidR="003C3A9D" w:rsidRPr="007F371C">
        <w:rPr>
          <w:lang w:val="de-DE"/>
        </w:rPr>
        <w:t>Der Vorsitzende unterrichtete den CAJ darüber, daß dem South Centre der Beobachterstatus beim Rat und beim CAJ erteilt wurde</w:t>
      </w:r>
      <w:r w:rsidR="003C3A9D">
        <w:rPr>
          <w:lang w:val="de-DE"/>
        </w:rPr>
        <w:t>,</w:t>
      </w:r>
      <w:r w:rsidR="003C3A9D" w:rsidRPr="007F371C">
        <w:rPr>
          <w:lang w:val="de-DE"/>
        </w:rPr>
        <w:t xml:space="preserve"> und daß dem Weltbauernverband (WFO) der Beobachterstatus beim Rat, beim CAJ und beim Technischen Ausschuß (TC) erteilt wurde</w:t>
      </w:r>
      <w:r w:rsidR="00A1111C" w:rsidRPr="003C3A9D">
        <w:rPr>
          <w:lang w:val="de-DE"/>
        </w:rPr>
        <w:t>.</w:t>
      </w:r>
    </w:p>
    <w:p w:rsidR="00A1111C" w:rsidRPr="003C3A9D" w:rsidRDefault="00A1111C" w:rsidP="004E4F91">
      <w:pPr>
        <w:rPr>
          <w:lang w:val="de-DE"/>
        </w:rPr>
      </w:pPr>
    </w:p>
    <w:p w:rsidR="00175AE8" w:rsidRPr="003C3A9D" w:rsidRDefault="00B85B59" w:rsidP="004E4F91">
      <w:pPr>
        <w:rPr>
          <w:lang w:val="de-DE"/>
        </w:rPr>
      </w:pPr>
      <w:r w:rsidRPr="003C3A9D">
        <w:rPr>
          <w:vertAlign w:val="superscript"/>
          <w:lang w:val="de-DE"/>
        </w:rPr>
        <w:t>*</w:t>
      </w:r>
      <w:r w:rsidRPr="00AB63DB">
        <w:fldChar w:fldCharType="begin"/>
      </w:r>
      <w:r w:rsidRPr="003C3A9D">
        <w:rPr>
          <w:lang w:val="de-DE"/>
        </w:rPr>
        <w:instrText xml:space="preserve"> AUTONUM  </w:instrText>
      </w:r>
      <w:r w:rsidRPr="00AB63DB">
        <w:fldChar w:fldCharType="end"/>
      </w:r>
      <w:r w:rsidR="00175AE8" w:rsidRPr="003C3A9D">
        <w:rPr>
          <w:lang w:val="de-DE"/>
        </w:rPr>
        <w:tab/>
      </w:r>
      <w:r w:rsidR="003C3A9D" w:rsidRPr="007F371C">
        <w:rPr>
          <w:lang w:val="de-DE"/>
        </w:rPr>
        <w:t xml:space="preserve">Der Vorsitzende bestätigte, daß der Bericht der siebzigsten Tagung des CAJ vom 13. Oktober 2014 </w:t>
      </w:r>
      <w:r w:rsidR="003C3A9D">
        <w:rPr>
          <w:lang w:val="de-DE"/>
        </w:rPr>
        <w:t xml:space="preserve">in Genf </w:t>
      </w:r>
      <w:r w:rsidR="003C3A9D" w:rsidRPr="007F371C">
        <w:rPr>
          <w:lang w:val="de-DE"/>
        </w:rPr>
        <w:t>(Dokument CAJ/70/11) auf dem Schriftweg angenommen worden und auf der UPOV Website ve</w:t>
      </w:r>
      <w:r w:rsidR="003C3A9D">
        <w:rPr>
          <w:lang w:val="de-DE"/>
        </w:rPr>
        <w:t>rfügbar sei</w:t>
      </w:r>
      <w:r w:rsidR="00175AE8" w:rsidRPr="003C3A9D">
        <w:rPr>
          <w:lang w:val="de-DE"/>
        </w:rPr>
        <w:t>.</w:t>
      </w:r>
    </w:p>
    <w:p w:rsidR="00175AE8" w:rsidRPr="003C3A9D" w:rsidRDefault="00175AE8" w:rsidP="004E4F91">
      <w:pPr>
        <w:rPr>
          <w:szCs w:val="24"/>
          <w:lang w:val="de-DE"/>
        </w:rPr>
      </w:pPr>
    </w:p>
    <w:p w:rsidR="00175AE8" w:rsidRPr="003C3A9D" w:rsidRDefault="00175AE8" w:rsidP="004E4F91">
      <w:pPr>
        <w:jc w:val="left"/>
        <w:rPr>
          <w:lang w:val="de-DE"/>
        </w:rPr>
      </w:pPr>
    </w:p>
    <w:p w:rsidR="00175AE8" w:rsidRPr="003C3A9D" w:rsidRDefault="003C3A9D" w:rsidP="004E4F91">
      <w:pPr>
        <w:keepNext/>
        <w:jc w:val="left"/>
        <w:outlineLvl w:val="0"/>
        <w:rPr>
          <w:snapToGrid w:val="0"/>
          <w:u w:val="single"/>
          <w:lang w:val="de-DE"/>
        </w:rPr>
      </w:pPr>
      <w:r w:rsidRPr="007F371C">
        <w:rPr>
          <w:snapToGrid w:val="0"/>
          <w:u w:val="single"/>
          <w:lang w:val="de-DE"/>
        </w:rPr>
        <w:t>Annahme der Tagesordnung</w:t>
      </w:r>
    </w:p>
    <w:p w:rsidR="00175AE8" w:rsidRPr="003C3A9D" w:rsidRDefault="00175AE8" w:rsidP="004E4F91">
      <w:pPr>
        <w:keepNext/>
        <w:jc w:val="left"/>
        <w:rPr>
          <w:lang w:val="de-DE"/>
        </w:rPr>
      </w:pPr>
    </w:p>
    <w:p w:rsidR="00175AE8" w:rsidRPr="003C3A9D" w:rsidRDefault="00B85B59" w:rsidP="004E4F91">
      <w:pPr>
        <w:rPr>
          <w:lang w:val="de-DE"/>
        </w:rPr>
      </w:pPr>
      <w:r w:rsidRPr="003C3A9D">
        <w:rPr>
          <w:vertAlign w:val="superscript"/>
          <w:lang w:val="de-DE"/>
        </w:rPr>
        <w:t>*</w:t>
      </w:r>
      <w:r w:rsidRPr="00AB63DB">
        <w:fldChar w:fldCharType="begin"/>
      </w:r>
      <w:r w:rsidRPr="003C3A9D">
        <w:rPr>
          <w:lang w:val="de-DE"/>
        </w:rPr>
        <w:instrText xml:space="preserve"> AUTONUM  </w:instrText>
      </w:r>
      <w:r w:rsidRPr="00AB63DB">
        <w:fldChar w:fldCharType="end"/>
      </w:r>
      <w:r w:rsidR="00175AE8" w:rsidRPr="003C3A9D">
        <w:rPr>
          <w:lang w:val="de-DE"/>
        </w:rPr>
        <w:tab/>
      </w:r>
      <w:r w:rsidR="003C3A9D" w:rsidRPr="007F371C">
        <w:rPr>
          <w:lang w:val="de-DE"/>
        </w:rPr>
        <w:t>Der CAJ nahm den in Dokument CAJ/71/1 Rev. vorgeschlagenen überarbeiteten Entwurf für eine Tagesordnung an</w:t>
      </w:r>
      <w:r w:rsidR="005F5022" w:rsidRPr="003C3A9D">
        <w:rPr>
          <w:lang w:val="de-DE"/>
        </w:rPr>
        <w:t>.</w:t>
      </w:r>
    </w:p>
    <w:p w:rsidR="0073629B" w:rsidRPr="003C3A9D" w:rsidRDefault="0073629B" w:rsidP="004E4F91">
      <w:pPr>
        <w:rPr>
          <w:lang w:val="de-DE"/>
        </w:rPr>
      </w:pPr>
    </w:p>
    <w:p w:rsidR="00175AE8" w:rsidRPr="003C3A9D" w:rsidRDefault="00B85B59" w:rsidP="004E4F91">
      <w:pPr>
        <w:rPr>
          <w:lang w:val="de-DE"/>
        </w:rPr>
      </w:pPr>
      <w:r w:rsidRPr="003C3A9D">
        <w:rPr>
          <w:vertAlign w:val="superscript"/>
          <w:lang w:val="de-DE"/>
        </w:rPr>
        <w:t>*</w:t>
      </w:r>
      <w:r w:rsidRPr="00AB63DB">
        <w:fldChar w:fldCharType="begin"/>
      </w:r>
      <w:r w:rsidRPr="003C3A9D">
        <w:rPr>
          <w:lang w:val="de-DE"/>
        </w:rPr>
        <w:instrText xml:space="preserve"> AUTONUM  </w:instrText>
      </w:r>
      <w:r w:rsidRPr="00AB63DB">
        <w:fldChar w:fldCharType="end"/>
      </w:r>
      <w:r w:rsidR="0073629B" w:rsidRPr="003C3A9D">
        <w:rPr>
          <w:lang w:val="de-DE"/>
        </w:rPr>
        <w:tab/>
      </w:r>
      <w:r w:rsidR="003C3A9D" w:rsidRPr="007F371C">
        <w:rPr>
          <w:lang w:val="de-DE"/>
        </w:rPr>
        <w:t>Der CAJ nahm zur Kenntnis, daß Dokument CAJ/71/9 „Bericht über die Entwicklungen im Technischen Ausschuß“ unter den Punkten 3, 5, 6, 7 und 8 behandelt werden würde</w:t>
      </w:r>
      <w:r w:rsidR="0073629B" w:rsidRPr="003C3A9D">
        <w:rPr>
          <w:lang w:val="de-DE"/>
        </w:rPr>
        <w:t>.</w:t>
      </w:r>
    </w:p>
    <w:p w:rsidR="00FF6B9B" w:rsidRPr="003C3A9D" w:rsidRDefault="00FF6B9B" w:rsidP="004E4F91">
      <w:pPr>
        <w:rPr>
          <w:lang w:val="de-DE"/>
        </w:rPr>
      </w:pPr>
    </w:p>
    <w:p w:rsidR="0073629B" w:rsidRPr="003C3A9D" w:rsidRDefault="0073629B" w:rsidP="004E4F91">
      <w:pPr>
        <w:rPr>
          <w:lang w:val="de-DE"/>
        </w:rPr>
      </w:pPr>
    </w:p>
    <w:p w:rsidR="003C3A9D" w:rsidRPr="007F371C" w:rsidRDefault="003C3A9D" w:rsidP="003C3A9D">
      <w:pPr>
        <w:keepNext/>
        <w:jc w:val="left"/>
        <w:outlineLvl w:val="0"/>
        <w:rPr>
          <w:snapToGrid w:val="0"/>
          <w:u w:val="single"/>
          <w:lang w:val="de-DE"/>
        </w:rPr>
      </w:pPr>
      <w:r w:rsidRPr="007F371C">
        <w:rPr>
          <w:snapToGrid w:val="0"/>
          <w:u w:val="single"/>
          <w:lang w:val="de-DE"/>
        </w:rPr>
        <w:t xml:space="preserve">Bericht über die Entwicklungen im Technischen Ausschuß </w:t>
      </w:r>
    </w:p>
    <w:p w:rsidR="00641173" w:rsidRPr="003C3A9D" w:rsidRDefault="00641173" w:rsidP="004E4F91">
      <w:pPr>
        <w:jc w:val="left"/>
        <w:rPr>
          <w:snapToGrid w:val="0"/>
          <w:lang w:val="de-DE"/>
        </w:rPr>
      </w:pPr>
    </w:p>
    <w:p w:rsidR="0057792E" w:rsidRPr="003C3A9D" w:rsidRDefault="00B85B59" w:rsidP="004E4F91">
      <w:pPr>
        <w:jc w:val="left"/>
        <w:rPr>
          <w:lang w:val="de-DE"/>
        </w:rPr>
      </w:pPr>
      <w:r w:rsidRPr="003C3A9D">
        <w:rPr>
          <w:rFonts w:cs="Arial"/>
          <w:vertAlign w:val="superscript"/>
          <w:lang w:val="de-DE"/>
        </w:rPr>
        <w:t>*</w:t>
      </w:r>
      <w:r w:rsidRPr="00AB63DB">
        <w:rPr>
          <w:rFonts w:cs="Arial"/>
        </w:rPr>
        <w:fldChar w:fldCharType="begin"/>
      </w:r>
      <w:r w:rsidRPr="003C3A9D">
        <w:rPr>
          <w:rFonts w:cs="Arial"/>
          <w:lang w:val="de-DE"/>
        </w:rPr>
        <w:instrText xml:space="preserve"> AUTONUM  </w:instrText>
      </w:r>
      <w:r w:rsidRPr="00AB63DB">
        <w:rPr>
          <w:rFonts w:cs="Arial"/>
        </w:rPr>
        <w:fldChar w:fldCharType="end"/>
      </w:r>
      <w:r w:rsidR="0057792E" w:rsidRPr="003C3A9D">
        <w:rPr>
          <w:rFonts w:cs="Arial"/>
          <w:lang w:val="de-DE"/>
        </w:rPr>
        <w:tab/>
      </w:r>
      <w:r w:rsidR="003C3A9D" w:rsidRPr="007F371C">
        <w:rPr>
          <w:rFonts w:cs="Arial"/>
          <w:lang w:val="de-DE"/>
        </w:rPr>
        <w:t xml:space="preserve">Der CAJ prüfte Dokument </w:t>
      </w:r>
      <w:r w:rsidR="003C3A9D" w:rsidRPr="007F371C">
        <w:rPr>
          <w:lang w:val="de-DE"/>
        </w:rPr>
        <w:t>CAJ/71/9</w:t>
      </w:r>
      <w:r w:rsidR="0057792E" w:rsidRPr="003C3A9D">
        <w:rPr>
          <w:lang w:val="de-DE"/>
        </w:rPr>
        <w:t>.</w:t>
      </w:r>
    </w:p>
    <w:p w:rsidR="0009345E" w:rsidRPr="003C3A9D" w:rsidRDefault="0009345E" w:rsidP="004E4F91">
      <w:pPr>
        <w:jc w:val="left"/>
        <w:rPr>
          <w:lang w:val="de-DE"/>
        </w:rPr>
      </w:pPr>
    </w:p>
    <w:p w:rsidR="00523F32" w:rsidRPr="00633F67" w:rsidRDefault="00B85B59" w:rsidP="004E4F91">
      <w:pPr>
        <w:rPr>
          <w:lang w:val="de-DE"/>
        </w:rPr>
      </w:pPr>
      <w:r w:rsidRPr="003C3A9D">
        <w:rPr>
          <w:vertAlign w:val="superscript"/>
          <w:lang w:val="de-DE"/>
        </w:rPr>
        <w:t>*</w:t>
      </w:r>
      <w:r w:rsidRPr="00AB63DB">
        <w:fldChar w:fldCharType="begin"/>
      </w:r>
      <w:r w:rsidRPr="003C3A9D">
        <w:rPr>
          <w:lang w:val="de-DE"/>
        </w:rPr>
        <w:instrText xml:space="preserve"> AUTONUM  </w:instrText>
      </w:r>
      <w:r w:rsidRPr="00AB63DB">
        <w:fldChar w:fldCharType="end"/>
      </w:r>
      <w:r w:rsidR="0009345E" w:rsidRPr="003C3A9D">
        <w:rPr>
          <w:lang w:val="de-DE"/>
        </w:rPr>
        <w:tab/>
      </w:r>
      <w:r w:rsidR="003C3A9D" w:rsidRPr="007F371C">
        <w:rPr>
          <w:lang w:val="de-DE"/>
        </w:rPr>
        <w:t xml:space="preserve">Der CAJ nahm den Bericht von Herrn Alejandro Barrientos Priego (Mexiko), Vorsitzender des TC, über die Entwicklungen im TC auf dessen einundfünfzigster Tagung vom 23. bis 25. März 2015 in Genf zur Kenntnis. Der CAJ nahm zur Kenntnis, daß die Entschließungen des TC bezüglich der durch den CAJ zu </w:t>
      </w:r>
      <w:r w:rsidR="003C3A9D" w:rsidRPr="00633F67">
        <w:rPr>
          <w:lang w:val="de-DE"/>
        </w:rPr>
        <w:lastRenderedPageBreak/>
        <w:t>prüfenden Angelegenheiten in Dokument CAJ/71/9 dargelegt seien. Er nahm darüber hinaus zur Kenntnis, daß der Bericht des TC in Dokument TC/51/39 „Bericht“ enthalten sei</w:t>
      </w:r>
      <w:r w:rsidR="0009345E" w:rsidRPr="00633F67">
        <w:rPr>
          <w:lang w:val="de-DE"/>
        </w:rPr>
        <w:t>.</w:t>
      </w:r>
    </w:p>
    <w:p w:rsidR="0097572E" w:rsidRPr="00633F67" w:rsidRDefault="0097572E" w:rsidP="004E4F91">
      <w:pPr>
        <w:rPr>
          <w:lang w:val="de-DE"/>
        </w:rPr>
      </w:pPr>
    </w:p>
    <w:p w:rsidR="0097572E" w:rsidRPr="00633F67" w:rsidRDefault="0097572E" w:rsidP="004E4F91">
      <w:pPr>
        <w:rPr>
          <w:lang w:val="de-DE"/>
        </w:rPr>
      </w:pPr>
    </w:p>
    <w:p w:rsidR="00523F32" w:rsidRPr="00633F67" w:rsidRDefault="003C3A9D" w:rsidP="004E4F91">
      <w:pPr>
        <w:keepNext/>
        <w:jc w:val="left"/>
        <w:outlineLvl w:val="0"/>
        <w:rPr>
          <w:snapToGrid w:val="0"/>
          <w:u w:val="single"/>
          <w:lang w:val="de-DE"/>
        </w:rPr>
      </w:pPr>
      <w:r w:rsidRPr="00633F67">
        <w:rPr>
          <w:snapToGrid w:val="0"/>
          <w:u w:val="single"/>
          <w:lang w:val="de-DE"/>
        </w:rPr>
        <w:t>Ausarbeitung von Informationsmaterial zum UPOV-Übereinkommen</w:t>
      </w:r>
    </w:p>
    <w:p w:rsidR="000321F0" w:rsidRPr="00633F67" w:rsidRDefault="000321F0" w:rsidP="004E4F91">
      <w:pPr>
        <w:keepNext/>
        <w:jc w:val="left"/>
        <w:outlineLvl w:val="0"/>
        <w:rPr>
          <w:snapToGrid w:val="0"/>
          <w:u w:val="single"/>
          <w:lang w:val="de-DE"/>
        </w:rPr>
      </w:pPr>
    </w:p>
    <w:p w:rsidR="003C3A9D" w:rsidRPr="00633F67" w:rsidRDefault="00B85B59" w:rsidP="003C3A9D">
      <w:pPr>
        <w:rPr>
          <w:rFonts w:cs="Arial"/>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0321F0" w:rsidRPr="00633F67">
        <w:rPr>
          <w:lang w:val="de-DE"/>
        </w:rPr>
        <w:tab/>
      </w:r>
      <w:bookmarkStart w:id="7" w:name="_Toc413059219"/>
      <w:r w:rsidR="003C3A9D" w:rsidRPr="00633F67">
        <w:rPr>
          <w:rFonts w:cs="Arial"/>
          <w:spacing w:val="-2"/>
          <w:lang w:val="de-DE"/>
        </w:rPr>
        <w:t xml:space="preserve">Der CAJ prüfte Dokumente CAJ/71/2, CAJ-AG/14/9/6, UPOV/EXN/PPM/1 Draft 4, </w:t>
      </w:r>
      <w:r w:rsidR="003C3A9D" w:rsidRPr="00633F67">
        <w:rPr>
          <w:rFonts w:cs="Arial"/>
          <w:lang w:val="de-DE"/>
        </w:rPr>
        <w:t>UPOV/EXN/CAN/2 Draft 3, UPOV/EXN/NUL/2 Draft 3 und UPOV/EXN/PRP/2 Draft 3.</w:t>
      </w:r>
    </w:p>
    <w:p w:rsidR="003C3A9D" w:rsidRPr="00633F67" w:rsidRDefault="003C3A9D" w:rsidP="003C3A9D">
      <w:pPr>
        <w:spacing w:line="360" w:lineRule="auto"/>
        <w:rPr>
          <w:rFonts w:cs="Arial"/>
          <w:lang w:val="de-DE"/>
        </w:rPr>
      </w:pPr>
    </w:p>
    <w:p w:rsidR="00523F32" w:rsidRPr="00633F67" w:rsidRDefault="003C3A9D" w:rsidP="003C3A9D">
      <w:pPr>
        <w:rPr>
          <w:i/>
          <w:snapToGrid w:val="0"/>
          <w:lang w:val="de-DE"/>
        </w:rPr>
      </w:pPr>
      <w:r w:rsidRPr="00633F67">
        <w:rPr>
          <w:i/>
          <w:snapToGrid w:val="0"/>
          <w:lang w:val="de-DE"/>
        </w:rPr>
        <w:t xml:space="preserve">Erläuterungen zu den </w:t>
      </w:r>
      <w:r w:rsidR="003F3839" w:rsidRPr="00633F67">
        <w:rPr>
          <w:i/>
          <w:snapToGrid w:val="0"/>
          <w:lang w:val="de-DE"/>
        </w:rPr>
        <w:t xml:space="preserve">im wesentlichen </w:t>
      </w:r>
      <w:r w:rsidRPr="00633F67">
        <w:rPr>
          <w:i/>
          <w:snapToGrid w:val="0"/>
          <w:lang w:val="de-DE"/>
        </w:rPr>
        <w:t>abgeleiteten Sorten nach der Akte von 1991 des UPOV-Übereinkommens (Überarbeitung</w:t>
      </w:r>
      <w:r w:rsidR="00523F32" w:rsidRPr="00633F67">
        <w:rPr>
          <w:i/>
          <w:snapToGrid w:val="0"/>
          <w:lang w:val="de-DE"/>
        </w:rPr>
        <w:t>)</w:t>
      </w:r>
      <w:bookmarkEnd w:id="7"/>
      <w:r w:rsidR="00523F32" w:rsidRPr="00633F67">
        <w:rPr>
          <w:i/>
          <w:snapToGrid w:val="0"/>
          <w:lang w:val="de-DE"/>
        </w:rPr>
        <w:t xml:space="preserve"> </w:t>
      </w:r>
    </w:p>
    <w:p w:rsidR="005932A9" w:rsidRPr="00633F67" w:rsidRDefault="005932A9" w:rsidP="004E4F91">
      <w:pPr>
        <w:tabs>
          <w:tab w:val="left" w:pos="5387"/>
          <w:tab w:val="left" w:pos="5954"/>
        </w:tabs>
        <w:rPr>
          <w:i/>
          <w:snapToGrid w:val="0"/>
          <w:lang w:val="de-DE"/>
        </w:rPr>
      </w:pPr>
    </w:p>
    <w:p w:rsidR="00424476" w:rsidRPr="00633F67" w:rsidRDefault="00424476" w:rsidP="00424476">
      <w:pPr>
        <w:rPr>
          <w:lang w:val="de-DE"/>
        </w:rPr>
      </w:pPr>
      <w:r w:rsidRPr="00633F67">
        <w:fldChar w:fldCharType="begin"/>
      </w:r>
      <w:r w:rsidRPr="00633F67">
        <w:rPr>
          <w:lang w:val="de-DE"/>
        </w:rPr>
        <w:instrText xml:space="preserve"> AUTONUM  </w:instrText>
      </w:r>
      <w:r w:rsidRPr="00633F67">
        <w:fldChar w:fldCharType="end"/>
      </w:r>
      <w:r w:rsidRPr="00633F67">
        <w:rPr>
          <w:lang w:val="de-DE"/>
        </w:rPr>
        <w:tab/>
      </w:r>
      <w:r w:rsidR="006F148B" w:rsidRPr="00633F67">
        <w:rPr>
          <w:lang w:val="de-DE"/>
        </w:rPr>
        <w:t xml:space="preserve">Der </w:t>
      </w:r>
      <w:r w:rsidR="00431A9F" w:rsidRPr="00633F67">
        <w:rPr>
          <w:lang w:val="de-DE"/>
        </w:rPr>
        <w:t>Vertreter der Internationalen Gemeinschaft der Züchter vegetativ vermehrbarer Zier- und Obstpflanzen (CIOPORA)</w:t>
      </w:r>
      <w:r w:rsidRPr="00633F67">
        <w:rPr>
          <w:lang w:val="de-DE"/>
        </w:rPr>
        <w:t xml:space="preserve"> </w:t>
      </w:r>
      <w:r w:rsidR="003D724A" w:rsidRPr="00633F67">
        <w:rPr>
          <w:lang w:val="de-DE"/>
        </w:rPr>
        <w:t>äußerte d</w:t>
      </w:r>
      <w:r w:rsidR="006F148B" w:rsidRPr="00633F67">
        <w:rPr>
          <w:lang w:val="de-DE"/>
        </w:rPr>
        <w:t xml:space="preserve">en Wunsch der </w:t>
      </w:r>
      <w:r w:rsidRPr="00633F67">
        <w:rPr>
          <w:lang w:val="de-DE"/>
        </w:rPr>
        <w:t>CIOPORA</w:t>
      </w:r>
      <w:r w:rsidR="006F148B" w:rsidRPr="00633F67">
        <w:rPr>
          <w:lang w:val="de-DE"/>
        </w:rPr>
        <w:t xml:space="preserve">, </w:t>
      </w:r>
      <w:r w:rsidR="003D724A" w:rsidRPr="00633F67">
        <w:rPr>
          <w:lang w:val="de-DE"/>
        </w:rPr>
        <w:t xml:space="preserve">zu </w:t>
      </w:r>
      <w:r w:rsidR="006F148B" w:rsidRPr="00633F67">
        <w:rPr>
          <w:lang w:val="de-DE"/>
        </w:rPr>
        <w:t>den Erörterungen über</w:t>
      </w:r>
      <w:r w:rsidRPr="00633F67">
        <w:rPr>
          <w:lang w:val="de-DE"/>
        </w:rPr>
        <w:t xml:space="preserve"> </w:t>
      </w:r>
      <w:r w:rsidR="006F148B" w:rsidRPr="00633F67">
        <w:rPr>
          <w:lang w:val="de-DE"/>
        </w:rPr>
        <w:t>den S</w:t>
      </w:r>
      <w:r w:rsidRPr="00633F67">
        <w:rPr>
          <w:lang w:val="de-DE"/>
        </w:rPr>
        <w:t xml:space="preserve">tatus </w:t>
      </w:r>
      <w:r w:rsidR="006F148B" w:rsidRPr="00633F67">
        <w:rPr>
          <w:lang w:val="de-DE"/>
        </w:rPr>
        <w:t>von nicht geschützte</w:t>
      </w:r>
      <w:r w:rsidR="003D724A" w:rsidRPr="00633F67">
        <w:rPr>
          <w:lang w:val="de-DE"/>
        </w:rPr>
        <w:t>n</w:t>
      </w:r>
      <w:r w:rsidR="006F148B" w:rsidRPr="00633F67">
        <w:rPr>
          <w:lang w:val="de-DE"/>
        </w:rPr>
        <w:t xml:space="preserve"> </w:t>
      </w:r>
      <w:r w:rsidR="003F3839" w:rsidRPr="00633F67">
        <w:rPr>
          <w:lang w:val="de-DE"/>
        </w:rPr>
        <w:t xml:space="preserve">im wesentlichen </w:t>
      </w:r>
      <w:r w:rsidR="006F148B" w:rsidRPr="00633F67">
        <w:rPr>
          <w:lang w:val="de-DE"/>
        </w:rPr>
        <w:t>abgeleitete</w:t>
      </w:r>
      <w:r w:rsidR="003D724A" w:rsidRPr="00633F67">
        <w:rPr>
          <w:lang w:val="de-DE"/>
        </w:rPr>
        <w:t>n</w:t>
      </w:r>
      <w:r w:rsidR="006F148B" w:rsidRPr="00633F67">
        <w:rPr>
          <w:lang w:val="de-DE"/>
        </w:rPr>
        <w:t xml:space="preserve"> Sorte</w:t>
      </w:r>
      <w:r w:rsidR="003D724A" w:rsidRPr="00633F67">
        <w:rPr>
          <w:lang w:val="de-DE"/>
        </w:rPr>
        <w:t>n beizutragen</w:t>
      </w:r>
      <w:r w:rsidRPr="00633F67">
        <w:rPr>
          <w:lang w:val="de-DE"/>
        </w:rPr>
        <w:t xml:space="preserve">. </w:t>
      </w:r>
      <w:r w:rsidR="006F148B" w:rsidRPr="00633F67">
        <w:rPr>
          <w:lang w:val="de-DE"/>
        </w:rPr>
        <w:t>Er war der Ansicht, daß</w:t>
      </w:r>
      <w:r w:rsidRPr="00633F67">
        <w:rPr>
          <w:lang w:val="de-DE"/>
        </w:rPr>
        <w:t xml:space="preserve"> </w:t>
      </w:r>
      <w:r w:rsidR="006F148B" w:rsidRPr="00633F67">
        <w:rPr>
          <w:lang w:val="de-DE"/>
        </w:rPr>
        <w:t xml:space="preserve">es ratsam wäre, </w:t>
      </w:r>
      <w:r w:rsidR="003357B8" w:rsidRPr="00633F67">
        <w:rPr>
          <w:lang w:val="de-DE"/>
        </w:rPr>
        <w:t xml:space="preserve">umgehend mit der Ausarbeitung </w:t>
      </w:r>
      <w:r w:rsidR="006F148B" w:rsidRPr="00633F67">
        <w:rPr>
          <w:lang w:val="de-DE"/>
        </w:rPr>
        <w:t xml:space="preserve">eines Dokuments über nicht geschützte </w:t>
      </w:r>
      <w:r w:rsidR="003F3839" w:rsidRPr="00633F67">
        <w:rPr>
          <w:lang w:val="de-DE"/>
        </w:rPr>
        <w:t xml:space="preserve">im wesentlichen </w:t>
      </w:r>
      <w:r w:rsidR="006F148B" w:rsidRPr="00633F67">
        <w:rPr>
          <w:lang w:val="de-DE"/>
        </w:rPr>
        <w:t xml:space="preserve">abgeleitete Sorten </w:t>
      </w:r>
      <w:r w:rsidR="003357B8" w:rsidRPr="00633F67">
        <w:rPr>
          <w:lang w:val="de-DE"/>
        </w:rPr>
        <w:t>zu beginnen</w:t>
      </w:r>
      <w:r w:rsidRPr="00633F67">
        <w:rPr>
          <w:lang w:val="de-DE"/>
        </w:rPr>
        <w:t xml:space="preserve">, </w:t>
      </w:r>
      <w:r w:rsidR="006F148B" w:rsidRPr="00633F67">
        <w:rPr>
          <w:lang w:val="de-DE"/>
        </w:rPr>
        <w:t>ohne die Annahme von Dokument</w:t>
      </w:r>
      <w:r w:rsidRPr="00633F67">
        <w:rPr>
          <w:lang w:val="de-DE"/>
        </w:rPr>
        <w:t xml:space="preserve"> UPOV/EXN/EDV/2</w:t>
      </w:r>
      <w:r w:rsidR="006F148B" w:rsidRPr="00633F67">
        <w:rPr>
          <w:lang w:val="de-DE"/>
        </w:rPr>
        <w:t xml:space="preserve"> abzuwarten</w:t>
      </w:r>
      <w:r w:rsidRPr="00633F67">
        <w:rPr>
          <w:lang w:val="de-DE"/>
        </w:rPr>
        <w:t xml:space="preserve">. </w:t>
      </w:r>
      <w:r w:rsidR="006F148B" w:rsidRPr="00633F67">
        <w:rPr>
          <w:lang w:val="de-DE"/>
        </w:rPr>
        <w:t>Der Vertreter befürwortete die Organisation einer Zusammenkunft mit Verbandsmitgliedern, um deren Erfahrungen und Kenntnisse zu teilen</w:t>
      </w:r>
      <w:r w:rsidR="003357B8" w:rsidRPr="00633F67">
        <w:rPr>
          <w:lang w:val="de-DE"/>
        </w:rPr>
        <w:t>,</w:t>
      </w:r>
      <w:r w:rsidR="006F148B" w:rsidRPr="00633F67">
        <w:rPr>
          <w:lang w:val="de-DE"/>
        </w:rPr>
        <w:t xml:space="preserve"> und </w:t>
      </w:r>
      <w:r w:rsidR="00431A9F" w:rsidRPr="00633F67">
        <w:rPr>
          <w:lang w:val="de-DE"/>
        </w:rPr>
        <w:t xml:space="preserve">um die </w:t>
      </w:r>
      <w:r w:rsidR="003357B8" w:rsidRPr="00633F67">
        <w:rPr>
          <w:lang w:val="de-DE"/>
        </w:rPr>
        <w:t>etwaige</w:t>
      </w:r>
      <w:r w:rsidR="00431A9F" w:rsidRPr="00633F67">
        <w:rPr>
          <w:lang w:val="de-DE"/>
        </w:rPr>
        <w:t xml:space="preserve"> Rolle der UPOV bei alternativen Streitbeilegungsmechanismen zu erkunden</w:t>
      </w:r>
      <w:r w:rsidR="00CA1641" w:rsidRPr="00633F67">
        <w:rPr>
          <w:lang w:val="de-DE"/>
        </w:rPr>
        <w:t xml:space="preserve">. </w:t>
      </w:r>
      <w:r w:rsidR="003C50AC" w:rsidRPr="00633F67">
        <w:rPr>
          <w:lang w:val="de-DE"/>
        </w:rPr>
        <w:t>Er</w:t>
      </w:r>
      <w:r w:rsidR="00CA1641" w:rsidRPr="00633F67">
        <w:rPr>
          <w:lang w:val="de-DE"/>
        </w:rPr>
        <w:t xml:space="preserve"> </w:t>
      </w:r>
      <w:r w:rsidR="003C50AC" w:rsidRPr="00633F67">
        <w:rPr>
          <w:lang w:val="de-DE"/>
        </w:rPr>
        <w:t xml:space="preserve">erinnerte jedoch daran, daß die </w:t>
      </w:r>
      <w:r w:rsidRPr="00633F67">
        <w:rPr>
          <w:lang w:val="de-DE"/>
        </w:rPr>
        <w:t>CIOPORA</w:t>
      </w:r>
      <w:r w:rsidR="003C50AC" w:rsidRPr="00633F67">
        <w:rPr>
          <w:lang w:val="de-DE"/>
        </w:rPr>
        <w:t xml:space="preserve"> nicht über Streitbeilegungsmechanismen</w:t>
      </w:r>
      <w:r w:rsidRPr="00633F67">
        <w:rPr>
          <w:lang w:val="de-DE"/>
        </w:rPr>
        <w:t xml:space="preserve"> </w:t>
      </w:r>
      <w:r w:rsidR="003C50AC" w:rsidRPr="00633F67">
        <w:rPr>
          <w:lang w:val="de-DE"/>
        </w:rPr>
        <w:t>verfüge</w:t>
      </w:r>
      <w:r w:rsidRPr="00633F67">
        <w:rPr>
          <w:lang w:val="de-DE"/>
        </w:rPr>
        <w:t>.</w:t>
      </w:r>
    </w:p>
    <w:p w:rsidR="00424476" w:rsidRPr="00633F67" w:rsidRDefault="00424476" w:rsidP="00424476">
      <w:pPr>
        <w:rPr>
          <w:strike/>
          <w:lang w:val="de-DE"/>
        </w:rPr>
      </w:pPr>
    </w:p>
    <w:p w:rsidR="00424476" w:rsidRPr="00633F67" w:rsidRDefault="00424476" w:rsidP="00424476">
      <w:pPr>
        <w:rPr>
          <w:lang w:val="de-DE"/>
        </w:rPr>
      </w:pPr>
      <w:r w:rsidRPr="00633F67">
        <w:fldChar w:fldCharType="begin"/>
      </w:r>
      <w:r w:rsidRPr="00633F67">
        <w:rPr>
          <w:lang w:val="de-DE"/>
        </w:rPr>
        <w:instrText xml:space="preserve"> AUTONUM  </w:instrText>
      </w:r>
      <w:r w:rsidRPr="00633F67">
        <w:fldChar w:fldCharType="end"/>
      </w:r>
      <w:r w:rsidRPr="00633F67">
        <w:rPr>
          <w:lang w:val="de-DE"/>
        </w:rPr>
        <w:tab/>
      </w:r>
      <w:r w:rsidR="003C50AC" w:rsidRPr="00633F67">
        <w:rPr>
          <w:lang w:val="de-DE"/>
        </w:rPr>
        <w:t xml:space="preserve">Der Stellvertretende Generalsekretär schlug vor, daß es sinnvoll wäre, klarere Anleitung zu </w:t>
      </w:r>
      <w:r w:rsidR="003F3839" w:rsidRPr="00633F67">
        <w:rPr>
          <w:lang w:val="de-DE"/>
        </w:rPr>
        <w:t xml:space="preserve">im wesentlichen </w:t>
      </w:r>
      <w:r w:rsidR="003C50AC" w:rsidRPr="00633F67">
        <w:rPr>
          <w:lang w:val="de-DE"/>
        </w:rPr>
        <w:t>abgeleiteten Sorten zu haben</w:t>
      </w:r>
      <w:r w:rsidRPr="00633F67">
        <w:rPr>
          <w:lang w:val="de-DE"/>
        </w:rPr>
        <w:t>,</w:t>
      </w:r>
      <w:r w:rsidR="003C50AC" w:rsidRPr="00633F67">
        <w:rPr>
          <w:lang w:val="de-DE"/>
        </w:rPr>
        <w:t xml:space="preserve"> bevor man ein </w:t>
      </w:r>
      <w:r w:rsidR="006F148B" w:rsidRPr="00633F67">
        <w:rPr>
          <w:lang w:val="de-DE"/>
        </w:rPr>
        <w:t>Dokument</w:t>
      </w:r>
      <w:r w:rsidRPr="00633F67">
        <w:rPr>
          <w:lang w:val="de-DE"/>
        </w:rPr>
        <w:t xml:space="preserve"> </w:t>
      </w:r>
      <w:r w:rsidR="003C50AC" w:rsidRPr="00633F67">
        <w:rPr>
          <w:lang w:val="de-DE"/>
        </w:rPr>
        <w:t xml:space="preserve">über </w:t>
      </w:r>
      <w:r w:rsidR="003F3839" w:rsidRPr="00633F67">
        <w:rPr>
          <w:lang w:val="de-DE"/>
        </w:rPr>
        <w:t xml:space="preserve">im wesentlichen </w:t>
      </w:r>
      <w:r w:rsidR="003C50AC" w:rsidRPr="00633F67">
        <w:rPr>
          <w:lang w:val="de-DE"/>
        </w:rPr>
        <w:t>abgeleitete Sorten ausarbeite, für die selber kein Schutz erteilt wurde</w:t>
      </w:r>
      <w:r w:rsidRPr="00633F67">
        <w:rPr>
          <w:lang w:val="de-DE"/>
        </w:rPr>
        <w:t>.</w:t>
      </w:r>
      <w:r w:rsidR="00CA1641" w:rsidRPr="00633F67">
        <w:rPr>
          <w:lang w:val="de-DE"/>
        </w:rPr>
        <w:t xml:space="preserve"> </w:t>
      </w:r>
      <w:r w:rsidR="003C50AC" w:rsidRPr="00633F67">
        <w:rPr>
          <w:lang w:val="de-DE"/>
        </w:rPr>
        <w:t xml:space="preserve">Er </w:t>
      </w:r>
      <w:r w:rsidR="003357B8" w:rsidRPr="00633F67">
        <w:rPr>
          <w:lang w:val="de-DE"/>
        </w:rPr>
        <w:t xml:space="preserve">merkte </w:t>
      </w:r>
      <w:r w:rsidR="003C50AC" w:rsidRPr="00633F67">
        <w:rPr>
          <w:lang w:val="de-DE"/>
        </w:rPr>
        <w:t xml:space="preserve">außerdem </w:t>
      </w:r>
      <w:r w:rsidR="003357B8" w:rsidRPr="00633F67">
        <w:rPr>
          <w:lang w:val="de-DE"/>
        </w:rPr>
        <w:t>an</w:t>
      </w:r>
      <w:r w:rsidR="003C50AC" w:rsidRPr="00633F67">
        <w:rPr>
          <w:lang w:val="de-DE"/>
        </w:rPr>
        <w:t xml:space="preserve">, daß das Problem von </w:t>
      </w:r>
      <w:r w:rsidR="006F148B" w:rsidRPr="00633F67">
        <w:rPr>
          <w:lang w:val="de-DE"/>
        </w:rPr>
        <w:t>nicht geschützte</w:t>
      </w:r>
      <w:r w:rsidR="003C50AC" w:rsidRPr="00633F67">
        <w:rPr>
          <w:lang w:val="de-DE"/>
        </w:rPr>
        <w:t>n</w:t>
      </w:r>
      <w:r w:rsidR="006F148B" w:rsidRPr="00633F67">
        <w:rPr>
          <w:lang w:val="de-DE"/>
        </w:rPr>
        <w:t xml:space="preserve"> </w:t>
      </w:r>
      <w:r w:rsidR="003F3839" w:rsidRPr="00633F67">
        <w:rPr>
          <w:lang w:val="de-DE"/>
        </w:rPr>
        <w:t xml:space="preserve">im wesentlichen </w:t>
      </w:r>
      <w:r w:rsidR="006F148B" w:rsidRPr="00633F67">
        <w:rPr>
          <w:lang w:val="de-DE"/>
        </w:rPr>
        <w:t>abgeleitete</w:t>
      </w:r>
      <w:r w:rsidR="003D724A" w:rsidRPr="00633F67">
        <w:rPr>
          <w:lang w:val="de-DE"/>
        </w:rPr>
        <w:t>n</w:t>
      </w:r>
      <w:r w:rsidR="006F148B" w:rsidRPr="00633F67">
        <w:rPr>
          <w:lang w:val="de-DE"/>
        </w:rPr>
        <w:t xml:space="preserve"> Sorte</w:t>
      </w:r>
      <w:r w:rsidR="003D724A" w:rsidRPr="00633F67">
        <w:rPr>
          <w:lang w:val="de-DE"/>
        </w:rPr>
        <w:t>n</w:t>
      </w:r>
      <w:r w:rsidR="003C50AC" w:rsidRPr="00633F67">
        <w:rPr>
          <w:lang w:val="de-DE"/>
        </w:rPr>
        <w:t xml:space="preserve"> nicht auftreten würde, wenn Züchter sich dazu entscheiden würden, die betroffenen Sorten zu schützen</w:t>
      </w:r>
      <w:r w:rsidR="00CA1641" w:rsidRPr="00633F67">
        <w:rPr>
          <w:lang w:val="de-DE"/>
        </w:rPr>
        <w:t>.</w:t>
      </w:r>
    </w:p>
    <w:p w:rsidR="00424476" w:rsidRPr="00633F67" w:rsidRDefault="00424476" w:rsidP="00424476">
      <w:pPr>
        <w:rPr>
          <w:lang w:val="de-DE"/>
        </w:rPr>
      </w:pPr>
    </w:p>
    <w:p w:rsidR="00CA1641" w:rsidRPr="00633F67" w:rsidRDefault="00CA1641" w:rsidP="00CA1641">
      <w:pPr>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Pr="00633F67">
        <w:rPr>
          <w:lang w:val="de-DE"/>
        </w:rPr>
        <w:tab/>
      </w:r>
      <w:r w:rsidR="00754088" w:rsidRPr="00633F67">
        <w:rPr>
          <w:lang w:val="de-DE"/>
        </w:rPr>
        <w:t xml:space="preserve">Der CAJ nahm zur Kenntnis, daß die CAJ-AG auf ihrer neunten Tagung das von Australien auf elektronischem Wege über das Internet gehaltene Referat, das die Zusatzinformation zum Kontext der Beispiele lieferte, die von Australien beim Seminar über </w:t>
      </w:r>
      <w:r w:rsidR="003F3839" w:rsidRPr="00633F67">
        <w:rPr>
          <w:lang w:val="de-DE"/>
        </w:rPr>
        <w:t xml:space="preserve">im wesentlichen </w:t>
      </w:r>
      <w:r w:rsidR="00754088" w:rsidRPr="00633F67">
        <w:rPr>
          <w:lang w:val="de-DE"/>
        </w:rPr>
        <w:t>abgeleitete Sorten vorgelegt worden waren, begrüßt hatte, und daß eine Abschrift des Referats im Bereich CAJ-AG/14 auf der UPOV-Website eingestellt worden war</w:t>
      </w:r>
      <w:r w:rsidRPr="00633F67">
        <w:rPr>
          <w:lang w:val="de-DE"/>
        </w:rPr>
        <w:t>.</w:t>
      </w:r>
    </w:p>
    <w:p w:rsidR="00CA1641" w:rsidRPr="00633F67" w:rsidRDefault="00CA1641" w:rsidP="00CA1641">
      <w:pPr>
        <w:rPr>
          <w:lang w:val="de-DE"/>
        </w:rPr>
      </w:pPr>
    </w:p>
    <w:p w:rsidR="00523F32" w:rsidRPr="00633F67" w:rsidRDefault="00B85B59" w:rsidP="004E4F91">
      <w:pPr>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5932A9" w:rsidRPr="00633F67">
        <w:rPr>
          <w:lang w:val="de-DE"/>
        </w:rPr>
        <w:tab/>
      </w:r>
      <w:r w:rsidR="00754088" w:rsidRPr="00633F67">
        <w:rPr>
          <w:lang w:val="de-DE"/>
        </w:rPr>
        <w:t xml:space="preserve">Der CAJ vereinbarte, die Ausarbeitung einer Anleitung betreffend den Status von </w:t>
      </w:r>
      <w:r w:rsidR="003F3839" w:rsidRPr="00633F67">
        <w:rPr>
          <w:lang w:val="de-DE"/>
        </w:rPr>
        <w:t xml:space="preserve">im wesentlichen </w:t>
      </w:r>
      <w:r w:rsidR="00754088" w:rsidRPr="00633F67">
        <w:rPr>
          <w:lang w:val="de-DE"/>
        </w:rPr>
        <w:t>abgeleiteten Sorten, für die selber kein Schutz erteilt wurde, nach der Annahme des überarbeiteten Dokuments UPOV/EXN/EDV/2 zu prüfen, wie in Dokument CAJ/71/2, Absatz 11, dargelegt</w:t>
      </w:r>
      <w:r w:rsidR="005932A9" w:rsidRPr="00633F67">
        <w:rPr>
          <w:lang w:val="de-DE"/>
        </w:rPr>
        <w:t>.</w:t>
      </w:r>
    </w:p>
    <w:p w:rsidR="00523F32" w:rsidRPr="00633F67" w:rsidRDefault="00523F32" w:rsidP="005A6BAC">
      <w:pPr>
        <w:rPr>
          <w:snapToGrid w:val="0"/>
          <w:lang w:val="de-DE"/>
        </w:rPr>
      </w:pPr>
    </w:p>
    <w:p w:rsidR="00424476" w:rsidRPr="00633F67" w:rsidRDefault="00424476" w:rsidP="00424476">
      <w:pPr>
        <w:rPr>
          <w:lang w:val="de-DE"/>
        </w:rPr>
      </w:pPr>
      <w:r w:rsidRPr="00633F67">
        <w:fldChar w:fldCharType="begin"/>
      </w:r>
      <w:r w:rsidRPr="00633F67">
        <w:rPr>
          <w:lang w:val="de-DE"/>
        </w:rPr>
        <w:instrText xml:space="preserve"> AUTONUM  </w:instrText>
      </w:r>
      <w:r w:rsidRPr="00633F67">
        <w:fldChar w:fldCharType="end"/>
      </w:r>
      <w:r w:rsidRPr="00633F67">
        <w:rPr>
          <w:lang w:val="de-DE"/>
        </w:rPr>
        <w:tab/>
      </w:r>
      <w:r w:rsidR="003C50AC" w:rsidRPr="00633F67">
        <w:rPr>
          <w:lang w:val="de-DE"/>
        </w:rPr>
        <w:t>Die Delegation</w:t>
      </w:r>
      <w:r w:rsidRPr="00633F67">
        <w:rPr>
          <w:lang w:val="de-DE"/>
        </w:rPr>
        <w:t xml:space="preserve"> </w:t>
      </w:r>
      <w:r w:rsidR="003C50AC" w:rsidRPr="00633F67">
        <w:rPr>
          <w:lang w:val="de-DE"/>
        </w:rPr>
        <w:t xml:space="preserve">Brasiliens äußerte den Wunsch, </w:t>
      </w:r>
      <w:r w:rsidR="003D724A" w:rsidRPr="00633F67">
        <w:rPr>
          <w:lang w:val="de-DE"/>
        </w:rPr>
        <w:t xml:space="preserve">im Oktober 2015 </w:t>
      </w:r>
      <w:r w:rsidR="003C50AC" w:rsidRPr="00633F67">
        <w:rPr>
          <w:lang w:val="de-DE"/>
        </w:rPr>
        <w:t xml:space="preserve">ein Referat über die Erfahrung Brasiliens mit </w:t>
      </w:r>
      <w:r w:rsidR="003F3839" w:rsidRPr="00633F67">
        <w:rPr>
          <w:lang w:val="de-DE"/>
        </w:rPr>
        <w:t xml:space="preserve">im wesentlichen </w:t>
      </w:r>
      <w:r w:rsidR="003C50AC" w:rsidRPr="00633F67">
        <w:rPr>
          <w:lang w:val="de-DE"/>
        </w:rPr>
        <w:t xml:space="preserve">abgeleiteten Sorten vor dem </w:t>
      </w:r>
      <w:r w:rsidR="00F23962" w:rsidRPr="00633F67">
        <w:rPr>
          <w:lang w:val="de-DE"/>
        </w:rPr>
        <w:t>CAJ</w:t>
      </w:r>
      <w:r w:rsidR="003C50AC" w:rsidRPr="00633F67">
        <w:rPr>
          <w:lang w:val="de-DE"/>
        </w:rPr>
        <w:t xml:space="preserve"> zu halten</w:t>
      </w:r>
      <w:r w:rsidRPr="00633F67">
        <w:rPr>
          <w:lang w:val="de-DE"/>
        </w:rPr>
        <w:t>.</w:t>
      </w:r>
    </w:p>
    <w:p w:rsidR="00424476" w:rsidRPr="00633F67" w:rsidRDefault="00424476" w:rsidP="00424476">
      <w:pPr>
        <w:rPr>
          <w:lang w:val="de-DE"/>
        </w:rPr>
      </w:pPr>
    </w:p>
    <w:p w:rsidR="00523F32" w:rsidRPr="00633F67" w:rsidRDefault="00B85B59" w:rsidP="004E4F91">
      <w:pPr>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5932A9" w:rsidRPr="00633F67">
        <w:rPr>
          <w:lang w:val="de-DE"/>
        </w:rPr>
        <w:tab/>
      </w:r>
      <w:r w:rsidR="00754088" w:rsidRPr="00633F67">
        <w:rPr>
          <w:lang w:val="de-DE"/>
        </w:rPr>
        <w:t xml:space="preserve">Der CAJ vereinbarte, daß Verbandsmitglieder eingeladen werden sollten, auf seiner zweiundsiebzigsten Tagung Referate über ihre Systeme betreffend </w:t>
      </w:r>
      <w:r w:rsidR="003F3839" w:rsidRPr="00633F67">
        <w:rPr>
          <w:lang w:val="de-DE"/>
        </w:rPr>
        <w:t xml:space="preserve">im wesentlichen </w:t>
      </w:r>
      <w:r w:rsidR="00754088" w:rsidRPr="00633F67">
        <w:rPr>
          <w:lang w:val="de-DE"/>
        </w:rPr>
        <w:t>abgeleitete Sorten zu halten</w:t>
      </w:r>
      <w:r w:rsidR="005932A9" w:rsidRPr="00633F67">
        <w:rPr>
          <w:lang w:val="de-DE"/>
        </w:rPr>
        <w:t>.</w:t>
      </w:r>
      <w:r w:rsidR="00523F32" w:rsidRPr="00633F67">
        <w:rPr>
          <w:lang w:val="de-DE"/>
        </w:rPr>
        <w:t xml:space="preserve"> </w:t>
      </w:r>
    </w:p>
    <w:p w:rsidR="00523F32" w:rsidRPr="00633F67" w:rsidRDefault="00523F32" w:rsidP="005A6BAC">
      <w:pPr>
        <w:rPr>
          <w:snapToGrid w:val="0"/>
          <w:lang w:val="de-DE"/>
        </w:rPr>
      </w:pPr>
    </w:p>
    <w:p w:rsidR="00835608" w:rsidRPr="00633F67" w:rsidRDefault="00835608" w:rsidP="00835608">
      <w:pPr>
        <w:rPr>
          <w:lang w:val="de-DE"/>
        </w:rPr>
      </w:pPr>
      <w:r w:rsidRPr="00633F67">
        <w:fldChar w:fldCharType="begin"/>
      </w:r>
      <w:r w:rsidRPr="00633F67">
        <w:rPr>
          <w:lang w:val="de-DE"/>
        </w:rPr>
        <w:instrText xml:space="preserve"> AUTONUM  </w:instrText>
      </w:r>
      <w:r w:rsidRPr="00633F67">
        <w:fldChar w:fldCharType="end"/>
      </w:r>
      <w:r w:rsidRPr="00633F67">
        <w:rPr>
          <w:lang w:val="de-DE"/>
        </w:rPr>
        <w:tab/>
      </w:r>
      <w:r w:rsidR="003C50AC" w:rsidRPr="00633F67">
        <w:rPr>
          <w:lang w:val="de-DE"/>
        </w:rPr>
        <w:t>Die Delegation</w:t>
      </w:r>
      <w:r w:rsidRPr="00633F67">
        <w:rPr>
          <w:lang w:val="de-DE"/>
        </w:rPr>
        <w:t xml:space="preserve"> </w:t>
      </w:r>
      <w:r w:rsidR="003C50AC" w:rsidRPr="00633F67">
        <w:rPr>
          <w:lang w:val="de-DE"/>
        </w:rPr>
        <w:t xml:space="preserve">der Europäischen Union </w:t>
      </w:r>
      <w:r w:rsidR="003357B8" w:rsidRPr="00633F67">
        <w:rPr>
          <w:lang w:val="de-DE"/>
        </w:rPr>
        <w:t xml:space="preserve">brachte </w:t>
      </w:r>
      <w:r w:rsidR="003C50AC" w:rsidRPr="00633F67">
        <w:rPr>
          <w:lang w:val="de-DE"/>
        </w:rPr>
        <w:t xml:space="preserve">ihre grundsätzliche </w:t>
      </w:r>
      <w:r w:rsidR="003D724A" w:rsidRPr="00633F67">
        <w:rPr>
          <w:lang w:val="de-DE"/>
        </w:rPr>
        <w:t xml:space="preserve">Unterstützung </w:t>
      </w:r>
      <w:r w:rsidR="003C50AC" w:rsidRPr="00633F67">
        <w:rPr>
          <w:lang w:val="de-DE"/>
        </w:rPr>
        <w:t xml:space="preserve">für die Organisation einer </w:t>
      </w:r>
      <w:r w:rsidR="003D724A" w:rsidRPr="00633F67">
        <w:rPr>
          <w:lang w:val="de-DE"/>
        </w:rPr>
        <w:t xml:space="preserve">Tagung </w:t>
      </w:r>
      <w:r w:rsidR="003C50AC" w:rsidRPr="00633F67">
        <w:rPr>
          <w:lang w:val="de-DE"/>
        </w:rPr>
        <w:t>für UPOV-Mitglieder</w:t>
      </w:r>
      <w:r w:rsidR="003D724A" w:rsidRPr="00633F67">
        <w:rPr>
          <w:lang w:val="de-DE"/>
        </w:rPr>
        <w:t xml:space="preserve"> für den Informationsaustausch</w:t>
      </w:r>
      <w:r w:rsidRPr="00633F67">
        <w:rPr>
          <w:lang w:val="de-DE"/>
        </w:rPr>
        <w:t xml:space="preserve"> </w:t>
      </w:r>
      <w:r w:rsidR="003C50AC" w:rsidRPr="00633F67">
        <w:rPr>
          <w:lang w:val="de-DE"/>
        </w:rPr>
        <w:t>mit</w:t>
      </w:r>
      <w:r w:rsidRPr="00633F67">
        <w:rPr>
          <w:lang w:val="de-DE"/>
        </w:rPr>
        <w:t xml:space="preserve"> CIOPORA, ISF</w:t>
      </w:r>
      <w:r w:rsidR="003C50AC" w:rsidRPr="00633F67">
        <w:rPr>
          <w:lang w:val="de-DE"/>
        </w:rPr>
        <w:t xml:space="preserve"> und </w:t>
      </w:r>
      <w:r w:rsidRPr="00633F67">
        <w:rPr>
          <w:lang w:val="de-DE"/>
        </w:rPr>
        <w:t>WIPO</w:t>
      </w:r>
      <w:r w:rsidR="003357B8" w:rsidRPr="00633F67">
        <w:rPr>
          <w:lang w:val="de-DE"/>
        </w:rPr>
        <w:t xml:space="preserve"> zum Ausdruck</w:t>
      </w:r>
      <w:r w:rsidRPr="00633F67">
        <w:rPr>
          <w:lang w:val="de-DE"/>
        </w:rPr>
        <w:t xml:space="preserve">. </w:t>
      </w:r>
      <w:r w:rsidR="003C50AC" w:rsidRPr="00633F67">
        <w:rPr>
          <w:lang w:val="de-DE"/>
        </w:rPr>
        <w:t xml:space="preserve">Sie </w:t>
      </w:r>
      <w:r w:rsidR="00631AF2" w:rsidRPr="00633F67">
        <w:rPr>
          <w:lang w:val="de-DE"/>
        </w:rPr>
        <w:t xml:space="preserve">erinnerte an die </w:t>
      </w:r>
      <w:r w:rsidR="003C50AC" w:rsidRPr="00633F67">
        <w:rPr>
          <w:lang w:val="de-DE"/>
        </w:rPr>
        <w:t xml:space="preserve">Anleitung </w:t>
      </w:r>
      <w:r w:rsidR="00E631EA" w:rsidRPr="00633F67">
        <w:rPr>
          <w:lang w:val="de-DE"/>
        </w:rPr>
        <w:t xml:space="preserve">in </w:t>
      </w:r>
      <w:r w:rsidR="00D36630" w:rsidRPr="00633F67">
        <w:rPr>
          <w:lang w:val="de-DE"/>
        </w:rPr>
        <w:t>Dokument UPOV/INF/21/1 „Alternative Mechanismen zur Streitbeilegung“</w:t>
      </w:r>
      <w:r w:rsidR="003C50AC" w:rsidRPr="00633F67">
        <w:rPr>
          <w:lang w:val="de-DE"/>
        </w:rPr>
        <w:t xml:space="preserve"> und</w:t>
      </w:r>
      <w:r w:rsidR="00631AF2" w:rsidRPr="00633F67">
        <w:rPr>
          <w:lang w:val="de-DE"/>
        </w:rPr>
        <w:t xml:space="preserve"> </w:t>
      </w:r>
      <w:r w:rsidR="003357B8" w:rsidRPr="00633F67">
        <w:rPr>
          <w:lang w:val="de-DE"/>
        </w:rPr>
        <w:t>merkte an</w:t>
      </w:r>
      <w:r w:rsidR="00631AF2" w:rsidRPr="00633F67">
        <w:rPr>
          <w:lang w:val="de-DE"/>
        </w:rPr>
        <w:t xml:space="preserve">, </w:t>
      </w:r>
      <w:r w:rsidR="00D36630" w:rsidRPr="00633F67">
        <w:rPr>
          <w:lang w:val="de-DE"/>
        </w:rPr>
        <w:t>daß</w:t>
      </w:r>
      <w:r w:rsidR="00631AF2" w:rsidRPr="00633F67">
        <w:rPr>
          <w:lang w:val="de-DE"/>
        </w:rPr>
        <w:t xml:space="preserve"> die</w:t>
      </w:r>
      <w:r w:rsidR="00D36630" w:rsidRPr="00633F67">
        <w:rPr>
          <w:lang w:val="de-DE"/>
        </w:rPr>
        <w:t xml:space="preserve"> UPOV selbst keine </w:t>
      </w:r>
      <w:r w:rsidR="003357B8" w:rsidRPr="00633F67">
        <w:rPr>
          <w:lang w:val="de-DE"/>
        </w:rPr>
        <w:t xml:space="preserve">alternativen </w:t>
      </w:r>
      <w:r w:rsidR="00D36630" w:rsidRPr="00633F67">
        <w:rPr>
          <w:lang w:val="de-DE"/>
        </w:rPr>
        <w:t>Streitbe</w:t>
      </w:r>
      <w:r w:rsidR="003357B8" w:rsidRPr="00633F67">
        <w:rPr>
          <w:lang w:val="de-DE"/>
        </w:rPr>
        <w:t>ilegungsmechanismen bereitstelle</w:t>
      </w:r>
      <w:r w:rsidR="00E631EA" w:rsidRPr="00633F67">
        <w:rPr>
          <w:lang w:val="de-DE"/>
        </w:rPr>
        <w:t xml:space="preserve">. </w:t>
      </w:r>
      <w:r w:rsidR="003C50AC" w:rsidRPr="00633F67">
        <w:rPr>
          <w:lang w:val="de-DE"/>
        </w:rPr>
        <w:t>Die Delegation</w:t>
      </w:r>
      <w:r w:rsidR="00631AF2" w:rsidRPr="00633F67">
        <w:rPr>
          <w:lang w:val="de-DE"/>
        </w:rPr>
        <w:t xml:space="preserve"> fügte hinzu, daß sie die Ausarbeitung einer überarbeiteten Fassung von </w:t>
      </w:r>
      <w:r w:rsidR="006F148B" w:rsidRPr="00633F67">
        <w:rPr>
          <w:lang w:val="de-DE"/>
        </w:rPr>
        <w:t>Dokument</w:t>
      </w:r>
      <w:r w:rsidRPr="00633F67">
        <w:rPr>
          <w:lang w:val="de-DE"/>
        </w:rPr>
        <w:t xml:space="preserve"> UPOV/EXN/EDV/2 </w:t>
      </w:r>
      <w:r w:rsidR="00631AF2" w:rsidRPr="00633F67">
        <w:rPr>
          <w:lang w:val="de-DE"/>
        </w:rPr>
        <w:t xml:space="preserve">wie </w:t>
      </w:r>
      <w:r w:rsidRPr="00633F67">
        <w:rPr>
          <w:lang w:val="de-DE"/>
        </w:rPr>
        <w:t xml:space="preserve">in </w:t>
      </w:r>
      <w:r w:rsidR="006F148B" w:rsidRPr="00633F67">
        <w:rPr>
          <w:lang w:val="de-DE"/>
        </w:rPr>
        <w:t>Dokument</w:t>
      </w:r>
      <w:r w:rsidRPr="00633F67">
        <w:rPr>
          <w:lang w:val="de-DE"/>
        </w:rPr>
        <w:t xml:space="preserve"> CAJ/71/2</w:t>
      </w:r>
      <w:r w:rsidR="003D724A" w:rsidRPr="00633F67">
        <w:rPr>
          <w:lang w:val="de-DE"/>
        </w:rPr>
        <w:t xml:space="preserve"> dargelegt befürworte</w:t>
      </w:r>
      <w:r w:rsidRPr="00633F67">
        <w:rPr>
          <w:lang w:val="de-DE"/>
        </w:rPr>
        <w:t>.</w:t>
      </w:r>
    </w:p>
    <w:p w:rsidR="00835608" w:rsidRPr="00633F67" w:rsidRDefault="00835608" w:rsidP="00835608">
      <w:pPr>
        <w:rPr>
          <w:lang w:val="de-DE"/>
        </w:rPr>
      </w:pPr>
    </w:p>
    <w:p w:rsidR="00424476" w:rsidRPr="00633F67" w:rsidRDefault="00424476" w:rsidP="00424476">
      <w:pPr>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Pr="00633F67">
        <w:rPr>
          <w:lang w:val="de-DE"/>
        </w:rPr>
        <w:tab/>
      </w:r>
      <w:r w:rsidR="00754088" w:rsidRPr="00633F67">
        <w:rPr>
          <w:lang w:val="de-DE"/>
        </w:rPr>
        <w:t xml:space="preserve">Der CAJ vereinbarte, auf seiner zweiundsiebzigsten Tagung den Vorschlag zu prüfen, daß das Verbandsbüro eine Tagung für den Informationsaustausch mit der Internationalen Gemeinschaft der Züchter vegetativ vermehrbarer Zier- und Obstpflanzen (CIOPORA), dem </w:t>
      </w:r>
      <w:r w:rsidR="00754088" w:rsidRPr="00633F67">
        <w:rPr>
          <w:i/>
          <w:lang w:val="de-DE"/>
        </w:rPr>
        <w:t>International Seed Federation</w:t>
      </w:r>
      <w:r w:rsidR="00754088" w:rsidRPr="00633F67">
        <w:rPr>
          <w:lang w:val="de-DE"/>
        </w:rPr>
        <w:t xml:space="preserve"> (ISF) und der Weltorganisation für geistiges Eigentum (WIPO) anberaumen solle, um die mögliche Rolle der UPOV bei alternativen Streitbeilegungsmechanismen für Angelegenheiten betreffend </w:t>
      </w:r>
      <w:r w:rsidR="003F3839" w:rsidRPr="00633F67">
        <w:rPr>
          <w:lang w:val="de-DE"/>
        </w:rPr>
        <w:t xml:space="preserve">im wesentlichen </w:t>
      </w:r>
      <w:r w:rsidR="00754088" w:rsidRPr="00633F67">
        <w:rPr>
          <w:lang w:val="de-DE"/>
        </w:rPr>
        <w:t xml:space="preserve">abgeleitete Sorten, einschließlich der Bereitstellung von Sachverständigen für Angelegenheiten von </w:t>
      </w:r>
      <w:r w:rsidR="003F3839" w:rsidRPr="00633F67">
        <w:rPr>
          <w:lang w:val="de-DE"/>
        </w:rPr>
        <w:t xml:space="preserve">im wesentlichen </w:t>
      </w:r>
      <w:r w:rsidR="00754088" w:rsidRPr="00633F67">
        <w:rPr>
          <w:lang w:val="de-DE"/>
        </w:rPr>
        <w:t>abgeleiteten Sorten, zu erkunden. Der CAJ nahm zur Kenntnis, daß der Rat Dokument UPOV/INF/21/1 „Alternative Mechanismen zur Streitbeilegung“ angenommen hatte</w:t>
      </w:r>
      <w:r w:rsidRPr="00633F67">
        <w:rPr>
          <w:lang w:val="de-DE"/>
        </w:rPr>
        <w:t>.</w:t>
      </w:r>
    </w:p>
    <w:p w:rsidR="00424476" w:rsidRPr="00633F67" w:rsidRDefault="00424476" w:rsidP="00424476">
      <w:pPr>
        <w:rPr>
          <w:lang w:val="de-DE"/>
        </w:rPr>
      </w:pPr>
    </w:p>
    <w:p w:rsidR="00523F32" w:rsidRPr="00633F67" w:rsidRDefault="00B85B59" w:rsidP="004E4F91">
      <w:pPr>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E705FE" w:rsidRPr="00633F67">
        <w:rPr>
          <w:lang w:val="de-DE"/>
        </w:rPr>
        <w:tab/>
      </w:r>
      <w:r w:rsidR="00754088" w:rsidRPr="00633F67">
        <w:rPr>
          <w:lang w:val="de-DE"/>
        </w:rPr>
        <w:t xml:space="preserve">Der CAJ vereinbarte, auf seiner zweiundsiebzigsten Tagung einen neuen Entwurf der „Erläuterungen zu den </w:t>
      </w:r>
      <w:r w:rsidR="003F3839" w:rsidRPr="00633F67">
        <w:rPr>
          <w:lang w:val="de-DE"/>
        </w:rPr>
        <w:t xml:space="preserve">im wesentlichen </w:t>
      </w:r>
      <w:r w:rsidR="00754088" w:rsidRPr="00633F67">
        <w:rPr>
          <w:lang w:val="de-DE"/>
        </w:rPr>
        <w:t xml:space="preserve">abgeleiteten Sorten nach der Akte von 1991 des UPOV-Übereinkommens“ </w:t>
      </w:r>
      <w:r w:rsidR="00754088" w:rsidRPr="00633F67">
        <w:rPr>
          <w:lang w:val="de-DE"/>
        </w:rPr>
        <w:lastRenderedPageBreak/>
        <w:t>(Überarbeitung) (Dokument UPOV/EXN/EDV/2 Draft 6), wie in Dokument CAJ/71/2, Absätze 15 und 16 dargelegt, zu prüfen</w:t>
      </w:r>
      <w:r w:rsidR="00523F32" w:rsidRPr="00633F67">
        <w:rPr>
          <w:lang w:val="de-DE"/>
        </w:rPr>
        <w:t>.</w:t>
      </w:r>
    </w:p>
    <w:p w:rsidR="00523F32" w:rsidRPr="00633F67" w:rsidRDefault="00523F32" w:rsidP="004E4F91">
      <w:pPr>
        <w:spacing w:line="360" w:lineRule="auto"/>
        <w:rPr>
          <w:lang w:val="de-DE"/>
        </w:rPr>
      </w:pPr>
    </w:p>
    <w:p w:rsidR="00754088" w:rsidRPr="00633F67" w:rsidRDefault="00754088" w:rsidP="00754088">
      <w:pPr>
        <w:keepNext/>
        <w:outlineLvl w:val="1"/>
        <w:rPr>
          <w:i/>
          <w:snapToGrid w:val="0"/>
          <w:lang w:val="de-DE"/>
        </w:rPr>
      </w:pPr>
      <w:r w:rsidRPr="00633F67">
        <w:rPr>
          <w:i/>
          <w:snapToGrid w:val="0"/>
          <w:lang w:val="de-DE"/>
        </w:rPr>
        <w:t xml:space="preserve">Erläuterungen zu Vermehrungsmaterial nach der Akte von 1991 des UPOV-Übereinkommens  </w:t>
      </w:r>
    </w:p>
    <w:p w:rsidR="000321F0" w:rsidRPr="00633F67" w:rsidRDefault="000321F0" w:rsidP="004E4F91">
      <w:pPr>
        <w:rPr>
          <w:lang w:val="de-DE"/>
        </w:rPr>
      </w:pPr>
    </w:p>
    <w:p w:rsidR="00835608" w:rsidRPr="00633F67" w:rsidRDefault="002A6C4A" w:rsidP="00835608">
      <w:pPr>
        <w:rPr>
          <w:lang w:val="de-DE"/>
        </w:rPr>
      </w:pPr>
      <w:r w:rsidRPr="00633F67">
        <w:fldChar w:fldCharType="begin"/>
      </w:r>
      <w:r w:rsidRPr="00633F67">
        <w:rPr>
          <w:lang w:val="de-DE"/>
        </w:rPr>
        <w:instrText xml:space="preserve"> AUTONUM  </w:instrText>
      </w:r>
      <w:r w:rsidRPr="00633F67">
        <w:fldChar w:fldCharType="end"/>
      </w:r>
      <w:r w:rsidRPr="00633F67">
        <w:rPr>
          <w:lang w:val="de-DE"/>
        </w:rPr>
        <w:tab/>
      </w:r>
      <w:r w:rsidR="003C50AC" w:rsidRPr="00633F67">
        <w:rPr>
          <w:lang w:val="de-DE"/>
        </w:rPr>
        <w:t>Die Delegation</w:t>
      </w:r>
      <w:r w:rsidR="00835608" w:rsidRPr="00633F67">
        <w:rPr>
          <w:lang w:val="de-DE"/>
        </w:rPr>
        <w:t xml:space="preserve"> </w:t>
      </w:r>
      <w:r w:rsidR="002E3D8A" w:rsidRPr="00633F67">
        <w:rPr>
          <w:lang w:val="de-DE"/>
        </w:rPr>
        <w:t>der Russischen Föderation schlug vor,</w:t>
      </w:r>
      <w:r w:rsidR="00CA1641" w:rsidRPr="00633F67">
        <w:rPr>
          <w:lang w:val="de-DE"/>
        </w:rPr>
        <w:t xml:space="preserve"> </w:t>
      </w:r>
      <w:r w:rsidR="002E3D8A" w:rsidRPr="00633F67">
        <w:rPr>
          <w:lang w:val="de-DE"/>
        </w:rPr>
        <w:t>Absatz</w:t>
      </w:r>
      <w:r w:rsidR="00835608" w:rsidRPr="00633F67">
        <w:rPr>
          <w:lang w:val="de-DE"/>
        </w:rPr>
        <w:t xml:space="preserve"> 2 </w:t>
      </w:r>
      <w:r w:rsidR="00D22B7D" w:rsidRPr="00633F67">
        <w:rPr>
          <w:lang w:val="de-DE"/>
        </w:rPr>
        <w:t>des</w:t>
      </w:r>
      <w:r w:rsidR="002E3D8A" w:rsidRPr="00633F67">
        <w:rPr>
          <w:lang w:val="de-DE"/>
        </w:rPr>
        <w:t xml:space="preserve"> Dokument</w:t>
      </w:r>
      <w:r w:rsidR="00D22B7D" w:rsidRPr="00633F67">
        <w:rPr>
          <w:lang w:val="de-DE"/>
        </w:rPr>
        <w:t>s</w:t>
      </w:r>
      <w:r w:rsidR="002E3D8A" w:rsidRPr="00633F67">
        <w:rPr>
          <w:lang w:val="de-DE"/>
        </w:rPr>
        <w:t xml:space="preserve"> </w:t>
      </w:r>
      <w:r w:rsidR="00633F67">
        <w:rPr>
          <w:lang w:val="de-DE"/>
        </w:rPr>
        <w:t>UPOV/EXN/PPM/1 </w:t>
      </w:r>
      <w:r w:rsidR="00C6789E" w:rsidRPr="00633F67">
        <w:rPr>
          <w:lang w:val="de-DE"/>
        </w:rPr>
        <w:t>Draft 4</w:t>
      </w:r>
      <w:r w:rsidR="00D22B7D" w:rsidRPr="00633F67">
        <w:rPr>
          <w:lang w:val="de-DE"/>
        </w:rPr>
        <w:t xml:space="preserve"> zu streichen</w:t>
      </w:r>
      <w:r w:rsidR="00C6789E" w:rsidRPr="00633F67">
        <w:rPr>
          <w:lang w:val="de-DE"/>
        </w:rPr>
        <w:t xml:space="preserve">. </w:t>
      </w:r>
      <w:r w:rsidR="002E3D8A" w:rsidRPr="00633F67">
        <w:rPr>
          <w:lang w:val="de-DE"/>
        </w:rPr>
        <w:t>Sie äußerte Bedenken</w:t>
      </w:r>
      <w:r w:rsidR="003357B8" w:rsidRPr="00633F67">
        <w:rPr>
          <w:lang w:val="de-DE"/>
        </w:rPr>
        <w:t xml:space="preserve"> dahingehend</w:t>
      </w:r>
      <w:r w:rsidR="002E3D8A" w:rsidRPr="00633F67">
        <w:rPr>
          <w:lang w:val="de-DE"/>
        </w:rPr>
        <w:t>, daß der bestehende Wortlaut von Absatz</w:t>
      </w:r>
      <w:r w:rsidR="00D12CCC" w:rsidRPr="00633F67">
        <w:rPr>
          <w:lang w:val="de-DE"/>
        </w:rPr>
        <w:t xml:space="preserve"> 2 </w:t>
      </w:r>
      <w:r w:rsidR="002E3D8A" w:rsidRPr="00633F67">
        <w:rPr>
          <w:lang w:val="de-DE"/>
        </w:rPr>
        <w:t xml:space="preserve">einen Züchter </w:t>
      </w:r>
      <w:r w:rsidR="003357B8" w:rsidRPr="00633F67">
        <w:rPr>
          <w:lang w:val="de-DE"/>
        </w:rPr>
        <w:t xml:space="preserve">möglicherweise </w:t>
      </w:r>
      <w:r w:rsidR="002E3D8A" w:rsidRPr="00633F67">
        <w:rPr>
          <w:lang w:val="de-DE"/>
        </w:rPr>
        <w:t xml:space="preserve">dazu veranlassen </w:t>
      </w:r>
      <w:r w:rsidR="003357B8" w:rsidRPr="00633F67">
        <w:rPr>
          <w:lang w:val="de-DE"/>
        </w:rPr>
        <w:t>könne</w:t>
      </w:r>
      <w:r w:rsidR="002E3D8A" w:rsidRPr="00633F67">
        <w:rPr>
          <w:lang w:val="de-DE"/>
        </w:rPr>
        <w:t>, nur von eine</w:t>
      </w:r>
      <w:r w:rsidR="00D22B7D" w:rsidRPr="00633F67">
        <w:rPr>
          <w:lang w:val="de-DE"/>
        </w:rPr>
        <w:t>r</w:t>
      </w:r>
      <w:r w:rsidR="002E3D8A" w:rsidRPr="00633F67">
        <w:rPr>
          <w:lang w:val="de-DE"/>
        </w:rPr>
        <w:t xml:space="preserve"> etwaigen Möglichkeit </w:t>
      </w:r>
      <w:r w:rsidR="00D22B7D" w:rsidRPr="00633F67">
        <w:rPr>
          <w:lang w:val="de-DE"/>
        </w:rPr>
        <w:t xml:space="preserve">geleitet, daß </w:t>
      </w:r>
      <w:r w:rsidR="002E3D8A" w:rsidRPr="00633F67">
        <w:rPr>
          <w:lang w:val="de-DE"/>
        </w:rPr>
        <w:t xml:space="preserve">eine der Parteien </w:t>
      </w:r>
      <w:r w:rsidR="00C6789E" w:rsidRPr="00633F67">
        <w:rPr>
          <w:lang w:val="de-DE"/>
        </w:rPr>
        <w:t>(</w:t>
      </w:r>
      <w:r w:rsidR="00D22B7D" w:rsidRPr="00633F67">
        <w:rPr>
          <w:lang w:val="de-DE"/>
        </w:rPr>
        <w:t>V</w:t>
      </w:r>
      <w:r w:rsidR="002E3D8A" w:rsidRPr="00633F67">
        <w:rPr>
          <w:lang w:val="de-DE"/>
        </w:rPr>
        <w:t>erkäufer</w:t>
      </w:r>
      <w:r w:rsidR="00C6789E" w:rsidRPr="00633F67">
        <w:rPr>
          <w:lang w:val="de-DE"/>
        </w:rPr>
        <w:t xml:space="preserve">, </w:t>
      </w:r>
      <w:r w:rsidR="002E3D8A" w:rsidRPr="00633F67">
        <w:rPr>
          <w:lang w:val="de-DE"/>
        </w:rPr>
        <w:t>Käufer</w:t>
      </w:r>
      <w:r w:rsidR="00C6789E" w:rsidRPr="00633F67">
        <w:rPr>
          <w:lang w:val="de-DE"/>
        </w:rPr>
        <w:t xml:space="preserve">, </w:t>
      </w:r>
      <w:r w:rsidR="002E3D8A" w:rsidRPr="00633F67">
        <w:rPr>
          <w:lang w:val="de-DE"/>
        </w:rPr>
        <w:t>Landwirte</w:t>
      </w:r>
      <w:r w:rsidR="00C6789E" w:rsidRPr="00633F67">
        <w:rPr>
          <w:lang w:val="de-DE"/>
        </w:rPr>
        <w:t xml:space="preserve">) </w:t>
      </w:r>
      <w:r w:rsidR="002E3D8A" w:rsidRPr="00633F67">
        <w:rPr>
          <w:lang w:val="de-DE"/>
        </w:rPr>
        <w:t>das</w:t>
      </w:r>
      <w:r w:rsidR="00D12CCC" w:rsidRPr="00633F67">
        <w:rPr>
          <w:lang w:val="de-DE"/>
        </w:rPr>
        <w:t xml:space="preserve"> </w:t>
      </w:r>
      <w:r w:rsidR="002E3D8A" w:rsidRPr="00633F67">
        <w:rPr>
          <w:lang w:val="de-DE"/>
        </w:rPr>
        <w:t>Züchterrecht verletz</w:t>
      </w:r>
      <w:r w:rsidR="003357B8" w:rsidRPr="00633F67">
        <w:rPr>
          <w:lang w:val="de-DE"/>
        </w:rPr>
        <w:t>t</w:t>
      </w:r>
      <w:r w:rsidR="00D22B7D" w:rsidRPr="00633F67">
        <w:rPr>
          <w:lang w:val="de-DE"/>
        </w:rPr>
        <w:t>, Akte betreffend Pflanzenmaterial in den Inhalt des Züchterrechts aufzunehmen</w:t>
      </w:r>
      <w:r w:rsidR="00D12CCC" w:rsidRPr="00633F67">
        <w:rPr>
          <w:lang w:val="de-DE"/>
        </w:rPr>
        <w:t>.</w:t>
      </w:r>
      <w:r w:rsidR="002E3D8A" w:rsidRPr="00633F67">
        <w:rPr>
          <w:lang w:val="de-DE"/>
        </w:rPr>
        <w:t xml:space="preserve"> Sie äußerte jedoch, daß </w:t>
      </w:r>
      <w:r w:rsidR="00D22B7D" w:rsidRPr="00633F67">
        <w:rPr>
          <w:lang w:val="de-DE"/>
        </w:rPr>
        <w:t>di</w:t>
      </w:r>
      <w:r w:rsidR="002E3D8A" w:rsidRPr="00633F67">
        <w:rPr>
          <w:lang w:val="de-DE"/>
        </w:rPr>
        <w:t>es nicht zutr</w:t>
      </w:r>
      <w:r w:rsidR="003357B8" w:rsidRPr="00633F67">
        <w:rPr>
          <w:lang w:val="de-DE"/>
        </w:rPr>
        <w:t>effe</w:t>
      </w:r>
      <w:r w:rsidR="00C6789E" w:rsidRPr="00633F67">
        <w:rPr>
          <w:lang w:val="de-DE"/>
        </w:rPr>
        <w:t>:</w:t>
      </w:r>
      <w:r w:rsidR="002E3D8A" w:rsidRPr="00633F67">
        <w:rPr>
          <w:lang w:val="de-DE"/>
        </w:rPr>
        <w:t xml:space="preserve"> ein Verletzer sei eine</w:t>
      </w:r>
      <w:r w:rsidR="000B4AAA" w:rsidRPr="00633F67">
        <w:rPr>
          <w:lang w:val="de-DE"/>
        </w:rPr>
        <w:t xml:space="preserve"> </w:t>
      </w:r>
      <w:r w:rsidR="002E3D8A" w:rsidRPr="00633F67">
        <w:rPr>
          <w:lang w:val="de-DE"/>
        </w:rPr>
        <w:t>P</w:t>
      </w:r>
      <w:r w:rsidR="000B4AAA" w:rsidRPr="00633F67">
        <w:rPr>
          <w:lang w:val="de-DE"/>
        </w:rPr>
        <w:t>erson</w:t>
      </w:r>
      <w:r w:rsidR="002E3D8A" w:rsidRPr="00633F67">
        <w:rPr>
          <w:lang w:val="de-DE"/>
        </w:rPr>
        <w:t xml:space="preserve">, die </w:t>
      </w:r>
      <w:r w:rsidR="00D37105" w:rsidRPr="00633F67">
        <w:rPr>
          <w:lang w:val="de-DE"/>
        </w:rPr>
        <w:t>eine neue Probe von Vermehrungsmaterial</w:t>
      </w:r>
      <w:r w:rsidR="00C6789E" w:rsidRPr="00633F67">
        <w:rPr>
          <w:lang w:val="de-DE"/>
        </w:rPr>
        <w:t xml:space="preserve"> </w:t>
      </w:r>
      <w:r w:rsidR="00D37105" w:rsidRPr="00633F67">
        <w:rPr>
          <w:lang w:val="de-DE"/>
        </w:rPr>
        <w:t>einer Sorte ohne die Zustimmung eines Züchters</w:t>
      </w:r>
      <w:r w:rsidR="00D22B7D" w:rsidRPr="00633F67">
        <w:rPr>
          <w:lang w:val="de-DE"/>
        </w:rPr>
        <w:t xml:space="preserve"> reproduziere. </w:t>
      </w:r>
      <w:r w:rsidR="00D37105" w:rsidRPr="00633F67">
        <w:rPr>
          <w:lang w:val="de-DE"/>
        </w:rPr>
        <w:t>Die</w:t>
      </w:r>
      <w:r w:rsidR="00D22B7D" w:rsidRPr="00633F67">
        <w:rPr>
          <w:lang w:val="de-DE"/>
        </w:rPr>
        <w:t xml:space="preserve"> Akte </w:t>
      </w:r>
      <w:r w:rsidR="00D37105" w:rsidRPr="00633F67">
        <w:rPr>
          <w:lang w:val="de-DE"/>
        </w:rPr>
        <w:t>des Feilhalten</w:t>
      </w:r>
      <w:r w:rsidR="003357B8" w:rsidRPr="00633F67">
        <w:rPr>
          <w:lang w:val="de-DE"/>
        </w:rPr>
        <w:t>s</w:t>
      </w:r>
      <w:r w:rsidR="00C6789E" w:rsidRPr="00633F67">
        <w:rPr>
          <w:lang w:val="de-DE"/>
        </w:rPr>
        <w:t xml:space="preserve">, </w:t>
      </w:r>
      <w:r w:rsidR="00D22B7D" w:rsidRPr="00633F67">
        <w:rPr>
          <w:lang w:val="de-DE"/>
        </w:rPr>
        <w:t xml:space="preserve">des </w:t>
      </w:r>
      <w:r w:rsidR="00D37105" w:rsidRPr="00633F67">
        <w:rPr>
          <w:lang w:val="de-DE"/>
        </w:rPr>
        <w:t xml:space="preserve">Verkaufs und </w:t>
      </w:r>
      <w:r w:rsidR="00D22B7D" w:rsidRPr="00633F67">
        <w:rPr>
          <w:lang w:val="de-DE"/>
        </w:rPr>
        <w:t xml:space="preserve">der </w:t>
      </w:r>
      <w:r w:rsidR="00D37105" w:rsidRPr="00633F67">
        <w:rPr>
          <w:lang w:val="de-DE"/>
        </w:rPr>
        <w:t>Verwendung von</w:t>
      </w:r>
      <w:r w:rsidR="00C6789E" w:rsidRPr="00633F67">
        <w:rPr>
          <w:lang w:val="de-DE"/>
        </w:rPr>
        <w:t xml:space="preserve"> </w:t>
      </w:r>
      <w:r w:rsidR="00D37105" w:rsidRPr="00633F67">
        <w:rPr>
          <w:lang w:val="de-DE"/>
        </w:rPr>
        <w:t>Vermehrungsmaterial</w:t>
      </w:r>
      <w:r w:rsidR="003C50AC" w:rsidRPr="00633F67">
        <w:rPr>
          <w:lang w:val="de-DE"/>
        </w:rPr>
        <w:t xml:space="preserve"> für</w:t>
      </w:r>
      <w:r w:rsidR="00D37105" w:rsidRPr="00633F67">
        <w:rPr>
          <w:lang w:val="de-DE"/>
        </w:rPr>
        <w:t xml:space="preserve"> die</w:t>
      </w:r>
      <w:r w:rsidR="003C50AC" w:rsidRPr="00633F67">
        <w:rPr>
          <w:lang w:val="de-DE"/>
        </w:rPr>
        <w:t xml:space="preserve"> </w:t>
      </w:r>
      <w:r w:rsidR="00D37105" w:rsidRPr="00633F67">
        <w:rPr>
          <w:lang w:val="de-DE"/>
        </w:rPr>
        <w:t>Erzeugung jeglichen anderen gewerbsmäßig vertreibbaren M</w:t>
      </w:r>
      <w:r w:rsidR="00C6789E" w:rsidRPr="00633F67">
        <w:rPr>
          <w:lang w:val="de-DE"/>
        </w:rPr>
        <w:t>aterial</w:t>
      </w:r>
      <w:r w:rsidR="00D37105" w:rsidRPr="00633F67">
        <w:rPr>
          <w:lang w:val="de-DE"/>
        </w:rPr>
        <w:t>s</w:t>
      </w:r>
      <w:r w:rsidR="00D22B7D" w:rsidRPr="00633F67">
        <w:rPr>
          <w:lang w:val="de-DE"/>
        </w:rPr>
        <w:t xml:space="preserve"> seien</w:t>
      </w:r>
      <w:r w:rsidR="00D37105" w:rsidRPr="00633F67">
        <w:rPr>
          <w:lang w:val="de-DE"/>
        </w:rPr>
        <w:t xml:space="preserve"> von den Bestimmungen von</w:t>
      </w:r>
      <w:r w:rsidR="000B4AAA" w:rsidRPr="00633F67">
        <w:rPr>
          <w:lang w:val="de-DE"/>
        </w:rPr>
        <w:t xml:space="preserve"> </w:t>
      </w:r>
      <w:r w:rsidR="006F148B" w:rsidRPr="00633F67">
        <w:rPr>
          <w:lang w:val="de-DE"/>
        </w:rPr>
        <w:t>Artikel 16 der Akte von 1991</w:t>
      </w:r>
      <w:r w:rsidR="00D37105" w:rsidRPr="00633F67">
        <w:rPr>
          <w:lang w:val="de-DE"/>
        </w:rPr>
        <w:t xml:space="preserve"> </w:t>
      </w:r>
      <w:r w:rsidR="00D22B7D" w:rsidRPr="00633F67">
        <w:rPr>
          <w:lang w:val="de-DE"/>
        </w:rPr>
        <w:t>über die „</w:t>
      </w:r>
      <w:r w:rsidR="006F148B" w:rsidRPr="00633F67">
        <w:rPr>
          <w:lang w:val="de-DE"/>
        </w:rPr>
        <w:t>Erschöpfung des Züchterrechts</w:t>
      </w:r>
      <w:r w:rsidR="00D22B7D" w:rsidRPr="00633F67">
        <w:rPr>
          <w:lang w:val="de-DE"/>
        </w:rPr>
        <w:t>“ erfaßt</w:t>
      </w:r>
      <w:r w:rsidR="00677F05" w:rsidRPr="00633F67">
        <w:rPr>
          <w:lang w:val="de-DE"/>
        </w:rPr>
        <w:t xml:space="preserve">. </w:t>
      </w:r>
      <w:r w:rsidR="003C50AC" w:rsidRPr="00633F67">
        <w:rPr>
          <w:lang w:val="de-DE"/>
        </w:rPr>
        <w:t>Die Delegation</w:t>
      </w:r>
      <w:r w:rsidR="00C6789E" w:rsidRPr="00633F67">
        <w:rPr>
          <w:lang w:val="de-DE"/>
        </w:rPr>
        <w:t xml:space="preserve"> </w:t>
      </w:r>
      <w:r w:rsidR="00D37105" w:rsidRPr="00633F67">
        <w:rPr>
          <w:lang w:val="de-DE"/>
        </w:rPr>
        <w:t xml:space="preserve">der </w:t>
      </w:r>
      <w:r w:rsidR="002E3D8A" w:rsidRPr="00633F67">
        <w:rPr>
          <w:lang w:val="de-DE"/>
        </w:rPr>
        <w:t>Russischen Föderation schlug</w:t>
      </w:r>
      <w:r w:rsidR="00D37105" w:rsidRPr="00633F67">
        <w:rPr>
          <w:lang w:val="de-DE"/>
        </w:rPr>
        <w:t xml:space="preserve"> außerdem</w:t>
      </w:r>
      <w:r w:rsidR="002E3D8A" w:rsidRPr="00633F67">
        <w:rPr>
          <w:lang w:val="de-DE"/>
        </w:rPr>
        <w:t xml:space="preserve"> vor,</w:t>
      </w:r>
      <w:r w:rsidR="00C6789E" w:rsidRPr="00633F67">
        <w:rPr>
          <w:lang w:val="de-DE"/>
        </w:rPr>
        <w:t xml:space="preserve"> </w:t>
      </w:r>
      <w:r w:rsidR="002E3D8A" w:rsidRPr="00633F67">
        <w:rPr>
          <w:lang w:val="de-DE"/>
        </w:rPr>
        <w:t>Absatz</w:t>
      </w:r>
      <w:r w:rsidR="00C6789E" w:rsidRPr="00633F67">
        <w:rPr>
          <w:lang w:val="de-DE"/>
        </w:rPr>
        <w:t xml:space="preserve"> 4 </w:t>
      </w:r>
      <w:r w:rsidR="002E3D8A" w:rsidRPr="00633F67">
        <w:rPr>
          <w:lang w:val="de-DE"/>
        </w:rPr>
        <w:t xml:space="preserve">von Dokument </w:t>
      </w:r>
      <w:r w:rsidR="00633F67">
        <w:rPr>
          <w:lang w:val="de-DE"/>
        </w:rPr>
        <w:t>UPOV/EXN/PPM/1 </w:t>
      </w:r>
      <w:r w:rsidR="00C6789E" w:rsidRPr="00633F67">
        <w:rPr>
          <w:lang w:val="de-DE"/>
        </w:rPr>
        <w:t>Draft 4</w:t>
      </w:r>
      <w:r w:rsidR="00D37105" w:rsidRPr="00633F67">
        <w:rPr>
          <w:lang w:val="de-DE"/>
        </w:rPr>
        <w:t xml:space="preserve"> zu streichen</w:t>
      </w:r>
      <w:r w:rsidR="00C6789E" w:rsidRPr="00633F67">
        <w:rPr>
          <w:lang w:val="de-DE"/>
        </w:rPr>
        <w:t xml:space="preserve">. </w:t>
      </w:r>
      <w:r w:rsidR="00D37105" w:rsidRPr="00633F67">
        <w:rPr>
          <w:lang w:val="de-DE"/>
        </w:rPr>
        <w:t>Sie äußerte, daß der Wortlaut dieses</w:t>
      </w:r>
      <w:r w:rsidR="000B4AAA" w:rsidRPr="00633F67">
        <w:rPr>
          <w:lang w:val="de-DE"/>
        </w:rPr>
        <w:t xml:space="preserve"> </w:t>
      </w:r>
      <w:r w:rsidR="002E3D8A" w:rsidRPr="00633F67">
        <w:rPr>
          <w:lang w:val="de-DE"/>
        </w:rPr>
        <w:t>Absatz</w:t>
      </w:r>
      <w:r w:rsidR="00D37105" w:rsidRPr="00633F67">
        <w:rPr>
          <w:lang w:val="de-DE"/>
        </w:rPr>
        <w:t>es</w:t>
      </w:r>
      <w:r w:rsidR="003357B8" w:rsidRPr="00633F67">
        <w:rPr>
          <w:lang w:val="de-DE"/>
        </w:rPr>
        <w:t xml:space="preserve"> es</w:t>
      </w:r>
      <w:r w:rsidR="00C6789E" w:rsidRPr="00633F67">
        <w:rPr>
          <w:lang w:val="de-DE"/>
        </w:rPr>
        <w:t xml:space="preserve"> </w:t>
      </w:r>
      <w:r w:rsidR="00D37105" w:rsidRPr="00633F67">
        <w:rPr>
          <w:lang w:val="de-DE"/>
        </w:rPr>
        <w:t>auf nationaler Ebene</w:t>
      </w:r>
      <w:r w:rsidR="00D22B7D" w:rsidRPr="00633F67">
        <w:rPr>
          <w:lang w:val="de-DE"/>
        </w:rPr>
        <w:t xml:space="preserve"> unangemessen ermögliche</w:t>
      </w:r>
      <w:r w:rsidR="00D37105" w:rsidRPr="00633F67">
        <w:rPr>
          <w:lang w:val="de-DE"/>
        </w:rPr>
        <w:t>, daß Vertragsparteien</w:t>
      </w:r>
      <w:r w:rsidR="00D22B7D" w:rsidRPr="00633F67">
        <w:rPr>
          <w:lang w:val="de-DE"/>
        </w:rPr>
        <w:t xml:space="preserve"> nicht</w:t>
      </w:r>
      <w:r w:rsidR="00D37105" w:rsidRPr="00633F67">
        <w:rPr>
          <w:lang w:val="de-DE"/>
        </w:rPr>
        <w:t xml:space="preserve"> von diesen</w:t>
      </w:r>
      <w:r w:rsidR="00C6789E" w:rsidRPr="00633F67">
        <w:rPr>
          <w:lang w:val="de-DE"/>
        </w:rPr>
        <w:t xml:space="preserve"> </w:t>
      </w:r>
      <w:r w:rsidR="00633F67">
        <w:rPr>
          <w:lang w:val="de-DE"/>
        </w:rPr>
        <w:t>Bestimmungen des UPOV</w:t>
      </w:r>
      <w:r w:rsidR="00633F67">
        <w:rPr>
          <w:lang w:val="de-DE"/>
        </w:rPr>
        <w:noBreakHyphen/>
      </w:r>
      <w:r w:rsidR="00D37105" w:rsidRPr="00633F67">
        <w:rPr>
          <w:lang w:val="de-DE"/>
        </w:rPr>
        <w:t xml:space="preserve">Übereinkommens </w:t>
      </w:r>
      <w:r w:rsidR="00D22B7D" w:rsidRPr="00633F67">
        <w:rPr>
          <w:lang w:val="de-DE"/>
        </w:rPr>
        <w:t>ge</w:t>
      </w:r>
      <w:r w:rsidR="00D37105" w:rsidRPr="00633F67">
        <w:rPr>
          <w:lang w:val="de-DE"/>
        </w:rPr>
        <w:t>leite</w:t>
      </w:r>
      <w:r w:rsidR="00D22B7D" w:rsidRPr="00633F67">
        <w:rPr>
          <w:lang w:val="de-DE"/>
        </w:rPr>
        <w:t>t würden</w:t>
      </w:r>
      <w:r w:rsidR="00D37105" w:rsidRPr="00633F67">
        <w:rPr>
          <w:lang w:val="de-DE"/>
        </w:rPr>
        <w:t xml:space="preserve">, sondern das </w:t>
      </w:r>
      <w:r w:rsidR="002E3D8A" w:rsidRPr="00633F67">
        <w:rPr>
          <w:lang w:val="de-DE"/>
        </w:rPr>
        <w:t>Züchterrecht</w:t>
      </w:r>
      <w:r w:rsidR="00D37105" w:rsidRPr="00633F67">
        <w:rPr>
          <w:lang w:val="de-DE"/>
        </w:rPr>
        <w:t xml:space="preserve"> erweitern</w:t>
      </w:r>
      <w:r w:rsidR="003357B8" w:rsidRPr="00633F67">
        <w:rPr>
          <w:lang w:val="de-DE"/>
        </w:rPr>
        <w:t xml:space="preserve"> würden</w:t>
      </w:r>
      <w:r w:rsidR="00C6789E" w:rsidRPr="00633F67">
        <w:rPr>
          <w:lang w:val="de-DE"/>
        </w:rPr>
        <w:t xml:space="preserve">. </w:t>
      </w:r>
      <w:r w:rsidR="003357B8" w:rsidRPr="00633F67">
        <w:rPr>
          <w:lang w:val="de-DE"/>
        </w:rPr>
        <w:t>Es</w:t>
      </w:r>
      <w:r w:rsidR="00D37105" w:rsidRPr="00633F67">
        <w:rPr>
          <w:lang w:val="de-DE"/>
        </w:rPr>
        <w:t xml:space="preserve"> reiche</w:t>
      </w:r>
      <w:r w:rsidR="003357B8" w:rsidRPr="00633F67">
        <w:rPr>
          <w:lang w:val="de-DE"/>
        </w:rPr>
        <w:t xml:space="preserve"> aus</w:t>
      </w:r>
      <w:r w:rsidR="00D37105" w:rsidRPr="00633F67">
        <w:rPr>
          <w:lang w:val="de-DE"/>
        </w:rPr>
        <w:t xml:space="preserve">, wenn die Vertragsparteien von Artikeln </w:t>
      </w:r>
      <w:r w:rsidR="00C6789E" w:rsidRPr="00633F67">
        <w:rPr>
          <w:lang w:val="de-DE"/>
        </w:rPr>
        <w:t>14</w:t>
      </w:r>
      <w:r w:rsidR="003357B8" w:rsidRPr="00633F67">
        <w:rPr>
          <w:lang w:val="de-DE"/>
        </w:rPr>
        <w:t xml:space="preserve"> Absatz </w:t>
      </w:r>
      <w:r w:rsidR="00C6789E" w:rsidRPr="00633F67">
        <w:rPr>
          <w:lang w:val="de-DE"/>
        </w:rPr>
        <w:t>3</w:t>
      </w:r>
      <w:r w:rsidR="003C50AC" w:rsidRPr="00633F67">
        <w:rPr>
          <w:lang w:val="de-DE"/>
        </w:rPr>
        <w:t xml:space="preserve"> und </w:t>
      </w:r>
      <w:r w:rsidR="00C6789E" w:rsidRPr="00633F67">
        <w:rPr>
          <w:lang w:val="de-DE"/>
        </w:rPr>
        <w:t>14</w:t>
      </w:r>
      <w:r w:rsidR="003357B8" w:rsidRPr="00633F67">
        <w:rPr>
          <w:lang w:val="de-DE"/>
        </w:rPr>
        <w:t xml:space="preserve"> Absatz </w:t>
      </w:r>
      <w:r w:rsidR="00C6789E" w:rsidRPr="00633F67">
        <w:rPr>
          <w:lang w:val="de-DE"/>
        </w:rPr>
        <w:t xml:space="preserve">4 </w:t>
      </w:r>
      <w:r w:rsidR="00D37105" w:rsidRPr="00633F67">
        <w:rPr>
          <w:lang w:val="de-DE"/>
        </w:rPr>
        <w:t xml:space="preserve">des UPOV-Übereinkommens </w:t>
      </w:r>
      <w:r w:rsidR="00D22B7D" w:rsidRPr="00633F67">
        <w:rPr>
          <w:lang w:val="de-DE"/>
        </w:rPr>
        <w:t>geleitet würden</w:t>
      </w:r>
      <w:r w:rsidR="00C6789E" w:rsidRPr="00633F67">
        <w:rPr>
          <w:lang w:val="de-DE"/>
        </w:rPr>
        <w:t>.</w:t>
      </w:r>
    </w:p>
    <w:p w:rsidR="00835608" w:rsidRPr="00633F67" w:rsidRDefault="00835608" w:rsidP="00835608">
      <w:pPr>
        <w:rPr>
          <w:lang w:val="de-DE"/>
        </w:rPr>
      </w:pPr>
    </w:p>
    <w:p w:rsidR="00D84ECD" w:rsidRPr="00633F67" w:rsidRDefault="002A6C4A" w:rsidP="00835608">
      <w:pPr>
        <w:rPr>
          <w:lang w:val="de-DE"/>
        </w:rPr>
      </w:pPr>
      <w:r w:rsidRPr="00633F67">
        <w:fldChar w:fldCharType="begin"/>
      </w:r>
      <w:r w:rsidRPr="00633F67">
        <w:rPr>
          <w:lang w:val="de-DE"/>
        </w:rPr>
        <w:instrText xml:space="preserve"> AUTONUM  </w:instrText>
      </w:r>
      <w:r w:rsidRPr="00633F67">
        <w:fldChar w:fldCharType="end"/>
      </w:r>
      <w:r w:rsidRPr="00633F67">
        <w:rPr>
          <w:lang w:val="de-DE"/>
        </w:rPr>
        <w:tab/>
      </w:r>
      <w:r w:rsidR="003C50AC" w:rsidRPr="00633F67">
        <w:rPr>
          <w:lang w:val="de-DE"/>
        </w:rPr>
        <w:t>Die Delegation</w:t>
      </w:r>
      <w:r w:rsidR="00835608" w:rsidRPr="00633F67">
        <w:rPr>
          <w:lang w:val="de-DE"/>
        </w:rPr>
        <w:t xml:space="preserve"> </w:t>
      </w:r>
      <w:r w:rsidR="00D37105" w:rsidRPr="00633F67">
        <w:rPr>
          <w:lang w:val="de-DE"/>
        </w:rPr>
        <w:t xml:space="preserve">Argentiniens war der Ansicht, daß </w:t>
      </w:r>
      <w:r w:rsidR="006F148B" w:rsidRPr="00633F67">
        <w:rPr>
          <w:lang w:val="de-DE"/>
        </w:rPr>
        <w:t>Dokument</w:t>
      </w:r>
      <w:r w:rsidR="003D7737" w:rsidRPr="00633F67">
        <w:rPr>
          <w:lang w:val="de-DE"/>
        </w:rPr>
        <w:t xml:space="preserve"> </w:t>
      </w:r>
      <w:r w:rsidR="00F17E67" w:rsidRPr="00633F67">
        <w:rPr>
          <w:lang w:val="de-DE"/>
        </w:rPr>
        <w:t>UPOV/EXN/PPM/1 Draft 4</w:t>
      </w:r>
      <w:r w:rsidR="00D37105" w:rsidRPr="00633F67">
        <w:rPr>
          <w:lang w:val="de-DE"/>
        </w:rPr>
        <w:t xml:space="preserve"> sich auf die </w:t>
      </w:r>
      <w:r w:rsidR="006F148B" w:rsidRPr="00633F67">
        <w:rPr>
          <w:lang w:val="de-DE"/>
        </w:rPr>
        <w:t xml:space="preserve">Akte von 1978 und </w:t>
      </w:r>
      <w:r w:rsidR="00C51A6F" w:rsidRPr="00633F67">
        <w:rPr>
          <w:lang w:val="de-DE"/>
        </w:rPr>
        <w:t>die</w:t>
      </w:r>
      <w:r w:rsidR="006F148B" w:rsidRPr="00633F67">
        <w:rPr>
          <w:lang w:val="de-DE"/>
        </w:rPr>
        <w:t xml:space="preserve"> Akte von 1991 des UPOV-Übereinkommens</w:t>
      </w:r>
      <w:r w:rsidR="00D37105" w:rsidRPr="00633F67">
        <w:rPr>
          <w:lang w:val="de-DE"/>
        </w:rPr>
        <w:t xml:space="preserve"> beziehen solle</w:t>
      </w:r>
      <w:r w:rsidR="00C11AA9" w:rsidRPr="00633F67">
        <w:rPr>
          <w:lang w:val="de-DE"/>
        </w:rPr>
        <w:t xml:space="preserve">. </w:t>
      </w:r>
      <w:r w:rsidR="00D37105" w:rsidRPr="00633F67">
        <w:rPr>
          <w:lang w:val="de-DE"/>
        </w:rPr>
        <w:t xml:space="preserve">Sie </w:t>
      </w:r>
      <w:r w:rsidR="00631AF2" w:rsidRPr="00633F67">
        <w:rPr>
          <w:lang w:val="de-DE"/>
        </w:rPr>
        <w:t>nahm zur Kenntnis,</w:t>
      </w:r>
      <w:r w:rsidR="00D37105" w:rsidRPr="00633F67">
        <w:rPr>
          <w:lang w:val="de-DE"/>
        </w:rPr>
        <w:t xml:space="preserve"> daß der Ausdruck </w:t>
      </w:r>
      <w:r w:rsidR="00C11AA9" w:rsidRPr="00633F67">
        <w:rPr>
          <w:lang w:val="de-DE"/>
        </w:rPr>
        <w:t>“</w:t>
      </w:r>
      <w:r w:rsidR="00DD46BE" w:rsidRPr="00633F67">
        <w:rPr>
          <w:i/>
          <w:lang w:val="de-DE"/>
        </w:rPr>
        <w:t>engloba</w:t>
      </w:r>
      <w:r w:rsidR="00C11AA9" w:rsidRPr="00633F67">
        <w:rPr>
          <w:lang w:val="de-DE"/>
        </w:rPr>
        <w:t>”</w:t>
      </w:r>
      <w:r w:rsidR="00B7487E" w:rsidRPr="00633F67">
        <w:rPr>
          <w:lang w:val="de-DE"/>
        </w:rPr>
        <w:t>,</w:t>
      </w:r>
      <w:r w:rsidR="00C11AA9" w:rsidRPr="00633F67">
        <w:rPr>
          <w:lang w:val="de-DE"/>
        </w:rPr>
        <w:t xml:space="preserve"> in </w:t>
      </w:r>
      <w:r w:rsidR="002E3D8A" w:rsidRPr="00633F67">
        <w:rPr>
          <w:lang w:val="de-DE"/>
        </w:rPr>
        <w:t>Absatz</w:t>
      </w:r>
      <w:r w:rsidR="00C11AA9" w:rsidRPr="00633F67">
        <w:rPr>
          <w:lang w:val="de-DE"/>
        </w:rPr>
        <w:t xml:space="preserve"> 1 </w:t>
      </w:r>
      <w:r w:rsidR="00D37105" w:rsidRPr="00633F67">
        <w:rPr>
          <w:lang w:val="de-DE"/>
        </w:rPr>
        <w:t xml:space="preserve">der spanischen </w:t>
      </w:r>
      <w:r w:rsidR="00631AF2" w:rsidRPr="00633F67">
        <w:rPr>
          <w:lang w:val="de-DE"/>
        </w:rPr>
        <w:t xml:space="preserve">Fassung von </w:t>
      </w:r>
      <w:r w:rsidR="006F148B" w:rsidRPr="00633F67">
        <w:rPr>
          <w:lang w:val="de-DE"/>
        </w:rPr>
        <w:t>Dokument</w:t>
      </w:r>
      <w:r w:rsidR="00C11AA9" w:rsidRPr="00633F67">
        <w:rPr>
          <w:lang w:val="de-DE"/>
        </w:rPr>
        <w:t xml:space="preserve"> </w:t>
      </w:r>
      <w:r w:rsidR="00826422" w:rsidRPr="00633F67">
        <w:rPr>
          <w:lang w:val="de-DE"/>
        </w:rPr>
        <w:t xml:space="preserve">UPOV/EXN/PPM/1 Draft 4 </w:t>
      </w:r>
      <w:r w:rsidR="00D37105" w:rsidRPr="00633F67">
        <w:rPr>
          <w:lang w:val="de-DE"/>
        </w:rPr>
        <w:t>von einer Klärung profitieren würde</w:t>
      </w:r>
      <w:r w:rsidR="00C11AA9" w:rsidRPr="00633F67">
        <w:rPr>
          <w:lang w:val="de-DE"/>
        </w:rPr>
        <w:t xml:space="preserve">. </w:t>
      </w:r>
      <w:r w:rsidR="00D37105" w:rsidRPr="00633F67">
        <w:rPr>
          <w:lang w:val="de-DE"/>
        </w:rPr>
        <w:t xml:space="preserve">Sie merkte an, daß Artikel </w:t>
      </w:r>
      <w:r w:rsidR="00107512" w:rsidRPr="00633F67">
        <w:rPr>
          <w:lang w:val="de-DE"/>
        </w:rPr>
        <w:t>6, 8</w:t>
      </w:r>
      <w:r w:rsidR="003C50AC" w:rsidRPr="00633F67">
        <w:rPr>
          <w:lang w:val="de-DE"/>
        </w:rPr>
        <w:t xml:space="preserve"> und </w:t>
      </w:r>
      <w:r w:rsidR="00107512" w:rsidRPr="00633F67">
        <w:rPr>
          <w:lang w:val="de-DE"/>
        </w:rPr>
        <w:t>9</w:t>
      </w:r>
      <w:r w:rsidR="00DD46BE" w:rsidRPr="00633F67">
        <w:rPr>
          <w:lang w:val="de-DE"/>
        </w:rPr>
        <w:t xml:space="preserve"> </w:t>
      </w:r>
      <w:r w:rsidR="00D37105" w:rsidRPr="00633F67">
        <w:rPr>
          <w:lang w:val="de-DE"/>
        </w:rPr>
        <w:t>der Akte von 1991</w:t>
      </w:r>
      <w:r w:rsidR="00107512" w:rsidRPr="00633F67">
        <w:rPr>
          <w:lang w:val="de-DE"/>
        </w:rPr>
        <w:t xml:space="preserve">, in </w:t>
      </w:r>
      <w:r w:rsidR="006F148B" w:rsidRPr="00633F67">
        <w:rPr>
          <w:lang w:val="de-DE"/>
        </w:rPr>
        <w:t>Dokument</w:t>
      </w:r>
      <w:r w:rsidR="00107512" w:rsidRPr="00633F67">
        <w:rPr>
          <w:lang w:val="de-DE"/>
        </w:rPr>
        <w:t xml:space="preserve"> UPOV/EXN/PPM/1</w:t>
      </w:r>
      <w:r w:rsidR="00D12CCC" w:rsidRPr="00633F67">
        <w:rPr>
          <w:lang w:val="de-DE"/>
        </w:rPr>
        <w:t xml:space="preserve"> Draft 4</w:t>
      </w:r>
      <w:r w:rsidR="00D37105" w:rsidRPr="00633F67">
        <w:rPr>
          <w:lang w:val="de-DE"/>
        </w:rPr>
        <w:t xml:space="preserve"> wiedergegeben</w:t>
      </w:r>
      <w:r w:rsidR="00107512" w:rsidRPr="00633F67">
        <w:rPr>
          <w:lang w:val="de-DE"/>
        </w:rPr>
        <w:t>,</w:t>
      </w:r>
      <w:r w:rsidR="00D37105" w:rsidRPr="00633F67">
        <w:rPr>
          <w:lang w:val="de-DE"/>
        </w:rPr>
        <w:t xml:space="preserve"> keine</w:t>
      </w:r>
      <w:r w:rsidR="00C51A6F" w:rsidRPr="00633F67">
        <w:rPr>
          <w:lang w:val="de-DE"/>
        </w:rPr>
        <w:t>n</w:t>
      </w:r>
      <w:r w:rsidR="00D37105" w:rsidRPr="00633F67">
        <w:rPr>
          <w:lang w:val="de-DE"/>
        </w:rPr>
        <w:t xml:space="preserve"> direkten Belang für das Konzept von Vermehrungsmaterial</w:t>
      </w:r>
      <w:r w:rsidR="003C50AC" w:rsidRPr="00633F67">
        <w:rPr>
          <w:lang w:val="de-DE"/>
        </w:rPr>
        <w:t xml:space="preserve"> für </w:t>
      </w:r>
      <w:r w:rsidR="00D37105" w:rsidRPr="00633F67">
        <w:rPr>
          <w:lang w:val="de-DE"/>
        </w:rPr>
        <w:t xml:space="preserve">den Inhalt des </w:t>
      </w:r>
      <w:r w:rsidR="002E3D8A" w:rsidRPr="00633F67">
        <w:rPr>
          <w:lang w:val="de-DE"/>
        </w:rPr>
        <w:t>Züchterrecht</w:t>
      </w:r>
      <w:r w:rsidR="00D37105" w:rsidRPr="00633F67">
        <w:rPr>
          <w:lang w:val="de-DE"/>
        </w:rPr>
        <w:t>s</w:t>
      </w:r>
      <w:r w:rsidR="00C51A6F" w:rsidRPr="00633F67">
        <w:rPr>
          <w:lang w:val="de-DE"/>
        </w:rPr>
        <w:t xml:space="preserve"> habe</w:t>
      </w:r>
      <w:r w:rsidR="00C11AA9" w:rsidRPr="00633F67">
        <w:rPr>
          <w:lang w:val="de-DE"/>
        </w:rPr>
        <w:t xml:space="preserve">. </w:t>
      </w:r>
      <w:r w:rsidR="003C50AC" w:rsidRPr="00633F67">
        <w:rPr>
          <w:lang w:val="de-DE"/>
        </w:rPr>
        <w:t>Die Delegation</w:t>
      </w:r>
      <w:r w:rsidR="00AE180D" w:rsidRPr="00633F67">
        <w:rPr>
          <w:lang w:val="de-DE"/>
        </w:rPr>
        <w:t xml:space="preserve"> </w:t>
      </w:r>
      <w:r w:rsidR="00D37105" w:rsidRPr="00633F67">
        <w:rPr>
          <w:lang w:val="de-DE"/>
        </w:rPr>
        <w:t>Argentiniens</w:t>
      </w:r>
      <w:r w:rsidR="00AE180D" w:rsidRPr="00633F67">
        <w:rPr>
          <w:lang w:val="de-DE"/>
        </w:rPr>
        <w:t xml:space="preserve"> </w:t>
      </w:r>
      <w:r w:rsidR="00677F05" w:rsidRPr="00633F67">
        <w:rPr>
          <w:lang w:val="de-DE"/>
        </w:rPr>
        <w:t xml:space="preserve">erkannte die Ansichten der </w:t>
      </w:r>
      <w:r w:rsidR="002E3D8A" w:rsidRPr="00633F67">
        <w:rPr>
          <w:lang w:val="de-DE"/>
        </w:rPr>
        <w:t>Russischen Föderation</w:t>
      </w:r>
      <w:r w:rsidR="00677F05" w:rsidRPr="00633F67">
        <w:rPr>
          <w:lang w:val="de-DE"/>
        </w:rPr>
        <w:t xml:space="preserve"> an</w:t>
      </w:r>
      <w:r w:rsidR="002E3D8A" w:rsidRPr="00633F67">
        <w:rPr>
          <w:lang w:val="de-DE"/>
        </w:rPr>
        <w:t xml:space="preserve"> </w:t>
      </w:r>
      <w:r w:rsidR="003C50AC" w:rsidRPr="00633F67">
        <w:rPr>
          <w:lang w:val="de-DE"/>
        </w:rPr>
        <w:t>und</w:t>
      </w:r>
      <w:r w:rsidR="00677F05" w:rsidRPr="00633F67">
        <w:rPr>
          <w:lang w:val="de-DE"/>
        </w:rPr>
        <w:t xml:space="preserve"> </w:t>
      </w:r>
      <w:r w:rsidR="003357B8" w:rsidRPr="00633F67">
        <w:rPr>
          <w:lang w:val="de-DE"/>
        </w:rPr>
        <w:t>merkte an</w:t>
      </w:r>
      <w:r w:rsidR="00631AF2" w:rsidRPr="00633F67">
        <w:rPr>
          <w:lang w:val="de-DE"/>
        </w:rPr>
        <w:t>,</w:t>
      </w:r>
      <w:r w:rsidR="00677F05" w:rsidRPr="00633F67">
        <w:rPr>
          <w:lang w:val="de-DE"/>
        </w:rPr>
        <w:t xml:space="preserve"> daß gewisse E</w:t>
      </w:r>
      <w:r w:rsidR="00960B29" w:rsidRPr="00633F67">
        <w:rPr>
          <w:lang w:val="de-DE"/>
        </w:rPr>
        <w:t>lement</w:t>
      </w:r>
      <w:r w:rsidR="00677F05" w:rsidRPr="00633F67">
        <w:rPr>
          <w:lang w:val="de-DE"/>
        </w:rPr>
        <w:t>e</w:t>
      </w:r>
      <w:r w:rsidR="00960B29" w:rsidRPr="00633F67">
        <w:rPr>
          <w:lang w:val="de-DE"/>
        </w:rPr>
        <w:t xml:space="preserve"> </w:t>
      </w:r>
      <w:r w:rsidR="00677F05" w:rsidRPr="00633F67">
        <w:rPr>
          <w:lang w:val="de-DE"/>
        </w:rPr>
        <w:t>einer K</w:t>
      </w:r>
      <w:r w:rsidR="00C51A6F" w:rsidRPr="00633F67">
        <w:rPr>
          <w:lang w:val="de-DE"/>
        </w:rPr>
        <w:t>lärung bedürften, da sie von den</w:t>
      </w:r>
      <w:r w:rsidR="00677F05" w:rsidRPr="00633F67">
        <w:rPr>
          <w:lang w:val="de-DE"/>
        </w:rPr>
        <w:t xml:space="preserve"> geltenden Rechtsvorschriften in dem betroffenen Hoheitsgebiet abh</w:t>
      </w:r>
      <w:r w:rsidR="00C51A6F" w:rsidRPr="00633F67">
        <w:rPr>
          <w:lang w:val="de-DE"/>
        </w:rPr>
        <w:t>i</w:t>
      </w:r>
      <w:r w:rsidR="00677F05" w:rsidRPr="00633F67">
        <w:rPr>
          <w:lang w:val="de-DE"/>
        </w:rPr>
        <w:t>ngen</w:t>
      </w:r>
      <w:r w:rsidR="00F17E67" w:rsidRPr="00633F67">
        <w:rPr>
          <w:lang w:val="de-DE"/>
        </w:rPr>
        <w:t xml:space="preserve">: </w:t>
      </w:r>
      <w:r w:rsidR="00677F05" w:rsidRPr="00633F67">
        <w:rPr>
          <w:lang w:val="de-DE"/>
        </w:rPr>
        <w:t xml:space="preserve">beispielsweise, </w:t>
      </w:r>
      <w:r w:rsidR="00C51A6F" w:rsidRPr="00633F67">
        <w:rPr>
          <w:lang w:val="de-DE"/>
        </w:rPr>
        <w:t xml:space="preserve">was </w:t>
      </w:r>
      <w:r w:rsidR="00677F05" w:rsidRPr="00633F67">
        <w:rPr>
          <w:lang w:val="de-DE"/>
        </w:rPr>
        <w:t>eine Tatsache</w:t>
      </w:r>
      <w:r w:rsidR="00C51A6F" w:rsidRPr="00633F67">
        <w:rPr>
          <w:lang w:val="de-DE"/>
        </w:rPr>
        <w:t xml:space="preserve"> sei</w:t>
      </w:r>
      <w:r w:rsidR="00677F05" w:rsidRPr="00633F67">
        <w:rPr>
          <w:lang w:val="de-DE"/>
        </w:rPr>
        <w:t>, die Absicht der beteiligten Parteien</w:t>
      </w:r>
      <w:r w:rsidR="003C50AC" w:rsidRPr="00633F67">
        <w:rPr>
          <w:lang w:val="de-DE"/>
        </w:rPr>
        <w:t xml:space="preserve"> und </w:t>
      </w:r>
      <w:r w:rsidR="00677F05" w:rsidRPr="00633F67">
        <w:rPr>
          <w:lang w:val="de-DE"/>
        </w:rPr>
        <w:t>vertragliche Verpflichtungen</w:t>
      </w:r>
      <w:r w:rsidR="00DD46BE" w:rsidRPr="00633F67">
        <w:rPr>
          <w:lang w:val="de-DE"/>
        </w:rPr>
        <w:t>.</w:t>
      </w:r>
    </w:p>
    <w:p w:rsidR="00D84ECD" w:rsidRPr="00633F67" w:rsidRDefault="00D84ECD" w:rsidP="00835608">
      <w:pPr>
        <w:rPr>
          <w:lang w:val="de-DE"/>
        </w:rPr>
      </w:pPr>
    </w:p>
    <w:p w:rsidR="00835608" w:rsidRPr="00633F67" w:rsidRDefault="002A6C4A" w:rsidP="00835608">
      <w:pPr>
        <w:rPr>
          <w:lang w:val="de-DE"/>
        </w:rPr>
      </w:pPr>
      <w:r w:rsidRPr="00633F67">
        <w:fldChar w:fldCharType="begin"/>
      </w:r>
      <w:r w:rsidRPr="00633F67">
        <w:rPr>
          <w:lang w:val="de-DE"/>
        </w:rPr>
        <w:instrText xml:space="preserve"> AUTONUM  </w:instrText>
      </w:r>
      <w:r w:rsidRPr="00633F67">
        <w:fldChar w:fldCharType="end"/>
      </w:r>
      <w:r w:rsidRPr="00633F67">
        <w:rPr>
          <w:lang w:val="de-DE"/>
        </w:rPr>
        <w:tab/>
      </w:r>
      <w:r w:rsidR="006F148B" w:rsidRPr="00633F67">
        <w:rPr>
          <w:lang w:val="de-DE"/>
        </w:rPr>
        <w:t xml:space="preserve">Der Vertreter </w:t>
      </w:r>
      <w:r w:rsidR="00677F05" w:rsidRPr="00633F67">
        <w:rPr>
          <w:lang w:val="de-DE"/>
        </w:rPr>
        <w:t>von</w:t>
      </w:r>
      <w:r w:rsidR="00BF6883" w:rsidRPr="00633F67">
        <w:rPr>
          <w:lang w:val="de-DE"/>
        </w:rPr>
        <w:t xml:space="preserve"> CropLife </w:t>
      </w:r>
      <w:r w:rsidR="00960B29" w:rsidRPr="00633F67">
        <w:rPr>
          <w:lang w:val="de-DE"/>
        </w:rPr>
        <w:t xml:space="preserve">International </w:t>
      </w:r>
      <w:r w:rsidR="00C51A6F" w:rsidRPr="00633F67">
        <w:rPr>
          <w:lang w:val="de-DE"/>
        </w:rPr>
        <w:t>brachte Unterstützung</w:t>
      </w:r>
      <w:r w:rsidR="003C50AC" w:rsidRPr="00633F67">
        <w:rPr>
          <w:lang w:val="de-DE"/>
        </w:rPr>
        <w:t xml:space="preserve"> für </w:t>
      </w:r>
      <w:r w:rsidR="00677F05" w:rsidRPr="00633F67">
        <w:rPr>
          <w:lang w:val="de-DE"/>
        </w:rPr>
        <w:t>das</w:t>
      </w:r>
      <w:r w:rsidR="00835608" w:rsidRPr="00633F67">
        <w:rPr>
          <w:lang w:val="de-DE"/>
        </w:rPr>
        <w:t xml:space="preserve"> </w:t>
      </w:r>
      <w:r w:rsidR="006F148B" w:rsidRPr="00633F67">
        <w:rPr>
          <w:lang w:val="de-DE"/>
        </w:rPr>
        <w:t>Dokument</w:t>
      </w:r>
      <w:r w:rsidR="00BF6883" w:rsidRPr="00633F67">
        <w:rPr>
          <w:lang w:val="de-DE"/>
        </w:rPr>
        <w:t xml:space="preserve"> </w:t>
      </w:r>
      <w:r w:rsidR="00631AF2" w:rsidRPr="00633F67">
        <w:rPr>
          <w:lang w:val="de-DE"/>
        </w:rPr>
        <w:t xml:space="preserve">wie </w:t>
      </w:r>
      <w:r w:rsidR="0020119E" w:rsidRPr="00633F67">
        <w:rPr>
          <w:lang w:val="de-DE"/>
        </w:rPr>
        <w:t>in UPOV/EXN/PPM/1 Draft 4</w:t>
      </w:r>
      <w:r w:rsidR="00677F05" w:rsidRPr="00633F67">
        <w:rPr>
          <w:lang w:val="de-DE"/>
        </w:rPr>
        <w:t xml:space="preserve"> dargelegt</w:t>
      </w:r>
      <w:r w:rsidR="00C51A6F" w:rsidRPr="00633F67">
        <w:rPr>
          <w:lang w:val="de-DE"/>
        </w:rPr>
        <w:t xml:space="preserve"> zum Ausdruck</w:t>
      </w:r>
      <w:r w:rsidR="00F17E67" w:rsidRPr="00633F67">
        <w:rPr>
          <w:lang w:val="de-DE"/>
        </w:rPr>
        <w:t>.</w:t>
      </w:r>
      <w:r w:rsidR="00BD6FF1" w:rsidRPr="00633F67">
        <w:rPr>
          <w:lang w:val="de-DE"/>
        </w:rPr>
        <w:t xml:space="preserve"> </w:t>
      </w:r>
    </w:p>
    <w:p w:rsidR="00960B29" w:rsidRPr="00633F67" w:rsidRDefault="00960B29" w:rsidP="00835608">
      <w:pPr>
        <w:rPr>
          <w:lang w:val="de-DE"/>
        </w:rPr>
      </w:pPr>
    </w:p>
    <w:p w:rsidR="00835608" w:rsidRPr="00633F67" w:rsidRDefault="002A6C4A" w:rsidP="00835608">
      <w:pPr>
        <w:rPr>
          <w:lang w:val="de-DE"/>
        </w:rPr>
      </w:pPr>
      <w:r w:rsidRPr="00633F67">
        <w:fldChar w:fldCharType="begin"/>
      </w:r>
      <w:r w:rsidRPr="00633F67">
        <w:rPr>
          <w:lang w:val="de-DE"/>
        </w:rPr>
        <w:instrText xml:space="preserve"> AUTONUM  </w:instrText>
      </w:r>
      <w:r w:rsidRPr="00633F67">
        <w:fldChar w:fldCharType="end"/>
      </w:r>
      <w:r w:rsidRPr="00633F67">
        <w:rPr>
          <w:lang w:val="de-DE"/>
        </w:rPr>
        <w:tab/>
      </w:r>
      <w:r w:rsidR="006F148B" w:rsidRPr="00633F67">
        <w:rPr>
          <w:lang w:val="de-DE"/>
        </w:rPr>
        <w:t xml:space="preserve">Der Vertreter </w:t>
      </w:r>
      <w:r w:rsidR="00677F05" w:rsidRPr="00633F67">
        <w:rPr>
          <w:lang w:val="de-DE"/>
        </w:rPr>
        <w:t>des</w:t>
      </w:r>
      <w:r w:rsidR="0020119E" w:rsidRPr="00633F67">
        <w:rPr>
          <w:lang w:val="de-DE"/>
        </w:rPr>
        <w:t xml:space="preserve"> </w:t>
      </w:r>
      <w:r w:rsidR="00633F67" w:rsidRPr="00633F67">
        <w:rPr>
          <w:i/>
          <w:lang w:val="de-DE"/>
        </w:rPr>
        <w:t>European Seed Association</w:t>
      </w:r>
      <w:r w:rsidR="00633F67" w:rsidRPr="00633F67">
        <w:rPr>
          <w:lang w:val="de-DE"/>
        </w:rPr>
        <w:t xml:space="preserve"> (ESA)</w:t>
      </w:r>
      <w:r w:rsidR="00835608" w:rsidRPr="00633F67">
        <w:rPr>
          <w:lang w:val="de-DE"/>
        </w:rPr>
        <w:t xml:space="preserve"> </w:t>
      </w:r>
      <w:r w:rsidR="00C51A6F" w:rsidRPr="00633F67">
        <w:rPr>
          <w:lang w:val="de-DE"/>
        </w:rPr>
        <w:t>brachte Unterstützung</w:t>
      </w:r>
      <w:r w:rsidR="00677F05" w:rsidRPr="00633F67">
        <w:rPr>
          <w:lang w:val="de-DE"/>
        </w:rPr>
        <w:t xml:space="preserve"> </w:t>
      </w:r>
      <w:r w:rsidR="003C50AC" w:rsidRPr="00633F67">
        <w:rPr>
          <w:lang w:val="de-DE"/>
        </w:rPr>
        <w:t xml:space="preserve">für </w:t>
      </w:r>
      <w:r w:rsidR="00677F05" w:rsidRPr="00633F67">
        <w:rPr>
          <w:lang w:val="de-DE"/>
        </w:rPr>
        <w:t>die Ausarbeitung von</w:t>
      </w:r>
      <w:r w:rsidR="00B1141E" w:rsidRPr="00633F67">
        <w:rPr>
          <w:lang w:val="de-DE"/>
        </w:rPr>
        <w:t xml:space="preserve"> </w:t>
      </w:r>
      <w:r w:rsidR="00677F05" w:rsidRPr="00633F67">
        <w:rPr>
          <w:lang w:val="de-DE"/>
        </w:rPr>
        <w:t>Erläuterungen zu</w:t>
      </w:r>
      <w:r w:rsidR="00835608" w:rsidRPr="00633F67">
        <w:rPr>
          <w:lang w:val="de-DE"/>
        </w:rPr>
        <w:t xml:space="preserve"> </w:t>
      </w:r>
      <w:r w:rsidR="00D37105" w:rsidRPr="00633F67">
        <w:rPr>
          <w:lang w:val="de-DE"/>
        </w:rPr>
        <w:t>Vermehrungsmaterial</w:t>
      </w:r>
      <w:r w:rsidR="00C51A6F" w:rsidRPr="00633F67">
        <w:rPr>
          <w:lang w:val="de-DE"/>
        </w:rPr>
        <w:t xml:space="preserve"> zum Ausdruck</w:t>
      </w:r>
      <w:r w:rsidR="00835608" w:rsidRPr="00633F67">
        <w:rPr>
          <w:lang w:val="de-DE"/>
        </w:rPr>
        <w:t>.</w:t>
      </w:r>
      <w:r w:rsidR="00B1141E" w:rsidRPr="00633F67">
        <w:rPr>
          <w:lang w:val="de-DE"/>
        </w:rPr>
        <w:t xml:space="preserve"> </w:t>
      </w:r>
    </w:p>
    <w:p w:rsidR="00835608" w:rsidRPr="00633F67" w:rsidRDefault="00835608" w:rsidP="00835608">
      <w:pPr>
        <w:rPr>
          <w:lang w:val="de-DE"/>
        </w:rPr>
      </w:pPr>
    </w:p>
    <w:p w:rsidR="00835608" w:rsidRPr="00633F67" w:rsidRDefault="002A6C4A" w:rsidP="00835608">
      <w:pPr>
        <w:rPr>
          <w:spacing w:val="-2"/>
          <w:lang w:val="de-DE"/>
        </w:rPr>
      </w:pPr>
      <w:r w:rsidRPr="00633F67">
        <w:rPr>
          <w:spacing w:val="-2"/>
        </w:rPr>
        <w:fldChar w:fldCharType="begin"/>
      </w:r>
      <w:r w:rsidRPr="00633F67">
        <w:rPr>
          <w:spacing w:val="-2"/>
          <w:lang w:val="de-DE"/>
        </w:rPr>
        <w:instrText xml:space="preserve"> AUTONUM  </w:instrText>
      </w:r>
      <w:r w:rsidRPr="00633F67">
        <w:rPr>
          <w:spacing w:val="-2"/>
        </w:rPr>
        <w:fldChar w:fldCharType="end"/>
      </w:r>
      <w:r w:rsidRPr="00633F67">
        <w:rPr>
          <w:spacing w:val="-2"/>
          <w:lang w:val="de-DE"/>
        </w:rPr>
        <w:tab/>
      </w:r>
      <w:r w:rsidR="006F148B" w:rsidRPr="00633F67">
        <w:rPr>
          <w:spacing w:val="-2"/>
          <w:lang w:val="de-DE"/>
        </w:rPr>
        <w:t xml:space="preserve">Der Vertreter </w:t>
      </w:r>
      <w:r w:rsidR="00677F05" w:rsidRPr="00633F67">
        <w:rPr>
          <w:spacing w:val="-2"/>
          <w:lang w:val="de-DE"/>
        </w:rPr>
        <w:t>von</w:t>
      </w:r>
      <w:r w:rsidR="00835608" w:rsidRPr="00633F67">
        <w:rPr>
          <w:spacing w:val="-2"/>
          <w:lang w:val="de-DE"/>
        </w:rPr>
        <w:t xml:space="preserve"> CIOPORA </w:t>
      </w:r>
      <w:r w:rsidR="00C51A6F" w:rsidRPr="00633F67">
        <w:rPr>
          <w:spacing w:val="-2"/>
          <w:lang w:val="de-DE"/>
        </w:rPr>
        <w:t>brachte Unterstützung</w:t>
      </w:r>
      <w:r w:rsidR="00677F05" w:rsidRPr="00633F67">
        <w:rPr>
          <w:spacing w:val="-2"/>
          <w:lang w:val="de-DE"/>
        </w:rPr>
        <w:t xml:space="preserve"> </w:t>
      </w:r>
      <w:r w:rsidR="003C50AC" w:rsidRPr="00633F67">
        <w:rPr>
          <w:spacing w:val="-2"/>
          <w:lang w:val="de-DE"/>
        </w:rPr>
        <w:t xml:space="preserve">für </w:t>
      </w:r>
      <w:r w:rsidR="00677F05" w:rsidRPr="00633F67">
        <w:rPr>
          <w:spacing w:val="-2"/>
          <w:lang w:val="de-DE"/>
        </w:rPr>
        <w:t>das</w:t>
      </w:r>
      <w:r w:rsidR="00B1141E" w:rsidRPr="00633F67">
        <w:rPr>
          <w:spacing w:val="-2"/>
          <w:lang w:val="de-DE"/>
        </w:rPr>
        <w:t xml:space="preserve"> </w:t>
      </w:r>
      <w:r w:rsidR="006F148B" w:rsidRPr="00633F67">
        <w:rPr>
          <w:spacing w:val="-2"/>
          <w:lang w:val="de-DE"/>
        </w:rPr>
        <w:t>Dokument</w:t>
      </w:r>
      <w:r w:rsidR="00835608" w:rsidRPr="00633F67">
        <w:rPr>
          <w:spacing w:val="-2"/>
          <w:lang w:val="de-DE"/>
        </w:rPr>
        <w:t xml:space="preserve"> </w:t>
      </w:r>
      <w:r w:rsidR="00631AF2" w:rsidRPr="00633F67">
        <w:rPr>
          <w:spacing w:val="-2"/>
          <w:lang w:val="de-DE"/>
        </w:rPr>
        <w:t xml:space="preserve">wie </w:t>
      </w:r>
      <w:r w:rsidR="0020119E" w:rsidRPr="00633F67">
        <w:rPr>
          <w:spacing w:val="-2"/>
          <w:lang w:val="de-DE"/>
        </w:rPr>
        <w:t>in UPOV/EXN/PPM/1 Draft 4</w:t>
      </w:r>
      <w:r w:rsidR="00677F05" w:rsidRPr="00633F67">
        <w:rPr>
          <w:spacing w:val="-2"/>
          <w:lang w:val="de-DE"/>
        </w:rPr>
        <w:t xml:space="preserve"> dargelegt</w:t>
      </w:r>
      <w:r w:rsidR="00C51A6F" w:rsidRPr="00633F67">
        <w:rPr>
          <w:spacing w:val="-2"/>
          <w:lang w:val="de-DE"/>
        </w:rPr>
        <w:t xml:space="preserve"> zum Ausdruck</w:t>
      </w:r>
      <w:r w:rsidR="00677F05" w:rsidRPr="00633F67">
        <w:rPr>
          <w:spacing w:val="-2"/>
          <w:lang w:val="de-DE"/>
        </w:rPr>
        <w:t>. Er e</w:t>
      </w:r>
      <w:r w:rsidR="003C50AC" w:rsidRPr="00633F67">
        <w:rPr>
          <w:spacing w:val="-2"/>
          <w:lang w:val="de-DE"/>
        </w:rPr>
        <w:t>rinnerte daran</w:t>
      </w:r>
      <w:r w:rsidR="00C51A6F" w:rsidRPr="00633F67">
        <w:rPr>
          <w:spacing w:val="-2"/>
          <w:lang w:val="de-DE"/>
        </w:rPr>
        <w:t>, daß</w:t>
      </w:r>
      <w:r w:rsidR="00677F05" w:rsidRPr="00633F67">
        <w:rPr>
          <w:spacing w:val="-2"/>
          <w:lang w:val="de-DE"/>
        </w:rPr>
        <w:t xml:space="preserve"> d</w:t>
      </w:r>
      <w:r w:rsidR="006F148B" w:rsidRPr="00633F67">
        <w:rPr>
          <w:spacing w:val="-2"/>
          <w:lang w:val="de-DE"/>
        </w:rPr>
        <w:t>as UPOV-Übereinkommen keine Begriffsbest</w:t>
      </w:r>
      <w:r w:rsidR="00677F05" w:rsidRPr="00633F67">
        <w:rPr>
          <w:spacing w:val="-2"/>
          <w:lang w:val="de-DE"/>
        </w:rPr>
        <w:t xml:space="preserve">immung </w:t>
      </w:r>
      <w:r w:rsidR="00C51A6F" w:rsidRPr="00633F67">
        <w:rPr>
          <w:spacing w:val="-2"/>
          <w:lang w:val="de-DE"/>
        </w:rPr>
        <w:t>für Vermehrungsmaterial enthalte</w:t>
      </w:r>
      <w:r w:rsidR="00611927" w:rsidRPr="00633F67">
        <w:rPr>
          <w:spacing w:val="-2"/>
          <w:lang w:val="de-DE"/>
        </w:rPr>
        <w:t xml:space="preserve">.  </w:t>
      </w:r>
    </w:p>
    <w:p w:rsidR="00835608" w:rsidRPr="00633F67" w:rsidRDefault="00835608" w:rsidP="00835608">
      <w:pPr>
        <w:rPr>
          <w:lang w:val="de-DE"/>
        </w:rPr>
      </w:pPr>
    </w:p>
    <w:p w:rsidR="00176C7D" w:rsidRPr="00633F67" w:rsidRDefault="00B85B59" w:rsidP="00176C7D">
      <w:pPr>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C9299E" w:rsidRPr="00633F67">
        <w:rPr>
          <w:lang w:val="de-DE"/>
        </w:rPr>
        <w:tab/>
      </w:r>
      <w:bookmarkStart w:id="8" w:name="_Toc381257321"/>
      <w:r w:rsidR="00176C7D" w:rsidRPr="00633F67">
        <w:rPr>
          <w:lang w:val="de-DE"/>
        </w:rPr>
        <w:t>Der CAJ vereinbarte, auf seiner zweiundsiebzigsten Tagung einen neuen Entwurf der „Erläuterungen zu Vermehrungsmaterial nach der Akte von 1991 des UPOV-Übereinkommens“ (Dokument UPOV/EXN/PPM/1 Draft 5) mit den folgenden Änderungen zu prüfen:</w:t>
      </w:r>
    </w:p>
    <w:p w:rsidR="00176C7D" w:rsidRPr="00633F67" w:rsidRDefault="00176C7D" w:rsidP="00176C7D">
      <w:pPr>
        <w:rPr>
          <w:lang w:val="de-DE"/>
        </w:rPr>
      </w:pPr>
    </w:p>
    <w:p w:rsidR="00176C7D" w:rsidRPr="00633F67" w:rsidRDefault="00176C7D" w:rsidP="00176C7D">
      <w:pPr>
        <w:ind w:left="567"/>
        <w:rPr>
          <w:lang w:val="de-DE"/>
        </w:rPr>
      </w:pPr>
      <w:r w:rsidRPr="00633F67">
        <w:rPr>
          <w:lang w:val="de-DE"/>
        </w:rPr>
        <w:t>a)</w:t>
      </w:r>
      <w:r w:rsidRPr="00633F67">
        <w:rPr>
          <w:lang w:val="de-DE"/>
        </w:rPr>
        <w:tab/>
        <w:t>Änderung des Titels des Dokuments und des Vorworts, so daß es sich auf das UPOV-Übereinkommen bezieht;</w:t>
      </w:r>
    </w:p>
    <w:p w:rsidR="00176C7D" w:rsidRPr="00633F67" w:rsidRDefault="00176C7D" w:rsidP="00176C7D">
      <w:pPr>
        <w:ind w:left="567"/>
        <w:rPr>
          <w:lang w:val="de-DE"/>
        </w:rPr>
      </w:pPr>
    </w:p>
    <w:p w:rsidR="00176C7D" w:rsidRPr="00633F67" w:rsidRDefault="00176C7D" w:rsidP="00176C7D">
      <w:pPr>
        <w:ind w:left="567"/>
        <w:rPr>
          <w:lang w:val="de-DE"/>
        </w:rPr>
      </w:pPr>
      <w:r w:rsidRPr="00633F67">
        <w:rPr>
          <w:lang w:val="de-DE"/>
        </w:rPr>
        <w:t>b)</w:t>
      </w:r>
      <w:r w:rsidRPr="00633F67">
        <w:rPr>
          <w:lang w:val="de-DE"/>
        </w:rPr>
        <w:tab/>
        <w:t>Aktualisierung von Abschnitt a), so daß er maßgebende Artikel der Akte von 1978 umfaßt;</w:t>
      </w:r>
    </w:p>
    <w:p w:rsidR="00176C7D" w:rsidRPr="00633F67" w:rsidRDefault="00176C7D" w:rsidP="00176C7D">
      <w:pPr>
        <w:ind w:left="567"/>
        <w:rPr>
          <w:lang w:val="de-DE"/>
        </w:rPr>
      </w:pPr>
    </w:p>
    <w:p w:rsidR="00176C7D" w:rsidRPr="00633F67" w:rsidRDefault="00176C7D" w:rsidP="00176C7D">
      <w:pPr>
        <w:ind w:left="567"/>
        <w:rPr>
          <w:lang w:val="de-DE"/>
        </w:rPr>
      </w:pPr>
      <w:r w:rsidRPr="00633F67">
        <w:rPr>
          <w:lang w:val="de-DE"/>
        </w:rPr>
        <w:t>c)</w:t>
      </w:r>
      <w:r w:rsidRPr="00633F67">
        <w:rPr>
          <w:lang w:val="de-DE"/>
        </w:rPr>
        <w:tab/>
        <w:t>Streichung von Absätzen 2 und 3; und</w:t>
      </w:r>
    </w:p>
    <w:p w:rsidR="00176C7D" w:rsidRPr="00633F67" w:rsidRDefault="00176C7D" w:rsidP="00176C7D">
      <w:pPr>
        <w:ind w:left="567"/>
        <w:rPr>
          <w:lang w:val="de-DE"/>
        </w:rPr>
      </w:pPr>
    </w:p>
    <w:p w:rsidR="00176C7D" w:rsidRPr="00633F67" w:rsidRDefault="00176C7D" w:rsidP="00176C7D">
      <w:pPr>
        <w:ind w:left="567"/>
        <w:rPr>
          <w:lang w:val="de-DE"/>
        </w:rPr>
      </w:pPr>
      <w:r w:rsidRPr="00633F67">
        <w:rPr>
          <w:lang w:val="de-DE"/>
        </w:rPr>
        <w:t>d)</w:t>
      </w:r>
      <w:r w:rsidRPr="00633F67">
        <w:rPr>
          <w:lang w:val="de-DE"/>
        </w:rPr>
        <w:tab/>
        <w:t>Ersetzung des Worts „entscheiden“ durch „bestimmen“ in Absatz 4.</w:t>
      </w:r>
    </w:p>
    <w:p w:rsidR="00176C7D" w:rsidRPr="00633F67" w:rsidRDefault="00176C7D" w:rsidP="00176C7D">
      <w:pPr>
        <w:spacing w:line="360" w:lineRule="auto"/>
        <w:rPr>
          <w:lang w:val="de-DE"/>
        </w:rPr>
      </w:pPr>
    </w:p>
    <w:p w:rsidR="00835608" w:rsidRPr="00633F67" w:rsidRDefault="00176C7D" w:rsidP="00176C7D">
      <w:pPr>
        <w:rPr>
          <w:i/>
          <w:snapToGrid w:val="0"/>
          <w:lang w:val="de-DE"/>
        </w:rPr>
      </w:pPr>
      <w:r w:rsidRPr="00633F67">
        <w:rPr>
          <w:i/>
          <w:lang w:val="de-DE"/>
        </w:rPr>
        <w:t>Erläuterungen zu Handlungen in bezug auf Erntegut nach der Akte von 1991 des UPOV-Übereinkommens</w:t>
      </w:r>
      <w:r w:rsidRPr="00633F67">
        <w:rPr>
          <w:i/>
          <w:snapToGrid w:val="0"/>
          <w:lang w:val="de-DE"/>
        </w:rPr>
        <w:t xml:space="preserve"> (Überarbeitung)</w:t>
      </w:r>
    </w:p>
    <w:p w:rsidR="00176C7D" w:rsidRPr="00633F67" w:rsidRDefault="00176C7D" w:rsidP="00176C7D">
      <w:pPr>
        <w:rPr>
          <w:lang w:val="de-DE"/>
        </w:rPr>
      </w:pPr>
    </w:p>
    <w:p w:rsidR="00176C7D" w:rsidRPr="00633F67" w:rsidRDefault="00B85B59" w:rsidP="00176C7D">
      <w:pPr>
        <w:spacing w:after="360"/>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E705FE" w:rsidRPr="00633F67">
        <w:rPr>
          <w:lang w:val="de-DE"/>
        </w:rPr>
        <w:tab/>
      </w:r>
      <w:r w:rsidR="00176C7D" w:rsidRPr="00633F67">
        <w:rPr>
          <w:lang w:val="de-DE"/>
        </w:rPr>
        <w:t xml:space="preserve">Der CAJ nahm die Entschließung der CAJ-AG auf ihrer neunten Tagung zur Kenntnis, daß es zum derzeitigen Zeitpunkt nicht zweckmäßig wäre, sich um eine Überarbeitung der „Erläuterungen zu Handlungen in bezug auf Erntegut nach der Akte von 1991 des UPOV-Übereinkommens“ (Dokument UPOV/EXN/HRV/1) zu bemühen. Er vereinbarte jedoch, daß es zweckmäßig wäre, Verbandsmitglieder zu ersuchen, auf seiner zweiundsiebzigsten Tagung die Fragen bezüglich Erntematerial vorzulegen, die im </w:t>
      </w:r>
      <w:r w:rsidR="00176C7D" w:rsidRPr="00633F67">
        <w:rPr>
          <w:lang w:val="de-DE"/>
        </w:rPr>
        <w:lastRenderedPageBreak/>
        <w:t xml:space="preserve">Zusammenhang mit einer etwaigen Überarbeitung des Dokuments UPOV/EXN/HRV/1 als eine Grundlage zur Prüfung der weiteren Vorgehensweise geprüft werden sollten. </w:t>
      </w:r>
    </w:p>
    <w:p w:rsidR="00606248" w:rsidRPr="00633F67" w:rsidRDefault="00176C7D" w:rsidP="00176C7D">
      <w:pPr>
        <w:rPr>
          <w:i/>
          <w:lang w:val="de-DE"/>
        </w:rPr>
      </w:pPr>
      <w:r w:rsidRPr="00633F67">
        <w:rPr>
          <w:i/>
          <w:lang w:val="de-DE"/>
        </w:rPr>
        <w:t>Erläuterungen zur Aufhebung des Züchterrechts nach dem UPOV-Übereinkommen (Überarbeitung</w:t>
      </w:r>
      <w:r w:rsidR="00606248" w:rsidRPr="00633F67">
        <w:rPr>
          <w:i/>
          <w:lang w:val="de-DE"/>
        </w:rPr>
        <w:t>)</w:t>
      </w:r>
    </w:p>
    <w:p w:rsidR="002F3AA1" w:rsidRPr="00633F67" w:rsidRDefault="002F3AA1" w:rsidP="004E4F91">
      <w:pPr>
        <w:keepNext/>
        <w:rPr>
          <w:lang w:val="de-DE"/>
        </w:rPr>
      </w:pPr>
    </w:p>
    <w:p w:rsidR="00B84E4E" w:rsidRPr="00633F67" w:rsidRDefault="00B85B59" w:rsidP="005A6BAC">
      <w:pPr>
        <w:spacing w:after="240"/>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B84E4E" w:rsidRPr="00633F67">
        <w:rPr>
          <w:lang w:val="de-DE"/>
        </w:rPr>
        <w:tab/>
      </w:r>
      <w:r w:rsidR="00176C7D" w:rsidRPr="00633F67">
        <w:rPr>
          <w:lang w:val="de-DE"/>
        </w:rPr>
        <w:t>Der CAJ billigte das Dokument UPOV/EXN/CAN/2 Draft 3 als Grundlage für die Überarbeitung der „Erläuterungen zur Aufhebung des Züchterrechts nach dem UPOV-Übereinkommen“ (Überarbeitung) (Dokument UPOV/EXN/CAN/1) durch den Rat auf seiner neunundvierzigsten ordentlichen Tagung am 29. Oktober 2015</w:t>
      </w:r>
      <w:r w:rsidR="00B84E4E" w:rsidRPr="00633F67">
        <w:rPr>
          <w:lang w:val="de-DE"/>
        </w:rPr>
        <w:t>.</w:t>
      </w:r>
    </w:p>
    <w:p w:rsidR="00176C7D" w:rsidRPr="00633F67" w:rsidRDefault="00B85B59" w:rsidP="00176C7D">
      <w:pPr>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B84E4E" w:rsidRPr="00633F67">
        <w:rPr>
          <w:lang w:val="de-DE"/>
        </w:rPr>
        <w:tab/>
      </w:r>
      <w:r w:rsidR="00176C7D" w:rsidRPr="00633F67">
        <w:rPr>
          <w:lang w:val="de-DE"/>
        </w:rPr>
        <w:t>Der CAJ nahm zur Kenntnis, daß der CAJ auf seiner neunundsechzigsten Tagung vereinbart hatte, den TC zu ersuchen, die Ausarbeitung einer Anleitung zu bestimmten Angelegenheiten betreffend Sortenbeschreibungen zu prüfen, wie in Dokument CAJ/71/2, Absatz 26, dargelegt.</w:t>
      </w:r>
    </w:p>
    <w:p w:rsidR="00176C7D" w:rsidRPr="00633F67" w:rsidRDefault="00176C7D" w:rsidP="00176C7D">
      <w:pPr>
        <w:spacing w:line="360" w:lineRule="auto"/>
        <w:rPr>
          <w:lang w:val="de-DE"/>
        </w:rPr>
      </w:pPr>
    </w:p>
    <w:p w:rsidR="00523F32" w:rsidRPr="00633F67" w:rsidRDefault="00176C7D" w:rsidP="00176C7D">
      <w:pPr>
        <w:rPr>
          <w:i/>
          <w:snapToGrid w:val="0"/>
          <w:lang w:val="de-DE"/>
        </w:rPr>
      </w:pPr>
      <w:r w:rsidRPr="00633F67">
        <w:rPr>
          <w:i/>
          <w:snapToGrid w:val="0"/>
          <w:lang w:val="de-DE"/>
        </w:rPr>
        <w:t>Erläuterungen zur Nichtigkeit des Züchterrechts nach dem UPOV-Übereinkommen (Überarbeitung</w:t>
      </w:r>
      <w:r w:rsidR="00606248" w:rsidRPr="00633F67">
        <w:rPr>
          <w:i/>
          <w:snapToGrid w:val="0"/>
          <w:lang w:val="de-DE"/>
        </w:rPr>
        <w:t>)</w:t>
      </w:r>
    </w:p>
    <w:p w:rsidR="00B84E4E" w:rsidRPr="00633F67" w:rsidRDefault="00B84E4E" w:rsidP="004E4F91">
      <w:pPr>
        <w:keepNext/>
        <w:outlineLvl w:val="1"/>
        <w:rPr>
          <w:i/>
          <w:lang w:val="de-DE"/>
        </w:rPr>
      </w:pPr>
    </w:p>
    <w:p w:rsidR="00176C7D" w:rsidRPr="00633F67" w:rsidRDefault="00B85B59" w:rsidP="00176C7D">
      <w:pPr>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B84E4E" w:rsidRPr="00633F67">
        <w:rPr>
          <w:lang w:val="de-DE"/>
        </w:rPr>
        <w:tab/>
      </w:r>
      <w:r w:rsidR="00176C7D" w:rsidRPr="00633F67">
        <w:rPr>
          <w:lang w:val="de-DE"/>
        </w:rPr>
        <w:t>Der CAJ billigte Dokument UPOV/EXN/NUL/2 Draft 3 als Grundlage für die Überarbeitung der „Erläuterungen zur Nichtigkeit des Züchterrechts nach dem UPOV-Übereinkommen“ (Überarbeitung) (Dokument UPOV/EXN/NUL/1) durch den Rat auf seiner neunundvierzigsten ordentlichen Tagung am 29. Oktober 2015.</w:t>
      </w:r>
    </w:p>
    <w:p w:rsidR="00176C7D" w:rsidRPr="00633F67" w:rsidRDefault="00176C7D" w:rsidP="00176C7D">
      <w:pPr>
        <w:spacing w:line="360" w:lineRule="auto"/>
        <w:rPr>
          <w:lang w:val="de-DE"/>
        </w:rPr>
      </w:pPr>
    </w:p>
    <w:p w:rsidR="00B84E4E" w:rsidRPr="00633F67" w:rsidRDefault="00176C7D" w:rsidP="00176C7D">
      <w:pPr>
        <w:rPr>
          <w:i/>
          <w:snapToGrid w:val="0"/>
          <w:lang w:val="de-DE"/>
        </w:rPr>
      </w:pPr>
      <w:r w:rsidRPr="00633F67">
        <w:rPr>
          <w:i/>
          <w:snapToGrid w:val="0"/>
          <w:lang w:val="de-DE"/>
        </w:rPr>
        <w:t>Erläuterungen zu vorläufigem Schutz nach dem UPOV-Übereinkommen (Überarbeitung</w:t>
      </w:r>
      <w:r w:rsidR="00897B05" w:rsidRPr="00633F67">
        <w:rPr>
          <w:i/>
          <w:snapToGrid w:val="0"/>
          <w:lang w:val="de-DE"/>
        </w:rPr>
        <w:t>)</w:t>
      </w:r>
    </w:p>
    <w:p w:rsidR="00B84E4E" w:rsidRPr="00633F67" w:rsidRDefault="00B84E4E" w:rsidP="004E4F91">
      <w:pPr>
        <w:keepNext/>
        <w:outlineLvl w:val="1"/>
        <w:rPr>
          <w:i/>
          <w:snapToGrid w:val="0"/>
          <w:lang w:val="de-DE"/>
        </w:rPr>
      </w:pPr>
    </w:p>
    <w:p w:rsidR="00176C7D" w:rsidRPr="00633F67" w:rsidRDefault="00B85B59" w:rsidP="00176C7D">
      <w:pPr>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B84E4E" w:rsidRPr="00633F67">
        <w:rPr>
          <w:lang w:val="de-DE"/>
        </w:rPr>
        <w:tab/>
      </w:r>
      <w:r w:rsidR="00176C7D" w:rsidRPr="00633F67">
        <w:rPr>
          <w:lang w:val="de-DE"/>
        </w:rPr>
        <w:t xml:space="preserve">Der CAJ billigte Dokument UPOV/EXN/PRP/2 Draft 3 als Grundlage für die Überarbeitung der „Erläuterungen </w:t>
      </w:r>
      <w:r w:rsidR="00176C7D" w:rsidRPr="00633F67">
        <w:rPr>
          <w:snapToGrid w:val="0"/>
          <w:lang w:val="de-DE"/>
        </w:rPr>
        <w:t>zu vorläufigem Schutz nach dem UPOV-Übereinkommen</w:t>
      </w:r>
      <w:r w:rsidR="00176C7D" w:rsidRPr="00633F67">
        <w:rPr>
          <w:lang w:val="de-DE"/>
        </w:rPr>
        <w:t>“ (Überarbeitung) (Dokument UPOV/EXN/PRD/1) durch den Rat auf seiner neunundvierzigsten ordentlichen Tagung am 29. Oktober 2015 vorbehaltlich der folgenden Änderungen:</w:t>
      </w:r>
    </w:p>
    <w:p w:rsidR="00176C7D" w:rsidRPr="00633F67" w:rsidRDefault="00176C7D" w:rsidP="00176C7D">
      <w:pPr>
        <w:rPr>
          <w:lang w:val="de-DE"/>
        </w:rPr>
      </w:pPr>
    </w:p>
    <w:p w:rsidR="00176C7D" w:rsidRPr="00633F67" w:rsidRDefault="00176C7D" w:rsidP="00176C7D">
      <w:pPr>
        <w:ind w:firstLine="567"/>
        <w:rPr>
          <w:lang w:val="de-DE"/>
        </w:rPr>
      </w:pPr>
      <w:r w:rsidRPr="00633F67">
        <w:rPr>
          <w:lang w:val="de-DE"/>
        </w:rPr>
        <w:t>(a)</w:t>
      </w:r>
      <w:r w:rsidRPr="00633F67">
        <w:rPr>
          <w:lang w:val="de-DE"/>
        </w:rPr>
        <w:tab/>
        <w:t>Absatz 9, Streichung des Satzes „Deshalb ist der vorläufige Schutz nicht anwendbar, wenn das Recht nicht erteilt wird.“; und</w:t>
      </w:r>
    </w:p>
    <w:p w:rsidR="00176C7D" w:rsidRPr="00633F67" w:rsidRDefault="00176C7D" w:rsidP="00176C7D">
      <w:pPr>
        <w:ind w:firstLine="567"/>
        <w:rPr>
          <w:lang w:val="de-DE"/>
        </w:rPr>
      </w:pPr>
    </w:p>
    <w:p w:rsidR="00176C7D" w:rsidRPr="00633F67" w:rsidRDefault="00176C7D" w:rsidP="00176C7D">
      <w:pPr>
        <w:ind w:firstLine="567"/>
        <w:rPr>
          <w:rFonts w:cs="Arial"/>
          <w:lang w:val="de-DE"/>
        </w:rPr>
      </w:pPr>
      <w:r w:rsidRPr="00633F67">
        <w:rPr>
          <w:lang w:val="de-DE"/>
        </w:rPr>
        <w:t>(b)</w:t>
      </w:r>
      <w:r w:rsidRPr="00633F67">
        <w:rPr>
          <w:lang w:val="de-DE"/>
        </w:rPr>
        <w:tab/>
        <w:t>Absatz 12 soll heißen: „In einigen Verbandsmitgliedern können Rechtshandlungen in bezug auf vorläufigen Schutz erst nach der Erteilung des Rechts eingeleitet werden. In einigen anderen Verbandsmitgliedern ist die Aufnahme juristischer Verfahren vor der Erteilung eines Züchterrechts möglich. In diesen Fällen kann die zuständige juristische Behörde entscheiden, daß eventuelle Schäden während des Zeitraums des vorläufigen Schutzes erst einklagbar sind, wenn das Recht erteilt wurde. In solchen Fällen kann die juristische Behörde beispielsweise die dritte Partei auffordern, den Betrag für die Schäden auf ein Hinterlegungskonto zu überweisen, so daß er dem Züchter bei Erteilung des Rechts ausgezahlt wird.”</w:t>
      </w:r>
    </w:p>
    <w:p w:rsidR="00176C7D" w:rsidRPr="00633F67" w:rsidRDefault="00176C7D" w:rsidP="00176C7D">
      <w:pPr>
        <w:spacing w:line="360" w:lineRule="auto"/>
        <w:rPr>
          <w:spacing w:val="-3"/>
          <w:lang w:val="de-DE"/>
        </w:rPr>
      </w:pPr>
    </w:p>
    <w:p w:rsidR="00176C7D" w:rsidRPr="00633F67" w:rsidRDefault="00176C7D" w:rsidP="00176C7D">
      <w:pPr>
        <w:keepNext/>
        <w:outlineLvl w:val="1"/>
        <w:rPr>
          <w:i/>
          <w:snapToGrid w:val="0"/>
          <w:kern w:val="28"/>
          <w:lang w:val="de-DE"/>
        </w:rPr>
      </w:pPr>
      <w:bookmarkStart w:id="9" w:name="_Toc413059225"/>
      <w:r w:rsidRPr="00633F67">
        <w:rPr>
          <w:i/>
          <w:snapToGrid w:val="0"/>
          <w:lang w:val="de-DE"/>
        </w:rPr>
        <w:t xml:space="preserve">Von der CAJ-AG geprüfte Angelegenheiten betreffend Sortenbeschreibungen </w:t>
      </w:r>
      <w:bookmarkEnd w:id="9"/>
    </w:p>
    <w:p w:rsidR="009A466E" w:rsidRPr="00633F67" w:rsidRDefault="009A466E" w:rsidP="00176C7D">
      <w:pPr>
        <w:rPr>
          <w:i/>
          <w:lang w:val="de-DE"/>
        </w:rPr>
      </w:pPr>
    </w:p>
    <w:p w:rsidR="00176C7D" w:rsidRPr="00633F67" w:rsidRDefault="00B85B59" w:rsidP="00176C7D">
      <w:pPr>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9A466E" w:rsidRPr="00633F67">
        <w:rPr>
          <w:lang w:val="de-DE"/>
        </w:rPr>
        <w:tab/>
      </w:r>
      <w:r w:rsidR="00176C7D" w:rsidRPr="00633F67">
        <w:rPr>
          <w:lang w:val="de-DE"/>
        </w:rPr>
        <w:t>Der CAJ befürwortete die Entschließung der CAJ-AG auf ihrer neunten Tagung über den/die Zweck/e der zum Zeitpunkt der Erteilung des Züchterrechts erstellten Sortenbeschreibung (ursprüngliche Sortenbeschreibung), wie in Dokument CAJ/71/2, Absatz 37 dargelegt, folgendermaßen:</w:t>
      </w:r>
    </w:p>
    <w:p w:rsidR="00176C7D" w:rsidRPr="00633F67" w:rsidRDefault="00176C7D" w:rsidP="00176C7D">
      <w:pPr>
        <w:rPr>
          <w:lang w:val="de-DE"/>
        </w:rPr>
      </w:pPr>
    </w:p>
    <w:p w:rsidR="00176C7D" w:rsidRPr="00633F67" w:rsidRDefault="00176C7D" w:rsidP="00176C7D">
      <w:pPr>
        <w:ind w:left="567" w:right="567"/>
        <w:rPr>
          <w:sz w:val="18"/>
          <w:lang w:val="de-DE"/>
        </w:rPr>
      </w:pPr>
      <w:r w:rsidRPr="00633F67">
        <w:rPr>
          <w:sz w:val="18"/>
          <w:lang w:val="de-DE"/>
        </w:rPr>
        <w:t>“37.</w:t>
      </w:r>
      <w:r w:rsidRPr="00633F67">
        <w:rPr>
          <w:sz w:val="18"/>
          <w:lang w:val="de-DE"/>
        </w:rPr>
        <w:tab/>
        <w:t>Die CAJ-AG vereinbarte, daß der Zweck der zum Zeitpunkt der Erteilung eines Züchterrechts ausgearbeiteten Sortenbeschreibung (ursprüngliche Sortenbeschreibung) aufgrund von Dokument TGP/5 „Erfahrung und Zusammenarbeit bei der DUS-Prüfung“, Abschnitt 6 „UPOV-Bericht über technische Prüfung und UPOV-Sortenbeschreibung“, folgendermaßen zusammengefaßt werden könnte:</w:t>
      </w:r>
    </w:p>
    <w:p w:rsidR="00176C7D" w:rsidRPr="00633F67" w:rsidRDefault="00176C7D" w:rsidP="00176C7D">
      <w:pPr>
        <w:ind w:left="567" w:right="567"/>
        <w:rPr>
          <w:sz w:val="18"/>
          <w:lang w:val="de-DE"/>
        </w:rPr>
      </w:pPr>
    </w:p>
    <w:p w:rsidR="00176C7D" w:rsidRPr="00633F67" w:rsidRDefault="00176C7D" w:rsidP="00176C7D">
      <w:pPr>
        <w:ind w:left="1134" w:right="567"/>
        <w:rPr>
          <w:sz w:val="18"/>
          <w:lang w:val="de-DE"/>
        </w:rPr>
      </w:pPr>
      <w:r w:rsidRPr="00633F67">
        <w:rPr>
          <w:sz w:val="18"/>
          <w:lang w:val="de-DE"/>
        </w:rPr>
        <w:t>(a)</w:t>
      </w:r>
      <w:r w:rsidRPr="00633F67">
        <w:rPr>
          <w:sz w:val="18"/>
          <w:lang w:val="de-DE"/>
        </w:rPr>
        <w:tab/>
        <w:t>Beschreibung der Merkmale der Sorte; und</w:t>
      </w:r>
    </w:p>
    <w:p w:rsidR="00176C7D" w:rsidRPr="00633F67" w:rsidRDefault="00176C7D" w:rsidP="00176C7D">
      <w:pPr>
        <w:ind w:left="1134" w:right="567"/>
        <w:rPr>
          <w:sz w:val="18"/>
          <w:lang w:val="de-DE"/>
        </w:rPr>
      </w:pPr>
      <w:r w:rsidRPr="00633F67">
        <w:rPr>
          <w:sz w:val="18"/>
          <w:lang w:val="de-DE"/>
        </w:rPr>
        <w:t>(b)</w:t>
      </w:r>
      <w:r w:rsidRPr="00633F67">
        <w:rPr>
          <w:sz w:val="18"/>
          <w:lang w:val="de-DE"/>
        </w:rPr>
        <w:tab/>
        <w:t xml:space="preserve">Benennung und Anführung ähnlicher Sorten und Unterschiede von diesen Sorten; </w:t>
      </w:r>
    </w:p>
    <w:p w:rsidR="00176C7D" w:rsidRPr="00633F67" w:rsidRDefault="00176C7D" w:rsidP="00176C7D">
      <w:pPr>
        <w:ind w:left="2835" w:right="567" w:hanging="1134"/>
        <w:rPr>
          <w:sz w:val="18"/>
          <w:lang w:val="de-DE"/>
        </w:rPr>
      </w:pPr>
      <w:r w:rsidRPr="00633F67">
        <w:rPr>
          <w:sz w:val="18"/>
          <w:lang w:val="de-DE"/>
        </w:rPr>
        <w:t>kombiniert mit der Information auf der Grundlage für a) und b), nämlich:</w:t>
      </w:r>
    </w:p>
    <w:p w:rsidR="00176C7D" w:rsidRPr="00633F67" w:rsidRDefault="00176C7D" w:rsidP="00176C7D">
      <w:pPr>
        <w:pStyle w:val="ListParagraph"/>
        <w:numPr>
          <w:ilvl w:val="0"/>
          <w:numId w:val="8"/>
        </w:numPr>
        <w:ind w:left="2127" w:right="567"/>
        <w:rPr>
          <w:rFonts w:cs="Arial"/>
          <w:sz w:val="18"/>
          <w:lang w:val="de-DE"/>
        </w:rPr>
      </w:pPr>
      <w:r w:rsidRPr="00633F67">
        <w:rPr>
          <w:rFonts w:cs="Arial"/>
          <w:sz w:val="18"/>
          <w:lang w:val="de-DE"/>
        </w:rPr>
        <w:t>Datum und Dokumentennummer von UPOV-Prüfungsrichtlinien;</w:t>
      </w:r>
    </w:p>
    <w:p w:rsidR="00176C7D" w:rsidRPr="00633F67" w:rsidRDefault="00176C7D" w:rsidP="00176C7D">
      <w:pPr>
        <w:pStyle w:val="ListParagraph"/>
        <w:numPr>
          <w:ilvl w:val="0"/>
          <w:numId w:val="8"/>
        </w:numPr>
        <w:ind w:left="2127" w:right="567"/>
        <w:rPr>
          <w:rFonts w:cs="Arial"/>
          <w:spacing w:val="-2"/>
          <w:sz w:val="18"/>
          <w:lang w:val="de-DE"/>
        </w:rPr>
      </w:pPr>
      <w:r w:rsidRPr="00633F67">
        <w:rPr>
          <w:rFonts w:cs="Arial"/>
          <w:spacing w:val="-2"/>
          <w:sz w:val="18"/>
          <w:lang w:val="de-DE"/>
        </w:rPr>
        <w:t>Datum und/oder Dokumentennummer der Prüfungsrichtlinien der berichtenden Behörde;</w:t>
      </w:r>
    </w:p>
    <w:p w:rsidR="00176C7D" w:rsidRPr="00633F67" w:rsidRDefault="00176C7D" w:rsidP="00176C7D">
      <w:pPr>
        <w:pStyle w:val="ListParagraph"/>
        <w:numPr>
          <w:ilvl w:val="0"/>
          <w:numId w:val="8"/>
        </w:numPr>
        <w:ind w:left="2127" w:right="567"/>
        <w:rPr>
          <w:rFonts w:cs="Arial"/>
          <w:sz w:val="18"/>
        </w:rPr>
      </w:pPr>
      <w:r w:rsidRPr="00633F67">
        <w:rPr>
          <w:rFonts w:cs="Arial"/>
          <w:sz w:val="18"/>
        </w:rPr>
        <w:t>Berichtende Behörde;</w:t>
      </w:r>
    </w:p>
    <w:p w:rsidR="00176C7D" w:rsidRPr="00633F67" w:rsidRDefault="00176C7D" w:rsidP="00176C7D">
      <w:pPr>
        <w:pStyle w:val="ListParagraph"/>
        <w:numPr>
          <w:ilvl w:val="0"/>
          <w:numId w:val="8"/>
        </w:numPr>
        <w:ind w:left="2127" w:right="567"/>
        <w:rPr>
          <w:rFonts w:cs="Arial"/>
          <w:sz w:val="18"/>
          <w:lang w:val="de-DE"/>
        </w:rPr>
      </w:pPr>
      <w:r w:rsidRPr="00633F67">
        <w:rPr>
          <w:rFonts w:cs="Arial"/>
          <w:sz w:val="18"/>
          <w:lang w:val="de-DE"/>
        </w:rPr>
        <w:t>Prüfungsstation(en) und Ort(e);</w:t>
      </w:r>
    </w:p>
    <w:p w:rsidR="00176C7D" w:rsidRPr="00633F67" w:rsidRDefault="00176C7D" w:rsidP="00176C7D">
      <w:pPr>
        <w:pStyle w:val="ListParagraph"/>
        <w:numPr>
          <w:ilvl w:val="0"/>
          <w:numId w:val="8"/>
        </w:numPr>
        <w:ind w:left="2127" w:right="567"/>
        <w:rPr>
          <w:rFonts w:cs="Arial"/>
          <w:sz w:val="18"/>
        </w:rPr>
      </w:pPr>
      <w:r w:rsidRPr="00633F67">
        <w:rPr>
          <w:rFonts w:cs="Arial"/>
          <w:sz w:val="18"/>
        </w:rPr>
        <w:t>Zeitraum der Prüfung;</w:t>
      </w:r>
    </w:p>
    <w:p w:rsidR="00176C7D" w:rsidRPr="00633F67" w:rsidRDefault="00176C7D" w:rsidP="00176C7D">
      <w:pPr>
        <w:pStyle w:val="ListParagraph"/>
        <w:numPr>
          <w:ilvl w:val="0"/>
          <w:numId w:val="8"/>
        </w:numPr>
        <w:ind w:left="2127" w:right="567"/>
        <w:rPr>
          <w:rFonts w:cs="Arial"/>
          <w:sz w:val="18"/>
          <w:lang w:val="de-DE"/>
        </w:rPr>
      </w:pPr>
      <w:r w:rsidRPr="00633F67">
        <w:rPr>
          <w:rFonts w:cs="Arial"/>
          <w:sz w:val="18"/>
          <w:lang w:val="de-DE"/>
        </w:rPr>
        <w:t>Ort und Datum der Ausstellung des Dokuments;</w:t>
      </w:r>
    </w:p>
    <w:p w:rsidR="00176C7D" w:rsidRPr="00633F67" w:rsidRDefault="007209D1" w:rsidP="00176C7D">
      <w:pPr>
        <w:pStyle w:val="ListParagraph"/>
        <w:numPr>
          <w:ilvl w:val="0"/>
          <w:numId w:val="8"/>
        </w:numPr>
        <w:ind w:left="2127" w:right="567"/>
        <w:rPr>
          <w:rFonts w:cs="Arial"/>
          <w:sz w:val="18"/>
          <w:lang w:val="de-DE"/>
        </w:rPr>
      </w:pPr>
      <w:r>
        <w:rPr>
          <w:rFonts w:cs="Arial"/>
          <w:sz w:val="18"/>
          <w:lang w:val="de-DE"/>
        </w:rPr>
        <w:t>œ</w:t>
      </w:r>
      <w:r w:rsidR="00176C7D" w:rsidRPr="00633F67">
        <w:rPr>
          <w:rFonts w:cs="Arial"/>
          <w:sz w:val="18"/>
          <w:lang w:val="de-DE"/>
        </w:rPr>
        <w:t>Gruppe: (Tabelle: Merkmale; Ausprägungsstufen; Note; Bemerkungen);</w:t>
      </w:r>
    </w:p>
    <w:p w:rsidR="00176C7D" w:rsidRPr="00633F67" w:rsidRDefault="00633F67" w:rsidP="00633F67">
      <w:pPr>
        <w:pStyle w:val="ListParagraph"/>
        <w:keepNext/>
        <w:numPr>
          <w:ilvl w:val="0"/>
          <w:numId w:val="8"/>
        </w:numPr>
        <w:ind w:left="2127" w:right="567"/>
        <w:rPr>
          <w:rFonts w:cs="Arial"/>
          <w:sz w:val="18"/>
        </w:rPr>
      </w:pPr>
      <w:r>
        <w:rPr>
          <w:rFonts w:cs="Arial"/>
          <w:sz w:val="18"/>
        </w:rPr>
        <w:lastRenderedPageBreak/>
        <w:t>Zusatzinformation:</w:t>
      </w:r>
    </w:p>
    <w:p w:rsidR="00176C7D" w:rsidRPr="00633F67" w:rsidRDefault="00176C7D" w:rsidP="00633F67">
      <w:pPr>
        <w:keepNext/>
        <w:ind w:left="1767" w:right="567"/>
        <w:rPr>
          <w:snapToGrid w:val="0"/>
          <w:spacing w:val="-2"/>
          <w:sz w:val="18"/>
          <w:szCs w:val="18"/>
        </w:rPr>
      </w:pPr>
      <w:r w:rsidRPr="00633F67">
        <w:rPr>
          <w:snapToGrid w:val="0"/>
          <w:spacing w:val="-2"/>
          <w:sz w:val="18"/>
          <w:szCs w:val="18"/>
        </w:rPr>
        <w:t>a) Zusätzliche Daten</w:t>
      </w:r>
    </w:p>
    <w:p w:rsidR="00176C7D" w:rsidRPr="00633F67" w:rsidRDefault="00176C7D" w:rsidP="00633F67">
      <w:pPr>
        <w:ind w:left="1767" w:right="567"/>
        <w:rPr>
          <w:snapToGrid w:val="0"/>
          <w:spacing w:val="-2"/>
          <w:sz w:val="18"/>
          <w:szCs w:val="18"/>
        </w:rPr>
      </w:pPr>
      <w:r w:rsidRPr="00633F67">
        <w:rPr>
          <w:snapToGrid w:val="0"/>
          <w:spacing w:val="-2"/>
          <w:sz w:val="18"/>
          <w:szCs w:val="18"/>
        </w:rPr>
        <w:t>b) Fotoaufnahme (falls zweckmäßig)</w:t>
      </w:r>
    </w:p>
    <w:p w:rsidR="00176C7D" w:rsidRPr="00633F67" w:rsidRDefault="00176C7D" w:rsidP="00633F67">
      <w:pPr>
        <w:ind w:left="1767" w:right="567"/>
        <w:rPr>
          <w:snapToGrid w:val="0"/>
          <w:spacing w:val="-2"/>
          <w:sz w:val="18"/>
          <w:szCs w:val="18"/>
          <w:lang w:val="de-DE"/>
        </w:rPr>
      </w:pPr>
      <w:r w:rsidRPr="00633F67">
        <w:rPr>
          <w:snapToGrid w:val="0"/>
          <w:spacing w:val="-2"/>
          <w:sz w:val="18"/>
          <w:szCs w:val="18"/>
          <w:lang w:val="de-DE"/>
        </w:rPr>
        <w:t>c) Version der verwendeten RHS-Farbkarte (falls zweckmäßig)</w:t>
      </w:r>
    </w:p>
    <w:p w:rsidR="00176C7D" w:rsidRPr="00633F67" w:rsidRDefault="00176C7D" w:rsidP="00633F67">
      <w:pPr>
        <w:spacing w:after="240"/>
        <w:ind w:left="1769" w:right="567"/>
        <w:rPr>
          <w:sz w:val="18"/>
          <w:lang w:val="de-DE"/>
        </w:rPr>
      </w:pPr>
      <w:r w:rsidRPr="00633F67">
        <w:rPr>
          <w:snapToGrid w:val="0"/>
          <w:spacing w:val="-2"/>
          <w:sz w:val="18"/>
          <w:szCs w:val="18"/>
          <w:lang w:val="de-DE"/>
        </w:rPr>
        <w:t>d) Bemerkungen</w:t>
      </w:r>
      <w:r w:rsidRPr="00633F67">
        <w:rPr>
          <w:rFonts w:cs="Arial"/>
          <w:sz w:val="18"/>
          <w:lang w:val="de-DE"/>
        </w:rPr>
        <w:t>.“</w:t>
      </w:r>
    </w:p>
    <w:p w:rsidR="00176C7D" w:rsidRPr="00633F67" w:rsidRDefault="00B85B59" w:rsidP="00176C7D">
      <w:pPr>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B84E4E" w:rsidRPr="00633F67">
        <w:rPr>
          <w:lang w:val="de-DE"/>
        </w:rPr>
        <w:tab/>
      </w:r>
      <w:r w:rsidR="00176C7D" w:rsidRPr="00633F67">
        <w:rPr>
          <w:lang w:val="de-DE"/>
        </w:rPr>
        <w:t>Der CAJ befürwortete die Entschließung der CAJ-AG auf ihrer neunten Tagung über den Status der ursprünglichen Sortenbeschreibung in bezug auf die Überprüfung der Übereinstimmung von Pflanzenmaterial mit einer geschützten Sorte zum Zwecke der Wahrung der Züchterrechte, wie in Dokument CAJ/71/2, Absätze 38 und 39, dargelegt:</w:t>
      </w:r>
    </w:p>
    <w:p w:rsidR="00176C7D" w:rsidRPr="00633F67" w:rsidRDefault="00176C7D" w:rsidP="00176C7D">
      <w:pPr>
        <w:rPr>
          <w:lang w:val="de-DE"/>
        </w:rPr>
      </w:pPr>
    </w:p>
    <w:p w:rsidR="00176C7D" w:rsidRPr="00633F67" w:rsidRDefault="00176C7D" w:rsidP="00176C7D">
      <w:pPr>
        <w:ind w:left="567" w:right="567"/>
        <w:rPr>
          <w:snapToGrid w:val="0"/>
          <w:spacing w:val="-2"/>
          <w:sz w:val="18"/>
          <w:szCs w:val="18"/>
          <w:lang w:val="de-DE"/>
        </w:rPr>
      </w:pPr>
      <w:r w:rsidRPr="00633F67">
        <w:rPr>
          <w:snapToGrid w:val="0"/>
          <w:spacing w:val="-2"/>
          <w:sz w:val="18"/>
          <w:szCs w:val="18"/>
          <w:lang w:val="de-DE"/>
        </w:rPr>
        <w:t>„38.</w:t>
      </w:r>
      <w:r w:rsidRPr="00633F67">
        <w:rPr>
          <w:snapToGrid w:val="0"/>
          <w:spacing w:val="-2"/>
          <w:sz w:val="18"/>
          <w:szCs w:val="18"/>
          <w:lang w:val="de-DE"/>
        </w:rPr>
        <w:tab/>
        <w:t>Die CAJ-AG prüfte den Status der ursprünglichen Sortenbeschreibung in bezug auf die Überprüfung von Pflanzenmaterial einer geschützten Sorte zum Zwecke der Wahrung der Züchterrechte und hielt fest, daß die Anleitung der UPOV zur Wahrnehmung der Züchterrechte in Dokument UPOV/EXN/ENF/1 „Erläuterungen zur Wahrnehmung der Züchterrechte nach dem UPOV-Übereinkommen“ folgendermaßen lautet</w:t>
      </w:r>
      <w:r w:rsidRPr="00633F67">
        <w:rPr>
          <w:rStyle w:val="FootnoteReference"/>
          <w:snapToGrid w:val="0"/>
          <w:spacing w:val="-2"/>
          <w:sz w:val="18"/>
          <w:szCs w:val="18"/>
        </w:rPr>
        <w:footnoteReference w:id="3"/>
      </w:r>
      <w:r w:rsidRPr="00633F67">
        <w:rPr>
          <w:snapToGrid w:val="0"/>
          <w:spacing w:val="-2"/>
          <w:sz w:val="18"/>
          <w:szCs w:val="18"/>
          <w:lang w:val="de-DE"/>
        </w:rPr>
        <w:t>:</w:t>
      </w:r>
    </w:p>
    <w:p w:rsidR="00176C7D" w:rsidRPr="00633F67" w:rsidRDefault="00176C7D" w:rsidP="00176C7D">
      <w:pPr>
        <w:ind w:left="567" w:right="567"/>
        <w:rPr>
          <w:snapToGrid w:val="0"/>
          <w:spacing w:val="-2"/>
          <w:sz w:val="18"/>
          <w:szCs w:val="18"/>
          <w:lang w:val="de-DE"/>
        </w:rPr>
      </w:pPr>
    </w:p>
    <w:p w:rsidR="00176C7D" w:rsidRPr="00633F67" w:rsidRDefault="00176C7D" w:rsidP="00176C7D">
      <w:pPr>
        <w:ind w:left="567" w:right="567"/>
        <w:rPr>
          <w:snapToGrid w:val="0"/>
          <w:spacing w:val="-2"/>
          <w:sz w:val="18"/>
          <w:szCs w:val="18"/>
          <w:lang w:val="de-DE"/>
        </w:rPr>
      </w:pPr>
      <w:r w:rsidRPr="00633F67">
        <w:rPr>
          <w:snapToGrid w:val="0"/>
          <w:spacing w:val="-2"/>
          <w:sz w:val="18"/>
          <w:szCs w:val="18"/>
          <w:lang w:val="de-DE"/>
        </w:rPr>
        <w:t>„ABSCHNITT II: Mögliche Maßnahmen für die Wahrung der Züchterrechte</w:t>
      </w:r>
    </w:p>
    <w:p w:rsidR="00176C7D" w:rsidRPr="00633F67" w:rsidRDefault="00176C7D" w:rsidP="00176C7D">
      <w:pPr>
        <w:ind w:left="567" w:right="567"/>
        <w:rPr>
          <w:snapToGrid w:val="0"/>
          <w:spacing w:val="-2"/>
          <w:sz w:val="18"/>
          <w:szCs w:val="18"/>
          <w:lang w:val="de-DE"/>
        </w:rPr>
      </w:pPr>
    </w:p>
    <w:p w:rsidR="00176C7D" w:rsidRPr="00633F67" w:rsidRDefault="00176C7D" w:rsidP="00176C7D">
      <w:pPr>
        <w:ind w:left="567" w:right="567"/>
        <w:rPr>
          <w:snapToGrid w:val="0"/>
          <w:spacing w:val="-2"/>
          <w:sz w:val="18"/>
          <w:szCs w:val="18"/>
          <w:lang w:val="de-DE"/>
        </w:rPr>
      </w:pPr>
      <w:r w:rsidRPr="00633F67">
        <w:rPr>
          <w:snapToGrid w:val="0"/>
          <w:spacing w:val="-2"/>
          <w:sz w:val="18"/>
          <w:szCs w:val="18"/>
          <w:lang w:val="de-DE"/>
        </w:rPr>
        <w:t>„Das UPOV-Übereinkommen schreibt zwar vor, daß die Verbandsmitglieder geeignete Rechtsmittel zur wirksamen Wahrung der Züchterrechte vorsehen, doch ist es Sache der Züchter, ihre Rechte zu wahren.“</w:t>
      </w:r>
    </w:p>
    <w:p w:rsidR="00176C7D" w:rsidRPr="00633F67" w:rsidRDefault="00176C7D" w:rsidP="00176C7D">
      <w:pPr>
        <w:ind w:left="567" w:right="567"/>
        <w:rPr>
          <w:snapToGrid w:val="0"/>
          <w:spacing w:val="-2"/>
          <w:sz w:val="18"/>
          <w:szCs w:val="18"/>
          <w:lang w:val="de-DE"/>
        </w:rPr>
      </w:pPr>
      <w:r w:rsidRPr="00633F67">
        <w:rPr>
          <w:snapToGrid w:val="0"/>
          <w:spacing w:val="-2"/>
          <w:sz w:val="18"/>
          <w:szCs w:val="18"/>
          <w:lang w:val="de-DE"/>
        </w:rPr>
        <w:t>[…]</w:t>
      </w:r>
    </w:p>
    <w:p w:rsidR="00176C7D" w:rsidRPr="00633F67" w:rsidRDefault="00176C7D" w:rsidP="00176C7D">
      <w:pPr>
        <w:ind w:left="567" w:right="567"/>
        <w:rPr>
          <w:snapToGrid w:val="0"/>
          <w:spacing w:val="-2"/>
          <w:sz w:val="18"/>
          <w:szCs w:val="18"/>
          <w:lang w:val="de-DE"/>
        </w:rPr>
      </w:pPr>
      <w:r w:rsidRPr="00633F67">
        <w:rPr>
          <w:snapToGrid w:val="0"/>
          <w:spacing w:val="-2"/>
          <w:sz w:val="18"/>
          <w:szCs w:val="18"/>
          <w:lang w:val="de-DE"/>
        </w:rPr>
        <w:t>„39.</w:t>
      </w:r>
      <w:r w:rsidRPr="00633F67">
        <w:rPr>
          <w:snapToGrid w:val="0"/>
          <w:spacing w:val="-2"/>
          <w:sz w:val="18"/>
          <w:szCs w:val="18"/>
          <w:lang w:val="de-DE"/>
        </w:rPr>
        <w:tab/>
        <w:t>Die CAJ-AG vereinbarte, daß in bezug auf die Verwendung der ursprünglichen Sortenbeschreibung in Erinnerung gerufen werden sollte, daß die Beschreibung der Sortenmerkmale und die Grundlage für die Unterscheidung der ähnlichsten Sorten in Verbindung zu den Umständen der DUS-Prüfung stehen, wie in Absatz 10 c) dieses Dokuments dargelegt, nämlich</w:t>
      </w:r>
      <w:r w:rsidRPr="00633F67">
        <w:rPr>
          <w:rStyle w:val="FootnoteReference"/>
          <w:snapToGrid w:val="0"/>
          <w:sz w:val="18"/>
          <w:szCs w:val="18"/>
        </w:rPr>
        <w:footnoteReference w:id="4"/>
      </w:r>
      <w:r w:rsidRPr="00633F67">
        <w:rPr>
          <w:snapToGrid w:val="0"/>
          <w:spacing w:val="-2"/>
          <w:sz w:val="18"/>
          <w:szCs w:val="18"/>
          <w:lang w:val="de-DE"/>
        </w:rPr>
        <w:t>:</w:t>
      </w:r>
    </w:p>
    <w:p w:rsidR="00176C7D" w:rsidRPr="00633F67" w:rsidRDefault="00176C7D" w:rsidP="00176C7D">
      <w:pPr>
        <w:ind w:left="567" w:right="567"/>
        <w:rPr>
          <w:snapToGrid w:val="0"/>
          <w:spacing w:val="-2"/>
          <w:sz w:val="18"/>
          <w:szCs w:val="18"/>
          <w:lang w:val="de-DE"/>
        </w:rPr>
      </w:pPr>
    </w:p>
    <w:p w:rsidR="00176C7D" w:rsidRPr="00633F67" w:rsidRDefault="00176C7D" w:rsidP="00176C7D">
      <w:pPr>
        <w:pStyle w:val="ListParagraph"/>
        <w:numPr>
          <w:ilvl w:val="0"/>
          <w:numId w:val="9"/>
        </w:numPr>
        <w:ind w:right="567"/>
        <w:rPr>
          <w:snapToGrid w:val="0"/>
          <w:spacing w:val="-2"/>
          <w:sz w:val="18"/>
          <w:szCs w:val="18"/>
          <w:lang w:val="de-DE"/>
        </w:rPr>
      </w:pPr>
      <w:r w:rsidRPr="00633F67">
        <w:rPr>
          <w:snapToGrid w:val="0"/>
          <w:spacing w:val="-2"/>
          <w:sz w:val="18"/>
          <w:szCs w:val="18"/>
          <w:lang w:val="de-DE"/>
        </w:rPr>
        <w:t>Datum und Dokumentennummer von UPOV-Prüfungsrichtlinien;</w:t>
      </w:r>
    </w:p>
    <w:p w:rsidR="00176C7D" w:rsidRPr="00633F67" w:rsidRDefault="00176C7D" w:rsidP="00176C7D">
      <w:pPr>
        <w:pStyle w:val="ListParagraph"/>
        <w:numPr>
          <w:ilvl w:val="0"/>
          <w:numId w:val="9"/>
        </w:numPr>
        <w:ind w:right="567"/>
        <w:rPr>
          <w:snapToGrid w:val="0"/>
          <w:spacing w:val="-2"/>
          <w:sz w:val="18"/>
          <w:szCs w:val="18"/>
          <w:lang w:val="de-DE"/>
        </w:rPr>
      </w:pPr>
      <w:r w:rsidRPr="00633F67">
        <w:rPr>
          <w:snapToGrid w:val="0"/>
          <w:spacing w:val="-2"/>
          <w:sz w:val="18"/>
          <w:szCs w:val="18"/>
          <w:lang w:val="de-DE"/>
        </w:rPr>
        <w:t>Datum und/oder Dokumentennummer der Prüfungsrichtlinien der berichtenden Behörde;</w:t>
      </w:r>
    </w:p>
    <w:p w:rsidR="00176C7D" w:rsidRPr="00633F67" w:rsidRDefault="00176C7D" w:rsidP="00176C7D">
      <w:pPr>
        <w:pStyle w:val="ListParagraph"/>
        <w:numPr>
          <w:ilvl w:val="0"/>
          <w:numId w:val="9"/>
        </w:numPr>
        <w:ind w:right="567"/>
        <w:rPr>
          <w:snapToGrid w:val="0"/>
          <w:spacing w:val="-2"/>
          <w:sz w:val="18"/>
          <w:szCs w:val="18"/>
        </w:rPr>
      </w:pPr>
      <w:r w:rsidRPr="00633F67">
        <w:rPr>
          <w:snapToGrid w:val="0"/>
          <w:spacing w:val="-2"/>
          <w:sz w:val="18"/>
          <w:szCs w:val="18"/>
        </w:rPr>
        <w:t>Berichtende Behörde;</w:t>
      </w:r>
    </w:p>
    <w:p w:rsidR="00176C7D" w:rsidRPr="00633F67" w:rsidRDefault="00176C7D" w:rsidP="00176C7D">
      <w:pPr>
        <w:pStyle w:val="ListParagraph"/>
        <w:numPr>
          <w:ilvl w:val="0"/>
          <w:numId w:val="9"/>
        </w:numPr>
        <w:ind w:right="567"/>
        <w:rPr>
          <w:snapToGrid w:val="0"/>
          <w:spacing w:val="-2"/>
          <w:sz w:val="18"/>
          <w:szCs w:val="18"/>
          <w:lang w:val="de-DE"/>
        </w:rPr>
      </w:pPr>
      <w:r w:rsidRPr="00633F67">
        <w:rPr>
          <w:snapToGrid w:val="0"/>
          <w:spacing w:val="-2"/>
          <w:sz w:val="18"/>
          <w:szCs w:val="18"/>
          <w:lang w:val="de-DE"/>
        </w:rPr>
        <w:t>Prüfungsstation(en) und -ort(e);</w:t>
      </w:r>
    </w:p>
    <w:p w:rsidR="00176C7D" w:rsidRPr="00633F67" w:rsidRDefault="00176C7D" w:rsidP="00176C7D">
      <w:pPr>
        <w:pStyle w:val="ListParagraph"/>
        <w:numPr>
          <w:ilvl w:val="0"/>
          <w:numId w:val="9"/>
        </w:numPr>
        <w:ind w:right="567"/>
        <w:rPr>
          <w:snapToGrid w:val="0"/>
          <w:spacing w:val="-2"/>
          <w:sz w:val="18"/>
          <w:szCs w:val="18"/>
        </w:rPr>
      </w:pPr>
      <w:r w:rsidRPr="00633F67">
        <w:rPr>
          <w:snapToGrid w:val="0"/>
          <w:spacing w:val="-2"/>
          <w:sz w:val="18"/>
          <w:szCs w:val="18"/>
        </w:rPr>
        <w:t>Zeitraum der Prüfung;</w:t>
      </w:r>
    </w:p>
    <w:p w:rsidR="00176C7D" w:rsidRPr="00633F67" w:rsidRDefault="00176C7D" w:rsidP="00176C7D">
      <w:pPr>
        <w:pStyle w:val="ListParagraph"/>
        <w:numPr>
          <w:ilvl w:val="0"/>
          <w:numId w:val="9"/>
        </w:numPr>
        <w:ind w:right="567"/>
        <w:rPr>
          <w:snapToGrid w:val="0"/>
          <w:spacing w:val="-2"/>
          <w:sz w:val="18"/>
          <w:szCs w:val="18"/>
          <w:lang w:val="de-DE"/>
        </w:rPr>
      </w:pPr>
      <w:r w:rsidRPr="00633F67">
        <w:rPr>
          <w:snapToGrid w:val="0"/>
          <w:spacing w:val="-2"/>
          <w:sz w:val="18"/>
          <w:szCs w:val="18"/>
          <w:lang w:val="de-DE"/>
        </w:rPr>
        <w:t>Ausstellungsdatum und -ort des Dokuments;</w:t>
      </w:r>
    </w:p>
    <w:p w:rsidR="00176C7D" w:rsidRPr="00633F67" w:rsidRDefault="00176C7D" w:rsidP="00176C7D">
      <w:pPr>
        <w:pStyle w:val="ListParagraph"/>
        <w:numPr>
          <w:ilvl w:val="0"/>
          <w:numId w:val="9"/>
        </w:numPr>
        <w:ind w:right="567"/>
        <w:rPr>
          <w:snapToGrid w:val="0"/>
          <w:spacing w:val="-2"/>
          <w:sz w:val="18"/>
          <w:szCs w:val="18"/>
          <w:lang w:val="de-DE"/>
        </w:rPr>
      </w:pPr>
      <w:r w:rsidRPr="00633F67">
        <w:rPr>
          <w:snapToGrid w:val="0"/>
          <w:spacing w:val="-2"/>
          <w:sz w:val="18"/>
          <w:szCs w:val="18"/>
          <w:lang w:val="de-DE"/>
        </w:rPr>
        <w:t>Gruppe: (Tabelle: Merkmale; Ausprägungsstufen; Note; Bemerkungen);</w:t>
      </w:r>
    </w:p>
    <w:p w:rsidR="00176C7D" w:rsidRPr="00633F67" w:rsidRDefault="00176C7D" w:rsidP="00176C7D">
      <w:pPr>
        <w:pStyle w:val="ListParagraph"/>
        <w:numPr>
          <w:ilvl w:val="0"/>
          <w:numId w:val="9"/>
        </w:numPr>
        <w:ind w:right="567"/>
        <w:rPr>
          <w:snapToGrid w:val="0"/>
          <w:spacing w:val="-2"/>
          <w:sz w:val="18"/>
          <w:szCs w:val="18"/>
        </w:rPr>
      </w:pPr>
      <w:r w:rsidRPr="00633F67">
        <w:rPr>
          <w:snapToGrid w:val="0"/>
          <w:spacing w:val="-2"/>
          <w:sz w:val="18"/>
          <w:szCs w:val="18"/>
        </w:rPr>
        <w:t>Zusätzliche Informationen;</w:t>
      </w:r>
    </w:p>
    <w:p w:rsidR="00176C7D" w:rsidRPr="00633F67" w:rsidRDefault="00176C7D" w:rsidP="00176C7D">
      <w:pPr>
        <w:ind w:left="1287" w:right="567"/>
        <w:rPr>
          <w:snapToGrid w:val="0"/>
          <w:spacing w:val="-2"/>
          <w:sz w:val="18"/>
          <w:szCs w:val="18"/>
        </w:rPr>
      </w:pPr>
      <w:r w:rsidRPr="00633F67">
        <w:rPr>
          <w:snapToGrid w:val="0"/>
          <w:spacing w:val="-2"/>
          <w:sz w:val="18"/>
          <w:szCs w:val="18"/>
        </w:rPr>
        <w:t>a) Zusätzliche Daten</w:t>
      </w:r>
    </w:p>
    <w:p w:rsidR="00176C7D" w:rsidRPr="00633F67" w:rsidRDefault="00176C7D" w:rsidP="00176C7D">
      <w:pPr>
        <w:ind w:left="1287" w:right="567"/>
        <w:rPr>
          <w:snapToGrid w:val="0"/>
          <w:spacing w:val="-2"/>
          <w:sz w:val="18"/>
          <w:szCs w:val="18"/>
        </w:rPr>
      </w:pPr>
      <w:r w:rsidRPr="00633F67">
        <w:rPr>
          <w:snapToGrid w:val="0"/>
          <w:spacing w:val="-2"/>
          <w:sz w:val="18"/>
          <w:szCs w:val="18"/>
        </w:rPr>
        <w:t>b) Fotoaufnahme (falls zweckmäßig)</w:t>
      </w:r>
    </w:p>
    <w:p w:rsidR="00176C7D" w:rsidRPr="00633F67" w:rsidRDefault="00176C7D" w:rsidP="00176C7D">
      <w:pPr>
        <w:ind w:left="1287" w:right="567"/>
        <w:rPr>
          <w:snapToGrid w:val="0"/>
          <w:spacing w:val="-2"/>
          <w:sz w:val="18"/>
          <w:szCs w:val="18"/>
          <w:lang w:val="de-DE"/>
        </w:rPr>
      </w:pPr>
      <w:r w:rsidRPr="00633F67">
        <w:rPr>
          <w:snapToGrid w:val="0"/>
          <w:spacing w:val="-2"/>
          <w:sz w:val="18"/>
          <w:szCs w:val="18"/>
          <w:lang w:val="de-DE"/>
        </w:rPr>
        <w:t>c) Version der verwendeten RHS-Farbkarte (falls zweckmäßig)</w:t>
      </w:r>
    </w:p>
    <w:p w:rsidR="00D610A1" w:rsidRPr="00633F67" w:rsidRDefault="00176C7D" w:rsidP="00176C7D">
      <w:pPr>
        <w:ind w:left="720" w:firstLine="567"/>
        <w:rPr>
          <w:sz w:val="18"/>
          <w:szCs w:val="18"/>
          <w:lang w:val="de-DE"/>
        </w:rPr>
      </w:pPr>
      <w:r w:rsidRPr="00633F67">
        <w:rPr>
          <w:snapToGrid w:val="0"/>
          <w:spacing w:val="-2"/>
          <w:sz w:val="18"/>
          <w:szCs w:val="18"/>
          <w:lang w:val="de-DE"/>
        </w:rPr>
        <w:t>d) Bemerkungen</w:t>
      </w:r>
      <w:r w:rsidRPr="00633F67">
        <w:rPr>
          <w:sz w:val="18"/>
          <w:szCs w:val="18"/>
          <w:lang w:val="de-DE"/>
        </w:rPr>
        <w:t>“.</w:t>
      </w:r>
    </w:p>
    <w:p w:rsidR="00176C7D" w:rsidRPr="00633F67" w:rsidRDefault="00176C7D" w:rsidP="00176C7D">
      <w:pPr>
        <w:rPr>
          <w:lang w:val="de-DE"/>
        </w:rPr>
      </w:pPr>
    </w:p>
    <w:p w:rsidR="00852CAB" w:rsidRPr="00633F67" w:rsidRDefault="00B85B59" w:rsidP="004E4F91">
      <w:pPr>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852CAB" w:rsidRPr="00633F67">
        <w:rPr>
          <w:lang w:val="de-DE"/>
        </w:rPr>
        <w:tab/>
      </w:r>
      <w:r w:rsidR="00176C7D" w:rsidRPr="00633F67">
        <w:rPr>
          <w:lang w:val="de-DE"/>
        </w:rPr>
        <w:t>Der CAJ nahm zur Kenntnis, daß der TC die Existenz unterschiedlicher Herangehensweisen zur Entwicklung von Sortenbeschreibungen und Überwachung der Erhaltung von Sorten in verschiedenen UPOV-Mitgliedern und zwischen verschiedenen DUS-Prüfungssystemen zur Kenntnis genommen hatte. Er nahm auch zur Kenntnis, daß der TC vereinbart hatte, Sachverständige einzuladen, den TWP auf ihren Tagungen im Jahr 2015 darzulegen, wie Sortenbeschreibungen in der DUS-Prüfung entwickelt werden, wie sie nach Erteilung eines Züchterrechts verwendet werden und wie die Erhaltung von Sorten überwacht wird. Der CAJ nahm außerdem zur Kenntnis, daß der TC vereinbart hatte, daß Sachverständige auch ersucht werden sollten, den TWP auf ihren Tagungen im Jahr 2015 die Rolle des Pflanzenmaterials, das als Grundlage für die DUS-Prüfung verwendet wird, im Zusammenhang mit den in Dokument TC/51/38, Absatz 8, dargelegten Angelegenheiten darzulegen</w:t>
      </w:r>
      <w:r w:rsidR="00852CAB" w:rsidRPr="00633F67">
        <w:rPr>
          <w:lang w:val="de-DE"/>
        </w:rPr>
        <w:t>.</w:t>
      </w:r>
    </w:p>
    <w:p w:rsidR="00852CAB" w:rsidRPr="00633F67" w:rsidRDefault="00852CAB" w:rsidP="004E4F91">
      <w:pPr>
        <w:rPr>
          <w:lang w:val="de-DE"/>
        </w:rPr>
      </w:pPr>
    </w:p>
    <w:p w:rsidR="00E57773" w:rsidRPr="00633F67" w:rsidRDefault="00B85B59" w:rsidP="00E57773">
      <w:pPr>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852CAB" w:rsidRPr="00633F67">
        <w:rPr>
          <w:lang w:val="de-DE"/>
        </w:rPr>
        <w:tab/>
      </w:r>
      <w:r w:rsidR="00E57773" w:rsidRPr="00633F67">
        <w:rPr>
          <w:lang w:val="de-DE"/>
        </w:rPr>
        <w:t>Der CAJ nahm zur Kenntnis, daß der TC vereinbart hatte, die Erörterung über Sortenbeschreibungen und die Rolle des Pflanzenmaterials, einschließlich einer Mindestanzahl von Wachstumsperioden für die DUS-Prüfung, in seine zweiundfünfzigste Tagung in Genf im Jahr 2016 aufzunehmen.</w:t>
      </w:r>
    </w:p>
    <w:p w:rsidR="00E57773" w:rsidRPr="00633F67" w:rsidRDefault="00E57773" w:rsidP="00E57773">
      <w:pPr>
        <w:spacing w:line="360" w:lineRule="auto"/>
        <w:rPr>
          <w:lang w:val="de-DE"/>
        </w:rPr>
      </w:pPr>
    </w:p>
    <w:p w:rsidR="00E57773" w:rsidRPr="00633F67" w:rsidRDefault="00E57773" w:rsidP="00E57773">
      <w:pPr>
        <w:keepNext/>
        <w:rPr>
          <w:i/>
          <w:lang w:val="de-DE"/>
        </w:rPr>
      </w:pPr>
      <w:r w:rsidRPr="00633F67">
        <w:rPr>
          <w:i/>
          <w:lang w:val="de-DE"/>
        </w:rPr>
        <w:t>Sortenbezeichnungen</w:t>
      </w:r>
    </w:p>
    <w:p w:rsidR="00852CAB" w:rsidRPr="00633F67" w:rsidRDefault="00852CAB" w:rsidP="00E57773">
      <w:pPr>
        <w:rPr>
          <w:lang w:val="de-DE"/>
        </w:rPr>
      </w:pPr>
    </w:p>
    <w:p w:rsidR="00E57773" w:rsidRPr="00633F67" w:rsidRDefault="00B85B59" w:rsidP="00E57773">
      <w:pPr>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F47697" w:rsidRPr="00633F67">
        <w:rPr>
          <w:lang w:val="de-DE"/>
        </w:rPr>
        <w:tab/>
      </w:r>
      <w:r w:rsidR="00E57773" w:rsidRPr="00633F67">
        <w:rPr>
          <w:lang w:val="de-DE"/>
        </w:rPr>
        <w:t xml:space="preserve">Der CAJ nahm zur Kenntnis, daß ein Bericht über die Arbeit betreffend die etwaige Entwicklung eines UPOV-Suchinstruments für Ähnlichkeiten zum Zwecke der Sortenbezeichnung und Vorschläge betreffend </w:t>
      </w:r>
      <w:r w:rsidR="00E57773" w:rsidRPr="00633F67">
        <w:rPr>
          <w:lang w:val="de-DE"/>
        </w:rPr>
        <w:lastRenderedPageBreak/>
        <w:t>eine etwaige Überarbeitung von Dokument UPOV/INF/12/4 „Erläuterungen zu Sortenbezeichnungen nach dem UPOV-Übereinkommen“ in Dokument CAJ/71/3 „Sortenbezeichnungen“ dargelegt sind.</w:t>
      </w:r>
    </w:p>
    <w:p w:rsidR="00E57773" w:rsidRPr="00633F67" w:rsidRDefault="00E57773" w:rsidP="00E57773">
      <w:pPr>
        <w:spacing w:line="360" w:lineRule="auto"/>
        <w:rPr>
          <w:lang w:val="de-DE"/>
        </w:rPr>
      </w:pPr>
    </w:p>
    <w:p w:rsidR="00F47697" w:rsidRPr="00633F67" w:rsidRDefault="00E57773" w:rsidP="00E57773">
      <w:pPr>
        <w:rPr>
          <w:i/>
          <w:lang w:val="de-DE"/>
        </w:rPr>
      </w:pPr>
      <w:r w:rsidRPr="00633F67">
        <w:rPr>
          <w:i/>
          <w:lang w:val="de-DE"/>
        </w:rPr>
        <w:t>Angelegenheiten betreffend Beobachter in der CAJ-AG</w:t>
      </w:r>
    </w:p>
    <w:p w:rsidR="00E57773" w:rsidRPr="00633F67" w:rsidRDefault="00E57773" w:rsidP="00E57773">
      <w:pPr>
        <w:rPr>
          <w:lang w:val="de-DE"/>
        </w:rPr>
      </w:pPr>
    </w:p>
    <w:p w:rsidR="00E57773" w:rsidRPr="00633F67" w:rsidRDefault="00B85B59" w:rsidP="00E57773">
      <w:pPr>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F47697" w:rsidRPr="00633F67">
        <w:rPr>
          <w:lang w:val="de-DE"/>
        </w:rPr>
        <w:tab/>
      </w:r>
      <w:r w:rsidR="00E57773" w:rsidRPr="00633F67">
        <w:rPr>
          <w:lang w:val="de-DE"/>
        </w:rPr>
        <w:t>Der CAJ vereinbarte, Angelegenheiten betreffend Beobachter in der CAJ-AG im Falle, daß eine Tagung der CAJ-AG vom CAJ einberufen wird, zu prüfen.</w:t>
      </w:r>
    </w:p>
    <w:p w:rsidR="00E57773" w:rsidRPr="00633F67" w:rsidRDefault="00E57773" w:rsidP="00E57773">
      <w:pPr>
        <w:spacing w:line="360" w:lineRule="auto"/>
        <w:rPr>
          <w:lang w:val="de-DE"/>
        </w:rPr>
      </w:pPr>
    </w:p>
    <w:p w:rsidR="00E57773" w:rsidRPr="00633F67" w:rsidRDefault="00E57773" w:rsidP="00E57773">
      <w:pPr>
        <w:keepNext/>
        <w:rPr>
          <w:i/>
          <w:lang w:val="de-DE"/>
        </w:rPr>
      </w:pPr>
      <w:r w:rsidRPr="00633F67">
        <w:rPr>
          <w:i/>
          <w:lang w:val="de-DE"/>
        </w:rPr>
        <w:t>Vom CAJ an den Beratenden Ausschuß und den Rat verwiesene Fragen</w:t>
      </w:r>
    </w:p>
    <w:p w:rsidR="00F47697" w:rsidRPr="00633F67" w:rsidRDefault="00F47697" w:rsidP="00E57773">
      <w:pPr>
        <w:rPr>
          <w:lang w:val="de-DE"/>
        </w:rPr>
      </w:pPr>
    </w:p>
    <w:p w:rsidR="00E57773" w:rsidRPr="00633F67" w:rsidRDefault="00B85B59" w:rsidP="00E57773">
      <w:pPr>
        <w:spacing w:after="360"/>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F47697" w:rsidRPr="00633F67">
        <w:rPr>
          <w:lang w:val="de-DE"/>
        </w:rPr>
        <w:tab/>
      </w:r>
      <w:r w:rsidR="00E57773" w:rsidRPr="00633F67">
        <w:rPr>
          <w:lang w:val="de-DE"/>
        </w:rPr>
        <w:t>Der CAJ nahm zur Kenntnis, daß das Interesse an der Erörterung der Beziehung und der Auswirkungen der Umsetzung des „Nagoya-Protokoll über den Zugang zu Genetischen Ressourcen und die gerechte und ausgewogene Beteiligung an den Vorteilen aus ihrer Nutzung zum Übereinkommen über die biologische Vielfalt“ für die Züchterausnahme dem Beratenden Ausschuß und dem Rat berichtet worden waren, wie in Dokument CAJ/71/2, Absatz 48, dargelegt.</w:t>
      </w:r>
    </w:p>
    <w:p w:rsidR="00E57773" w:rsidRPr="00633F67" w:rsidRDefault="00E57773" w:rsidP="00E57773">
      <w:pPr>
        <w:keepNext/>
        <w:rPr>
          <w:i/>
          <w:lang w:val="de-DE"/>
        </w:rPr>
      </w:pPr>
      <w:r w:rsidRPr="00633F67">
        <w:rPr>
          <w:i/>
          <w:lang w:val="de-DE"/>
        </w:rPr>
        <w:t>Vorläufiges Programm für die Entwicklung von Informationsmaterial</w:t>
      </w:r>
    </w:p>
    <w:p w:rsidR="006B5D17" w:rsidRPr="00633F67" w:rsidRDefault="006B5D17" w:rsidP="004E4F91">
      <w:pPr>
        <w:keepNext/>
        <w:rPr>
          <w:lang w:val="de-DE"/>
        </w:rPr>
      </w:pPr>
    </w:p>
    <w:p w:rsidR="007821E9" w:rsidRPr="00633F67" w:rsidRDefault="00B85B59" w:rsidP="004E4F91">
      <w:pPr>
        <w:rPr>
          <w:lang w:val="de-DE"/>
        </w:rPr>
      </w:pPr>
      <w:r w:rsidRPr="00633F67">
        <w:fldChar w:fldCharType="begin"/>
      </w:r>
      <w:r w:rsidRPr="00633F67">
        <w:rPr>
          <w:lang w:val="de-DE"/>
        </w:rPr>
        <w:instrText xml:space="preserve"> AUTONUM  </w:instrText>
      </w:r>
      <w:r w:rsidRPr="00633F67">
        <w:fldChar w:fldCharType="end"/>
      </w:r>
      <w:r w:rsidR="00F47697" w:rsidRPr="00633F67">
        <w:rPr>
          <w:lang w:val="de-DE"/>
        </w:rPr>
        <w:tab/>
      </w:r>
      <w:r w:rsidR="00E57773" w:rsidRPr="00633F67">
        <w:rPr>
          <w:lang w:val="de-DE"/>
        </w:rPr>
        <w:t>Der CAJ billigte das vorläufige Programm für die Entwicklung von Informationsmaterial, wie in Dokument CAJ/71</w:t>
      </w:r>
      <w:r w:rsidR="004708F2" w:rsidRPr="00633F67">
        <w:rPr>
          <w:lang w:val="de-DE"/>
        </w:rPr>
        <w:t>/2, Absätze 50 bis 52.</w:t>
      </w:r>
    </w:p>
    <w:p w:rsidR="007821E9" w:rsidRPr="00633F67" w:rsidRDefault="007821E9" w:rsidP="004E4F91">
      <w:pPr>
        <w:rPr>
          <w:lang w:val="de-DE"/>
        </w:rPr>
      </w:pPr>
    </w:p>
    <w:p w:rsidR="00E57773" w:rsidRPr="00633F67" w:rsidRDefault="00B85B59" w:rsidP="00E57773">
      <w:pPr>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7821E9" w:rsidRPr="00633F67">
        <w:rPr>
          <w:lang w:val="de-DE"/>
        </w:rPr>
        <w:tab/>
      </w:r>
      <w:r w:rsidR="00E57773" w:rsidRPr="00633F67">
        <w:rPr>
          <w:lang w:val="de-DE"/>
        </w:rPr>
        <w:t xml:space="preserve">Der CAJ vereinbarte, auf der zweiundsiebzigsten Tagung des CAJ folgende Informationsmaterialien zu prüfen: </w:t>
      </w:r>
    </w:p>
    <w:p w:rsidR="00E57773" w:rsidRPr="00633F67" w:rsidRDefault="00E57773" w:rsidP="00E57773">
      <w:pPr>
        <w:rPr>
          <w:lang w:val="de-DE"/>
        </w:rPr>
      </w:pPr>
    </w:p>
    <w:p w:rsidR="00E57773" w:rsidRPr="00633F67" w:rsidRDefault="00E57773" w:rsidP="00E57773">
      <w:pPr>
        <w:ind w:left="1134" w:hanging="567"/>
        <w:rPr>
          <w:lang w:val="de-DE"/>
        </w:rPr>
      </w:pPr>
      <w:r w:rsidRPr="00633F67">
        <w:rPr>
          <w:lang w:val="de-DE"/>
        </w:rPr>
        <w:t>(i)</w:t>
      </w:r>
      <w:r w:rsidRPr="00633F67">
        <w:rPr>
          <w:lang w:val="de-DE"/>
        </w:rPr>
        <w:tab/>
        <w:t xml:space="preserve">Erläuterungen zu den </w:t>
      </w:r>
      <w:r w:rsidR="003F3839" w:rsidRPr="00633F67">
        <w:rPr>
          <w:lang w:val="de-DE"/>
        </w:rPr>
        <w:t xml:space="preserve">im wesentlichen </w:t>
      </w:r>
      <w:r w:rsidRPr="00633F67">
        <w:rPr>
          <w:lang w:val="de-DE"/>
        </w:rPr>
        <w:t>abgeleiteten Sorten nach der Akte von 1991 des UPOV-Übereinkommens (Überarbeitung)</w:t>
      </w:r>
    </w:p>
    <w:p w:rsidR="00E57773" w:rsidRPr="00633F67" w:rsidRDefault="00E57773" w:rsidP="00E57773">
      <w:pPr>
        <w:ind w:left="567"/>
        <w:rPr>
          <w:lang w:val="de-DE"/>
        </w:rPr>
      </w:pPr>
    </w:p>
    <w:p w:rsidR="00E57773" w:rsidRPr="00633F67" w:rsidRDefault="00E57773" w:rsidP="00E57773">
      <w:pPr>
        <w:ind w:left="1134" w:hanging="567"/>
        <w:rPr>
          <w:lang w:val="de-DE"/>
        </w:rPr>
      </w:pPr>
      <w:r w:rsidRPr="00633F67">
        <w:rPr>
          <w:lang w:val="de-DE"/>
        </w:rPr>
        <w:t>(ii)</w:t>
      </w:r>
      <w:r w:rsidRPr="00633F67">
        <w:rPr>
          <w:lang w:val="de-DE"/>
        </w:rPr>
        <w:tab/>
        <w:t xml:space="preserve">Erläuterungen zu Sortenbezeichnungen nach dem UPOV-Übereinkommen (Überarbeitung) </w:t>
      </w:r>
    </w:p>
    <w:p w:rsidR="00E57773" w:rsidRPr="00633F67" w:rsidRDefault="00E57773" w:rsidP="00E57773">
      <w:pPr>
        <w:ind w:left="567"/>
        <w:rPr>
          <w:lang w:val="de-DE"/>
        </w:rPr>
      </w:pPr>
    </w:p>
    <w:p w:rsidR="004E4F91" w:rsidRPr="00633F67" w:rsidRDefault="00E57773" w:rsidP="00E57773">
      <w:pPr>
        <w:ind w:firstLine="567"/>
        <w:rPr>
          <w:lang w:val="de-DE"/>
        </w:rPr>
      </w:pPr>
      <w:r w:rsidRPr="00633F67">
        <w:rPr>
          <w:lang w:val="de-DE"/>
        </w:rPr>
        <w:t>(iii)</w:t>
      </w:r>
      <w:r w:rsidRPr="00633F67">
        <w:rPr>
          <w:lang w:val="de-DE"/>
        </w:rPr>
        <w:tab/>
        <w:t>Erläuterungen zu Vermehrungsmaterial nach dem UPOV-Übereinkommen</w:t>
      </w:r>
      <w:r w:rsidR="004E4F91" w:rsidRPr="00633F67">
        <w:rPr>
          <w:lang w:val="de-DE"/>
        </w:rPr>
        <w:t>.</w:t>
      </w:r>
    </w:p>
    <w:p w:rsidR="004E4F91" w:rsidRPr="00633F67" w:rsidRDefault="004E4F91" w:rsidP="004E4F91">
      <w:pPr>
        <w:ind w:left="567"/>
        <w:rPr>
          <w:lang w:val="de-DE"/>
        </w:rPr>
      </w:pPr>
    </w:p>
    <w:p w:rsidR="00F47697" w:rsidRPr="00633F67" w:rsidRDefault="00B85B59" w:rsidP="004E4F91">
      <w:pPr>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8724BD" w:rsidRPr="00633F67">
        <w:rPr>
          <w:lang w:val="de-DE"/>
        </w:rPr>
        <w:tab/>
      </w:r>
      <w:r w:rsidR="00E57773" w:rsidRPr="00633F67">
        <w:rPr>
          <w:lang w:val="de-DE"/>
        </w:rPr>
        <w:t>Der CAJ vereinbarte, die Ausarbeitung eines Entwurfs einer Überarbeitung von Dokument UPOV/INF/5 „UPOV-Musteramtsblatt für Sortenschutz“ (Dokument UPOV/INF/5/1 Draft 1) in Erwartung der Entwicklungen in Bezug auf die Ausarbeitung eines Prototyps des elektronischen Formblatts zurückzustellen (vergleiche Dokument CAJ/71/4)</w:t>
      </w:r>
      <w:r w:rsidR="007821E9" w:rsidRPr="00633F67">
        <w:rPr>
          <w:lang w:val="de-DE"/>
        </w:rPr>
        <w:t>.</w:t>
      </w:r>
    </w:p>
    <w:p w:rsidR="00F47697" w:rsidRPr="00633F67" w:rsidRDefault="00F47697" w:rsidP="004E4F91">
      <w:pPr>
        <w:rPr>
          <w:lang w:val="de-DE"/>
        </w:rPr>
      </w:pPr>
    </w:p>
    <w:p w:rsidR="00E57773" w:rsidRPr="00633F67" w:rsidRDefault="00B85B59" w:rsidP="00E57773">
      <w:pPr>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F47697" w:rsidRPr="00633F67">
        <w:rPr>
          <w:lang w:val="de-DE"/>
        </w:rPr>
        <w:tab/>
      </w:r>
      <w:r w:rsidR="00E57773" w:rsidRPr="00633F67">
        <w:rPr>
          <w:lang w:val="de-DE"/>
        </w:rPr>
        <w:t>Der CAJ nahm zur Kenntnis, daß der Rat auf seiner neunundvierzigsten ordentlichen Tagung ersucht werden würde, folgende Dokumente anzunehmen:</w:t>
      </w:r>
    </w:p>
    <w:p w:rsidR="00E57773" w:rsidRPr="00633F67" w:rsidRDefault="00E57773" w:rsidP="00E57773">
      <w:pPr>
        <w:rPr>
          <w:lang w:val="de-DE"/>
        </w:rPr>
      </w:pPr>
    </w:p>
    <w:p w:rsidR="00E57773" w:rsidRPr="00633F67" w:rsidRDefault="00E57773" w:rsidP="00E57773">
      <w:pPr>
        <w:tabs>
          <w:tab w:val="left" w:pos="567"/>
        </w:tabs>
        <w:ind w:left="1134" w:hanging="1134"/>
        <w:rPr>
          <w:lang w:val="de-DE"/>
        </w:rPr>
      </w:pPr>
      <w:r w:rsidRPr="00633F67">
        <w:rPr>
          <w:lang w:val="de-DE"/>
        </w:rPr>
        <w:tab/>
        <w:t>(i)</w:t>
      </w:r>
      <w:r w:rsidRPr="00633F67">
        <w:rPr>
          <w:lang w:val="de-DE"/>
        </w:rPr>
        <w:tab/>
        <w:t xml:space="preserve">die „Erläuterungen zur Aufhebung des Züchterrechts nach dem UPOV Übereinkommen“ (Überarbeitung) (Dokument UPOV/EXN/CAN/2);  </w:t>
      </w:r>
    </w:p>
    <w:p w:rsidR="00E57773" w:rsidRPr="00633F67" w:rsidRDefault="00E57773" w:rsidP="00E57773">
      <w:pPr>
        <w:tabs>
          <w:tab w:val="left" w:pos="567"/>
        </w:tabs>
        <w:ind w:left="1134" w:hanging="1134"/>
        <w:rPr>
          <w:lang w:val="de-DE"/>
        </w:rPr>
      </w:pPr>
    </w:p>
    <w:p w:rsidR="00E57773" w:rsidRPr="00633F67" w:rsidRDefault="00E57773" w:rsidP="00E57773">
      <w:pPr>
        <w:tabs>
          <w:tab w:val="left" w:pos="567"/>
        </w:tabs>
        <w:ind w:left="1134" w:hanging="1134"/>
        <w:rPr>
          <w:lang w:val="de-DE"/>
        </w:rPr>
      </w:pPr>
      <w:r w:rsidRPr="00633F67">
        <w:rPr>
          <w:lang w:val="de-DE"/>
        </w:rPr>
        <w:tab/>
        <w:t>(ii)</w:t>
      </w:r>
      <w:r w:rsidRPr="00633F67">
        <w:rPr>
          <w:lang w:val="de-DE"/>
        </w:rPr>
        <w:tab/>
        <w:t>die „Erläuterungen zur Nichtigkeit des Züchterrechts nach dem UPOV-Übereinkommen“ (Überarbeitung) (Dokument UPOV/EXN/NUL/2);</w:t>
      </w:r>
    </w:p>
    <w:p w:rsidR="00E57773" w:rsidRPr="00633F67" w:rsidRDefault="00E57773" w:rsidP="00E57773">
      <w:pPr>
        <w:tabs>
          <w:tab w:val="left" w:pos="567"/>
        </w:tabs>
        <w:ind w:left="1134" w:hanging="1134"/>
        <w:rPr>
          <w:lang w:val="de-DE"/>
        </w:rPr>
      </w:pPr>
    </w:p>
    <w:p w:rsidR="00E57773" w:rsidRPr="00633F67" w:rsidRDefault="00E57773" w:rsidP="00E57773">
      <w:pPr>
        <w:tabs>
          <w:tab w:val="left" w:pos="567"/>
        </w:tabs>
        <w:ind w:left="1134" w:hanging="1134"/>
        <w:rPr>
          <w:lang w:val="de-DE"/>
        </w:rPr>
      </w:pPr>
      <w:r w:rsidRPr="00633F67">
        <w:rPr>
          <w:lang w:val="de-DE"/>
        </w:rPr>
        <w:tab/>
        <w:t>(iii)</w:t>
      </w:r>
      <w:r w:rsidRPr="00633F67">
        <w:rPr>
          <w:lang w:val="de-DE"/>
        </w:rPr>
        <w:tab/>
        <w:t>die „Erläuterungen zum vorläufigen Schutz nach dem UPOV-Übereinkommen“ (Überarbeitung) (Dokument UPOV/EXN/PRP/2); und</w:t>
      </w:r>
    </w:p>
    <w:p w:rsidR="00E57773" w:rsidRPr="00633F67" w:rsidRDefault="00E57773" w:rsidP="00E57773">
      <w:pPr>
        <w:tabs>
          <w:tab w:val="left" w:pos="567"/>
        </w:tabs>
        <w:ind w:left="1134" w:hanging="1134"/>
        <w:rPr>
          <w:lang w:val="de-DE"/>
        </w:rPr>
      </w:pPr>
    </w:p>
    <w:p w:rsidR="00E57773" w:rsidRPr="00633F67" w:rsidRDefault="00E57773" w:rsidP="00E57773">
      <w:pPr>
        <w:tabs>
          <w:tab w:val="left" w:pos="567"/>
        </w:tabs>
        <w:ind w:left="1134" w:hanging="1134"/>
        <w:rPr>
          <w:lang w:val="de-DE"/>
        </w:rPr>
      </w:pPr>
      <w:r w:rsidRPr="00633F67">
        <w:rPr>
          <w:lang w:val="de-DE"/>
        </w:rPr>
        <w:tab/>
        <w:t>(iv)</w:t>
      </w:r>
      <w:r w:rsidRPr="00633F67">
        <w:rPr>
          <w:lang w:val="de-DE"/>
        </w:rPr>
        <w:tab/>
        <w:t>in Verbindung mit den obigen Erläuterungen eine Überarbeitung von Dokument UPOV/INF/6/3 „Anleitung zur Ausarbeitung von Rechtsvorschriften aufgrund der Akte von 1991 des UPOV-Übereinkommens“ (Dokument UPOV/INF/6/4).</w:t>
      </w:r>
    </w:p>
    <w:p w:rsidR="00E57773" w:rsidRPr="00633F67" w:rsidRDefault="00E57773" w:rsidP="00E57773">
      <w:pPr>
        <w:rPr>
          <w:lang w:val="de-DE"/>
        </w:rPr>
      </w:pPr>
    </w:p>
    <w:p w:rsidR="00E57773" w:rsidRPr="00633F67" w:rsidRDefault="00E57773" w:rsidP="00E57773">
      <w:pPr>
        <w:rPr>
          <w:lang w:val="de-DE"/>
        </w:rPr>
      </w:pPr>
    </w:p>
    <w:p w:rsidR="00E57773" w:rsidRPr="00633F67" w:rsidRDefault="00E57773" w:rsidP="00E57773">
      <w:pPr>
        <w:keepNext/>
        <w:outlineLvl w:val="1"/>
        <w:rPr>
          <w:snapToGrid w:val="0"/>
          <w:u w:val="single"/>
          <w:lang w:val="de-DE"/>
        </w:rPr>
      </w:pPr>
      <w:bookmarkStart w:id="10" w:name="_Toc413059226"/>
      <w:r w:rsidRPr="00633F67">
        <w:rPr>
          <w:snapToGrid w:val="0"/>
          <w:u w:val="single"/>
          <w:lang w:val="de-DE"/>
        </w:rPr>
        <w:t xml:space="preserve">Sortenbezeichnungen </w:t>
      </w:r>
      <w:bookmarkEnd w:id="10"/>
    </w:p>
    <w:p w:rsidR="009A466E" w:rsidRPr="00633F67" w:rsidRDefault="009A466E" w:rsidP="00E57773">
      <w:pPr>
        <w:rPr>
          <w:i/>
          <w:snapToGrid w:val="0"/>
          <w:lang w:val="de-DE"/>
        </w:rPr>
      </w:pPr>
    </w:p>
    <w:p w:rsidR="00F9690D" w:rsidRPr="00633F67" w:rsidRDefault="00B85B59" w:rsidP="004E4F91">
      <w:pPr>
        <w:keepNext/>
        <w:rPr>
          <w:lang w:val="de-DE"/>
        </w:rPr>
      </w:pPr>
      <w:r w:rsidRPr="00633F67">
        <w:rPr>
          <w:rFonts w:cs="Arial"/>
          <w:vertAlign w:val="superscript"/>
          <w:lang w:val="de-DE"/>
        </w:rPr>
        <w:t>*</w:t>
      </w:r>
      <w:r w:rsidRPr="00633F67">
        <w:rPr>
          <w:rFonts w:cs="Arial"/>
        </w:rPr>
        <w:fldChar w:fldCharType="begin"/>
      </w:r>
      <w:r w:rsidRPr="00633F67">
        <w:rPr>
          <w:rFonts w:cs="Arial"/>
          <w:lang w:val="de-DE"/>
        </w:rPr>
        <w:instrText xml:space="preserve"> AUTONUM  </w:instrText>
      </w:r>
      <w:r w:rsidRPr="00633F67">
        <w:rPr>
          <w:rFonts w:cs="Arial"/>
        </w:rPr>
        <w:fldChar w:fldCharType="end"/>
      </w:r>
      <w:r w:rsidR="00F9690D" w:rsidRPr="00633F67">
        <w:rPr>
          <w:rFonts w:cs="Arial"/>
          <w:lang w:val="de-DE"/>
        </w:rPr>
        <w:tab/>
      </w:r>
      <w:r w:rsidR="00E57773" w:rsidRPr="00633F67">
        <w:rPr>
          <w:rFonts w:cs="Arial"/>
          <w:lang w:val="de-DE"/>
        </w:rPr>
        <w:t xml:space="preserve">Der CAJ prüfte Dokumente </w:t>
      </w:r>
      <w:r w:rsidR="00E57773" w:rsidRPr="00633F67">
        <w:rPr>
          <w:lang w:val="de-DE"/>
        </w:rPr>
        <w:t>CAJ/71/3 und CAJ/71/9</w:t>
      </w:r>
      <w:r w:rsidR="00F9690D" w:rsidRPr="00633F67">
        <w:rPr>
          <w:lang w:val="de-DE"/>
        </w:rPr>
        <w:t>.</w:t>
      </w:r>
    </w:p>
    <w:p w:rsidR="00F9690D" w:rsidRPr="00633F67" w:rsidRDefault="00F9690D" w:rsidP="004E4F91">
      <w:pPr>
        <w:rPr>
          <w:lang w:val="de-DE"/>
        </w:rPr>
      </w:pPr>
    </w:p>
    <w:p w:rsidR="00F9690D" w:rsidRPr="00633F67" w:rsidRDefault="00B85B59" w:rsidP="004E4F91">
      <w:pPr>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9A466E" w:rsidRPr="00633F67">
        <w:rPr>
          <w:lang w:val="de-DE"/>
        </w:rPr>
        <w:tab/>
      </w:r>
      <w:r w:rsidR="00E57773" w:rsidRPr="00633F67">
        <w:rPr>
          <w:lang w:val="de-DE"/>
        </w:rPr>
        <w:t>Der CAJ nahm die Arbeit der Arbeitsgruppe für die Entwicklung eines UPOV-Suchwerkzeugs für Ähnlichkeiten zum Zweck der Sortenbezeichnung (WG-DST) zur etwaigen Entwicklung eines UPOV-Suchwerkzeugs für Ähnlichkeiten zum Zweck der Sortenbezeichnung einschließlich der Teststudie, wie in Dokument CAJ/71/3, Absätze 6 bis 13, dargelegt, zur Kenntnis</w:t>
      </w:r>
      <w:r w:rsidR="00F9690D" w:rsidRPr="00633F67">
        <w:rPr>
          <w:lang w:val="de-DE"/>
        </w:rPr>
        <w:t>.</w:t>
      </w:r>
    </w:p>
    <w:p w:rsidR="00F9690D" w:rsidRPr="00633F67" w:rsidRDefault="00F9690D" w:rsidP="004E4F91">
      <w:pPr>
        <w:rPr>
          <w:lang w:val="de-DE"/>
        </w:rPr>
      </w:pPr>
    </w:p>
    <w:p w:rsidR="00E57773" w:rsidRPr="00633F67" w:rsidRDefault="00B85B59" w:rsidP="00E57773">
      <w:pPr>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F9690D" w:rsidRPr="00633F67">
        <w:rPr>
          <w:lang w:val="de-DE"/>
        </w:rPr>
        <w:tab/>
      </w:r>
      <w:r w:rsidR="00E57773" w:rsidRPr="00633F67">
        <w:rPr>
          <w:lang w:val="de-DE"/>
        </w:rPr>
        <w:t xml:space="preserve">Der CAJ billigte die vorgeschlagene Überarbeitung von Dokument UPOV/INF/12/4 „Erläuterungen zu Sortenbezeichnungen nach dem UPOV-Übereinkommen” im Zusammenhang mit Änderungen von eingetragenen Sortenbezeichnungen und billigte es, diese Anleitung dem Rat zur Annahme auf seiner neunundvierzigsten ordentlichen Tagung am 29. Oktober 2015 folgendermaßen zu unterbreiten:  </w:t>
      </w:r>
    </w:p>
    <w:p w:rsidR="00E57773" w:rsidRPr="00633F67" w:rsidRDefault="00E57773" w:rsidP="00E57773">
      <w:pPr>
        <w:rPr>
          <w:lang w:val="de-DE"/>
        </w:rPr>
      </w:pPr>
    </w:p>
    <w:p w:rsidR="00E57773" w:rsidRPr="00633F67" w:rsidRDefault="00E57773" w:rsidP="00E57773">
      <w:pPr>
        <w:ind w:left="567" w:right="567"/>
        <w:rPr>
          <w:sz w:val="18"/>
          <w:lang w:val="de-DE"/>
        </w:rPr>
      </w:pPr>
      <w:r w:rsidRPr="00633F67">
        <w:rPr>
          <w:sz w:val="18"/>
          <w:lang w:val="de-DE"/>
        </w:rPr>
        <w:t>„7.2 Folgende Punkte erteilen Anleitung zu Änderungen eingetragener Sortenbezeichnungen:</w:t>
      </w:r>
    </w:p>
    <w:p w:rsidR="00E57773" w:rsidRPr="00633F67" w:rsidRDefault="00E57773" w:rsidP="00E57773">
      <w:pPr>
        <w:ind w:left="567" w:right="567"/>
        <w:rPr>
          <w:sz w:val="18"/>
          <w:lang w:val="de-DE"/>
        </w:rPr>
      </w:pPr>
    </w:p>
    <w:p w:rsidR="00E57773" w:rsidRPr="00633F67" w:rsidRDefault="00E57773" w:rsidP="00E57773">
      <w:pPr>
        <w:ind w:left="567" w:right="567" w:firstLine="567"/>
        <w:rPr>
          <w:sz w:val="18"/>
          <w:lang w:val="de-DE"/>
        </w:rPr>
      </w:pPr>
      <w:r w:rsidRPr="00633F67">
        <w:rPr>
          <w:sz w:val="18"/>
          <w:lang w:val="de-DE"/>
        </w:rPr>
        <w:t>a) Das UPOV-Übereinkommen erfordert eine Änderung der eingetragenen Bezeichnung, wenn die Bezeichnung der Sorte nach Erteilung des Rechts gestrichen wird. Die zuständige Behörde sollte eine Sortenbezeichnung streichen, falls:</w:t>
      </w:r>
    </w:p>
    <w:p w:rsidR="00E57773" w:rsidRPr="00633F67" w:rsidRDefault="00E57773" w:rsidP="00E57773">
      <w:pPr>
        <w:ind w:left="567" w:right="567"/>
        <w:rPr>
          <w:sz w:val="18"/>
          <w:lang w:val="de-DE"/>
        </w:rPr>
      </w:pPr>
    </w:p>
    <w:p w:rsidR="00E57773" w:rsidRPr="00633F67" w:rsidRDefault="00E57773" w:rsidP="00E57773">
      <w:pPr>
        <w:ind w:left="1134" w:right="567"/>
        <w:rPr>
          <w:sz w:val="18"/>
          <w:lang w:val="de-DE"/>
        </w:rPr>
      </w:pPr>
      <w:r w:rsidRPr="00633F67">
        <w:rPr>
          <w:sz w:val="18"/>
          <w:lang w:val="de-DE"/>
        </w:rPr>
        <w:t>i) die Benutzung der Sortenbezeichnung einer Person, die nach Absatz 7 zu ihrer Benutzung verpflichtet ist, auf Grund eines älteren Rechtes untersagt wird (siehe Absatz 4 „Ältere Rechte Dritter“);</w:t>
      </w:r>
    </w:p>
    <w:p w:rsidR="00E57773" w:rsidRPr="00633F67" w:rsidRDefault="00E57773" w:rsidP="00E57773">
      <w:pPr>
        <w:ind w:left="1134" w:right="567"/>
        <w:rPr>
          <w:sz w:val="18"/>
          <w:lang w:val="de-DE"/>
        </w:rPr>
      </w:pPr>
    </w:p>
    <w:p w:rsidR="00E57773" w:rsidRPr="00633F67" w:rsidRDefault="00E57773" w:rsidP="00E57773">
      <w:pPr>
        <w:ind w:left="1134" w:right="567"/>
        <w:rPr>
          <w:sz w:val="18"/>
          <w:lang w:val="de-DE"/>
        </w:rPr>
      </w:pPr>
      <w:r w:rsidRPr="00633F67">
        <w:rPr>
          <w:sz w:val="18"/>
          <w:lang w:val="de-DE"/>
        </w:rPr>
        <w:t>ii) die Bezeichnung ungeeignet ist, da sie in Widerspruch zu den Bestimmungen in Absatz 2 „Eigenschaften der Bezeichnung“ steht;</w:t>
      </w:r>
    </w:p>
    <w:p w:rsidR="00E57773" w:rsidRPr="00633F67" w:rsidRDefault="00E57773" w:rsidP="00E57773">
      <w:pPr>
        <w:ind w:left="567" w:right="567"/>
        <w:rPr>
          <w:sz w:val="18"/>
          <w:lang w:val="de-DE"/>
        </w:rPr>
      </w:pPr>
    </w:p>
    <w:p w:rsidR="00E57773" w:rsidRPr="00633F67" w:rsidRDefault="00E57773" w:rsidP="00E57773">
      <w:pPr>
        <w:ind w:left="567" w:right="567" w:firstLine="567"/>
        <w:rPr>
          <w:sz w:val="18"/>
          <w:lang w:val="de-DE"/>
        </w:rPr>
      </w:pPr>
      <w:r w:rsidRPr="00633F67">
        <w:rPr>
          <w:sz w:val="18"/>
          <w:lang w:val="de-DE"/>
        </w:rPr>
        <w:t>b) In Fällen, in denen die eingetragene Bezeichnung im Nachhinein in einem anderen Verbandsmitglied abgelehnt wird, da sie in diesem Hoheitsgebiet ungeeignet ist (z. B. älteres Recht), kann es die Behörde auf Antrag des Züchters als zweckmäßig erachten, die Bezeichnung in die in dem genannten anderen Verbandsmitglied eingetragene Bezeichnung abzuändern (siehe Bestimmungen in Absatz 5 „Einheitlichkeit der Bezeichnung in allen Vertragsparteien“); und</w:t>
      </w:r>
    </w:p>
    <w:p w:rsidR="00E57773" w:rsidRPr="00633F67" w:rsidRDefault="00E57773" w:rsidP="00E57773">
      <w:pPr>
        <w:ind w:left="567" w:right="567"/>
        <w:rPr>
          <w:sz w:val="18"/>
          <w:lang w:val="de-DE"/>
        </w:rPr>
      </w:pPr>
    </w:p>
    <w:p w:rsidR="00E57773" w:rsidRPr="00633F67" w:rsidRDefault="00E57773" w:rsidP="00E57773">
      <w:pPr>
        <w:ind w:left="567" w:right="567" w:firstLine="567"/>
        <w:rPr>
          <w:sz w:val="18"/>
          <w:lang w:val="de-DE" w:eastAsia="ja-JP"/>
        </w:rPr>
      </w:pPr>
      <w:r w:rsidRPr="00633F67">
        <w:rPr>
          <w:sz w:val="18"/>
          <w:lang w:val="de-DE"/>
        </w:rPr>
        <w:t>c) im Allgemeinen wäre es vorbehaltlich a) und b) oben nicht zweckmäßig, wenn die Behörde eine eingetragene Bezeichnung auf Anfrage eines Züchters ändern würde.”</w:t>
      </w:r>
    </w:p>
    <w:p w:rsidR="00F9690D" w:rsidRPr="00633F67" w:rsidRDefault="00F9690D" w:rsidP="00E57773">
      <w:pPr>
        <w:rPr>
          <w:lang w:val="de-DE"/>
        </w:rPr>
      </w:pPr>
    </w:p>
    <w:p w:rsidR="00F9690D" w:rsidRPr="00633F67" w:rsidRDefault="00B85B59" w:rsidP="004E4F91">
      <w:pPr>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F9690D" w:rsidRPr="00633F67">
        <w:rPr>
          <w:lang w:val="de-DE"/>
        </w:rPr>
        <w:tab/>
      </w:r>
      <w:r w:rsidR="00CE0F9E" w:rsidRPr="00633F67">
        <w:rPr>
          <w:lang w:val="de-DE"/>
        </w:rPr>
        <w:t>Der CAJ entschied, die WG-DST zu ersuchen, die Bemerkungen der CAJ-AG zu den Vorschlägen zu den Abschnitten 2.2.2 b), 2.3.1 c) und d) sowie 2.3.3 in Dokument UPOV/INF/12/5 Draft, wie in Dokument CAJ/71/3, Absatz 27 dargelegt, zu prüfen</w:t>
      </w:r>
      <w:r w:rsidR="00F9690D" w:rsidRPr="00633F67">
        <w:rPr>
          <w:lang w:val="de-DE"/>
        </w:rPr>
        <w:t>.</w:t>
      </w:r>
    </w:p>
    <w:p w:rsidR="00F9690D" w:rsidRPr="00633F67" w:rsidRDefault="00F9690D" w:rsidP="004E4F91">
      <w:pPr>
        <w:rPr>
          <w:lang w:val="de-DE"/>
        </w:rPr>
      </w:pPr>
    </w:p>
    <w:p w:rsidR="00815BC8" w:rsidRPr="00633F67" w:rsidRDefault="00B85B59" w:rsidP="004E4F91">
      <w:pPr>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815BC8" w:rsidRPr="00633F67">
        <w:rPr>
          <w:lang w:val="de-DE"/>
        </w:rPr>
        <w:tab/>
      </w:r>
      <w:r w:rsidR="00CE0F9E" w:rsidRPr="00633F67">
        <w:rPr>
          <w:lang w:val="de-DE"/>
        </w:rPr>
        <w:t>Der CAJ nahm das Interesse Japans an der Teilnahme an der WG-DST zur Kenntnis</w:t>
      </w:r>
      <w:r w:rsidR="00815BC8" w:rsidRPr="00633F67">
        <w:rPr>
          <w:lang w:val="de-DE"/>
        </w:rPr>
        <w:t>.</w:t>
      </w:r>
    </w:p>
    <w:p w:rsidR="00815BC8" w:rsidRPr="00633F67" w:rsidRDefault="00815BC8" w:rsidP="004E4F91">
      <w:pPr>
        <w:rPr>
          <w:lang w:val="de-DE"/>
        </w:rPr>
      </w:pPr>
    </w:p>
    <w:p w:rsidR="00F9690D" w:rsidRPr="00633F67" w:rsidRDefault="00B85B59" w:rsidP="004E4F91">
      <w:pPr>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F9690D" w:rsidRPr="00633F67">
        <w:rPr>
          <w:lang w:val="de-DE"/>
        </w:rPr>
        <w:tab/>
      </w:r>
      <w:r w:rsidR="00CE0F9E" w:rsidRPr="00633F67">
        <w:rPr>
          <w:lang w:val="de-DE"/>
        </w:rPr>
        <w:t>Der CAJ vereinbarte, die Vorschläge der CAJ-AG gemäß den Abschnitten 2.2.2 c), 4 a) und 4 e) i), wie in Dokument CAJ/71/3, Absatz 28, dargelegt, auf seiner zweiundsiebzigsten Tagung zu prüfen</w:t>
      </w:r>
      <w:r w:rsidR="00F9690D" w:rsidRPr="00633F67">
        <w:rPr>
          <w:lang w:val="de-DE"/>
        </w:rPr>
        <w:t>.</w:t>
      </w:r>
    </w:p>
    <w:p w:rsidR="009A466E" w:rsidRPr="00633F67" w:rsidRDefault="009A466E" w:rsidP="004E4F91">
      <w:pPr>
        <w:rPr>
          <w:lang w:val="de-DE"/>
        </w:rPr>
      </w:pPr>
    </w:p>
    <w:p w:rsidR="00347507" w:rsidRPr="00633F67" w:rsidRDefault="00347507" w:rsidP="00347507">
      <w:pPr>
        <w:rPr>
          <w:lang w:val="de-DE"/>
        </w:rPr>
      </w:pPr>
      <w:r w:rsidRPr="00633F67">
        <w:fldChar w:fldCharType="begin"/>
      </w:r>
      <w:r w:rsidRPr="00633F67">
        <w:rPr>
          <w:lang w:val="de-DE"/>
        </w:rPr>
        <w:instrText xml:space="preserve"> AUTONUM  </w:instrText>
      </w:r>
      <w:r w:rsidRPr="00633F67">
        <w:fldChar w:fldCharType="end"/>
      </w:r>
      <w:r w:rsidRPr="00633F67">
        <w:rPr>
          <w:lang w:val="de-DE"/>
        </w:rPr>
        <w:tab/>
      </w:r>
      <w:r w:rsidR="003C50AC" w:rsidRPr="00633F67">
        <w:rPr>
          <w:lang w:val="de-DE"/>
        </w:rPr>
        <w:t>Die Delegation</w:t>
      </w:r>
      <w:r w:rsidRPr="00633F67">
        <w:rPr>
          <w:lang w:val="de-DE"/>
        </w:rPr>
        <w:t xml:space="preserve"> </w:t>
      </w:r>
      <w:r w:rsidR="003C50AC" w:rsidRPr="00633F67">
        <w:rPr>
          <w:lang w:val="de-DE"/>
        </w:rPr>
        <w:t>der Europäischen Union</w:t>
      </w:r>
      <w:r w:rsidRPr="00633F67">
        <w:rPr>
          <w:lang w:val="de-DE"/>
        </w:rPr>
        <w:t xml:space="preserve"> </w:t>
      </w:r>
      <w:r w:rsidR="00035651" w:rsidRPr="00633F67">
        <w:rPr>
          <w:lang w:val="de-DE"/>
        </w:rPr>
        <w:t>erinnerte an ihre</w:t>
      </w:r>
      <w:r w:rsidRPr="00633F67">
        <w:rPr>
          <w:lang w:val="de-DE"/>
        </w:rPr>
        <w:t xml:space="preserve"> </w:t>
      </w:r>
      <w:r w:rsidR="00035651" w:rsidRPr="00633F67">
        <w:rPr>
          <w:lang w:val="de-DE"/>
        </w:rPr>
        <w:t>Bemerkungen auf der einundfünfzigsten Tagung des</w:t>
      </w:r>
      <w:r w:rsidRPr="00633F67">
        <w:rPr>
          <w:lang w:val="de-DE"/>
        </w:rPr>
        <w:t xml:space="preserve"> TC </w:t>
      </w:r>
      <w:r w:rsidR="00035651" w:rsidRPr="00633F67">
        <w:rPr>
          <w:lang w:val="de-DE"/>
        </w:rPr>
        <w:t>vom 2</w:t>
      </w:r>
      <w:r w:rsidRPr="00633F67">
        <w:rPr>
          <w:lang w:val="de-DE"/>
        </w:rPr>
        <w:t>3</w:t>
      </w:r>
      <w:r w:rsidR="00035651" w:rsidRPr="00633F67">
        <w:rPr>
          <w:lang w:val="de-DE"/>
        </w:rPr>
        <w:t xml:space="preserve">. bis </w:t>
      </w:r>
      <w:r w:rsidRPr="00633F67">
        <w:rPr>
          <w:lang w:val="de-DE"/>
        </w:rPr>
        <w:t>25</w:t>
      </w:r>
      <w:r w:rsidR="00035651" w:rsidRPr="00633F67">
        <w:rPr>
          <w:lang w:val="de-DE"/>
        </w:rPr>
        <w:t xml:space="preserve">. März </w:t>
      </w:r>
      <w:r w:rsidRPr="00633F67">
        <w:rPr>
          <w:lang w:val="de-DE"/>
        </w:rPr>
        <w:t>2015</w:t>
      </w:r>
      <w:r w:rsidR="00035651" w:rsidRPr="00633F67">
        <w:rPr>
          <w:lang w:val="de-DE"/>
        </w:rPr>
        <w:t xml:space="preserve"> </w:t>
      </w:r>
      <w:r w:rsidR="008C2FC0" w:rsidRPr="00633F67">
        <w:rPr>
          <w:lang w:val="de-DE"/>
        </w:rPr>
        <w:t>bezüglich der</w:t>
      </w:r>
      <w:r w:rsidR="00035651" w:rsidRPr="00633F67">
        <w:rPr>
          <w:lang w:val="de-DE"/>
        </w:rPr>
        <w:t xml:space="preserve"> Arbeit der WG-</w:t>
      </w:r>
      <w:r w:rsidR="007E5D55" w:rsidRPr="00633F67">
        <w:rPr>
          <w:lang w:val="de-DE"/>
        </w:rPr>
        <w:t>DST</w:t>
      </w:r>
      <w:r w:rsidR="00AC0291" w:rsidRPr="00633F67">
        <w:rPr>
          <w:lang w:val="de-DE"/>
        </w:rPr>
        <w:t xml:space="preserve"> </w:t>
      </w:r>
      <w:r w:rsidR="002E3D8A" w:rsidRPr="00633F67">
        <w:rPr>
          <w:lang w:val="de-DE"/>
        </w:rPr>
        <w:t xml:space="preserve">betreffend </w:t>
      </w:r>
      <w:r w:rsidR="00035651" w:rsidRPr="00633F67">
        <w:rPr>
          <w:lang w:val="de-DE"/>
        </w:rPr>
        <w:t>die Be</w:t>
      </w:r>
      <w:r w:rsidR="008C2FC0" w:rsidRPr="00633F67">
        <w:rPr>
          <w:lang w:val="de-DE"/>
        </w:rPr>
        <w:t xml:space="preserve">deutung der </w:t>
      </w:r>
      <w:r w:rsidR="003357B8" w:rsidRPr="00633F67">
        <w:rPr>
          <w:lang w:val="de-DE"/>
        </w:rPr>
        <w:t>Sicherstellung</w:t>
      </w:r>
      <w:r w:rsidR="008C2FC0" w:rsidRPr="00633F67">
        <w:rPr>
          <w:lang w:val="de-DE"/>
        </w:rPr>
        <w:t>, daß jeglicher</w:t>
      </w:r>
      <w:r w:rsidR="00035651" w:rsidRPr="00633F67">
        <w:rPr>
          <w:lang w:val="de-DE"/>
        </w:rPr>
        <w:t xml:space="preserve"> neuer</w:t>
      </w:r>
      <w:r w:rsidR="00EB1E7A" w:rsidRPr="00633F67">
        <w:rPr>
          <w:lang w:val="de-DE"/>
        </w:rPr>
        <w:t xml:space="preserve"> </w:t>
      </w:r>
      <w:r w:rsidR="00035651" w:rsidRPr="00633F67">
        <w:rPr>
          <w:lang w:val="de-DE"/>
        </w:rPr>
        <w:t>A</w:t>
      </w:r>
      <w:r w:rsidR="00EB1E7A" w:rsidRPr="00633F67">
        <w:rPr>
          <w:lang w:val="de-DE"/>
        </w:rPr>
        <w:t>lgorithm</w:t>
      </w:r>
      <w:r w:rsidR="00035651" w:rsidRPr="00633F67">
        <w:rPr>
          <w:lang w:val="de-DE"/>
        </w:rPr>
        <w:t>us effektiver wäre als die bestehenden Instrumente</w:t>
      </w:r>
      <w:r w:rsidR="00EB1E7A" w:rsidRPr="00633F67">
        <w:rPr>
          <w:lang w:val="de-DE"/>
        </w:rPr>
        <w:t>.</w:t>
      </w:r>
      <w:r w:rsidR="00035651" w:rsidRPr="00633F67">
        <w:rPr>
          <w:lang w:val="de-DE"/>
        </w:rPr>
        <w:t xml:space="preserve"> Sie erinnerte außerdem daran, da</w:t>
      </w:r>
      <w:r w:rsidR="008C2FC0" w:rsidRPr="00633F67">
        <w:rPr>
          <w:lang w:val="de-DE"/>
        </w:rPr>
        <w:t>ß es wichtig sei, daß die Regelungen</w:t>
      </w:r>
      <w:r w:rsidR="00EB1E7A" w:rsidRPr="00633F67">
        <w:rPr>
          <w:lang w:val="de-DE"/>
        </w:rPr>
        <w:t xml:space="preserve"> </w:t>
      </w:r>
      <w:r w:rsidR="002E3D8A" w:rsidRPr="00633F67">
        <w:rPr>
          <w:lang w:val="de-DE"/>
        </w:rPr>
        <w:t xml:space="preserve">betreffend </w:t>
      </w:r>
      <w:r w:rsidR="00D37105" w:rsidRPr="00633F67">
        <w:rPr>
          <w:lang w:val="de-DE"/>
        </w:rPr>
        <w:t>Sorte</w:t>
      </w:r>
      <w:r w:rsidR="00035651" w:rsidRPr="00633F67">
        <w:rPr>
          <w:lang w:val="de-DE"/>
        </w:rPr>
        <w:t>nbezeichnungen einheitlich von den Verbandsmitgliedern angewandt werde</w:t>
      </w:r>
      <w:r w:rsidR="003357B8" w:rsidRPr="00633F67">
        <w:rPr>
          <w:lang w:val="de-DE"/>
        </w:rPr>
        <w:t>n</w:t>
      </w:r>
      <w:r w:rsidR="00B7220C" w:rsidRPr="00633F67">
        <w:rPr>
          <w:lang w:val="de-DE"/>
        </w:rPr>
        <w:t>.</w:t>
      </w:r>
    </w:p>
    <w:p w:rsidR="00347507" w:rsidRPr="00633F67" w:rsidRDefault="00347507" w:rsidP="00347507">
      <w:pPr>
        <w:rPr>
          <w:lang w:val="de-DE"/>
        </w:rPr>
      </w:pPr>
    </w:p>
    <w:p w:rsidR="00B7220C" w:rsidRPr="00633F67" w:rsidRDefault="00B7220C" w:rsidP="00B7220C">
      <w:pPr>
        <w:rPr>
          <w:lang w:val="de-DE"/>
        </w:rPr>
      </w:pPr>
      <w:r w:rsidRPr="00633F67">
        <w:fldChar w:fldCharType="begin"/>
      </w:r>
      <w:r w:rsidRPr="00633F67">
        <w:rPr>
          <w:lang w:val="de-DE"/>
        </w:rPr>
        <w:instrText xml:space="preserve"> AUTONUM  </w:instrText>
      </w:r>
      <w:r w:rsidRPr="00633F67">
        <w:fldChar w:fldCharType="end"/>
      </w:r>
      <w:r w:rsidRPr="00633F67">
        <w:rPr>
          <w:lang w:val="de-DE"/>
        </w:rPr>
        <w:tab/>
      </w:r>
      <w:r w:rsidR="00035651" w:rsidRPr="00633F67">
        <w:rPr>
          <w:lang w:val="de-DE"/>
        </w:rPr>
        <w:t>Der</w:t>
      </w:r>
      <w:r w:rsidRPr="00633F67">
        <w:rPr>
          <w:lang w:val="de-DE"/>
        </w:rPr>
        <w:t xml:space="preserve"> </w:t>
      </w:r>
      <w:r w:rsidR="003C50AC" w:rsidRPr="00633F67">
        <w:rPr>
          <w:lang w:val="de-DE"/>
        </w:rPr>
        <w:t>Stellvertretende Generalsekretär</w:t>
      </w:r>
      <w:r w:rsidR="00035651" w:rsidRPr="00633F67">
        <w:rPr>
          <w:lang w:val="de-DE"/>
        </w:rPr>
        <w:t xml:space="preserve"> erinnerte an seine Erläuterung </w:t>
      </w:r>
      <w:r w:rsidR="008C2FC0" w:rsidRPr="00633F67">
        <w:rPr>
          <w:lang w:val="de-DE"/>
        </w:rPr>
        <w:t>gegenüber</w:t>
      </w:r>
      <w:r w:rsidR="00035651" w:rsidRPr="00633F67">
        <w:rPr>
          <w:lang w:val="de-DE"/>
        </w:rPr>
        <w:t xml:space="preserve"> dem </w:t>
      </w:r>
      <w:r w:rsidR="00F70302" w:rsidRPr="00633F67">
        <w:rPr>
          <w:lang w:val="de-DE"/>
        </w:rPr>
        <w:t>TC</w:t>
      </w:r>
      <w:r w:rsidR="00035651" w:rsidRPr="00633F67">
        <w:rPr>
          <w:lang w:val="de-DE"/>
        </w:rPr>
        <w:t xml:space="preserve">, daß </w:t>
      </w:r>
      <w:r w:rsidR="00F70302" w:rsidRPr="00633F67">
        <w:rPr>
          <w:lang w:val="de-DE"/>
        </w:rPr>
        <w:t>obje</w:t>
      </w:r>
      <w:r w:rsidR="00035651" w:rsidRPr="00633F67">
        <w:rPr>
          <w:lang w:val="de-DE"/>
        </w:rPr>
        <w:t>k</w:t>
      </w:r>
      <w:r w:rsidR="00F70302" w:rsidRPr="00633F67">
        <w:rPr>
          <w:lang w:val="de-DE"/>
        </w:rPr>
        <w:t xml:space="preserve">tive </w:t>
      </w:r>
      <w:r w:rsidR="00035651" w:rsidRPr="00633F67">
        <w:rPr>
          <w:lang w:val="de-DE"/>
        </w:rPr>
        <w:t>Kriterien definiert worden waren, um die Effektivität neuer Algorithmen im Vergleich zu den bestehenden Instrumenten zu beurteilen</w:t>
      </w:r>
      <w:r w:rsidR="00777D55" w:rsidRPr="00633F67">
        <w:rPr>
          <w:lang w:val="de-DE"/>
        </w:rPr>
        <w:t>.</w:t>
      </w:r>
      <w:r w:rsidRPr="00633F67">
        <w:rPr>
          <w:lang w:val="de-DE"/>
        </w:rPr>
        <w:t xml:space="preserve"> </w:t>
      </w:r>
    </w:p>
    <w:p w:rsidR="00B7220C" w:rsidRPr="00633F67" w:rsidRDefault="00B7220C" w:rsidP="00B7220C">
      <w:pPr>
        <w:rPr>
          <w:lang w:val="de-DE"/>
        </w:rPr>
      </w:pPr>
    </w:p>
    <w:p w:rsidR="00CE0F9E" w:rsidRPr="00633F67" w:rsidRDefault="00B85B59" w:rsidP="00CE0F9E">
      <w:pPr>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D86825" w:rsidRPr="00633F67">
        <w:rPr>
          <w:lang w:val="de-DE"/>
        </w:rPr>
        <w:tab/>
      </w:r>
      <w:r w:rsidR="00CE0F9E" w:rsidRPr="00633F67">
        <w:rPr>
          <w:lang w:val="de-DE"/>
        </w:rPr>
        <w:t>Der CAJ nahm zur Kenntnis, daß die Delegation Argentiniens eine Studie über Sortenbezeichnungen durchführt, die dem CAJ auf seiner zweiundsiebzigsten Tagung am 26. und 27. Oktober 2015 vorgelegt werden würde.</w:t>
      </w:r>
    </w:p>
    <w:p w:rsidR="00CE0F9E" w:rsidRPr="00633F67" w:rsidRDefault="00CE0F9E" w:rsidP="00CE0F9E">
      <w:pPr>
        <w:rPr>
          <w:lang w:val="de-DE"/>
        </w:rPr>
      </w:pPr>
    </w:p>
    <w:p w:rsidR="00CE0F9E" w:rsidRPr="00633F67" w:rsidRDefault="00CE0F9E" w:rsidP="00CE0F9E">
      <w:pPr>
        <w:rPr>
          <w:lang w:val="de-DE"/>
        </w:rPr>
      </w:pPr>
    </w:p>
    <w:p w:rsidR="00CE0F9E" w:rsidRPr="00633F67" w:rsidRDefault="00CE0F9E" w:rsidP="00CE0F9E">
      <w:pPr>
        <w:keepNext/>
        <w:jc w:val="left"/>
        <w:outlineLvl w:val="0"/>
        <w:rPr>
          <w:snapToGrid w:val="0"/>
          <w:u w:val="single"/>
          <w:lang w:val="de-DE"/>
        </w:rPr>
      </w:pPr>
      <w:r w:rsidRPr="00633F67">
        <w:rPr>
          <w:snapToGrid w:val="0"/>
          <w:u w:val="single"/>
          <w:lang w:val="de-DE"/>
        </w:rPr>
        <w:t>Informationen und Datenbanken</w:t>
      </w:r>
    </w:p>
    <w:p w:rsidR="00CE0F9E" w:rsidRPr="00633F67" w:rsidRDefault="00CE0F9E" w:rsidP="00CE0F9E">
      <w:pPr>
        <w:keepNext/>
        <w:jc w:val="left"/>
        <w:outlineLvl w:val="0"/>
        <w:rPr>
          <w:snapToGrid w:val="0"/>
          <w:u w:val="single"/>
          <w:lang w:val="de-DE"/>
        </w:rPr>
      </w:pPr>
    </w:p>
    <w:p w:rsidR="00CE0F9E" w:rsidRPr="00633F67" w:rsidRDefault="00CE0F9E" w:rsidP="00CE0F9E">
      <w:pPr>
        <w:pStyle w:val="Heading3"/>
        <w:rPr>
          <w:lang w:val="de-DE"/>
        </w:rPr>
      </w:pPr>
      <w:r w:rsidRPr="00633F67">
        <w:rPr>
          <w:lang w:val="de-DE"/>
        </w:rPr>
        <w:t>(a)</w:t>
      </w:r>
      <w:r w:rsidRPr="00633F67">
        <w:rPr>
          <w:lang w:val="de-DE"/>
        </w:rPr>
        <w:tab/>
        <w:t>Elektronische Systeme für die Einreichung von Anträgen</w:t>
      </w:r>
    </w:p>
    <w:p w:rsidR="00993DC4" w:rsidRPr="00633F67" w:rsidRDefault="00993DC4" w:rsidP="00CE0F9E">
      <w:pPr>
        <w:rPr>
          <w:lang w:val="de-DE"/>
        </w:rPr>
      </w:pPr>
    </w:p>
    <w:p w:rsidR="00993DC4" w:rsidRPr="00633F67" w:rsidRDefault="00B85B59" w:rsidP="004E4F91">
      <w:pPr>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993DC4" w:rsidRPr="00633F67">
        <w:rPr>
          <w:lang w:val="de-DE"/>
        </w:rPr>
        <w:tab/>
      </w:r>
      <w:r w:rsidR="00CE0F9E" w:rsidRPr="00633F67">
        <w:rPr>
          <w:lang w:val="de-DE"/>
        </w:rPr>
        <w:t>Der CAJ prüfte Dokumente CAJ/71/4 und CAJ/71/9 und einen Vortrag des Verbandsbüros, von dem eine Abschrift als Ergänzung des Dokuments CAJ/71/4 bereitgestellt werden wird</w:t>
      </w:r>
      <w:r w:rsidR="00993DC4" w:rsidRPr="00633F67">
        <w:rPr>
          <w:lang w:val="de-DE"/>
        </w:rPr>
        <w:t>.</w:t>
      </w:r>
    </w:p>
    <w:p w:rsidR="00993DC4" w:rsidRPr="00633F67" w:rsidRDefault="00993DC4" w:rsidP="004E4F91">
      <w:pPr>
        <w:rPr>
          <w:lang w:val="de-DE"/>
        </w:rPr>
      </w:pPr>
    </w:p>
    <w:p w:rsidR="00993DC4" w:rsidRPr="00633F67" w:rsidRDefault="00B85B59" w:rsidP="004E4F91">
      <w:pPr>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993DC4" w:rsidRPr="00633F67">
        <w:rPr>
          <w:lang w:val="de-DE"/>
        </w:rPr>
        <w:tab/>
      </w:r>
      <w:r w:rsidR="00CE0F9E" w:rsidRPr="00633F67">
        <w:rPr>
          <w:lang w:val="de-DE"/>
        </w:rPr>
        <w:t>Der CAJ nahm die Entwicklungen betreffend die Ausarbeitung eines Prototyps für ein elektronisches Formblatt, wie in Dokument CAJ/71/4 dargelegt, zur Kenntnis</w:t>
      </w:r>
      <w:r w:rsidR="00993DC4" w:rsidRPr="00633F67">
        <w:rPr>
          <w:lang w:val="de-DE"/>
        </w:rPr>
        <w:t>.</w:t>
      </w:r>
    </w:p>
    <w:p w:rsidR="00993DC4" w:rsidRPr="00633F67" w:rsidRDefault="00993DC4" w:rsidP="004E4F91">
      <w:pPr>
        <w:rPr>
          <w:lang w:val="de-DE"/>
        </w:rPr>
      </w:pPr>
    </w:p>
    <w:p w:rsidR="00993DC4" w:rsidRPr="00633F67" w:rsidRDefault="00B85B59" w:rsidP="004E4F91">
      <w:pPr>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993DC4" w:rsidRPr="00633F67">
        <w:rPr>
          <w:lang w:val="de-DE"/>
        </w:rPr>
        <w:tab/>
      </w:r>
      <w:r w:rsidR="00CE0F9E" w:rsidRPr="00633F67">
        <w:rPr>
          <w:lang w:val="de-DE"/>
        </w:rPr>
        <w:t xml:space="preserve">Der CAJ hörte einen mündlichen Bericht von dem Stellvertretenden Generalsekretär über die fünfte Tagung zur Ausarbeitung eines Prototyps eines elektronischen Formblatts (EAF) am 25. März 2015 in Genf, die den Zeitplan für die Ausarbeitung von Version 1 des Prototyps für ein elektronisches Antragsformular </w:t>
      </w:r>
      <w:r w:rsidR="00CE0F9E" w:rsidRPr="00633F67">
        <w:rPr>
          <w:lang w:val="de-DE"/>
        </w:rPr>
        <w:lastRenderedPageBreak/>
        <w:t>(Machbarkeitsnachweis) festgelegt hatte. Der Stellvertretende Generalsekretär berichtete, daß die sechste Tagung zur Ausarbeitung eines Prototyps eines elektronischen Formblatts am Abend des 26. Oktober 2015 stattfinden würde. Auf dieser Tagung plant die EAF: Version 1 des Prototyps für ein elektronisches Antragsformular (Machbarkeitsnachweis) zu überarbeiten; rechtliche Aspekte, einschließlich Zahlungsmodalitäten und -ermächtigung, Einreichung/Tag der Priorität, Datenschutz; technische Aspekte, einschließlich Zahlungsermächtigung und Benutzerauthentifizierung, elektronische Signaturen, hohe Verfügbarkeit, Interaktion mit externen Systemen (z.B. GENIE / WIPO-Konten); und Wartung und Unterstützung zu erörtern. Außerdem würde sie die weitere Vorgehensweise für das Projekt, einschließlich etwaiger Vorhaben zur Umsetzung, erörtern. Der Stellvertretende Generalsekretär berichtete auch, daß vorgeschlagen wurde, Version 1 des Prototyps für ein elektronisches Antragsformular (Machbarkeitsnachweis) dem CAJ und dem Beratenden Ausschuß auf deren Tagungen im Oktober 2015 vorzustellen und den CAJ und den Beratenden Ausschuß zu ersuchen, Vorschläge für die weitere Vorgehensweise für das Projekt zu prüfen. Hinsichtlich der Arbeit nach Oktober 2015 wurde, vorbehaltlich Erörterungen im CAJ und im Beratenden Ausschuß, geplant, den Prototyp dahingehend zu erweitern, daß er Kartoffel, Rose und Apfel umfaßt, um eine weitere Harmonisierung zu sondieren und Vorschläge zur Einführung des elektronischen Formblattes zu prüfen</w:t>
      </w:r>
      <w:r w:rsidR="00993DC4" w:rsidRPr="00633F67">
        <w:rPr>
          <w:lang w:val="de-DE"/>
        </w:rPr>
        <w:t>.</w:t>
      </w:r>
    </w:p>
    <w:p w:rsidR="00313290" w:rsidRPr="00633F67" w:rsidRDefault="00313290" w:rsidP="004E4F91">
      <w:pPr>
        <w:rPr>
          <w:lang w:val="de-DE"/>
        </w:rPr>
      </w:pPr>
    </w:p>
    <w:p w:rsidR="00CE0F9E" w:rsidRPr="00633F67" w:rsidRDefault="00B85B59" w:rsidP="00CE0F9E">
      <w:pPr>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1E5862" w:rsidRPr="00633F67">
        <w:rPr>
          <w:lang w:val="de-DE"/>
        </w:rPr>
        <w:tab/>
      </w:r>
      <w:r w:rsidR="00CE0F9E" w:rsidRPr="00633F67">
        <w:rPr>
          <w:lang w:val="de-DE"/>
        </w:rPr>
        <w:t>Der CAJ nahm zur Kenntnis, daß das Gesuch bei der WIPO um einen zweistelligen Code (XU), der für den Namen der UPOV steht, gebilligt wurde und in die überarbeitete Fassung der ST.3 der WIPO „Empfohlener Standard zu zweistelligen Codes für die Bezeichnung von Staaten, anderen Agenturen und zwischenstaatlichen Organisationen“ aufgenommen wurde.</w:t>
      </w:r>
    </w:p>
    <w:p w:rsidR="00CE0F9E" w:rsidRPr="00633F67" w:rsidRDefault="00CE0F9E" w:rsidP="00CE0F9E">
      <w:pPr>
        <w:spacing w:line="360" w:lineRule="auto"/>
        <w:rPr>
          <w:lang w:val="de-DE"/>
        </w:rPr>
      </w:pPr>
    </w:p>
    <w:p w:rsidR="00CE0F9E" w:rsidRPr="00633F67" w:rsidRDefault="00CE0F9E" w:rsidP="00CE0F9E">
      <w:pPr>
        <w:keepNext/>
        <w:outlineLvl w:val="1"/>
        <w:rPr>
          <w:i/>
          <w:snapToGrid w:val="0"/>
          <w:lang w:val="de-DE"/>
        </w:rPr>
      </w:pPr>
      <w:r w:rsidRPr="00633F67">
        <w:rPr>
          <w:i/>
          <w:snapToGrid w:val="0"/>
          <w:lang w:val="de-DE"/>
        </w:rPr>
        <w:t>(b)</w:t>
      </w:r>
      <w:r w:rsidRPr="00633F67">
        <w:rPr>
          <w:i/>
          <w:snapToGrid w:val="0"/>
          <w:lang w:val="de-DE"/>
        </w:rPr>
        <w:tab/>
        <w:t>UPOV-Informationsdatenbanken</w:t>
      </w:r>
    </w:p>
    <w:p w:rsidR="00962E4C" w:rsidRPr="00633F67" w:rsidRDefault="00962E4C" w:rsidP="00CE0F9E">
      <w:pPr>
        <w:rPr>
          <w:lang w:val="de-DE"/>
        </w:rPr>
      </w:pPr>
    </w:p>
    <w:p w:rsidR="00962E4C" w:rsidRPr="00633F67" w:rsidRDefault="00B85B59" w:rsidP="004E4F91">
      <w:pPr>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962E4C" w:rsidRPr="00633F67">
        <w:rPr>
          <w:lang w:val="de-DE"/>
        </w:rPr>
        <w:tab/>
      </w:r>
      <w:r w:rsidR="00431A9F" w:rsidRPr="00633F67">
        <w:rPr>
          <w:lang w:val="de-DE"/>
        </w:rPr>
        <w:t>Der CAJ prüfte Dokumente CAJ/71/5 und CAJ/71/9</w:t>
      </w:r>
      <w:r w:rsidR="00CE4345" w:rsidRPr="00633F67">
        <w:rPr>
          <w:lang w:val="de-DE"/>
        </w:rPr>
        <w:t>.</w:t>
      </w:r>
    </w:p>
    <w:p w:rsidR="006F4B34" w:rsidRPr="00633F67" w:rsidRDefault="006F4B34" w:rsidP="004E4F91">
      <w:pPr>
        <w:rPr>
          <w:lang w:val="de-DE"/>
        </w:rPr>
      </w:pPr>
    </w:p>
    <w:p w:rsidR="00175FFD" w:rsidRPr="00633F67" w:rsidRDefault="00B85B59" w:rsidP="004E4F91">
      <w:pPr>
        <w:rPr>
          <w:rFonts w:eastAsia="SimSun"/>
          <w:snapToGrid w:val="0"/>
          <w:lang w:val="de-DE" w:eastAsia="ja-JP"/>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175FFD" w:rsidRPr="00633F67">
        <w:rPr>
          <w:lang w:val="de-DE"/>
        </w:rPr>
        <w:tab/>
      </w:r>
      <w:r w:rsidR="00431A9F" w:rsidRPr="00633F67">
        <w:rPr>
          <w:lang w:val="de-DE"/>
        </w:rPr>
        <w:t xml:space="preserve">Der CAJ nahm die </w:t>
      </w:r>
      <w:r w:rsidR="00431A9F" w:rsidRPr="00633F67">
        <w:rPr>
          <w:rFonts w:eastAsia="SimSun"/>
          <w:lang w:val="de-DE" w:eastAsia="ja-JP"/>
        </w:rPr>
        <w:t xml:space="preserve">Information über die Zuordnung eines/von Pflanzentyps/Pflanzentypen für UPOV-Codes, die derzeit in der PLUTO-Datenbank verwendet werden, wie in </w:t>
      </w:r>
      <w:r w:rsidR="00431A9F" w:rsidRPr="00633F67">
        <w:rPr>
          <w:rFonts w:eastAsia="SimSun"/>
          <w:snapToGrid w:val="0"/>
          <w:lang w:val="de-DE" w:eastAsia="ja-JP"/>
        </w:rPr>
        <w:t>Dokument</w:t>
      </w:r>
      <w:r w:rsidR="00431A9F" w:rsidRPr="00633F67">
        <w:rPr>
          <w:lang w:val="de-DE"/>
        </w:rPr>
        <w:t xml:space="preserve"> CAJ/71/5, </w:t>
      </w:r>
      <w:r w:rsidR="00431A9F" w:rsidRPr="00633F67">
        <w:rPr>
          <w:rFonts w:eastAsia="SimSun"/>
          <w:snapToGrid w:val="0"/>
          <w:lang w:val="de-DE" w:eastAsia="ja-JP"/>
        </w:rPr>
        <w:t xml:space="preserve">Absätze 10 und 11 dargelegt, </w:t>
      </w:r>
      <w:r w:rsidR="00431A9F" w:rsidRPr="00633F67">
        <w:rPr>
          <w:lang w:val="de-DE"/>
        </w:rPr>
        <w:t>zur Kenntnis</w:t>
      </w:r>
      <w:r w:rsidR="00175FFD" w:rsidRPr="00633F67">
        <w:rPr>
          <w:rFonts w:eastAsia="SimSun"/>
          <w:snapToGrid w:val="0"/>
          <w:lang w:val="de-DE" w:eastAsia="ja-JP"/>
        </w:rPr>
        <w:t>.</w:t>
      </w:r>
    </w:p>
    <w:p w:rsidR="00175FFD" w:rsidRPr="00633F67" w:rsidRDefault="00175FFD" w:rsidP="004E4F91">
      <w:pPr>
        <w:rPr>
          <w:rFonts w:eastAsia="SimSun"/>
          <w:snapToGrid w:val="0"/>
          <w:lang w:val="de-DE" w:eastAsia="ja-JP"/>
        </w:rPr>
      </w:pPr>
    </w:p>
    <w:p w:rsidR="00962E4C" w:rsidRPr="00633F67" w:rsidRDefault="00B85B59" w:rsidP="004E4F91">
      <w:pPr>
        <w:rPr>
          <w:lang w:val="de-DE"/>
        </w:rPr>
      </w:pPr>
      <w:r w:rsidRPr="00633F67">
        <w:rPr>
          <w:rFonts w:eastAsia="SimSun"/>
          <w:snapToGrid w:val="0"/>
          <w:vertAlign w:val="superscript"/>
          <w:lang w:val="de-DE" w:eastAsia="ja-JP"/>
        </w:rPr>
        <w:t>*</w:t>
      </w:r>
      <w:r w:rsidRPr="00633F67">
        <w:rPr>
          <w:rFonts w:eastAsia="SimSun"/>
          <w:snapToGrid w:val="0"/>
          <w:lang w:eastAsia="ja-JP"/>
        </w:rPr>
        <w:fldChar w:fldCharType="begin"/>
      </w:r>
      <w:r w:rsidRPr="00633F67">
        <w:rPr>
          <w:rFonts w:eastAsia="SimSun"/>
          <w:snapToGrid w:val="0"/>
          <w:lang w:val="de-DE" w:eastAsia="ja-JP"/>
        </w:rPr>
        <w:instrText xml:space="preserve"> AUTONUM  </w:instrText>
      </w:r>
      <w:r w:rsidRPr="00633F67">
        <w:rPr>
          <w:rFonts w:eastAsia="SimSun"/>
          <w:snapToGrid w:val="0"/>
          <w:lang w:eastAsia="ja-JP"/>
        </w:rPr>
        <w:fldChar w:fldCharType="end"/>
      </w:r>
      <w:r w:rsidR="0088417E" w:rsidRPr="00633F67">
        <w:rPr>
          <w:rFonts w:eastAsia="SimSun"/>
          <w:snapToGrid w:val="0"/>
          <w:lang w:val="de-DE" w:eastAsia="ja-JP"/>
        </w:rPr>
        <w:tab/>
      </w:r>
      <w:r w:rsidR="00431A9F" w:rsidRPr="00633F67">
        <w:rPr>
          <w:rFonts w:eastAsia="SimSun"/>
          <w:snapToGrid w:val="0"/>
          <w:lang w:val="de-DE" w:eastAsia="ja-JP"/>
        </w:rPr>
        <w:t>Der CAJ nahm zur Kenntnis, daß</w:t>
      </w:r>
      <w:r w:rsidR="00431A9F" w:rsidRPr="00633F67">
        <w:rPr>
          <w:rFonts w:eastAsia="SimSun"/>
          <w:lang w:val="de-DE" w:eastAsia="ja-JP"/>
        </w:rPr>
        <w:t xml:space="preserve"> bis Ende März 2015 Informationen über den/die Pflanzentyp/en in die GENIE-Datenbank aufgenommen werden würden und die GENIE-Datenbank geändert werden würde, damit der/die Pflanzentyp/en für jeden UPOV-Code angezeigt wird/werden</w:t>
      </w:r>
      <w:r w:rsidR="00A36ACB" w:rsidRPr="00633F67">
        <w:rPr>
          <w:rFonts w:eastAsia="SimSun"/>
          <w:snapToGrid w:val="0"/>
          <w:lang w:val="de-DE" w:eastAsia="ja-JP"/>
        </w:rPr>
        <w:t>.</w:t>
      </w:r>
    </w:p>
    <w:p w:rsidR="00962E4C" w:rsidRPr="00633F67" w:rsidRDefault="00962E4C" w:rsidP="004E4F91">
      <w:pPr>
        <w:rPr>
          <w:rFonts w:eastAsia="SimSun"/>
          <w:lang w:val="de-DE"/>
        </w:rPr>
      </w:pPr>
    </w:p>
    <w:p w:rsidR="00962E4C" w:rsidRPr="00633F67" w:rsidRDefault="00B85B59" w:rsidP="00120D65">
      <w:pPr>
        <w:spacing w:after="240"/>
        <w:rPr>
          <w:rFonts w:eastAsia="SimSun"/>
          <w:snapToGrid w:val="0"/>
          <w:lang w:val="de-DE" w:eastAsia="ja-JP"/>
        </w:rPr>
      </w:pPr>
      <w:r w:rsidRPr="00633F67">
        <w:rPr>
          <w:rFonts w:eastAsia="SimSun"/>
          <w:snapToGrid w:val="0"/>
          <w:vertAlign w:val="superscript"/>
          <w:lang w:val="de-DE" w:eastAsia="ja-JP"/>
        </w:rPr>
        <w:t>*</w:t>
      </w:r>
      <w:r w:rsidRPr="00633F67">
        <w:rPr>
          <w:rFonts w:eastAsia="SimSun"/>
          <w:snapToGrid w:val="0"/>
          <w:lang w:eastAsia="ja-JP"/>
        </w:rPr>
        <w:fldChar w:fldCharType="begin"/>
      </w:r>
      <w:r w:rsidRPr="00633F67">
        <w:rPr>
          <w:rFonts w:eastAsia="SimSun"/>
          <w:snapToGrid w:val="0"/>
          <w:lang w:val="de-DE" w:eastAsia="ja-JP"/>
        </w:rPr>
        <w:instrText xml:space="preserve"> AUTONUM  </w:instrText>
      </w:r>
      <w:r w:rsidRPr="00633F67">
        <w:rPr>
          <w:rFonts w:eastAsia="SimSun"/>
          <w:snapToGrid w:val="0"/>
          <w:lang w:eastAsia="ja-JP"/>
        </w:rPr>
        <w:fldChar w:fldCharType="end"/>
      </w:r>
      <w:r w:rsidR="0088417E" w:rsidRPr="00633F67">
        <w:rPr>
          <w:rFonts w:eastAsia="SimSun"/>
          <w:snapToGrid w:val="0"/>
          <w:lang w:val="de-DE" w:eastAsia="ja-JP"/>
        </w:rPr>
        <w:tab/>
      </w:r>
      <w:r w:rsidR="00431A9F" w:rsidRPr="00633F67">
        <w:rPr>
          <w:rFonts w:eastAsia="SimSun"/>
          <w:snapToGrid w:val="0"/>
          <w:lang w:val="de-DE" w:eastAsia="ja-JP"/>
        </w:rPr>
        <w:t>Der CAJ nahm zur Kenntnis, daß ein Standardbericht für TWP-Zuordnungen für UPOV-Codes bis Ende März 2015 in die GENIE-Website aufgenommen werden würden</w:t>
      </w:r>
      <w:r w:rsidR="00A36ACB" w:rsidRPr="00633F67">
        <w:rPr>
          <w:rFonts w:eastAsia="SimSun"/>
          <w:snapToGrid w:val="0"/>
          <w:lang w:val="de-DE" w:eastAsia="ja-JP"/>
        </w:rPr>
        <w:t>.</w:t>
      </w:r>
    </w:p>
    <w:p w:rsidR="00962E4C" w:rsidRPr="00633F67" w:rsidRDefault="00B85B59" w:rsidP="004E4F91">
      <w:pPr>
        <w:rPr>
          <w:rFonts w:eastAsia="SimSun"/>
          <w:snapToGrid w:val="0"/>
          <w:lang w:val="de-DE" w:eastAsia="ja-JP"/>
        </w:rPr>
      </w:pPr>
      <w:r w:rsidRPr="00633F67">
        <w:rPr>
          <w:rFonts w:eastAsia="SimSun"/>
          <w:snapToGrid w:val="0"/>
          <w:vertAlign w:val="superscript"/>
          <w:lang w:val="de-DE" w:eastAsia="ja-JP"/>
        </w:rPr>
        <w:t>*</w:t>
      </w:r>
      <w:r w:rsidRPr="00633F67">
        <w:rPr>
          <w:rFonts w:eastAsia="SimSun"/>
          <w:snapToGrid w:val="0"/>
          <w:lang w:eastAsia="ja-JP"/>
        </w:rPr>
        <w:fldChar w:fldCharType="begin"/>
      </w:r>
      <w:r w:rsidRPr="00633F67">
        <w:rPr>
          <w:rFonts w:eastAsia="SimSun"/>
          <w:snapToGrid w:val="0"/>
          <w:lang w:val="de-DE" w:eastAsia="ja-JP"/>
        </w:rPr>
        <w:instrText xml:space="preserve"> AUTONUM  </w:instrText>
      </w:r>
      <w:r w:rsidRPr="00633F67">
        <w:rPr>
          <w:rFonts w:eastAsia="SimSun"/>
          <w:snapToGrid w:val="0"/>
          <w:lang w:eastAsia="ja-JP"/>
        </w:rPr>
        <w:fldChar w:fldCharType="end"/>
      </w:r>
      <w:r w:rsidR="0088417E" w:rsidRPr="00633F67">
        <w:rPr>
          <w:rFonts w:eastAsia="SimSun"/>
          <w:snapToGrid w:val="0"/>
          <w:lang w:val="de-DE" w:eastAsia="ja-JP"/>
        </w:rPr>
        <w:tab/>
      </w:r>
      <w:r w:rsidR="00431A9F" w:rsidRPr="00633F67">
        <w:rPr>
          <w:rFonts w:eastAsia="SimSun"/>
          <w:snapToGrid w:val="0"/>
          <w:lang w:val="de-DE" w:eastAsia="ja-JP"/>
        </w:rPr>
        <w:t xml:space="preserve">Der CAJ nahm zur Kenntnis, daß die Zuordnung </w:t>
      </w:r>
      <w:r w:rsidR="00431A9F" w:rsidRPr="00633F67">
        <w:rPr>
          <w:rFonts w:eastAsia="SimSun"/>
          <w:lang w:val="de-DE" w:eastAsia="ja-JP"/>
        </w:rPr>
        <w:t xml:space="preserve">eines/von Pflanzentyps/Pflanzentypen </w:t>
      </w:r>
      <w:r w:rsidR="00431A9F" w:rsidRPr="00633F67">
        <w:rPr>
          <w:rFonts w:eastAsia="SimSun"/>
          <w:snapToGrid w:val="0"/>
          <w:lang w:val="de-DE" w:eastAsia="ja-JP"/>
        </w:rPr>
        <w:t>für weitere UPOV-Codes erfolgen würde, wenn UPOV-Codes erstmalig in der PLUTO-Datenbank verwendet werden würden</w:t>
      </w:r>
      <w:r w:rsidR="00A36ACB" w:rsidRPr="00633F67">
        <w:rPr>
          <w:rFonts w:eastAsia="SimSun"/>
          <w:snapToGrid w:val="0"/>
          <w:lang w:val="de-DE" w:eastAsia="ja-JP"/>
        </w:rPr>
        <w:t>.</w:t>
      </w:r>
    </w:p>
    <w:p w:rsidR="00962E4C" w:rsidRPr="00633F67" w:rsidRDefault="00962E4C" w:rsidP="004E4F91">
      <w:pPr>
        <w:rPr>
          <w:rFonts w:eastAsia="SimSun"/>
          <w:snapToGrid w:val="0"/>
          <w:lang w:val="de-DE" w:eastAsia="ja-JP"/>
        </w:rPr>
      </w:pPr>
    </w:p>
    <w:p w:rsidR="00962E4C" w:rsidRPr="00633F67" w:rsidRDefault="00B85B59" w:rsidP="004E4F91">
      <w:pPr>
        <w:rPr>
          <w:rFonts w:eastAsia="SimSun"/>
          <w:snapToGrid w:val="0"/>
          <w:lang w:val="de-DE" w:eastAsia="ja-JP"/>
        </w:rPr>
      </w:pPr>
      <w:r w:rsidRPr="00633F67">
        <w:rPr>
          <w:rFonts w:eastAsia="SimSun"/>
          <w:snapToGrid w:val="0"/>
          <w:vertAlign w:val="superscript"/>
          <w:lang w:val="de-DE" w:eastAsia="ja-JP"/>
        </w:rPr>
        <w:t>*</w:t>
      </w:r>
      <w:r w:rsidRPr="00633F67">
        <w:rPr>
          <w:rFonts w:eastAsia="SimSun"/>
          <w:snapToGrid w:val="0"/>
          <w:lang w:eastAsia="ja-JP"/>
        </w:rPr>
        <w:fldChar w:fldCharType="begin"/>
      </w:r>
      <w:r w:rsidRPr="00633F67">
        <w:rPr>
          <w:rFonts w:eastAsia="SimSun"/>
          <w:snapToGrid w:val="0"/>
          <w:lang w:val="de-DE" w:eastAsia="ja-JP"/>
        </w:rPr>
        <w:instrText xml:space="preserve"> AUTONUM  </w:instrText>
      </w:r>
      <w:r w:rsidRPr="00633F67">
        <w:rPr>
          <w:rFonts w:eastAsia="SimSun"/>
          <w:snapToGrid w:val="0"/>
          <w:lang w:eastAsia="ja-JP"/>
        </w:rPr>
        <w:fldChar w:fldCharType="end"/>
      </w:r>
      <w:r w:rsidR="0088417E" w:rsidRPr="00633F67">
        <w:rPr>
          <w:rFonts w:eastAsia="SimSun"/>
          <w:snapToGrid w:val="0"/>
          <w:lang w:val="de-DE" w:eastAsia="ja-JP"/>
        </w:rPr>
        <w:tab/>
      </w:r>
      <w:r w:rsidR="00431A9F" w:rsidRPr="00633F67">
        <w:rPr>
          <w:rFonts w:eastAsia="SimSun"/>
          <w:snapToGrid w:val="0"/>
          <w:lang w:val="de-DE" w:eastAsia="ja-JP"/>
        </w:rPr>
        <w:t>Der CAJ nahm zur Kenntnis, daß das Verbandsbüro Tabellen für die Zuordnung eines Pflanzentyps/von Pflanzentypen für UPOV-Codes, die erstmals in der PLUTO-Datenbank verwendet werden, die von den zuständigen Behörden zu überprüfen sind, für jede der TWP-Tagungen im Jahr 2015 erstellen würden</w:t>
      </w:r>
      <w:r w:rsidR="00962E4C" w:rsidRPr="00633F67">
        <w:rPr>
          <w:rFonts w:eastAsia="SimSun"/>
          <w:snapToGrid w:val="0"/>
          <w:lang w:val="de-DE" w:eastAsia="ja-JP"/>
        </w:rPr>
        <w:t>.</w:t>
      </w:r>
    </w:p>
    <w:p w:rsidR="00962E4C" w:rsidRPr="00633F67" w:rsidRDefault="00962E4C" w:rsidP="004E4F91">
      <w:pPr>
        <w:rPr>
          <w:rFonts w:eastAsia="MS Mincho" w:cs="Arial"/>
          <w:lang w:val="de-DE" w:eastAsia="ja-JP"/>
        </w:rPr>
      </w:pPr>
    </w:p>
    <w:p w:rsidR="00962E4C" w:rsidRPr="00633F67" w:rsidRDefault="00B85B59" w:rsidP="004E4F91">
      <w:pPr>
        <w:rPr>
          <w:rFonts w:eastAsia="SimSun"/>
          <w:snapToGrid w:val="0"/>
          <w:lang w:val="de-DE" w:eastAsia="ja-JP"/>
        </w:rPr>
      </w:pPr>
      <w:r w:rsidRPr="00633F67">
        <w:rPr>
          <w:rFonts w:eastAsia="SimSun"/>
          <w:snapToGrid w:val="0"/>
          <w:vertAlign w:val="superscript"/>
          <w:lang w:val="de-DE" w:eastAsia="ja-JP"/>
        </w:rPr>
        <w:t>*</w:t>
      </w:r>
      <w:r w:rsidRPr="00633F67">
        <w:rPr>
          <w:rFonts w:eastAsia="SimSun"/>
          <w:snapToGrid w:val="0"/>
          <w:lang w:eastAsia="ja-JP"/>
        </w:rPr>
        <w:fldChar w:fldCharType="begin"/>
      </w:r>
      <w:r w:rsidRPr="00633F67">
        <w:rPr>
          <w:rFonts w:eastAsia="SimSun"/>
          <w:snapToGrid w:val="0"/>
          <w:lang w:val="de-DE" w:eastAsia="ja-JP"/>
        </w:rPr>
        <w:instrText xml:space="preserve"> AUTONUM  </w:instrText>
      </w:r>
      <w:r w:rsidRPr="00633F67">
        <w:rPr>
          <w:rFonts w:eastAsia="SimSun"/>
          <w:snapToGrid w:val="0"/>
          <w:lang w:eastAsia="ja-JP"/>
        </w:rPr>
        <w:fldChar w:fldCharType="end"/>
      </w:r>
      <w:r w:rsidR="00E26276" w:rsidRPr="00633F67">
        <w:rPr>
          <w:rFonts w:eastAsia="SimSun"/>
          <w:snapToGrid w:val="0"/>
          <w:lang w:val="de-DE" w:eastAsia="ja-JP"/>
        </w:rPr>
        <w:tab/>
      </w:r>
      <w:r w:rsidR="00431A9F" w:rsidRPr="00633F67">
        <w:rPr>
          <w:rFonts w:eastAsia="SimSun"/>
          <w:snapToGrid w:val="0"/>
          <w:lang w:val="de-DE" w:eastAsia="ja-JP"/>
        </w:rPr>
        <w:t>Der CAJ nahm die Entwicklungen betreffend die UPOV-Codes, wie in Dokument</w:t>
      </w:r>
      <w:r w:rsidR="00431A9F" w:rsidRPr="00633F67">
        <w:rPr>
          <w:lang w:val="de-DE"/>
        </w:rPr>
        <w:t xml:space="preserve"> CAJ/71/5, </w:t>
      </w:r>
      <w:r w:rsidR="00431A9F" w:rsidRPr="00633F67">
        <w:rPr>
          <w:rFonts w:eastAsia="SimSun"/>
          <w:snapToGrid w:val="0"/>
          <w:lang w:val="de-DE" w:eastAsia="ja-JP"/>
        </w:rPr>
        <w:t>Absatz 14, dargelegt, zur Kenntnis</w:t>
      </w:r>
      <w:r w:rsidR="00A36ACB" w:rsidRPr="00633F67">
        <w:rPr>
          <w:rFonts w:eastAsia="SimSun"/>
          <w:snapToGrid w:val="0"/>
          <w:lang w:val="de-DE" w:eastAsia="ja-JP"/>
        </w:rPr>
        <w:t>.</w:t>
      </w:r>
    </w:p>
    <w:p w:rsidR="00962E4C" w:rsidRPr="00633F67" w:rsidRDefault="00962E4C" w:rsidP="004E4F91">
      <w:pPr>
        <w:rPr>
          <w:lang w:val="de-DE"/>
        </w:rPr>
      </w:pPr>
    </w:p>
    <w:p w:rsidR="00D86825" w:rsidRPr="00633F67" w:rsidRDefault="00B85B59" w:rsidP="004E4F91">
      <w:pPr>
        <w:rPr>
          <w:lang w:val="de-DE"/>
        </w:rPr>
      </w:pPr>
      <w:r w:rsidRPr="00633F67">
        <w:rPr>
          <w:rFonts w:eastAsia="SimSun"/>
          <w:snapToGrid w:val="0"/>
          <w:vertAlign w:val="superscript"/>
          <w:lang w:val="de-DE" w:eastAsia="ja-JP"/>
        </w:rPr>
        <w:t>*</w:t>
      </w:r>
      <w:r w:rsidRPr="00633F67">
        <w:rPr>
          <w:rFonts w:eastAsia="SimSun"/>
          <w:snapToGrid w:val="0"/>
          <w:lang w:eastAsia="ja-JP"/>
        </w:rPr>
        <w:fldChar w:fldCharType="begin"/>
      </w:r>
      <w:r w:rsidRPr="00633F67">
        <w:rPr>
          <w:rFonts w:eastAsia="SimSun"/>
          <w:snapToGrid w:val="0"/>
          <w:lang w:val="de-DE" w:eastAsia="ja-JP"/>
        </w:rPr>
        <w:instrText xml:space="preserve"> AUTONUM  </w:instrText>
      </w:r>
      <w:r w:rsidRPr="00633F67">
        <w:rPr>
          <w:rFonts w:eastAsia="SimSun"/>
          <w:snapToGrid w:val="0"/>
          <w:lang w:eastAsia="ja-JP"/>
        </w:rPr>
        <w:fldChar w:fldCharType="end"/>
      </w:r>
      <w:r w:rsidR="00E26276" w:rsidRPr="00633F67">
        <w:rPr>
          <w:rFonts w:eastAsia="SimSun"/>
          <w:snapToGrid w:val="0"/>
          <w:lang w:val="de-DE" w:eastAsia="ja-JP"/>
        </w:rPr>
        <w:tab/>
      </w:r>
      <w:r w:rsidR="00431A9F" w:rsidRPr="00633F67">
        <w:rPr>
          <w:rFonts w:eastAsia="SimSun"/>
          <w:snapToGrid w:val="0"/>
          <w:lang w:val="de-DE" w:eastAsia="ja-JP"/>
        </w:rPr>
        <w:t>Der CAJ nahm die Zusammenfassung der Beiträge zur PLUTO-Datenbank von 2012 bis 2014 und die aktuelle Lage der Verbandsmitglieder im Hinblick auf die Einreichung von Daten, wie in Anlage II des Dokuments</w:t>
      </w:r>
      <w:r w:rsidR="00431A9F" w:rsidRPr="00633F67">
        <w:rPr>
          <w:lang w:val="de-DE"/>
        </w:rPr>
        <w:t> CAJ/71/5</w:t>
      </w:r>
      <w:r w:rsidR="00431A9F" w:rsidRPr="00633F67">
        <w:rPr>
          <w:rFonts w:eastAsia="SimSun"/>
          <w:snapToGrid w:val="0"/>
          <w:lang w:val="de-DE" w:eastAsia="ja-JP"/>
        </w:rPr>
        <w:t xml:space="preserve"> dargelegt</w:t>
      </w:r>
      <w:r w:rsidR="00431A9F" w:rsidRPr="00633F67">
        <w:rPr>
          <w:lang w:val="de-DE"/>
        </w:rPr>
        <w:t xml:space="preserve">, </w:t>
      </w:r>
      <w:r w:rsidR="00431A9F" w:rsidRPr="00633F67">
        <w:rPr>
          <w:rFonts w:eastAsia="SimSun"/>
          <w:snapToGrid w:val="0"/>
          <w:lang w:val="de-DE" w:eastAsia="ja-JP"/>
        </w:rPr>
        <w:t>zur Kenntnis</w:t>
      </w:r>
      <w:r w:rsidR="00A36ACB" w:rsidRPr="00633F67">
        <w:rPr>
          <w:lang w:val="de-DE"/>
        </w:rPr>
        <w:t>.</w:t>
      </w:r>
      <w:r w:rsidR="0042159E" w:rsidRPr="00633F67">
        <w:rPr>
          <w:lang w:val="de-DE"/>
        </w:rPr>
        <w:t xml:space="preserve">  </w:t>
      </w:r>
    </w:p>
    <w:p w:rsidR="00313290" w:rsidRPr="00633F67" w:rsidRDefault="00313290" w:rsidP="004E4F91">
      <w:pPr>
        <w:rPr>
          <w:lang w:val="de-DE"/>
        </w:rPr>
      </w:pPr>
    </w:p>
    <w:p w:rsidR="00D86825" w:rsidRPr="00633F67" w:rsidRDefault="00B85B59" w:rsidP="004E4F91">
      <w:pPr>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D86825" w:rsidRPr="00633F67">
        <w:rPr>
          <w:lang w:val="de-DE"/>
        </w:rPr>
        <w:tab/>
      </w:r>
      <w:r w:rsidR="00431A9F" w:rsidRPr="00633F67">
        <w:rPr>
          <w:lang w:val="de-DE"/>
        </w:rPr>
        <w:t xml:space="preserve">Der CAJ nahm zur Kenntnis, daß die Anzahl der Einträge in die PLUTO-Datenbank in Anlage II </w:t>
      </w:r>
      <w:r w:rsidR="00431A9F" w:rsidRPr="00633F67">
        <w:rPr>
          <w:rFonts w:cs="Arial"/>
          <w:bCs/>
          <w:color w:val="000000"/>
          <w:lang w:val="de-DE" w:eastAsia="ja-JP"/>
        </w:rPr>
        <w:t>des Dokuments</w:t>
      </w:r>
      <w:r w:rsidR="00431A9F" w:rsidRPr="00633F67">
        <w:rPr>
          <w:lang w:val="de-DE"/>
        </w:rPr>
        <w:t> CAJ/71/5 nicht sämtliche vom Gemeinschaftlichen Sortenamt während Übergangsregelungen für das Hochladen von Daten erstellte Einträge enthält, und nahm zur Kenntnis, daß das Büro eine berichtigte Fassung von Anlage II bereitstellen würde</w:t>
      </w:r>
      <w:r w:rsidR="00D86825" w:rsidRPr="00633F67">
        <w:rPr>
          <w:lang w:val="de-DE"/>
        </w:rPr>
        <w:t>.</w:t>
      </w:r>
    </w:p>
    <w:p w:rsidR="00962E4C" w:rsidRPr="00633F67" w:rsidRDefault="00962E4C" w:rsidP="004E4F91">
      <w:pPr>
        <w:rPr>
          <w:rFonts w:eastAsia="SimSun"/>
          <w:snapToGrid w:val="0"/>
          <w:lang w:val="de-DE" w:eastAsia="ja-JP"/>
        </w:rPr>
      </w:pPr>
    </w:p>
    <w:p w:rsidR="00962E4C" w:rsidRPr="00633F67" w:rsidRDefault="00B85B59" w:rsidP="004E4F91">
      <w:pPr>
        <w:rPr>
          <w:rFonts w:eastAsia="SimSun"/>
          <w:snapToGrid w:val="0"/>
          <w:lang w:val="de-DE" w:eastAsia="ja-JP"/>
        </w:rPr>
      </w:pPr>
      <w:r w:rsidRPr="00633F67">
        <w:rPr>
          <w:rFonts w:eastAsia="SimSun"/>
          <w:snapToGrid w:val="0"/>
          <w:vertAlign w:val="superscript"/>
          <w:lang w:val="de-DE" w:eastAsia="ja-JP"/>
        </w:rPr>
        <w:t>*</w:t>
      </w:r>
      <w:r w:rsidRPr="00633F67">
        <w:rPr>
          <w:rFonts w:eastAsia="SimSun"/>
          <w:snapToGrid w:val="0"/>
          <w:lang w:eastAsia="ja-JP"/>
        </w:rPr>
        <w:fldChar w:fldCharType="begin"/>
      </w:r>
      <w:r w:rsidRPr="00633F67">
        <w:rPr>
          <w:rFonts w:eastAsia="SimSun"/>
          <w:snapToGrid w:val="0"/>
          <w:lang w:val="de-DE" w:eastAsia="ja-JP"/>
        </w:rPr>
        <w:instrText xml:space="preserve"> AUTONUM  </w:instrText>
      </w:r>
      <w:r w:rsidRPr="00633F67">
        <w:rPr>
          <w:rFonts w:eastAsia="SimSun"/>
          <w:snapToGrid w:val="0"/>
          <w:lang w:eastAsia="ja-JP"/>
        </w:rPr>
        <w:fldChar w:fldCharType="end"/>
      </w:r>
      <w:r w:rsidR="00E26276" w:rsidRPr="00633F67">
        <w:rPr>
          <w:rFonts w:eastAsia="SimSun"/>
          <w:snapToGrid w:val="0"/>
          <w:lang w:val="de-DE" w:eastAsia="ja-JP"/>
        </w:rPr>
        <w:tab/>
      </w:r>
      <w:r w:rsidR="00431A9F" w:rsidRPr="00633F67">
        <w:rPr>
          <w:rFonts w:eastAsia="SimSun"/>
          <w:snapToGrid w:val="0"/>
          <w:lang w:val="de-DE" w:eastAsia="ja-JP"/>
        </w:rPr>
        <w:t>Der CAJ nahm zur Kenntnis, daß bis Ende März 2015 eine zusätzliche Spalte im PLUTO-Suchfeld, welche das Datum enthält, an dem die Information eingereicht wurde, aufgenommen werden würde</w:t>
      </w:r>
      <w:r w:rsidR="00A36ACB" w:rsidRPr="00633F67">
        <w:rPr>
          <w:rFonts w:eastAsia="SimSun"/>
          <w:snapToGrid w:val="0"/>
          <w:lang w:val="de-DE" w:eastAsia="ja-JP"/>
        </w:rPr>
        <w:t>.</w:t>
      </w:r>
    </w:p>
    <w:p w:rsidR="00962E4C" w:rsidRPr="00633F67" w:rsidRDefault="00962E4C" w:rsidP="004E4F91">
      <w:pPr>
        <w:rPr>
          <w:rFonts w:eastAsia="SimSun"/>
          <w:snapToGrid w:val="0"/>
          <w:lang w:val="de-DE" w:eastAsia="ja-JP"/>
        </w:rPr>
      </w:pPr>
    </w:p>
    <w:p w:rsidR="00962E4C" w:rsidRPr="00633F67" w:rsidRDefault="00B85B59" w:rsidP="004E4F91">
      <w:pPr>
        <w:rPr>
          <w:rFonts w:eastAsia="SimSun"/>
          <w:snapToGrid w:val="0"/>
          <w:lang w:val="de-DE" w:eastAsia="ja-JP"/>
        </w:rPr>
      </w:pPr>
      <w:r w:rsidRPr="00633F67">
        <w:rPr>
          <w:rFonts w:eastAsia="SimSun"/>
          <w:snapToGrid w:val="0"/>
          <w:vertAlign w:val="superscript"/>
          <w:lang w:val="de-DE" w:eastAsia="ja-JP"/>
        </w:rPr>
        <w:lastRenderedPageBreak/>
        <w:t>*</w:t>
      </w:r>
      <w:r w:rsidRPr="00633F67">
        <w:rPr>
          <w:rFonts w:eastAsia="SimSun"/>
          <w:snapToGrid w:val="0"/>
          <w:lang w:eastAsia="ja-JP"/>
        </w:rPr>
        <w:fldChar w:fldCharType="begin"/>
      </w:r>
      <w:r w:rsidRPr="00633F67">
        <w:rPr>
          <w:rFonts w:eastAsia="SimSun"/>
          <w:snapToGrid w:val="0"/>
          <w:lang w:val="de-DE" w:eastAsia="ja-JP"/>
        </w:rPr>
        <w:instrText xml:space="preserve"> AUTONUM  </w:instrText>
      </w:r>
      <w:r w:rsidRPr="00633F67">
        <w:rPr>
          <w:rFonts w:eastAsia="SimSun"/>
          <w:snapToGrid w:val="0"/>
          <w:lang w:eastAsia="ja-JP"/>
        </w:rPr>
        <w:fldChar w:fldCharType="end"/>
      </w:r>
      <w:r w:rsidR="00E26276" w:rsidRPr="00633F67">
        <w:rPr>
          <w:rFonts w:eastAsia="SimSun"/>
          <w:snapToGrid w:val="0"/>
          <w:lang w:val="de-DE" w:eastAsia="ja-JP"/>
        </w:rPr>
        <w:tab/>
      </w:r>
      <w:r w:rsidR="00431A9F" w:rsidRPr="00633F67">
        <w:rPr>
          <w:rFonts w:eastAsia="SimSun"/>
          <w:snapToGrid w:val="0"/>
          <w:lang w:val="de-DE" w:eastAsia="ja-JP"/>
        </w:rPr>
        <w:t>Der CAJ vereinbarte, daß beide Datenfelder „Bezeichnung“ und „Anmeldebezeichnung“ anhand von Bezeichnungssuchinstrumenten auf der Seite „Bezeichnungssuche“ der PLUTO-Datenbank entweder unabhängig voneinander oder in Kombination durchsucht werden können, wie in Dokument</w:t>
      </w:r>
      <w:r w:rsidR="00431A9F" w:rsidRPr="00633F67">
        <w:rPr>
          <w:lang w:val="de-DE"/>
        </w:rPr>
        <w:t xml:space="preserve"> CAJ/71/5, </w:t>
      </w:r>
      <w:r w:rsidR="00431A9F" w:rsidRPr="00633F67">
        <w:rPr>
          <w:rFonts w:eastAsia="SimSun"/>
          <w:snapToGrid w:val="0"/>
          <w:lang w:val="de-DE" w:eastAsia="ja-JP"/>
        </w:rPr>
        <w:t>Absätze 25 und 26, dargelegt</w:t>
      </w:r>
      <w:r w:rsidR="0042159E" w:rsidRPr="00633F67">
        <w:rPr>
          <w:rFonts w:eastAsia="SimSun"/>
          <w:snapToGrid w:val="0"/>
          <w:lang w:val="de-DE" w:eastAsia="ja-JP"/>
        </w:rPr>
        <w:t>.</w:t>
      </w:r>
    </w:p>
    <w:p w:rsidR="0088128E" w:rsidRPr="00633F67" w:rsidRDefault="0088128E" w:rsidP="004E4F91">
      <w:pPr>
        <w:rPr>
          <w:rFonts w:eastAsia="SimSun"/>
          <w:snapToGrid w:val="0"/>
          <w:lang w:val="de-DE" w:eastAsia="ja-JP"/>
        </w:rPr>
      </w:pPr>
    </w:p>
    <w:p w:rsidR="00431A9F" w:rsidRPr="00633F67" w:rsidRDefault="00B85B59" w:rsidP="00431A9F">
      <w:pPr>
        <w:rPr>
          <w:rFonts w:eastAsia="SimSun"/>
          <w:snapToGrid w:val="0"/>
          <w:lang w:val="de-DE" w:eastAsia="ja-JP"/>
        </w:rPr>
      </w:pPr>
      <w:r w:rsidRPr="00633F67">
        <w:rPr>
          <w:rFonts w:eastAsia="SimSun"/>
          <w:snapToGrid w:val="0"/>
          <w:vertAlign w:val="superscript"/>
          <w:lang w:val="de-DE" w:eastAsia="ja-JP"/>
        </w:rPr>
        <w:t>*</w:t>
      </w:r>
      <w:r w:rsidRPr="00633F67">
        <w:rPr>
          <w:rFonts w:eastAsia="SimSun"/>
          <w:snapToGrid w:val="0"/>
          <w:lang w:eastAsia="ja-JP"/>
        </w:rPr>
        <w:fldChar w:fldCharType="begin"/>
      </w:r>
      <w:r w:rsidRPr="00633F67">
        <w:rPr>
          <w:rFonts w:eastAsia="SimSun"/>
          <w:snapToGrid w:val="0"/>
          <w:lang w:val="de-DE" w:eastAsia="ja-JP"/>
        </w:rPr>
        <w:instrText xml:space="preserve"> AUTONUM  </w:instrText>
      </w:r>
      <w:r w:rsidRPr="00633F67">
        <w:rPr>
          <w:rFonts w:eastAsia="SimSun"/>
          <w:snapToGrid w:val="0"/>
          <w:lang w:eastAsia="ja-JP"/>
        </w:rPr>
        <w:fldChar w:fldCharType="end"/>
      </w:r>
      <w:r w:rsidR="00E26276" w:rsidRPr="00633F67">
        <w:rPr>
          <w:rFonts w:eastAsia="SimSun"/>
          <w:snapToGrid w:val="0"/>
          <w:lang w:val="de-DE" w:eastAsia="ja-JP"/>
        </w:rPr>
        <w:tab/>
      </w:r>
      <w:r w:rsidR="00431A9F" w:rsidRPr="00633F67">
        <w:rPr>
          <w:rFonts w:eastAsia="SimSun"/>
          <w:snapToGrid w:val="0"/>
          <w:lang w:val="de-DE" w:eastAsia="ja-JP"/>
        </w:rPr>
        <w:t>Der CAJ nahm die Informationen betreffend den Lehrgang „Einreichung von Daten für die PLUTO-Datenbank“, der im Dezember 2014 in Genf abgehalten wurde, wie in Dokument CAJ/71/5, Absätze 28 bis 30 dargelegt, sowie die Pläne zur Organisation drei weiterer Lehrgänge auf Englisch, Französisch und Spanisch im Jahr 2015 zur Kenntnis.</w:t>
      </w:r>
    </w:p>
    <w:p w:rsidR="00431A9F" w:rsidRPr="00633F67" w:rsidRDefault="00431A9F" w:rsidP="00431A9F">
      <w:pPr>
        <w:spacing w:line="360" w:lineRule="auto"/>
        <w:rPr>
          <w:rFonts w:eastAsia="SimSun"/>
          <w:snapToGrid w:val="0"/>
          <w:lang w:val="de-DE" w:eastAsia="ja-JP"/>
        </w:rPr>
      </w:pPr>
    </w:p>
    <w:p w:rsidR="00431A9F" w:rsidRPr="00633F67" w:rsidRDefault="00431A9F" w:rsidP="00431A9F">
      <w:pPr>
        <w:pStyle w:val="Heading3"/>
        <w:rPr>
          <w:snapToGrid w:val="0"/>
          <w:lang w:val="de-DE"/>
        </w:rPr>
      </w:pPr>
      <w:r w:rsidRPr="00633F67">
        <w:rPr>
          <w:snapToGrid w:val="0"/>
          <w:lang w:val="de-DE"/>
        </w:rPr>
        <w:t>(c)</w:t>
      </w:r>
      <w:r w:rsidRPr="00633F67">
        <w:rPr>
          <w:snapToGrid w:val="0"/>
          <w:lang w:val="de-DE"/>
        </w:rPr>
        <w:tab/>
        <w:t>Austausch und Verwendung von Software und Ausrüstung</w:t>
      </w:r>
    </w:p>
    <w:p w:rsidR="00962E4C" w:rsidRPr="00633F67" w:rsidRDefault="00962E4C" w:rsidP="00431A9F">
      <w:pPr>
        <w:rPr>
          <w:rFonts w:eastAsia="SimSun"/>
          <w:snapToGrid w:val="0"/>
          <w:lang w:val="de-DE" w:eastAsia="ja-JP"/>
        </w:rPr>
      </w:pPr>
    </w:p>
    <w:p w:rsidR="00E26276" w:rsidRPr="00633F67" w:rsidRDefault="00B85B59" w:rsidP="004E4F91">
      <w:pPr>
        <w:rPr>
          <w:lang w:val="de-DE"/>
        </w:rPr>
      </w:pPr>
      <w:r w:rsidRPr="00633F67">
        <w:rPr>
          <w:vertAlign w:val="superscript"/>
          <w:lang w:val="de-DE"/>
        </w:rPr>
        <w:t>*</w:t>
      </w:r>
      <w:r w:rsidRPr="00633F67">
        <w:fldChar w:fldCharType="begin"/>
      </w:r>
      <w:r w:rsidRPr="00633F67">
        <w:rPr>
          <w:lang w:val="de-DE"/>
        </w:rPr>
        <w:instrText xml:space="preserve"> AUTONUM  </w:instrText>
      </w:r>
      <w:r w:rsidRPr="00633F67">
        <w:fldChar w:fldCharType="end"/>
      </w:r>
      <w:r w:rsidR="00E26276" w:rsidRPr="00633F67">
        <w:rPr>
          <w:lang w:val="de-DE"/>
        </w:rPr>
        <w:tab/>
      </w:r>
      <w:r w:rsidR="00431A9F" w:rsidRPr="00633F67">
        <w:rPr>
          <w:lang w:val="de-DE"/>
        </w:rPr>
        <w:t>Der CAJ prüfte Dokumente CAJ/71/6 und CAJ/71/9</w:t>
      </w:r>
      <w:r w:rsidR="00D04324" w:rsidRPr="00633F67">
        <w:rPr>
          <w:lang w:val="de-DE"/>
        </w:rPr>
        <w:t>.</w:t>
      </w:r>
    </w:p>
    <w:p w:rsidR="00E26276" w:rsidRPr="00633F67" w:rsidRDefault="00E26276" w:rsidP="004E4F91">
      <w:pPr>
        <w:rPr>
          <w:lang w:val="de-DE"/>
        </w:rPr>
      </w:pPr>
    </w:p>
    <w:p w:rsidR="00E26276" w:rsidRPr="00633F67" w:rsidRDefault="00B85B59" w:rsidP="004E4F91">
      <w:pPr>
        <w:rPr>
          <w:rFonts w:eastAsia="SimSun"/>
          <w:snapToGrid w:val="0"/>
          <w:lang w:val="de-DE" w:eastAsia="ja-JP"/>
        </w:rPr>
      </w:pPr>
      <w:r w:rsidRPr="00633F67">
        <w:rPr>
          <w:rFonts w:eastAsia="SimSun"/>
          <w:snapToGrid w:val="0"/>
          <w:vertAlign w:val="superscript"/>
          <w:lang w:val="de-DE" w:eastAsia="ja-JP"/>
        </w:rPr>
        <w:t>*</w:t>
      </w:r>
      <w:r w:rsidRPr="00633F67">
        <w:rPr>
          <w:rFonts w:eastAsia="SimSun"/>
          <w:snapToGrid w:val="0"/>
          <w:lang w:eastAsia="ja-JP"/>
        </w:rPr>
        <w:fldChar w:fldCharType="begin"/>
      </w:r>
      <w:r w:rsidRPr="00633F67">
        <w:rPr>
          <w:rFonts w:eastAsia="SimSun"/>
          <w:snapToGrid w:val="0"/>
          <w:lang w:val="de-DE" w:eastAsia="ja-JP"/>
        </w:rPr>
        <w:instrText xml:space="preserve"> AUTONUM  </w:instrText>
      </w:r>
      <w:r w:rsidRPr="00633F67">
        <w:rPr>
          <w:rFonts w:eastAsia="SimSun"/>
          <w:snapToGrid w:val="0"/>
          <w:lang w:eastAsia="ja-JP"/>
        </w:rPr>
        <w:fldChar w:fldCharType="end"/>
      </w:r>
      <w:r w:rsidR="00E26276" w:rsidRPr="00633F67">
        <w:rPr>
          <w:rFonts w:eastAsia="SimSun"/>
          <w:snapToGrid w:val="0"/>
          <w:lang w:val="de-DE" w:eastAsia="ja-JP"/>
        </w:rPr>
        <w:tab/>
      </w:r>
      <w:r w:rsidR="00431A9F" w:rsidRPr="00633F67">
        <w:rPr>
          <w:rFonts w:eastAsia="SimSun"/>
          <w:snapToGrid w:val="0"/>
          <w:lang w:val="de-DE" w:eastAsia="ja-JP"/>
        </w:rPr>
        <w:t>Der CAJ nahm zur Kenntnis, daß der Rat auf seiner achtundvierzigsten ordentlichen Tagung die Überarbeitung von Dokument UPOV/INF/16 „Austauschbare Software“ (Dokument UPOV/INF/16/4) angenommen hat.</w:t>
      </w:r>
    </w:p>
    <w:p w:rsidR="00E26276" w:rsidRPr="00633F67" w:rsidRDefault="00E26276" w:rsidP="004E4F91">
      <w:pPr>
        <w:rPr>
          <w:rFonts w:eastAsia="SimSun"/>
          <w:snapToGrid w:val="0"/>
          <w:lang w:val="de-DE" w:eastAsia="ja-JP"/>
        </w:rPr>
      </w:pPr>
    </w:p>
    <w:p w:rsidR="00431A9F" w:rsidRPr="00633F67" w:rsidRDefault="004125C8" w:rsidP="00431A9F">
      <w:pPr>
        <w:rPr>
          <w:rFonts w:eastAsia="SimSun"/>
          <w:snapToGrid w:val="0"/>
          <w:lang w:val="de-DE" w:eastAsia="ja-JP"/>
        </w:rPr>
      </w:pPr>
      <w:r w:rsidRPr="00633F67">
        <w:rPr>
          <w:rFonts w:eastAsia="SimSun"/>
          <w:snapToGrid w:val="0"/>
          <w:vertAlign w:val="superscript"/>
          <w:lang w:val="de-DE" w:eastAsia="ja-JP"/>
        </w:rPr>
        <w:t>*</w:t>
      </w:r>
      <w:r w:rsidR="00431A9F" w:rsidRPr="00633F67">
        <w:rPr>
          <w:rFonts w:eastAsia="SimSun"/>
          <w:snapToGrid w:val="0"/>
          <w:lang w:eastAsia="ja-JP"/>
        </w:rPr>
        <w:fldChar w:fldCharType="begin"/>
      </w:r>
      <w:r w:rsidR="00431A9F" w:rsidRPr="00633F67">
        <w:rPr>
          <w:rFonts w:eastAsia="SimSun"/>
          <w:snapToGrid w:val="0"/>
          <w:lang w:val="de-DE" w:eastAsia="ja-JP"/>
        </w:rPr>
        <w:instrText xml:space="preserve"> AUTONUM  </w:instrText>
      </w:r>
      <w:r w:rsidR="00431A9F" w:rsidRPr="00633F67">
        <w:rPr>
          <w:rFonts w:eastAsia="SimSun"/>
          <w:snapToGrid w:val="0"/>
          <w:lang w:eastAsia="ja-JP"/>
        </w:rPr>
        <w:fldChar w:fldCharType="end"/>
      </w:r>
      <w:r w:rsidR="00431A9F" w:rsidRPr="00633F67">
        <w:rPr>
          <w:rFonts w:eastAsia="SimSun"/>
          <w:snapToGrid w:val="0"/>
          <w:lang w:val="de-DE" w:eastAsia="ja-JP"/>
        </w:rPr>
        <w:tab/>
        <w:t>Der CAJ nahm zur Kenntnis, daß die Erörterungen über die Aufnahme der SISNAVA-Software in Dokument UPOV/INF/16 in der Technischen Arbeitsgruppe für Automatisierung und Computerprogramme (TWC), vorbehaltlich der Schlußfolgerung der Erörterungen über die Variation bei Sortenbezeichnungen über die Jahre an verschiedenen Orten, fortgeführt würden.</w:t>
      </w:r>
    </w:p>
    <w:p w:rsidR="00431A9F" w:rsidRPr="00633F67" w:rsidRDefault="00431A9F" w:rsidP="00431A9F">
      <w:pPr>
        <w:rPr>
          <w:rFonts w:eastAsia="SimSun"/>
          <w:snapToGrid w:val="0"/>
          <w:lang w:val="de-DE" w:eastAsia="ja-JP"/>
        </w:rPr>
      </w:pPr>
    </w:p>
    <w:p w:rsidR="00431A9F" w:rsidRPr="00633F67" w:rsidRDefault="004125C8" w:rsidP="00431A9F">
      <w:pPr>
        <w:rPr>
          <w:rFonts w:eastAsia="SimSun"/>
          <w:snapToGrid w:val="0"/>
          <w:lang w:val="de-DE" w:eastAsia="ja-JP"/>
        </w:rPr>
      </w:pPr>
      <w:r w:rsidRPr="00633F67">
        <w:rPr>
          <w:rFonts w:eastAsia="SimSun"/>
          <w:snapToGrid w:val="0"/>
          <w:vertAlign w:val="superscript"/>
          <w:lang w:val="de-DE" w:eastAsia="ja-JP"/>
        </w:rPr>
        <w:t>*</w:t>
      </w:r>
      <w:r w:rsidR="00431A9F" w:rsidRPr="00633F67">
        <w:rPr>
          <w:rFonts w:eastAsia="SimSun"/>
          <w:snapToGrid w:val="0"/>
          <w:lang w:eastAsia="ja-JP"/>
        </w:rPr>
        <w:fldChar w:fldCharType="begin"/>
      </w:r>
      <w:r w:rsidR="00431A9F" w:rsidRPr="00633F67">
        <w:rPr>
          <w:rFonts w:eastAsia="SimSun"/>
          <w:snapToGrid w:val="0"/>
          <w:lang w:val="de-DE" w:eastAsia="ja-JP"/>
        </w:rPr>
        <w:instrText xml:space="preserve"> AUTONUM  </w:instrText>
      </w:r>
      <w:r w:rsidR="00431A9F" w:rsidRPr="00633F67">
        <w:rPr>
          <w:rFonts w:eastAsia="SimSun"/>
          <w:snapToGrid w:val="0"/>
          <w:lang w:eastAsia="ja-JP"/>
        </w:rPr>
        <w:fldChar w:fldCharType="end"/>
      </w:r>
      <w:r w:rsidR="00431A9F" w:rsidRPr="00633F67">
        <w:rPr>
          <w:rFonts w:eastAsia="SimSun"/>
          <w:snapToGrid w:val="0"/>
          <w:lang w:val="de-DE" w:eastAsia="ja-JP"/>
        </w:rPr>
        <w:tab/>
        <w:t xml:space="preserve">Der CAJ billigte die </w:t>
      </w:r>
      <w:r w:rsidR="00431A9F" w:rsidRPr="00633F67">
        <w:rPr>
          <w:lang w:val="de-DE"/>
        </w:rPr>
        <w:t xml:space="preserve">vorgeschlagene Überarbeitung von Dokument UPOV/INF/16/4 betreffend die Aufnahme von Informationen über die Nutzung von Software durch Verbandsmitglieder, wie in der Anlage I </w:t>
      </w:r>
      <w:r w:rsidR="00431A9F" w:rsidRPr="00633F67">
        <w:rPr>
          <w:rFonts w:eastAsia="SimSun"/>
          <w:snapToGrid w:val="0"/>
          <w:lang w:val="de-DE" w:eastAsia="ja-JP"/>
        </w:rPr>
        <w:t xml:space="preserve">des Dokuments CAJ/71/6 </w:t>
      </w:r>
      <w:r w:rsidR="00431A9F" w:rsidRPr="00633F67">
        <w:rPr>
          <w:lang w:val="de-DE"/>
        </w:rPr>
        <w:t>dargelegt</w:t>
      </w:r>
      <w:r w:rsidR="00431A9F" w:rsidRPr="00633F67">
        <w:rPr>
          <w:rFonts w:eastAsia="SimSun"/>
          <w:snapToGrid w:val="0"/>
          <w:lang w:val="de-DE" w:eastAsia="ja-JP"/>
        </w:rPr>
        <w:t xml:space="preserve">. </w:t>
      </w:r>
    </w:p>
    <w:p w:rsidR="00431A9F" w:rsidRPr="00633F67" w:rsidRDefault="00431A9F" w:rsidP="00431A9F">
      <w:pPr>
        <w:rPr>
          <w:rFonts w:eastAsia="SimSun"/>
          <w:snapToGrid w:val="0"/>
          <w:lang w:val="de-DE" w:eastAsia="ja-JP"/>
        </w:rPr>
      </w:pPr>
    </w:p>
    <w:p w:rsidR="00431A9F" w:rsidRPr="00633F67" w:rsidRDefault="004125C8" w:rsidP="00431A9F">
      <w:pPr>
        <w:rPr>
          <w:rFonts w:eastAsia="SimSun"/>
          <w:snapToGrid w:val="0"/>
          <w:lang w:val="de-DE" w:eastAsia="ja-JP"/>
        </w:rPr>
      </w:pPr>
      <w:r w:rsidRPr="00633F67">
        <w:rPr>
          <w:rFonts w:eastAsia="SimSun"/>
          <w:snapToGrid w:val="0"/>
          <w:vertAlign w:val="superscript"/>
          <w:lang w:val="de-DE" w:eastAsia="ja-JP"/>
        </w:rPr>
        <w:t>*</w:t>
      </w:r>
      <w:r w:rsidR="00431A9F" w:rsidRPr="00633F67">
        <w:rPr>
          <w:rFonts w:eastAsia="SimSun"/>
          <w:snapToGrid w:val="0"/>
          <w:lang w:eastAsia="ja-JP"/>
        </w:rPr>
        <w:fldChar w:fldCharType="begin"/>
      </w:r>
      <w:r w:rsidR="00431A9F" w:rsidRPr="00633F67">
        <w:rPr>
          <w:rFonts w:eastAsia="SimSun"/>
          <w:snapToGrid w:val="0"/>
          <w:lang w:val="de-DE" w:eastAsia="ja-JP"/>
        </w:rPr>
        <w:instrText xml:space="preserve"> AUTONUM  </w:instrText>
      </w:r>
      <w:r w:rsidR="00431A9F" w:rsidRPr="00633F67">
        <w:rPr>
          <w:rFonts w:eastAsia="SimSun"/>
          <w:snapToGrid w:val="0"/>
          <w:lang w:eastAsia="ja-JP"/>
        </w:rPr>
        <w:fldChar w:fldCharType="end"/>
      </w:r>
      <w:r w:rsidR="00431A9F" w:rsidRPr="00633F67">
        <w:rPr>
          <w:rFonts w:eastAsia="SimSun"/>
          <w:snapToGrid w:val="0"/>
          <w:lang w:val="de-DE" w:eastAsia="ja-JP"/>
        </w:rPr>
        <w:tab/>
        <w:t>Der CAJ vereinbarte, daß dem Rat auf seiner neunundvierzigsten ordentlichen Tagung am 29. Oktober 2015 in Genf ein Entwurf von Dokument UPOV/INF/16 „Austauschbare Software“ zur Annahme vorgelegt werden würde.</w:t>
      </w:r>
    </w:p>
    <w:p w:rsidR="00431A9F" w:rsidRPr="00633F67" w:rsidRDefault="00431A9F" w:rsidP="00431A9F">
      <w:pPr>
        <w:rPr>
          <w:rFonts w:eastAsia="SimSun"/>
          <w:snapToGrid w:val="0"/>
          <w:lang w:val="de-DE" w:eastAsia="ja-JP"/>
        </w:rPr>
      </w:pPr>
    </w:p>
    <w:p w:rsidR="00431A9F" w:rsidRPr="00633F67" w:rsidRDefault="004125C8" w:rsidP="00431A9F">
      <w:pPr>
        <w:rPr>
          <w:rFonts w:eastAsia="SimSun"/>
          <w:snapToGrid w:val="0"/>
          <w:lang w:val="de-DE" w:eastAsia="ja-JP"/>
        </w:rPr>
      </w:pPr>
      <w:r w:rsidRPr="00633F67">
        <w:rPr>
          <w:rFonts w:eastAsia="SimSun"/>
          <w:snapToGrid w:val="0"/>
          <w:vertAlign w:val="superscript"/>
          <w:lang w:val="de-DE" w:eastAsia="ja-JP"/>
        </w:rPr>
        <w:t>*</w:t>
      </w:r>
      <w:r w:rsidR="00431A9F" w:rsidRPr="00633F67">
        <w:rPr>
          <w:rFonts w:eastAsia="SimSun"/>
          <w:snapToGrid w:val="0"/>
          <w:lang w:eastAsia="ja-JP"/>
        </w:rPr>
        <w:fldChar w:fldCharType="begin"/>
      </w:r>
      <w:r w:rsidR="00431A9F" w:rsidRPr="00633F67">
        <w:rPr>
          <w:rFonts w:eastAsia="SimSun"/>
          <w:snapToGrid w:val="0"/>
          <w:lang w:val="de-DE" w:eastAsia="ja-JP"/>
        </w:rPr>
        <w:instrText xml:space="preserve"> AUTONUM  </w:instrText>
      </w:r>
      <w:r w:rsidR="00431A9F" w:rsidRPr="00633F67">
        <w:rPr>
          <w:rFonts w:eastAsia="SimSun"/>
          <w:snapToGrid w:val="0"/>
          <w:lang w:eastAsia="ja-JP"/>
        </w:rPr>
        <w:fldChar w:fldCharType="end"/>
      </w:r>
      <w:r w:rsidR="00431A9F" w:rsidRPr="00633F67">
        <w:rPr>
          <w:rFonts w:eastAsia="SimSun"/>
          <w:snapToGrid w:val="0"/>
          <w:lang w:val="de-DE" w:eastAsia="ja-JP"/>
        </w:rPr>
        <w:tab/>
        <w:t>Der CAJ nahm zur Kenntnis, daß der Rat</w:t>
      </w:r>
      <w:r w:rsidR="00431A9F" w:rsidRPr="00633F67">
        <w:rPr>
          <w:lang w:val="de-DE"/>
        </w:rPr>
        <w:t xml:space="preserve"> </w:t>
      </w:r>
      <w:r w:rsidR="00431A9F" w:rsidRPr="00633F67">
        <w:rPr>
          <w:rFonts w:eastAsia="SimSun"/>
          <w:snapToGrid w:val="0"/>
          <w:lang w:val="de-DE" w:eastAsia="ja-JP"/>
        </w:rPr>
        <w:t>auf seiner achtundvierzigsten ordentlichen Tagung am 16. Oktober 2014 in Genf Dokument UPOV/INF/22/1 „Von Verbandsmitgliedern verwendete Software und Ausrüstung“ angenommen hatte.</w:t>
      </w:r>
    </w:p>
    <w:p w:rsidR="00431A9F" w:rsidRPr="00633F67" w:rsidRDefault="00431A9F" w:rsidP="00431A9F">
      <w:pPr>
        <w:rPr>
          <w:rFonts w:eastAsia="SimSun"/>
          <w:snapToGrid w:val="0"/>
          <w:lang w:val="de-DE" w:eastAsia="ja-JP"/>
        </w:rPr>
      </w:pPr>
    </w:p>
    <w:p w:rsidR="00431A9F" w:rsidRPr="00633F67" w:rsidRDefault="004125C8" w:rsidP="00431A9F">
      <w:pPr>
        <w:rPr>
          <w:lang w:val="de-DE"/>
        </w:rPr>
      </w:pPr>
      <w:r w:rsidRPr="00633F67">
        <w:rPr>
          <w:rFonts w:eastAsia="SimSun"/>
          <w:snapToGrid w:val="0"/>
          <w:vertAlign w:val="superscript"/>
          <w:lang w:val="de-DE" w:eastAsia="ja-JP"/>
        </w:rPr>
        <w:t>*</w:t>
      </w:r>
      <w:r w:rsidR="00431A9F" w:rsidRPr="00633F67">
        <w:fldChar w:fldCharType="begin"/>
      </w:r>
      <w:r w:rsidR="00431A9F" w:rsidRPr="00633F67">
        <w:rPr>
          <w:lang w:val="de-DE"/>
        </w:rPr>
        <w:instrText xml:space="preserve"> AUTONUM  </w:instrText>
      </w:r>
      <w:r w:rsidR="00431A9F" w:rsidRPr="00633F67">
        <w:fldChar w:fldCharType="end"/>
      </w:r>
      <w:r w:rsidR="00431A9F" w:rsidRPr="00633F67">
        <w:rPr>
          <w:lang w:val="de-DE"/>
        </w:rPr>
        <w:tab/>
        <w:t>Der CAJ vereinbarte, die Informationen in Anlage II des Dokuments CAJ/71/6 vorbehaltlich der von Deutschland bereitzustellenden Berichtigungen und der Überprüfung der von Uruguay bereitgestellten Daten in Dokument UPOV/INF/22 aufzunehmen.</w:t>
      </w:r>
    </w:p>
    <w:p w:rsidR="00431A9F" w:rsidRPr="00633F67" w:rsidRDefault="00431A9F" w:rsidP="00431A9F">
      <w:pPr>
        <w:rPr>
          <w:rFonts w:eastAsia="SimSun"/>
          <w:snapToGrid w:val="0"/>
          <w:lang w:val="de-DE" w:eastAsia="ja-JP"/>
        </w:rPr>
      </w:pPr>
    </w:p>
    <w:p w:rsidR="00431A9F" w:rsidRPr="00633F67" w:rsidRDefault="004125C8" w:rsidP="00431A9F">
      <w:pPr>
        <w:rPr>
          <w:rFonts w:eastAsia="SimSun"/>
          <w:snapToGrid w:val="0"/>
          <w:lang w:val="de-DE" w:eastAsia="ja-JP"/>
        </w:rPr>
      </w:pPr>
      <w:r w:rsidRPr="00633F67">
        <w:rPr>
          <w:rFonts w:eastAsia="SimSun"/>
          <w:snapToGrid w:val="0"/>
          <w:vertAlign w:val="superscript"/>
          <w:lang w:val="de-DE" w:eastAsia="ja-JP"/>
        </w:rPr>
        <w:t>*</w:t>
      </w:r>
      <w:r w:rsidR="00431A9F" w:rsidRPr="00633F67">
        <w:rPr>
          <w:rFonts w:eastAsia="SimSun"/>
          <w:snapToGrid w:val="0"/>
          <w:lang w:eastAsia="ja-JP"/>
        </w:rPr>
        <w:fldChar w:fldCharType="begin"/>
      </w:r>
      <w:r w:rsidR="00431A9F" w:rsidRPr="00633F67">
        <w:rPr>
          <w:rFonts w:eastAsia="SimSun"/>
          <w:snapToGrid w:val="0"/>
          <w:lang w:val="de-DE" w:eastAsia="ja-JP"/>
        </w:rPr>
        <w:instrText xml:space="preserve"> AUTONUM  </w:instrText>
      </w:r>
      <w:r w:rsidR="00431A9F" w:rsidRPr="00633F67">
        <w:rPr>
          <w:rFonts w:eastAsia="SimSun"/>
          <w:snapToGrid w:val="0"/>
          <w:lang w:eastAsia="ja-JP"/>
        </w:rPr>
        <w:fldChar w:fldCharType="end"/>
      </w:r>
      <w:r w:rsidR="00431A9F" w:rsidRPr="00633F67">
        <w:rPr>
          <w:rFonts w:eastAsia="SimSun"/>
          <w:snapToGrid w:val="0"/>
          <w:lang w:val="de-DE" w:eastAsia="ja-JP"/>
        </w:rPr>
        <w:tab/>
        <w:t>In Anbetracht dieser Tatsache vereinbarte der CAJ, daß ein Entwurf von Dokument UPOV/INF/22 „Von Verbandsmitgliedern verwendete Software und Ausrüstung“ zur Annahme durch den Rat auf seiner neunundvierzigsten ordentlichen Tagung am 29. Oktober 2015 vorgelegt werden würde.</w:t>
      </w:r>
    </w:p>
    <w:p w:rsidR="00431A9F" w:rsidRPr="00633F67" w:rsidRDefault="00431A9F" w:rsidP="00431A9F">
      <w:pPr>
        <w:rPr>
          <w:snapToGrid w:val="0"/>
          <w:u w:val="single"/>
          <w:lang w:val="de-DE"/>
        </w:rPr>
      </w:pPr>
    </w:p>
    <w:p w:rsidR="00431A9F" w:rsidRPr="00633F67" w:rsidRDefault="00431A9F" w:rsidP="00431A9F">
      <w:pPr>
        <w:rPr>
          <w:snapToGrid w:val="0"/>
          <w:u w:val="single"/>
          <w:lang w:val="de-DE"/>
        </w:rPr>
      </w:pPr>
    </w:p>
    <w:p w:rsidR="00E26276" w:rsidRPr="00633F67" w:rsidRDefault="00431A9F" w:rsidP="004E4F91">
      <w:pPr>
        <w:keepNext/>
        <w:jc w:val="left"/>
        <w:outlineLvl w:val="0"/>
        <w:rPr>
          <w:snapToGrid w:val="0"/>
          <w:u w:val="single"/>
          <w:lang w:val="de-DE"/>
        </w:rPr>
      </w:pPr>
      <w:r w:rsidRPr="00633F67">
        <w:rPr>
          <w:snapToGrid w:val="0"/>
          <w:u w:val="single"/>
          <w:lang w:val="de-DE"/>
        </w:rPr>
        <w:t>TGP-Dokumente</w:t>
      </w:r>
    </w:p>
    <w:p w:rsidR="00E26276" w:rsidRPr="00633F67" w:rsidRDefault="00E26276" w:rsidP="004E4F91">
      <w:pPr>
        <w:keepLines/>
        <w:rPr>
          <w:rFonts w:eastAsia="SimSun"/>
          <w:snapToGrid w:val="0"/>
          <w:lang w:val="de-DE" w:eastAsia="ja-JP"/>
        </w:rPr>
      </w:pPr>
    </w:p>
    <w:bookmarkEnd w:id="8"/>
    <w:p w:rsidR="004125C8" w:rsidRPr="00633F67" w:rsidRDefault="004125C8" w:rsidP="004125C8">
      <w:pPr>
        <w:rPr>
          <w:lang w:val="de-DE"/>
        </w:rPr>
      </w:pPr>
      <w:r w:rsidRPr="00633F67">
        <w:rPr>
          <w:rFonts w:eastAsia="SimSun"/>
          <w:snapToGrid w:val="0"/>
          <w:vertAlign w:val="superscript"/>
          <w:lang w:val="de-DE" w:eastAsia="ja-JP"/>
        </w:rPr>
        <w:t>*</w:t>
      </w:r>
      <w:r w:rsidRPr="00633F67">
        <w:fldChar w:fldCharType="begin"/>
      </w:r>
      <w:r w:rsidRPr="00633F67">
        <w:rPr>
          <w:lang w:val="de-DE"/>
        </w:rPr>
        <w:instrText xml:space="preserve"> AUTONUM  </w:instrText>
      </w:r>
      <w:r w:rsidRPr="00633F67">
        <w:fldChar w:fldCharType="end"/>
      </w:r>
      <w:r w:rsidRPr="00633F67">
        <w:rPr>
          <w:lang w:val="de-DE"/>
        </w:rPr>
        <w:tab/>
        <w:t>Der CAJ prüfte Dokumente CAJ/71/7 und CAJ/71/9.</w:t>
      </w:r>
    </w:p>
    <w:p w:rsidR="004125C8" w:rsidRPr="00633F67" w:rsidRDefault="004125C8" w:rsidP="004125C8">
      <w:pPr>
        <w:spacing w:line="360" w:lineRule="auto"/>
        <w:rPr>
          <w:lang w:val="de-DE"/>
        </w:rPr>
      </w:pPr>
    </w:p>
    <w:p w:rsidR="004125C8" w:rsidRPr="00633F67" w:rsidRDefault="004125C8" w:rsidP="004125C8">
      <w:pPr>
        <w:keepNext/>
        <w:rPr>
          <w:i/>
          <w:lang w:val="de-DE"/>
        </w:rPr>
      </w:pPr>
      <w:r w:rsidRPr="00633F67">
        <w:rPr>
          <w:i/>
          <w:lang w:val="de-DE"/>
        </w:rPr>
        <w:t>TGP/9: Prüfung der Unterscheidbarkeit</w:t>
      </w:r>
    </w:p>
    <w:p w:rsidR="004125C8" w:rsidRPr="00633F67" w:rsidRDefault="004125C8" w:rsidP="004125C8">
      <w:pPr>
        <w:keepNext/>
        <w:rPr>
          <w:lang w:val="de-DE"/>
        </w:rPr>
      </w:pPr>
    </w:p>
    <w:p w:rsidR="004125C8" w:rsidRPr="00633F67" w:rsidRDefault="004125C8" w:rsidP="004125C8">
      <w:pPr>
        <w:rPr>
          <w:lang w:val="de-DE"/>
        </w:rPr>
      </w:pPr>
      <w:r w:rsidRPr="00633F67">
        <w:rPr>
          <w:rFonts w:eastAsia="SimSun"/>
          <w:snapToGrid w:val="0"/>
          <w:vertAlign w:val="superscript"/>
          <w:lang w:val="de-DE" w:eastAsia="ja-JP"/>
        </w:rPr>
        <w:t>*</w:t>
      </w:r>
      <w:r w:rsidRPr="00633F67">
        <w:fldChar w:fldCharType="begin"/>
      </w:r>
      <w:r w:rsidRPr="00633F67">
        <w:rPr>
          <w:lang w:val="de-DE"/>
        </w:rPr>
        <w:instrText xml:space="preserve"> AUTONUM  </w:instrText>
      </w:r>
      <w:r w:rsidRPr="00633F67">
        <w:fldChar w:fldCharType="end"/>
      </w:r>
      <w:r w:rsidRPr="00633F67">
        <w:rPr>
          <w:lang w:val="de-DE"/>
        </w:rPr>
        <w:tab/>
        <w:t xml:space="preserve">Der CAJ billigte die bereits vom TC gebilligte Überarbeitung des Dokuments TGP/9, wie in Anlage I des Dokuments CAJ/71/7 dargelegt. </w:t>
      </w:r>
    </w:p>
    <w:p w:rsidR="004125C8" w:rsidRPr="00633F67" w:rsidRDefault="004125C8" w:rsidP="004125C8">
      <w:pPr>
        <w:rPr>
          <w:lang w:val="de-DE"/>
        </w:rPr>
      </w:pPr>
    </w:p>
    <w:p w:rsidR="004125C8" w:rsidRPr="00633F67" w:rsidRDefault="004125C8" w:rsidP="004125C8">
      <w:pPr>
        <w:rPr>
          <w:lang w:val="de-DE"/>
        </w:rPr>
      </w:pPr>
      <w:r w:rsidRPr="00633F67">
        <w:rPr>
          <w:rFonts w:eastAsia="SimSun"/>
          <w:snapToGrid w:val="0"/>
          <w:vertAlign w:val="superscript"/>
          <w:lang w:val="de-DE" w:eastAsia="ja-JP"/>
        </w:rPr>
        <w:t>*</w:t>
      </w:r>
      <w:r w:rsidRPr="00633F67">
        <w:fldChar w:fldCharType="begin"/>
      </w:r>
      <w:r w:rsidRPr="00633F67">
        <w:rPr>
          <w:lang w:val="de-DE"/>
        </w:rPr>
        <w:instrText xml:space="preserve"> AUTONUM  </w:instrText>
      </w:r>
      <w:r w:rsidRPr="00633F67">
        <w:fldChar w:fldCharType="end"/>
      </w:r>
      <w:r w:rsidRPr="00633F67">
        <w:rPr>
          <w:lang w:val="de-DE"/>
        </w:rPr>
        <w:tab/>
        <w:t xml:space="preserve">Der CAJ billigte den Vorschlag zur Aufnahme von Überarbeitungen des Flußdiagramms in Dokument TGP/9: Abschnitt 1.6 „Schematischer Überblick über die TGP-Dokumente zur Unterscheidbarkeit“ im Jahre 2015, wie in den Anlagen II und III des Dokuments CAJ/71/7 dargelegt. </w:t>
      </w:r>
    </w:p>
    <w:p w:rsidR="004125C8" w:rsidRPr="00633F67" w:rsidRDefault="004125C8" w:rsidP="004125C8">
      <w:pPr>
        <w:rPr>
          <w:lang w:val="de-DE"/>
        </w:rPr>
      </w:pPr>
    </w:p>
    <w:p w:rsidR="004125C8" w:rsidRPr="00633F67" w:rsidRDefault="004125C8" w:rsidP="004125C8">
      <w:pPr>
        <w:rPr>
          <w:lang w:val="de-DE"/>
        </w:rPr>
      </w:pPr>
      <w:r w:rsidRPr="00633F67">
        <w:rPr>
          <w:rFonts w:eastAsia="SimSun"/>
          <w:snapToGrid w:val="0"/>
          <w:vertAlign w:val="superscript"/>
          <w:lang w:val="de-DE" w:eastAsia="ja-JP"/>
        </w:rPr>
        <w:t>*</w:t>
      </w:r>
      <w:r w:rsidRPr="00633F67">
        <w:fldChar w:fldCharType="begin"/>
      </w:r>
      <w:r w:rsidRPr="00633F67">
        <w:rPr>
          <w:lang w:val="de-DE"/>
        </w:rPr>
        <w:instrText xml:space="preserve"> AUTONUM  </w:instrText>
      </w:r>
      <w:r w:rsidRPr="00633F67">
        <w:fldChar w:fldCharType="end"/>
      </w:r>
      <w:r w:rsidRPr="00633F67">
        <w:rPr>
          <w:lang w:val="de-DE"/>
        </w:rPr>
        <w:tab/>
        <w:t>Der CAJ prüfte die Aufnahme der vorgeschlagenen Anleitung zu Fotoaufnahmen in Dokument TGP/9, Abschnitt 2.5 „Fotoaufnahmen“, und vereinbarte, daß die Anleitung folgendermaßen lauten sollte:</w:t>
      </w:r>
    </w:p>
    <w:p w:rsidR="004125C8" w:rsidRPr="00633F67" w:rsidRDefault="004125C8" w:rsidP="004125C8">
      <w:pPr>
        <w:rPr>
          <w:lang w:val="de-DE"/>
        </w:rPr>
      </w:pPr>
    </w:p>
    <w:p w:rsidR="004125C8" w:rsidRPr="00633F67" w:rsidRDefault="004125C8" w:rsidP="004125C8">
      <w:pPr>
        <w:autoSpaceDE w:val="0"/>
        <w:autoSpaceDN w:val="0"/>
        <w:adjustRightInd w:val="0"/>
        <w:ind w:left="567" w:right="567"/>
        <w:rPr>
          <w:lang w:val="de-DE"/>
        </w:rPr>
      </w:pPr>
      <w:r w:rsidRPr="00633F67">
        <w:rPr>
          <w:rFonts w:cs="Arial"/>
          <w:sz w:val="18"/>
          <w:lang w:val="de-DE"/>
        </w:rPr>
        <w:t xml:space="preserve">„2.5.3 Die Eignung von Fotoaufnahmen für die Sortenidentifikation ähnlicher Sorten wird durch die Qualität der von der Behörde für die Sorten in der Sortensammlung erstellten Fotoaufnahmen und der vom </w:t>
      </w:r>
      <w:r w:rsidRPr="00633F67">
        <w:rPr>
          <w:rFonts w:cs="Arial"/>
          <w:sz w:val="18"/>
          <w:lang w:val="de-DE"/>
        </w:rPr>
        <w:lastRenderedPageBreak/>
        <w:t>Antragsteller zusammen mit dem Technischen Fragebogen eingereichten Fotoaufnahme stark beeinflußt. Eine ausführliche Anleitung für die Erstellung geeigneter Fotoaufnahmen wird in Dokument TGP/7, GN 35, erteilt. Die Anleitung wurde insbesondere für die Antragsteller ausgearbeitet, damit sie geeignete Fotoaufnahmen der Kandidatensorte einreichen. Dieselben Anweisungen sind auch für die Behörden wichtig und zweckdienlich, um Fotoaufnahmen der Sorten in der Sortensammlung unter genormten Bedingungen zu erstellen.“</w:t>
      </w:r>
    </w:p>
    <w:p w:rsidR="004125C8" w:rsidRPr="00633F67" w:rsidRDefault="004125C8" w:rsidP="004125C8">
      <w:pPr>
        <w:ind w:left="1418" w:hanging="851"/>
        <w:rPr>
          <w:lang w:val="de-DE"/>
        </w:rPr>
      </w:pPr>
    </w:p>
    <w:p w:rsidR="004125C8" w:rsidRPr="00633F67" w:rsidRDefault="004125C8" w:rsidP="004125C8">
      <w:pPr>
        <w:spacing w:after="240"/>
        <w:rPr>
          <w:lang w:val="de-DE"/>
        </w:rPr>
      </w:pPr>
      <w:r w:rsidRPr="00633F67">
        <w:rPr>
          <w:rFonts w:eastAsia="SimSun"/>
          <w:snapToGrid w:val="0"/>
          <w:vertAlign w:val="superscript"/>
          <w:lang w:val="de-DE" w:eastAsia="ja-JP"/>
        </w:rPr>
        <w:t>*</w:t>
      </w:r>
      <w:r w:rsidRPr="00633F67">
        <w:fldChar w:fldCharType="begin"/>
      </w:r>
      <w:r w:rsidRPr="00633F67">
        <w:rPr>
          <w:lang w:val="de-DE"/>
        </w:rPr>
        <w:instrText xml:space="preserve"> AUTONUM  </w:instrText>
      </w:r>
      <w:r w:rsidRPr="00633F67">
        <w:fldChar w:fldCharType="end"/>
      </w:r>
      <w:r w:rsidRPr="00633F67">
        <w:rPr>
          <w:lang w:val="de-DE"/>
        </w:rPr>
        <w:tab/>
        <w:t>Der CAJ nahm zur Kenntnis, daß redaktionelle Änderungen an dem Entwurf für den Wortlaut auf Deutsch vorgenommen werden müssten, und erinnerte daran, daß die Sachverständigen für Sprache des Redaktionsausschusses ersucht werden würden, die Übersetzungen sämtlicher technischen Dokumente auf Französisch, Deutsch und Spanisch vor deren Vorbereitung zur Annahme durch den Rat zu überprüfen.</w:t>
      </w:r>
    </w:p>
    <w:p w:rsidR="004125C8" w:rsidRPr="00633F67" w:rsidRDefault="004125C8" w:rsidP="004125C8">
      <w:pPr>
        <w:pStyle w:val="Heading4"/>
        <w:ind w:left="1134" w:hanging="567"/>
      </w:pPr>
      <w:r w:rsidRPr="00633F67">
        <w:t>(iii)</w:t>
      </w:r>
      <w:r w:rsidRPr="00633F67">
        <w:tab/>
        <w:t>Überarbeitung des Dokuments TGP/9: Abschnitte 4.3.2 und 4.3.4 Beobachtungsmethode (Einmalige Messung – MG)</w:t>
      </w:r>
    </w:p>
    <w:p w:rsidR="004125C8" w:rsidRPr="00633F67" w:rsidRDefault="004125C8" w:rsidP="004125C8">
      <w:pPr>
        <w:keepNext/>
        <w:rPr>
          <w:lang w:val="de-DE"/>
        </w:rPr>
      </w:pPr>
    </w:p>
    <w:p w:rsidR="004125C8" w:rsidRPr="00633F67" w:rsidRDefault="004125C8" w:rsidP="004125C8">
      <w:pPr>
        <w:rPr>
          <w:lang w:val="de-DE"/>
        </w:rPr>
      </w:pPr>
      <w:r w:rsidRPr="00633F67">
        <w:rPr>
          <w:rFonts w:eastAsia="SimSun"/>
          <w:snapToGrid w:val="0"/>
          <w:vertAlign w:val="superscript"/>
          <w:lang w:val="de-DE" w:eastAsia="ja-JP"/>
        </w:rPr>
        <w:t>*</w:t>
      </w:r>
      <w:r w:rsidRPr="00633F67">
        <w:fldChar w:fldCharType="begin"/>
      </w:r>
      <w:r w:rsidRPr="00633F67">
        <w:rPr>
          <w:lang w:val="de-DE"/>
        </w:rPr>
        <w:instrText xml:space="preserve"> AUTONUM  </w:instrText>
      </w:r>
      <w:r w:rsidRPr="00633F67">
        <w:fldChar w:fldCharType="end"/>
      </w:r>
      <w:r w:rsidRPr="00633F67">
        <w:rPr>
          <w:lang w:val="de-DE"/>
        </w:rPr>
        <w:tab/>
        <w:t>Der CAJ prüfte das vorgeschlagene Beispiel für eine einmalige Erfassung an Pflanzenteilen für eine Gruppe von Pflanzen (MG) zur Aufnahme in Dokument TGP/9, Abschnitt 4.3.2 „Einmalige Erfassung für eine Gruppe von Pflanzen oder Pflanzenteilen (G)“ und Abschnitt 4.3.4 „Schematische Zusammenfassung“, und vereinbarte, daß die Anleitung folgendermaßen lauten solle:</w:t>
      </w:r>
    </w:p>
    <w:p w:rsidR="004125C8" w:rsidRPr="00633F67" w:rsidRDefault="004125C8" w:rsidP="004125C8">
      <w:pPr>
        <w:rPr>
          <w:lang w:val="de-DE"/>
        </w:rPr>
      </w:pPr>
    </w:p>
    <w:p w:rsidR="004125C8" w:rsidRPr="00633F67" w:rsidRDefault="004125C8" w:rsidP="004125C8">
      <w:pPr>
        <w:autoSpaceDE w:val="0"/>
        <w:autoSpaceDN w:val="0"/>
        <w:adjustRightInd w:val="0"/>
        <w:ind w:left="567" w:right="567"/>
        <w:rPr>
          <w:rFonts w:cs="Arial"/>
          <w:sz w:val="18"/>
          <w:lang w:val="de-DE"/>
        </w:rPr>
      </w:pPr>
      <w:r w:rsidRPr="00633F67">
        <w:rPr>
          <w:rFonts w:cs="Arial"/>
          <w:sz w:val="18"/>
          <w:lang w:val="de-DE"/>
        </w:rPr>
        <w:t>„Beispiel (MG)</w:t>
      </w:r>
    </w:p>
    <w:p w:rsidR="004125C8" w:rsidRPr="00633F67" w:rsidRDefault="004125C8" w:rsidP="004125C8">
      <w:pPr>
        <w:autoSpaceDE w:val="0"/>
        <w:autoSpaceDN w:val="0"/>
        <w:adjustRightInd w:val="0"/>
        <w:ind w:left="567" w:right="567"/>
        <w:rPr>
          <w:rFonts w:cs="Arial"/>
          <w:sz w:val="18"/>
          <w:lang w:val="de-DE"/>
        </w:rPr>
      </w:pPr>
    </w:p>
    <w:p w:rsidR="004125C8" w:rsidRPr="00633F67" w:rsidRDefault="004125C8" w:rsidP="004125C8">
      <w:pPr>
        <w:autoSpaceDE w:val="0"/>
        <w:autoSpaceDN w:val="0"/>
        <w:adjustRightInd w:val="0"/>
        <w:ind w:left="567" w:right="567"/>
        <w:rPr>
          <w:rFonts w:cs="Arial"/>
          <w:sz w:val="18"/>
          <w:lang w:val="de-DE"/>
        </w:rPr>
      </w:pPr>
      <w:r w:rsidRPr="00633F67">
        <w:rPr>
          <w:rFonts w:cs="Arial"/>
          <w:sz w:val="18"/>
          <w:lang w:val="de-DE"/>
        </w:rPr>
        <w:t>„Messung (MG): ‚Blattspreite: Breite‘ bei Funkie (vegetativ vermehrt): eine repräsentative Messung in der Parzelle.“</w:t>
      </w:r>
    </w:p>
    <w:p w:rsidR="004125C8" w:rsidRPr="00633F67" w:rsidRDefault="004125C8" w:rsidP="004125C8">
      <w:pPr>
        <w:rPr>
          <w:rFonts w:cs="Arial"/>
          <w:lang w:val="de-DE"/>
        </w:rPr>
      </w:pPr>
    </w:p>
    <w:p w:rsidR="004125C8" w:rsidRPr="00633F67" w:rsidRDefault="004125C8" w:rsidP="004125C8">
      <w:pPr>
        <w:rPr>
          <w:lang w:val="de-DE"/>
        </w:rPr>
      </w:pPr>
      <w:r w:rsidRPr="00633F67">
        <w:rPr>
          <w:rFonts w:eastAsia="SimSun"/>
          <w:snapToGrid w:val="0"/>
          <w:vertAlign w:val="superscript"/>
          <w:lang w:val="de-DE" w:eastAsia="ja-JP"/>
        </w:rPr>
        <w:t>*</w:t>
      </w:r>
      <w:r w:rsidRPr="00633F67">
        <w:fldChar w:fldCharType="begin"/>
      </w:r>
      <w:r w:rsidRPr="00633F67">
        <w:rPr>
          <w:lang w:val="de-DE"/>
        </w:rPr>
        <w:instrText xml:space="preserve"> AUTONUM  </w:instrText>
      </w:r>
      <w:r w:rsidRPr="00633F67">
        <w:fldChar w:fldCharType="end"/>
      </w:r>
      <w:r w:rsidRPr="00633F67">
        <w:rPr>
          <w:lang w:val="de-DE"/>
        </w:rPr>
        <w:tab/>
        <w:t>Der CAJ vereinbarte, daß die Abbildung zur Aufnahme in Unterabschnitt 4.3.4 so geändert werden sollte, daß sie folgendermaßen aussieht:</w:t>
      </w:r>
    </w:p>
    <w:p w:rsidR="004125C8" w:rsidRPr="00633F67" w:rsidRDefault="004125C8" w:rsidP="004125C8">
      <w:pPr>
        <w:rPr>
          <w:sz w:val="14"/>
          <w:lang w:val="de-DE"/>
        </w:rPr>
      </w:pPr>
      <w:r w:rsidRPr="00633F67">
        <w:rPr>
          <w:noProof/>
        </w:rPr>
        <mc:AlternateContent>
          <mc:Choice Requires="wps">
            <w:drawing>
              <wp:anchor distT="0" distB="0" distL="114300" distR="114300" simplePos="0" relativeHeight="251659264" behindDoc="0" locked="0" layoutInCell="1" allowOverlap="1" wp14:anchorId="73DEBE9A" wp14:editId="43431700">
                <wp:simplePos x="0" y="0"/>
                <wp:positionH relativeFrom="column">
                  <wp:posOffset>293370</wp:posOffset>
                </wp:positionH>
                <wp:positionV relativeFrom="paragraph">
                  <wp:posOffset>100330</wp:posOffset>
                </wp:positionV>
                <wp:extent cx="1597025" cy="708660"/>
                <wp:effectExtent l="0" t="0" r="3175" b="0"/>
                <wp:wrapNone/>
                <wp:docPr id="4" name="Textfeld 4"/>
                <wp:cNvGraphicFramePr/>
                <a:graphic xmlns:a="http://schemas.openxmlformats.org/drawingml/2006/main">
                  <a:graphicData uri="http://schemas.microsoft.com/office/word/2010/wordprocessingShape">
                    <wps:wsp>
                      <wps:cNvSpPr txBox="1"/>
                      <wps:spPr>
                        <a:xfrm>
                          <a:off x="0" y="0"/>
                          <a:ext cx="1597025" cy="708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2B7D" w:rsidRPr="007F371C" w:rsidRDefault="00D22B7D" w:rsidP="004125C8">
                            <w:pPr>
                              <w:jc w:val="center"/>
                              <w:rPr>
                                <w:i/>
                                <w:sz w:val="16"/>
                                <w:szCs w:val="16"/>
                                <w:lang w:val="de-DE"/>
                              </w:rPr>
                            </w:pPr>
                            <w:r w:rsidRPr="007F371C">
                              <w:rPr>
                                <w:i/>
                                <w:sz w:val="16"/>
                                <w:szCs w:val="16"/>
                                <w:lang w:val="de-DE"/>
                              </w:rPr>
                              <w:t>Abschnitt 4.3.2.3</w:t>
                            </w:r>
                          </w:p>
                          <w:p w:rsidR="00D22B7D" w:rsidRPr="007F371C" w:rsidRDefault="00D22B7D" w:rsidP="004125C8">
                            <w:pPr>
                              <w:jc w:val="center"/>
                              <w:rPr>
                                <w:i/>
                                <w:sz w:val="16"/>
                                <w:szCs w:val="16"/>
                                <w:lang w:val="de-DE"/>
                              </w:rPr>
                            </w:pPr>
                            <w:r w:rsidRPr="007F371C">
                              <w:rPr>
                                <w:i/>
                                <w:sz w:val="16"/>
                                <w:szCs w:val="16"/>
                                <w:lang w:val="de-DE"/>
                              </w:rPr>
                              <w:t>Beispiel (MG): Blattspreite;</w:t>
                            </w:r>
                          </w:p>
                          <w:p w:rsidR="00D22B7D" w:rsidRPr="007F371C" w:rsidRDefault="00D22B7D" w:rsidP="004125C8">
                            <w:pPr>
                              <w:jc w:val="center"/>
                              <w:rPr>
                                <w:rFonts w:cs="Arial"/>
                                <w:i/>
                                <w:sz w:val="16"/>
                                <w:szCs w:val="16"/>
                                <w:lang w:val="de-DE"/>
                              </w:rPr>
                            </w:pPr>
                            <w:r w:rsidRPr="007F371C">
                              <w:rPr>
                                <w:rFonts w:cs="Arial"/>
                                <w:i/>
                                <w:sz w:val="16"/>
                                <w:szCs w:val="16"/>
                                <w:lang w:val="de-DE"/>
                              </w:rPr>
                              <w:t>Breite</w:t>
                            </w:r>
                          </w:p>
                          <w:p w:rsidR="00D22B7D" w:rsidRPr="007F371C" w:rsidRDefault="00D22B7D" w:rsidP="004125C8">
                            <w:pPr>
                              <w:jc w:val="center"/>
                              <w:rPr>
                                <w:i/>
                                <w:sz w:val="16"/>
                                <w:szCs w:val="16"/>
                                <w:lang w:val="de-DE"/>
                              </w:rPr>
                            </w:pPr>
                            <w:r w:rsidRPr="007F371C">
                              <w:rPr>
                                <w:rFonts w:cs="Arial"/>
                                <w:i/>
                                <w:sz w:val="16"/>
                                <w:szCs w:val="16"/>
                                <w:lang w:val="de-DE"/>
                              </w:rPr>
                              <w:t>(Funkie: vegetativ vermehrt)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23.1pt;margin-top:7.9pt;width:125.75pt;height: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" fillcolor="white [3201]" stroked="f" strokeweight=".5pt">
                <v:textbox>
                  <w:txbxContent>
                    <w:p w:rsidR="00D22B7D" w:rsidRPr="007F371C" w:rsidRDefault="00D22B7D" w:rsidP="004125C8">
                      <w:pPr>
                        <w:jc w:val="center"/>
                        <w:rPr>
                          <w:i/>
                          <w:sz w:val="16"/>
                          <w:szCs w:val="16"/>
                          <w:lang w:val="de-DE"/>
                        </w:rPr>
                      </w:pPr>
                      <w:r w:rsidRPr="007F371C">
                        <w:rPr>
                          <w:i/>
                          <w:sz w:val="16"/>
                          <w:szCs w:val="16"/>
                          <w:lang w:val="de-DE"/>
                        </w:rPr>
                        <w:t>Abschnitt 4.3.2.3</w:t>
                      </w:r>
                    </w:p>
                    <w:p w:rsidR="00D22B7D" w:rsidRPr="007F371C" w:rsidRDefault="00D22B7D" w:rsidP="004125C8">
                      <w:pPr>
                        <w:jc w:val="center"/>
                        <w:rPr>
                          <w:i/>
                          <w:sz w:val="16"/>
                          <w:szCs w:val="16"/>
                          <w:lang w:val="de-DE"/>
                        </w:rPr>
                      </w:pPr>
                      <w:r w:rsidRPr="007F371C">
                        <w:rPr>
                          <w:i/>
                          <w:sz w:val="16"/>
                          <w:szCs w:val="16"/>
                          <w:lang w:val="de-DE"/>
                        </w:rPr>
                        <w:t>Beispiel (MG): Blattspreite;</w:t>
                      </w:r>
                    </w:p>
                    <w:p w:rsidR="00D22B7D" w:rsidRPr="007F371C" w:rsidRDefault="00D22B7D" w:rsidP="004125C8">
                      <w:pPr>
                        <w:jc w:val="center"/>
                        <w:rPr>
                          <w:rFonts w:cs="Arial"/>
                          <w:i/>
                          <w:sz w:val="16"/>
                          <w:szCs w:val="16"/>
                          <w:lang w:val="de-DE"/>
                        </w:rPr>
                      </w:pPr>
                      <w:r w:rsidRPr="007F371C">
                        <w:rPr>
                          <w:rFonts w:cs="Arial"/>
                          <w:i/>
                          <w:sz w:val="16"/>
                          <w:szCs w:val="16"/>
                          <w:lang w:val="de-DE"/>
                        </w:rPr>
                        <w:t>Breite</w:t>
                      </w:r>
                    </w:p>
                    <w:p w:rsidR="00D22B7D" w:rsidRPr="007F371C" w:rsidRDefault="00D22B7D" w:rsidP="004125C8">
                      <w:pPr>
                        <w:jc w:val="center"/>
                        <w:rPr>
                          <w:i/>
                          <w:sz w:val="16"/>
                          <w:szCs w:val="16"/>
                          <w:lang w:val="de-DE"/>
                        </w:rPr>
                      </w:pPr>
                      <w:r w:rsidRPr="007F371C">
                        <w:rPr>
                          <w:rFonts w:cs="Arial"/>
                          <w:i/>
                          <w:sz w:val="16"/>
                          <w:szCs w:val="16"/>
                          <w:lang w:val="de-DE"/>
                        </w:rPr>
                        <w:t>(Funkie: vegetativ vermehrt)</w:t>
                      </w:r>
                    </w:p>
                  </w:txbxContent>
                </v:textbox>
              </v:shape>
            </w:pict>
          </mc:Fallback>
        </mc:AlternateContent>
      </w:r>
    </w:p>
    <w:p w:rsidR="004125C8" w:rsidRPr="00633F67" w:rsidRDefault="004125C8" w:rsidP="004125C8">
      <w:pPr>
        <w:ind w:left="567"/>
      </w:pPr>
      <w:r w:rsidRPr="00633F67">
        <w:rPr>
          <w:noProof/>
        </w:rPr>
        <mc:AlternateContent>
          <mc:Choice Requires="wps">
            <w:drawing>
              <wp:anchor distT="0" distB="0" distL="114300" distR="114300" simplePos="0" relativeHeight="251660288" behindDoc="0" locked="0" layoutInCell="1" allowOverlap="1" wp14:anchorId="7FD63AFB" wp14:editId="58A1A32C">
                <wp:simplePos x="0" y="0"/>
                <wp:positionH relativeFrom="column">
                  <wp:posOffset>422910</wp:posOffset>
                </wp:positionH>
                <wp:positionV relativeFrom="paragraph">
                  <wp:posOffset>2146935</wp:posOffset>
                </wp:positionV>
                <wp:extent cx="1190625" cy="351790"/>
                <wp:effectExtent l="0" t="0" r="28575" b="10160"/>
                <wp:wrapNone/>
                <wp:docPr id="5" name="Textfeld 5"/>
                <wp:cNvGraphicFramePr/>
                <a:graphic xmlns:a="http://schemas.openxmlformats.org/drawingml/2006/main">
                  <a:graphicData uri="http://schemas.microsoft.com/office/word/2010/wordprocessingShape">
                    <wps:wsp>
                      <wps:cNvSpPr txBox="1"/>
                      <wps:spPr>
                        <a:xfrm>
                          <a:off x="0" y="0"/>
                          <a:ext cx="1190625" cy="351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2B7D" w:rsidRDefault="00D22B7D" w:rsidP="004125C8">
                            <w:pPr>
                              <w:jc w:val="center"/>
                              <w:rPr>
                                <w:sz w:val="16"/>
                                <w:szCs w:val="16"/>
                              </w:rPr>
                            </w:pPr>
                            <w:r w:rsidRPr="003200AB">
                              <w:rPr>
                                <w:sz w:val="16"/>
                                <w:szCs w:val="16"/>
                              </w:rPr>
                              <w:t>Einmalige</w:t>
                            </w:r>
                            <w:r>
                              <w:rPr>
                                <w:sz w:val="16"/>
                                <w:szCs w:val="16"/>
                              </w:rPr>
                              <w:t xml:space="preserve"> Erfassung</w:t>
                            </w:r>
                          </w:p>
                          <w:p w:rsidR="00D22B7D" w:rsidRPr="003200AB" w:rsidRDefault="00D22B7D" w:rsidP="004125C8">
                            <w:pPr>
                              <w:jc w:val="center"/>
                              <w:rPr>
                                <w:sz w:val="16"/>
                                <w:szCs w:val="16"/>
                              </w:rPr>
                            </w:pPr>
                            <w:r>
                              <w:rPr>
                                <w:sz w:val="16"/>
                                <w:szCs w:val="16"/>
                              </w:rPr>
                              <w:t>von Sorten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27" type="#_x0000_t202" style="position:absolute;left:0;text-align:left;margin-left:33.3pt;margin-top:169.05pt;width:93.75pt;height:2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" fillcolor="white [3201]" strokeweight=".5pt">
                <v:textbox>
                  <w:txbxContent>
                    <w:p w:rsidR="00D22B7D" w:rsidRDefault="00D22B7D" w:rsidP="004125C8">
                      <w:pPr>
                        <w:jc w:val="center"/>
                        <w:rPr>
                          <w:sz w:val="16"/>
                          <w:szCs w:val="16"/>
                        </w:rPr>
                      </w:pPr>
                      <w:proofErr w:type="spellStart"/>
                      <w:r w:rsidRPr="003200AB">
                        <w:rPr>
                          <w:sz w:val="16"/>
                          <w:szCs w:val="16"/>
                        </w:rPr>
                        <w:t>Einmalige</w:t>
                      </w:r>
                      <w:proofErr w:type="spellEnd"/>
                      <w:r>
                        <w:rPr>
                          <w:sz w:val="16"/>
                          <w:szCs w:val="16"/>
                        </w:rPr>
                        <w:t xml:space="preserve"> </w:t>
                      </w:r>
                      <w:proofErr w:type="spellStart"/>
                      <w:r>
                        <w:rPr>
                          <w:sz w:val="16"/>
                          <w:szCs w:val="16"/>
                        </w:rPr>
                        <w:t>Erfassung</w:t>
                      </w:r>
                      <w:proofErr w:type="spellEnd"/>
                    </w:p>
                    <w:p w:rsidR="00D22B7D" w:rsidRPr="003200AB" w:rsidRDefault="00D22B7D" w:rsidP="004125C8">
                      <w:pPr>
                        <w:jc w:val="center"/>
                        <w:rPr>
                          <w:sz w:val="16"/>
                          <w:szCs w:val="16"/>
                        </w:rPr>
                      </w:pPr>
                      <w:r>
                        <w:rPr>
                          <w:sz w:val="16"/>
                          <w:szCs w:val="16"/>
                        </w:rPr>
                        <w:t xml:space="preserve">von </w:t>
                      </w:r>
                      <w:proofErr w:type="spellStart"/>
                      <w:r>
                        <w:rPr>
                          <w:sz w:val="16"/>
                          <w:szCs w:val="16"/>
                        </w:rPr>
                        <w:t>Sorten</w:t>
                      </w:r>
                      <w:proofErr w:type="spellEnd"/>
                    </w:p>
                  </w:txbxContent>
                </v:textbox>
              </v:shape>
            </w:pict>
          </mc:Fallback>
        </mc:AlternateContent>
      </w:r>
      <w:r w:rsidRPr="00633F67">
        <w:rPr>
          <w:noProof/>
        </w:rPr>
        <w:drawing>
          <wp:inline distT="0" distB="0" distL="0" distR="0" wp14:anchorId="4BFDAFB7" wp14:editId="5E4AEC6D">
            <wp:extent cx="1452300" cy="2500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5005" cy="2505403"/>
                    </a:xfrm>
                    <a:prstGeom prst="rect">
                      <a:avLst/>
                    </a:prstGeom>
                    <a:noFill/>
                  </pic:spPr>
                </pic:pic>
              </a:graphicData>
            </a:graphic>
          </wp:inline>
        </w:drawing>
      </w:r>
    </w:p>
    <w:p w:rsidR="004125C8" w:rsidRPr="00633F67" w:rsidRDefault="004125C8" w:rsidP="004125C8"/>
    <w:p w:rsidR="004125C8" w:rsidRPr="00633F67" w:rsidRDefault="004125C8" w:rsidP="004125C8"/>
    <w:p w:rsidR="004125C8" w:rsidRPr="00633F67" w:rsidRDefault="004125C8" w:rsidP="004125C8">
      <w:pPr>
        <w:pStyle w:val="Heading5"/>
        <w:rPr>
          <w:szCs w:val="20"/>
          <w:lang w:val="de-DE"/>
        </w:rPr>
      </w:pPr>
      <w:r w:rsidRPr="00633F67">
        <w:rPr>
          <w:szCs w:val="20"/>
          <w:lang w:val="de-DE"/>
        </w:rPr>
        <w:t>TGP/14:  Glossar der in den UPOV-Dokumenten verwendeten Begriffe</w:t>
      </w:r>
    </w:p>
    <w:p w:rsidR="004125C8" w:rsidRPr="00633F67" w:rsidRDefault="004125C8" w:rsidP="004125C8">
      <w:pPr>
        <w:rPr>
          <w:lang w:val="de-DE"/>
        </w:rPr>
      </w:pPr>
    </w:p>
    <w:p w:rsidR="004125C8" w:rsidRPr="00633F67" w:rsidRDefault="004125C8" w:rsidP="004125C8">
      <w:pPr>
        <w:pStyle w:val="Heading4"/>
        <w:ind w:left="1134" w:hanging="567"/>
      </w:pPr>
      <w:r w:rsidRPr="00633F67">
        <w:t>(i)</w:t>
      </w:r>
      <w:r w:rsidRPr="00633F67">
        <w:tab/>
        <w:t xml:space="preserve">Überarbeitung von Dokument TGP/14: Abschnitt 2.4: </w:t>
      </w:r>
      <w:r w:rsidRPr="00633F67">
        <w:rPr>
          <w:rFonts w:cs="Arial"/>
          <w:lang w:val="de-DE"/>
        </w:rPr>
        <w:t>„</w:t>
      </w:r>
      <w:r w:rsidRPr="00633F67">
        <w:t>Merkmale für die Form des Apex/der Spitze</w:t>
      </w:r>
      <w:r w:rsidRPr="00633F67">
        <w:rPr>
          <w:rFonts w:cs="Arial"/>
          <w:lang w:val="de-DE"/>
        </w:rPr>
        <w:t>“</w:t>
      </w:r>
    </w:p>
    <w:p w:rsidR="004125C8" w:rsidRPr="00633F67" w:rsidRDefault="004125C8" w:rsidP="004125C8">
      <w:pPr>
        <w:rPr>
          <w:lang w:val="de-DE"/>
        </w:rPr>
      </w:pPr>
    </w:p>
    <w:p w:rsidR="004125C8" w:rsidRPr="00633F67" w:rsidRDefault="004125C8" w:rsidP="004125C8">
      <w:pPr>
        <w:keepNext/>
        <w:rPr>
          <w:lang w:val="de-DE"/>
        </w:rPr>
      </w:pPr>
      <w:r w:rsidRPr="00633F67">
        <w:rPr>
          <w:rFonts w:eastAsia="SimSun"/>
          <w:snapToGrid w:val="0"/>
          <w:vertAlign w:val="superscript"/>
          <w:lang w:val="de-DE" w:eastAsia="ja-JP"/>
        </w:rPr>
        <w:t>*</w:t>
      </w:r>
      <w:r w:rsidRPr="00633F67">
        <w:fldChar w:fldCharType="begin"/>
      </w:r>
      <w:r w:rsidRPr="00633F67">
        <w:rPr>
          <w:lang w:val="de-DE"/>
        </w:rPr>
        <w:instrText xml:space="preserve"> AUTONUM  </w:instrText>
      </w:r>
      <w:r w:rsidRPr="00633F67">
        <w:fldChar w:fldCharType="end"/>
      </w:r>
      <w:r w:rsidRPr="00633F67">
        <w:rPr>
          <w:lang w:val="de-DE"/>
        </w:rPr>
        <w:tab/>
        <w:t>Der CAJ prüfte die Überarbeitung des Dokuments TGP/14 Abschnitt 2.4, wie in Dokument TC/51/25 dargelegt, und vereinbarte, daß der Wortlaut folgendermaßen lauten sollte:</w:t>
      </w:r>
    </w:p>
    <w:p w:rsidR="004125C8" w:rsidRPr="00633F67" w:rsidRDefault="004125C8" w:rsidP="004125C8">
      <w:pPr>
        <w:rPr>
          <w:lang w:val="de-DE"/>
        </w:rPr>
      </w:pPr>
    </w:p>
    <w:p w:rsidR="004125C8" w:rsidRPr="00633F67" w:rsidRDefault="004125C8" w:rsidP="004125C8">
      <w:pPr>
        <w:keepNext/>
        <w:ind w:left="567"/>
        <w:outlineLvl w:val="3"/>
        <w:rPr>
          <w:i/>
          <w:sz w:val="18"/>
          <w:lang w:val="de-DE"/>
        </w:rPr>
      </w:pPr>
      <w:r w:rsidRPr="00633F67">
        <w:rPr>
          <w:i/>
          <w:sz w:val="18"/>
          <w:lang w:val="de-DE"/>
        </w:rPr>
        <w:t>„2.4</w:t>
      </w:r>
      <w:r w:rsidRPr="00633F67">
        <w:rPr>
          <w:i/>
          <w:sz w:val="18"/>
          <w:lang w:val="de-DE"/>
        </w:rPr>
        <w:tab/>
        <w:t>Merkmale für die Form des Apex/der Spitze</w:t>
      </w:r>
    </w:p>
    <w:p w:rsidR="004125C8" w:rsidRPr="00633F67" w:rsidRDefault="004125C8" w:rsidP="004125C8">
      <w:pPr>
        <w:keepNext/>
        <w:ind w:left="567" w:right="567"/>
        <w:rPr>
          <w:rFonts w:cs="Arial"/>
          <w:sz w:val="18"/>
          <w:lang w:val="de-DE"/>
        </w:rPr>
      </w:pPr>
    </w:p>
    <w:p w:rsidR="004125C8" w:rsidRPr="00633F67" w:rsidRDefault="004125C8" w:rsidP="004125C8">
      <w:pPr>
        <w:keepNext/>
        <w:ind w:left="567" w:right="567"/>
        <w:rPr>
          <w:sz w:val="18"/>
          <w:lang w:val="de-DE"/>
        </w:rPr>
      </w:pPr>
      <w:r w:rsidRPr="00633F67">
        <w:rPr>
          <w:sz w:val="18"/>
          <w:lang w:val="de-DE"/>
        </w:rPr>
        <w:t>„2.4.1</w:t>
      </w:r>
      <w:r w:rsidRPr="00633F67">
        <w:rPr>
          <w:sz w:val="18"/>
          <w:lang w:val="de-DE"/>
        </w:rPr>
        <w:tab/>
        <w:t>Der APEX (apikaler oder distaler Teil) eines Organs oder einer Pflanze ist das am weitesten von der Ansatzstelle entfernte Ende. In einigen Fällen kann das distale Ende des Apex in eine „AUFGESETZTE SPITZE“ differenziert sein.</w:t>
      </w:r>
    </w:p>
    <w:p w:rsidR="004125C8" w:rsidRPr="00633F67" w:rsidRDefault="004125C8" w:rsidP="004125C8">
      <w:pPr>
        <w:keepNext/>
        <w:ind w:left="567" w:right="567"/>
        <w:rPr>
          <w:sz w:val="18"/>
          <w:lang w:val="de-DE"/>
        </w:rPr>
      </w:pPr>
    </w:p>
    <w:p w:rsidR="004125C8" w:rsidRPr="00633F67" w:rsidRDefault="004125C8" w:rsidP="004125C8">
      <w:pPr>
        <w:ind w:left="567" w:right="567"/>
        <w:rPr>
          <w:sz w:val="18"/>
          <w:lang w:val="de-DE"/>
        </w:rPr>
      </w:pPr>
      <w:r w:rsidRPr="00633F67">
        <w:rPr>
          <w:sz w:val="18"/>
          <w:lang w:val="de-DE"/>
        </w:rPr>
        <w:t>„2.4.2</w:t>
      </w:r>
      <w:r w:rsidRPr="00633F67">
        <w:rPr>
          <w:sz w:val="18"/>
          <w:lang w:val="de-DE"/>
        </w:rPr>
        <w:tab/>
      </w:r>
      <w:r w:rsidRPr="00633F67">
        <w:rPr>
          <w:sz w:val="18"/>
          <w:shd w:val="clear" w:color="auto" w:fill="FFFFFF"/>
          <w:lang w:val="de-DE"/>
        </w:rPr>
        <w:t xml:space="preserve">Bei der Erwägung des Ansatzes zur Beschreibung des Apex sollten die Größe des Organs und die Anzahl der Formen für den Apex berücksichtigt werden. Die Merkmale für den Apex lassen sich in einfachen Begriffen beschreiben, und wenn eine differenzierte Spitze vorhanden ist, könnte diese als </w:t>
      </w:r>
      <w:r w:rsidRPr="00633F67">
        <w:rPr>
          <w:sz w:val="18"/>
          <w:shd w:val="clear" w:color="auto" w:fill="FFFFFF"/>
          <w:lang w:val="de-DE"/>
        </w:rPr>
        <w:lastRenderedPageBreak/>
        <w:t>getrenntes Merkmal näher beschrieben werden. In der Regel ist es nicht notwendig, die Merkmale für die Form des Apex aufzuteilen.</w:t>
      </w:r>
      <w:r w:rsidRPr="00633F67">
        <w:rPr>
          <w:sz w:val="18"/>
          <w:lang w:val="de-DE"/>
        </w:rPr>
        <w:t xml:space="preserve"> </w:t>
      </w:r>
    </w:p>
    <w:p w:rsidR="004125C8" w:rsidRPr="00633F67" w:rsidRDefault="004125C8" w:rsidP="004125C8">
      <w:pPr>
        <w:ind w:left="567" w:right="567"/>
        <w:rPr>
          <w:sz w:val="18"/>
          <w:lang w:val="de-DE"/>
        </w:rPr>
      </w:pPr>
    </w:p>
    <w:p w:rsidR="004125C8" w:rsidRPr="00633F67" w:rsidRDefault="004125C8" w:rsidP="004125C8">
      <w:pPr>
        <w:ind w:left="567" w:right="567"/>
        <w:rPr>
          <w:sz w:val="18"/>
          <w:lang w:val="de-DE"/>
        </w:rPr>
      </w:pPr>
      <w:r w:rsidRPr="00633F67">
        <w:rPr>
          <w:sz w:val="18"/>
          <w:lang w:val="de-DE"/>
        </w:rPr>
        <w:t>„2.4.3</w:t>
      </w:r>
      <w:r w:rsidRPr="00633F67">
        <w:rPr>
          <w:sz w:val="18"/>
          <w:lang w:val="de-DE"/>
        </w:rPr>
        <w:tab/>
        <w:t>Wenn es angebracht ist, differenzierte Spitze und Apex in getrennte Merkmale aufzuteilen, wird die Form des Apex als allgemeine Form, ohne differenzierte Spitze (sofern vorhanden), angenommen, und die Aufteilung von aufgesetzter Spitze und Apex sollte in der Erläuterung des Merkmals angegeben werden, beispielsweise:</w:t>
      </w:r>
    </w:p>
    <w:p w:rsidR="004125C8" w:rsidRPr="00633F67" w:rsidRDefault="004125C8" w:rsidP="004125C8">
      <w:pPr>
        <w:ind w:left="567" w:right="567"/>
        <w:rPr>
          <w:sz w:val="18"/>
          <w:lang w:val="de-DE"/>
        </w:rPr>
      </w:pPr>
    </w:p>
    <w:p w:rsidR="004125C8" w:rsidRPr="00633F67" w:rsidRDefault="004125C8" w:rsidP="004125C8">
      <w:pPr>
        <w:ind w:left="567" w:right="567"/>
        <w:rPr>
          <w:sz w:val="18"/>
          <w:lang w:val="de-DE"/>
        </w:rPr>
      </w:pPr>
      <w:r w:rsidRPr="00633F67">
        <w:rPr>
          <w:sz w:val="18"/>
          <w:lang w:val="de-DE"/>
        </w:rPr>
        <w:t>[…]“</w:t>
      </w:r>
    </w:p>
    <w:p w:rsidR="004125C8" w:rsidRPr="00633F67" w:rsidRDefault="004125C8" w:rsidP="004125C8">
      <w:pPr>
        <w:ind w:left="567" w:right="567"/>
        <w:rPr>
          <w:sz w:val="18"/>
          <w:lang w:val="de-DE"/>
        </w:rPr>
      </w:pPr>
    </w:p>
    <w:p w:rsidR="004125C8" w:rsidRPr="00633F67" w:rsidRDefault="004125C8" w:rsidP="004125C8">
      <w:pPr>
        <w:rPr>
          <w:lang w:val="de-DE"/>
        </w:rPr>
      </w:pPr>
      <w:r w:rsidRPr="00633F67">
        <w:rPr>
          <w:rFonts w:eastAsia="SimSun"/>
          <w:snapToGrid w:val="0"/>
          <w:vertAlign w:val="superscript"/>
          <w:lang w:val="de-DE" w:eastAsia="ja-JP"/>
        </w:rPr>
        <w:t>*</w:t>
      </w:r>
      <w:r w:rsidRPr="00633F67">
        <w:fldChar w:fldCharType="begin"/>
      </w:r>
      <w:r w:rsidRPr="00633F67">
        <w:rPr>
          <w:lang w:val="de-DE"/>
        </w:rPr>
        <w:instrText xml:space="preserve"> AUTONUM  </w:instrText>
      </w:r>
      <w:r w:rsidRPr="00633F67">
        <w:fldChar w:fldCharType="end"/>
      </w:r>
      <w:r w:rsidRPr="00633F67">
        <w:rPr>
          <w:lang w:val="de-DE"/>
        </w:rPr>
        <w:tab/>
        <w:t>Der CAJ nahm zur Kenntnis, daß redaktionelle Änderungen an dem Entwurf für den Wortlaut auf Deutsch vorgenommen werden müssten, und erinnerte daran, daß die Sachverständigen für Sprache des Redaktionsausschusses ersucht werden würden, die Übersetzungen sämtlicher technischen Dokumente auf Französisch, Deutsch und Spanisch vor deren Vorbereitung zur Annahme durch den Rat zu überprüfen.</w:t>
      </w:r>
    </w:p>
    <w:p w:rsidR="004125C8" w:rsidRPr="00633F67" w:rsidRDefault="004125C8" w:rsidP="004125C8">
      <w:pPr>
        <w:spacing w:line="360" w:lineRule="auto"/>
        <w:rPr>
          <w:lang w:val="de-DE"/>
        </w:rPr>
      </w:pPr>
    </w:p>
    <w:p w:rsidR="004125C8" w:rsidRPr="00633F67" w:rsidRDefault="004125C8" w:rsidP="004125C8">
      <w:pPr>
        <w:keepNext/>
        <w:rPr>
          <w:i/>
          <w:lang w:val="de-DE"/>
        </w:rPr>
      </w:pPr>
      <w:r w:rsidRPr="00633F67">
        <w:rPr>
          <w:i/>
          <w:lang w:val="de-DE"/>
        </w:rPr>
        <w:t>TGP/14: Glossar der in UPOV-Dokumenten verwendeten Begriffe</w:t>
      </w:r>
    </w:p>
    <w:p w:rsidR="004125C8" w:rsidRPr="00633F67" w:rsidRDefault="004125C8" w:rsidP="004125C8">
      <w:pPr>
        <w:keepNext/>
        <w:rPr>
          <w:lang w:val="de-DE"/>
        </w:rPr>
      </w:pPr>
    </w:p>
    <w:p w:rsidR="004125C8" w:rsidRPr="00633F67" w:rsidRDefault="004125C8" w:rsidP="004125C8">
      <w:pPr>
        <w:rPr>
          <w:lang w:val="de-DE"/>
        </w:rPr>
      </w:pPr>
      <w:r w:rsidRPr="00633F67">
        <w:rPr>
          <w:rFonts w:eastAsia="SimSun"/>
          <w:snapToGrid w:val="0"/>
          <w:vertAlign w:val="superscript"/>
          <w:lang w:val="de-DE" w:eastAsia="ja-JP"/>
        </w:rPr>
        <w:t>*</w:t>
      </w:r>
      <w:r w:rsidRPr="00633F67">
        <w:fldChar w:fldCharType="begin"/>
      </w:r>
      <w:r w:rsidRPr="00633F67">
        <w:rPr>
          <w:lang w:val="de-DE"/>
        </w:rPr>
        <w:instrText xml:space="preserve"> AUTONUM  </w:instrText>
      </w:r>
      <w:r w:rsidRPr="00633F67">
        <w:fldChar w:fldCharType="end"/>
      </w:r>
      <w:r w:rsidRPr="00633F67">
        <w:rPr>
          <w:lang w:val="de-DE"/>
        </w:rPr>
        <w:tab/>
        <w:t xml:space="preserve">Der CAJ nahm die Berichtigung der französischen Übersetzung der Farbgruppe „dunkelpurpurrot” in „rouge-pourpre foncé“ in Dokument TGP/14, Unterabschnitt 3: „Farbe“, wie in Dokument CAJ/71/7, Absatz 14, dargelegt, zur Kenntnis. </w:t>
      </w:r>
    </w:p>
    <w:p w:rsidR="004125C8" w:rsidRPr="00633F67" w:rsidRDefault="004125C8" w:rsidP="004125C8">
      <w:pPr>
        <w:spacing w:line="360" w:lineRule="auto"/>
        <w:rPr>
          <w:lang w:val="de-DE"/>
        </w:rPr>
      </w:pPr>
    </w:p>
    <w:p w:rsidR="004125C8" w:rsidRPr="00633F67" w:rsidRDefault="004125C8" w:rsidP="004125C8">
      <w:pPr>
        <w:rPr>
          <w:i/>
          <w:lang w:val="de-DE"/>
        </w:rPr>
      </w:pPr>
      <w:r w:rsidRPr="00633F67">
        <w:rPr>
          <w:i/>
          <w:lang w:val="de-DE"/>
        </w:rPr>
        <w:t>TGP/5: Erfahrung und Zusammenarbeit bei der DUS-Prüfung</w:t>
      </w:r>
    </w:p>
    <w:p w:rsidR="004125C8" w:rsidRPr="00633F67" w:rsidRDefault="004125C8" w:rsidP="004125C8">
      <w:pPr>
        <w:keepNext/>
        <w:rPr>
          <w:lang w:val="de-DE"/>
        </w:rPr>
      </w:pPr>
    </w:p>
    <w:p w:rsidR="00A44040" w:rsidRPr="00633F67" w:rsidRDefault="00A44040" w:rsidP="00A44040">
      <w:pPr>
        <w:pStyle w:val="Heading4"/>
        <w:ind w:left="1134" w:hanging="567"/>
        <w:rPr>
          <w:lang w:val="de-DE"/>
        </w:rPr>
      </w:pPr>
      <w:bookmarkStart w:id="11" w:name="_Toc412193736"/>
      <w:r w:rsidRPr="00633F67">
        <w:rPr>
          <w:lang w:val="de-DE"/>
        </w:rPr>
        <w:t>i)</w:t>
      </w:r>
      <w:r w:rsidRPr="00633F67">
        <w:rPr>
          <w:lang w:val="de-DE"/>
        </w:rPr>
        <w:tab/>
      </w:r>
      <w:bookmarkEnd w:id="11"/>
      <w:r w:rsidRPr="00633F67">
        <w:rPr>
          <w:lang w:val="de-DE"/>
        </w:rPr>
        <w:t>Überarbeitung des Dokuments TGP/5: Abschnitt 3: Technischer Fragebogen in Verbindung mit der Anmeldung zum Sortenschutz auszufüllen</w:t>
      </w:r>
    </w:p>
    <w:p w:rsidR="00A44040" w:rsidRPr="00633F67" w:rsidRDefault="00A44040" w:rsidP="004125C8">
      <w:pPr>
        <w:keepNext/>
        <w:rPr>
          <w:lang w:val="de-DE"/>
        </w:rPr>
      </w:pPr>
    </w:p>
    <w:p w:rsidR="004125C8" w:rsidRPr="00633F67" w:rsidRDefault="004125C8" w:rsidP="004125C8">
      <w:pPr>
        <w:rPr>
          <w:lang w:val="de-DE"/>
        </w:rPr>
      </w:pPr>
      <w:r w:rsidRPr="00633F67">
        <w:rPr>
          <w:rFonts w:eastAsia="SimSun"/>
          <w:snapToGrid w:val="0"/>
          <w:vertAlign w:val="superscript"/>
          <w:lang w:val="de-DE" w:eastAsia="ja-JP"/>
        </w:rPr>
        <w:t>*</w:t>
      </w:r>
      <w:r w:rsidRPr="00633F67">
        <w:fldChar w:fldCharType="begin"/>
      </w:r>
      <w:r w:rsidRPr="00633F67">
        <w:rPr>
          <w:lang w:val="de-DE"/>
        </w:rPr>
        <w:instrText xml:space="preserve"> AUTONUM  </w:instrText>
      </w:r>
      <w:r w:rsidRPr="00633F67">
        <w:fldChar w:fldCharType="end"/>
      </w:r>
      <w:r w:rsidRPr="00633F67">
        <w:rPr>
          <w:lang w:val="de-DE"/>
        </w:rPr>
        <w:tab/>
        <w:t>Der CAJ vereinbarte, daß Dokument TGP/5: Abschnitt 3 folgendermaßen lauten sollte:</w:t>
      </w:r>
    </w:p>
    <w:p w:rsidR="004125C8" w:rsidRPr="00633F67" w:rsidRDefault="004125C8" w:rsidP="004125C8">
      <w:pPr>
        <w:rPr>
          <w:lang w:val="de-DE"/>
        </w:rPr>
      </w:pPr>
    </w:p>
    <w:p w:rsidR="004125C8" w:rsidRPr="00633F67" w:rsidRDefault="004125C8" w:rsidP="004125C8">
      <w:pPr>
        <w:ind w:left="567" w:right="567" w:firstLine="567"/>
        <w:rPr>
          <w:sz w:val="18"/>
          <w:lang w:val="de-DE"/>
        </w:rPr>
      </w:pPr>
      <w:r w:rsidRPr="00633F67">
        <w:rPr>
          <w:sz w:val="18"/>
          <w:lang w:val="de-DE"/>
        </w:rPr>
        <w:t>„Ein Muster eines Technischen Fragebogens ist in Dokument TGP/7, „Erstellung von Prüfungsrichtlinien“, wiedergegeben: Anlage 1: TG-Mustervorlage: Kapitel 10. Die UPOV-Richtlinien (</w:t>
      </w:r>
      <w:hyperlink r:id="rId11" w:history="1">
        <w:r w:rsidRPr="00633F67">
          <w:rPr>
            <w:rStyle w:val="Hyperlink"/>
            <w:sz w:val="18"/>
            <w:lang w:val="de-DE"/>
          </w:rPr>
          <w:t>http://www.upov.int/edocs/tgpdocs/de/tgp_7.pdf</w:t>
        </w:r>
      </w:hyperlink>
      <w:r w:rsidRPr="00633F67">
        <w:rPr>
          <w:sz w:val="18"/>
          <w:lang w:val="de-DE"/>
        </w:rPr>
        <w:t>) enthalten in Kapitel 10 einen spezifischen Technischen Fragebogen für Sorten, die von diesen Prüfungsrichtlinien erfaßt werden.”</w:t>
      </w:r>
    </w:p>
    <w:p w:rsidR="004125C8" w:rsidRPr="00633F67" w:rsidRDefault="004125C8" w:rsidP="004125C8">
      <w:pPr>
        <w:rPr>
          <w:lang w:val="de-DE"/>
        </w:rPr>
      </w:pPr>
    </w:p>
    <w:p w:rsidR="004125C8" w:rsidRPr="00633F67" w:rsidRDefault="00A44040" w:rsidP="009B6F95">
      <w:pPr>
        <w:pStyle w:val="Heading4"/>
        <w:rPr>
          <w:lang w:val="de-DE"/>
        </w:rPr>
      </w:pPr>
      <w:r w:rsidRPr="00633F67">
        <w:rPr>
          <w:lang w:val="de-DE"/>
        </w:rPr>
        <w:t>ii)</w:t>
      </w:r>
      <w:r w:rsidRPr="00633F67">
        <w:rPr>
          <w:lang w:val="de-DE"/>
        </w:rPr>
        <w:tab/>
        <w:t>Überarbeitung des Dokuments TGP/5: Abschnitt 8: Zusammenarbeit bei der Prüfung</w:t>
      </w:r>
    </w:p>
    <w:p w:rsidR="004125C8" w:rsidRPr="00633F67" w:rsidRDefault="004125C8" w:rsidP="004125C8">
      <w:pPr>
        <w:ind w:right="567"/>
        <w:rPr>
          <w:sz w:val="18"/>
          <w:lang w:val="de-DE"/>
        </w:rPr>
      </w:pPr>
    </w:p>
    <w:p w:rsidR="004125C8" w:rsidRPr="00633F67" w:rsidRDefault="004125C8" w:rsidP="004125C8">
      <w:pPr>
        <w:rPr>
          <w:lang w:val="de-DE"/>
        </w:rPr>
      </w:pPr>
      <w:r w:rsidRPr="00633F67">
        <w:rPr>
          <w:rFonts w:eastAsia="SimSun"/>
          <w:snapToGrid w:val="0"/>
          <w:vertAlign w:val="superscript"/>
          <w:lang w:val="de-DE" w:eastAsia="ja-JP"/>
        </w:rPr>
        <w:t>*</w:t>
      </w:r>
      <w:r w:rsidRPr="00633F67">
        <w:fldChar w:fldCharType="begin"/>
      </w:r>
      <w:r w:rsidRPr="00633F67">
        <w:rPr>
          <w:lang w:val="de-DE"/>
        </w:rPr>
        <w:instrText xml:space="preserve"> AUTONUM  </w:instrText>
      </w:r>
      <w:r w:rsidRPr="00633F67">
        <w:fldChar w:fldCharType="end"/>
      </w:r>
      <w:r w:rsidRPr="00633F67">
        <w:rPr>
          <w:b/>
          <w:lang w:val="de-DE"/>
        </w:rPr>
        <w:tab/>
      </w:r>
      <w:r w:rsidRPr="00633F67">
        <w:rPr>
          <w:lang w:val="de-DE"/>
        </w:rPr>
        <w:t>Der CAJ vereinbarte, daß Dokument TGP/5: Abschnitt 8 folgendermaßen lauten sollte:</w:t>
      </w:r>
    </w:p>
    <w:p w:rsidR="004125C8" w:rsidRPr="00633F67" w:rsidRDefault="004125C8" w:rsidP="004125C8">
      <w:pPr>
        <w:rPr>
          <w:lang w:val="de-DE"/>
        </w:rPr>
      </w:pPr>
    </w:p>
    <w:p w:rsidR="004125C8" w:rsidRPr="00633F67" w:rsidRDefault="004125C8" w:rsidP="004125C8">
      <w:pPr>
        <w:ind w:left="567" w:right="567"/>
        <w:rPr>
          <w:sz w:val="18"/>
          <w:lang w:val="de-DE"/>
        </w:rPr>
      </w:pPr>
      <w:r w:rsidRPr="00633F67">
        <w:rPr>
          <w:sz w:val="18"/>
          <w:lang w:val="de-DE"/>
        </w:rPr>
        <w:tab/>
        <w:t>„Eine Übersicht über die Zusammenarbeit zwischen Behörden bei der Prüfung wird in Form eines Dokuments des Rates vermittelt:</w:t>
      </w:r>
    </w:p>
    <w:p w:rsidR="004125C8" w:rsidRPr="00633F67" w:rsidRDefault="004125C8" w:rsidP="004125C8">
      <w:pPr>
        <w:ind w:left="567" w:right="567"/>
        <w:rPr>
          <w:sz w:val="18"/>
          <w:lang w:val="de-DE"/>
        </w:rPr>
      </w:pPr>
    </w:p>
    <w:p w:rsidR="004125C8" w:rsidRPr="00633F67" w:rsidRDefault="004125C8" w:rsidP="004125C8">
      <w:pPr>
        <w:ind w:left="567" w:right="567" w:firstLine="567"/>
        <w:rPr>
          <w:sz w:val="18"/>
          <w:lang w:val="de-DE"/>
        </w:rPr>
      </w:pPr>
      <w:r w:rsidRPr="00633F67">
        <w:rPr>
          <w:sz w:val="18"/>
          <w:lang w:val="de-DE"/>
        </w:rPr>
        <w:t>„C/[Tagung]/5 (z. B. C/49/5), (</w:t>
      </w:r>
      <w:hyperlink r:id="rId12" w:history="1">
        <w:r w:rsidR="00A44040" w:rsidRPr="00633F67">
          <w:rPr>
            <w:rStyle w:val="Hyperlink"/>
            <w:sz w:val="18"/>
            <w:lang w:val="de-DE"/>
          </w:rPr>
          <w:t>http://www.upov.int/meetings/de/topic.jsp?group_id=251)</w:t>
        </w:r>
      </w:hyperlink>
      <w:r w:rsidRPr="00633F67">
        <w:rPr>
          <w:sz w:val="18"/>
          <w:lang w:val="de-DE"/>
        </w:rPr>
        <w:t>.“</w:t>
      </w:r>
    </w:p>
    <w:p w:rsidR="00A44040" w:rsidRPr="00633F67" w:rsidRDefault="00A44040" w:rsidP="004125C8">
      <w:pPr>
        <w:ind w:left="567" w:right="567" w:firstLine="567"/>
        <w:rPr>
          <w:sz w:val="18"/>
          <w:lang w:val="de-DE"/>
        </w:rPr>
      </w:pPr>
    </w:p>
    <w:p w:rsidR="004125C8" w:rsidRPr="00633F67" w:rsidRDefault="00A44040" w:rsidP="009B6F95">
      <w:pPr>
        <w:pStyle w:val="Heading4"/>
        <w:ind w:left="1134" w:hanging="567"/>
        <w:rPr>
          <w:lang w:val="de-DE"/>
        </w:rPr>
      </w:pPr>
      <w:r w:rsidRPr="00633F67">
        <w:rPr>
          <w:lang w:val="de-DE"/>
        </w:rPr>
        <w:t>iii)</w:t>
      </w:r>
      <w:r w:rsidRPr="00633F67">
        <w:rPr>
          <w:lang w:val="de-DE"/>
        </w:rPr>
        <w:tab/>
        <w:t>Überarbeitung des Dokuments TGP/5: Abschnitt 9: Liste der Arten, an denen praktische technische Kenntnisse erworben oder für die nationale Richtlinien aufgestellt wurden</w:t>
      </w:r>
    </w:p>
    <w:p w:rsidR="004125C8" w:rsidRPr="00633F67" w:rsidRDefault="004125C8" w:rsidP="004125C8">
      <w:pPr>
        <w:keepNext/>
        <w:rPr>
          <w:lang w:val="de-DE"/>
        </w:rPr>
      </w:pPr>
    </w:p>
    <w:p w:rsidR="004125C8" w:rsidRPr="00633F67" w:rsidRDefault="004125C8" w:rsidP="004125C8">
      <w:pPr>
        <w:rPr>
          <w:lang w:val="de-DE"/>
        </w:rPr>
      </w:pPr>
      <w:r w:rsidRPr="00633F67">
        <w:rPr>
          <w:rFonts w:eastAsia="SimSun"/>
          <w:snapToGrid w:val="0"/>
          <w:vertAlign w:val="superscript"/>
          <w:lang w:val="de-DE" w:eastAsia="ja-JP"/>
        </w:rPr>
        <w:t>*</w:t>
      </w:r>
      <w:r w:rsidRPr="00633F67">
        <w:fldChar w:fldCharType="begin"/>
      </w:r>
      <w:r w:rsidRPr="00633F67">
        <w:rPr>
          <w:lang w:val="de-DE"/>
        </w:rPr>
        <w:instrText xml:space="preserve"> AUTONUM  </w:instrText>
      </w:r>
      <w:r w:rsidRPr="00633F67">
        <w:fldChar w:fldCharType="end"/>
      </w:r>
      <w:r w:rsidRPr="00633F67">
        <w:rPr>
          <w:lang w:val="de-DE"/>
        </w:rPr>
        <w:tab/>
        <w:t>Der CAJ vereinbarte, daß Dokument TGP/5: Abschnitt 9 folgendermaßen lauten sollte:</w:t>
      </w:r>
    </w:p>
    <w:p w:rsidR="004125C8" w:rsidRPr="00633F67" w:rsidRDefault="004125C8" w:rsidP="004125C8">
      <w:pPr>
        <w:rPr>
          <w:lang w:val="de-DE"/>
        </w:rPr>
      </w:pPr>
    </w:p>
    <w:p w:rsidR="004125C8" w:rsidRPr="00633F67" w:rsidRDefault="004125C8" w:rsidP="004125C8">
      <w:pPr>
        <w:ind w:left="567" w:right="567" w:firstLine="567"/>
        <w:rPr>
          <w:sz w:val="18"/>
          <w:lang w:val="de-DE"/>
        </w:rPr>
      </w:pPr>
      <w:r w:rsidRPr="00633F67">
        <w:rPr>
          <w:sz w:val="18"/>
          <w:lang w:val="de-DE"/>
        </w:rPr>
        <w:t>„Eine Liste der Gattungen und Arten, an denen praktische technische Kenntnisse erworben oder für die nationale Richtlinien aufgestellt wurden, ist im folgenden Dokument des Technischen Ausschusses enthalten:</w:t>
      </w:r>
    </w:p>
    <w:p w:rsidR="004125C8" w:rsidRPr="00633F67" w:rsidRDefault="004125C8" w:rsidP="004125C8">
      <w:pPr>
        <w:ind w:left="567" w:right="567" w:firstLine="567"/>
        <w:rPr>
          <w:sz w:val="18"/>
          <w:lang w:val="de-DE"/>
        </w:rPr>
      </w:pPr>
    </w:p>
    <w:p w:rsidR="004125C8" w:rsidRPr="00633F67" w:rsidRDefault="004125C8" w:rsidP="004125C8">
      <w:pPr>
        <w:ind w:left="567" w:right="567" w:firstLine="567"/>
        <w:rPr>
          <w:sz w:val="18"/>
          <w:lang w:val="de-DE"/>
        </w:rPr>
      </w:pPr>
      <w:r w:rsidRPr="00633F67">
        <w:rPr>
          <w:sz w:val="18"/>
          <w:lang w:val="de-DE"/>
        </w:rPr>
        <w:t>„TC/[Tagung]/4 (z. B. TC/51/4), (</w:t>
      </w:r>
      <w:hyperlink r:id="rId13" w:history="1">
        <w:r w:rsidRPr="00633F67">
          <w:rPr>
            <w:rStyle w:val="Hyperlink"/>
            <w:sz w:val="18"/>
            <w:lang w:val="de-DE"/>
          </w:rPr>
          <w:t>http://www.upov.int/meetings/de/topic.jsp?group_id=254</w:t>
        </w:r>
      </w:hyperlink>
      <w:r w:rsidRPr="00633F67">
        <w:rPr>
          <w:sz w:val="18"/>
          <w:lang w:val="de-DE"/>
        </w:rPr>
        <w:t>).“</w:t>
      </w:r>
    </w:p>
    <w:p w:rsidR="004125C8" w:rsidRPr="00633F67" w:rsidRDefault="004125C8" w:rsidP="004125C8">
      <w:pPr>
        <w:rPr>
          <w:lang w:val="de-DE"/>
        </w:rPr>
      </w:pPr>
    </w:p>
    <w:p w:rsidR="004125C8" w:rsidRPr="00633F67" w:rsidRDefault="004125C8" w:rsidP="004125C8">
      <w:pPr>
        <w:keepNext/>
        <w:rPr>
          <w:i/>
          <w:lang w:val="de-DE"/>
        </w:rPr>
      </w:pPr>
      <w:r w:rsidRPr="00633F67">
        <w:rPr>
          <w:i/>
          <w:lang w:val="de-DE"/>
        </w:rPr>
        <w:t>TGP/0: Liste der TGP-Dokumente und jüngstes Ausgabedatum</w:t>
      </w:r>
    </w:p>
    <w:p w:rsidR="004125C8" w:rsidRPr="00633F67" w:rsidRDefault="004125C8" w:rsidP="004125C8">
      <w:pPr>
        <w:keepNext/>
        <w:rPr>
          <w:lang w:val="de-DE"/>
        </w:rPr>
      </w:pPr>
    </w:p>
    <w:p w:rsidR="004125C8" w:rsidRPr="00633F67" w:rsidRDefault="004125C8" w:rsidP="004125C8">
      <w:pPr>
        <w:rPr>
          <w:lang w:val="de-DE"/>
        </w:rPr>
      </w:pPr>
      <w:r w:rsidRPr="00633F67">
        <w:rPr>
          <w:rFonts w:eastAsia="SimSun"/>
          <w:snapToGrid w:val="0"/>
          <w:vertAlign w:val="superscript"/>
          <w:lang w:val="de-DE" w:eastAsia="ja-JP"/>
        </w:rPr>
        <w:t>*</w:t>
      </w:r>
      <w:r w:rsidRPr="00633F67">
        <w:fldChar w:fldCharType="begin"/>
      </w:r>
      <w:r w:rsidRPr="00633F67">
        <w:rPr>
          <w:lang w:val="de-DE"/>
        </w:rPr>
        <w:instrText xml:space="preserve"> AUTONUM  </w:instrText>
      </w:r>
      <w:r w:rsidRPr="00633F67">
        <w:fldChar w:fldCharType="end"/>
      </w:r>
      <w:r w:rsidRPr="00633F67">
        <w:rPr>
          <w:lang w:val="de-DE"/>
        </w:rPr>
        <w:tab/>
        <w:t xml:space="preserve">Der CAJ nahm zur Kenntnis, daß der Rat ersucht werden würde, das Dokument TGP/0/8 anzunehmen, um die Überarbeitungen von TGP-Dokumenten wiederzugeben. </w:t>
      </w:r>
    </w:p>
    <w:p w:rsidR="004125C8" w:rsidRPr="00633F67" w:rsidRDefault="004125C8" w:rsidP="004125C8">
      <w:pPr>
        <w:spacing w:line="360" w:lineRule="auto"/>
        <w:rPr>
          <w:lang w:val="de-DE"/>
        </w:rPr>
      </w:pPr>
    </w:p>
    <w:p w:rsidR="004125C8" w:rsidRPr="00633F67" w:rsidRDefault="004125C8" w:rsidP="004125C8">
      <w:pPr>
        <w:keepNext/>
        <w:rPr>
          <w:i/>
          <w:lang w:val="de-DE"/>
        </w:rPr>
      </w:pPr>
      <w:r w:rsidRPr="00633F67">
        <w:rPr>
          <w:i/>
          <w:lang w:val="de-DE"/>
        </w:rPr>
        <w:t>Programm für die Erarbeitung von TGP</w:t>
      </w:r>
      <w:r w:rsidR="00633F67">
        <w:rPr>
          <w:rFonts w:ascii="Cambria Math" w:hAnsi="Cambria Math" w:cs="Cambria Math"/>
          <w:i/>
          <w:lang w:val="de-DE"/>
        </w:rPr>
        <w:noBreakHyphen/>
      </w:r>
      <w:r w:rsidRPr="00633F67">
        <w:rPr>
          <w:i/>
          <w:lang w:val="de-DE"/>
        </w:rPr>
        <w:t xml:space="preserve">Dokumenten </w:t>
      </w:r>
    </w:p>
    <w:p w:rsidR="004125C8" w:rsidRPr="00633F67" w:rsidRDefault="004125C8" w:rsidP="004125C8">
      <w:pPr>
        <w:keepNext/>
        <w:rPr>
          <w:lang w:val="de-DE"/>
        </w:rPr>
      </w:pPr>
    </w:p>
    <w:p w:rsidR="004125C8" w:rsidRPr="00633F67" w:rsidRDefault="004125C8" w:rsidP="004125C8">
      <w:pPr>
        <w:rPr>
          <w:lang w:val="de-DE"/>
        </w:rPr>
      </w:pPr>
      <w:r w:rsidRPr="00633F67">
        <w:rPr>
          <w:rFonts w:eastAsia="SimSun"/>
          <w:snapToGrid w:val="0"/>
          <w:vertAlign w:val="superscript"/>
          <w:lang w:val="de-DE" w:eastAsia="ja-JP"/>
        </w:rPr>
        <w:t>*</w:t>
      </w:r>
      <w:r w:rsidRPr="00633F67">
        <w:fldChar w:fldCharType="begin"/>
      </w:r>
      <w:r w:rsidRPr="00633F67">
        <w:rPr>
          <w:lang w:val="de-DE"/>
        </w:rPr>
        <w:instrText xml:space="preserve"> AUTONUM  </w:instrText>
      </w:r>
      <w:r w:rsidRPr="00633F67">
        <w:fldChar w:fldCharType="end"/>
      </w:r>
      <w:r w:rsidRPr="00633F67">
        <w:rPr>
          <w:lang w:val="de-DE"/>
        </w:rPr>
        <w:tab/>
        <w:t>Der CAJ billigte das Programm für die Erarbeitung von TGP-Dokumenten, wie in Anlage V des Dokuments CAJ/71/7 dargelegt.</w:t>
      </w:r>
    </w:p>
    <w:p w:rsidR="004125C8" w:rsidRPr="00633F67" w:rsidRDefault="004125C8" w:rsidP="004125C8">
      <w:pPr>
        <w:rPr>
          <w:lang w:val="de-DE"/>
        </w:rPr>
      </w:pPr>
    </w:p>
    <w:p w:rsidR="004125C8" w:rsidRPr="00633F67" w:rsidRDefault="004125C8" w:rsidP="004125C8">
      <w:pPr>
        <w:rPr>
          <w:lang w:val="de-DE"/>
        </w:rPr>
      </w:pPr>
    </w:p>
    <w:p w:rsidR="004125C8" w:rsidRPr="00633F67" w:rsidRDefault="004125C8" w:rsidP="004125C8">
      <w:pPr>
        <w:keepNext/>
        <w:jc w:val="left"/>
        <w:outlineLvl w:val="0"/>
        <w:rPr>
          <w:snapToGrid w:val="0"/>
          <w:u w:val="single"/>
          <w:lang w:val="de-DE"/>
        </w:rPr>
      </w:pPr>
      <w:r w:rsidRPr="00633F67">
        <w:rPr>
          <w:snapToGrid w:val="0"/>
          <w:u w:val="single"/>
          <w:lang w:val="de-DE"/>
        </w:rPr>
        <w:lastRenderedPageBreak/>
        <w:t>Molekulare Verfahren</w:t>
      </w:r>
    </w:p>
    <w:p w:rsidR="004125C8" w:rsidRPr="00633F67" w:rsidRDefault="004125C8" w:rsidP="004125C8">
      <w:pPr>
        <w:keepNext/>
        <w:jc w:val="left"/>
        <w:outlineLvl w:val="0"/>
        <w:rPr>
          <w:snapToGrid w:val="0"/>
          <w:u w:val="single"/>
          <w:lang w:val="de-DE"/>
        </w:rPr>
      </w:pPr>
    </w:p>
    <w:p w:rsidR="004125C8" w:rsidRPr="00633F67" w:rsidRDefault="004125C8" w:rsidP="004125C8">
      <w:pPr>
        <w:keepNext/>
        <w:rPr>
          <w:lang w:val="de-DE"/>
        </w:rPr>
      </w:pPr>
      <w:r w:rsidRPr="00633F67">
        <w:rPr>
          <w:rFonts w:eastAsia="SimSun"/>
          <w:snapToGrid w:val="0"/>
          <w:vertAlign w:val="superscript"/>
          <w:lang w:val="de-DE" w:eastAsia="ja-JP"/>
        </w:rPr>
        <w:t>*</w:t>
      </w:r>
      <w:r w:rsidRPr="00633F67">
        <w:fldChar w:fldCharType="begin"/>
      </w:r>
      <w:r w:rsidRPr="00633F67">
        <w:rPr>
          <w:lang w:val="de-DE"/>
        </w:rPr>
        <w:instrText xml:space="preserve"> AUTONUM  </w:instrText>
      </w:r>
      <w:r w:rsidRPr="00633F67">
        <w:fldChar w:fldCharType="end"/>
      </w:r>
      <w:r w:rsidRPr="00633F67">
        <w:rPr>
          <w:lang w:val="de-DE"/>
        </w:rPr>
        <w:tab/>
        <w:t>Der CAJ prüfte Dokumente CAJ/71/8 und CAJ/71/9.</w:t>
      </w:r>
    </w:p>
    <w:p w:rsidR="004125C8" w:rsidRPr="00633F67" w:rsidRDefault="004125C8" w:rsidP="004125C8">
      <w:pPr>
        <w:rPr>
          <w:lang w:val="de-DE"/>
        </w:rPr>
      </w:pPr>
    </w:p>
    <w:p w:rsidR="004125C8" w:rsidRPr="00633F67" w:rsidRDefault="004125C8" w:rsidP="004125C8">
      <w:pPr>
        <w:rPr>
          <w:lang w:val="de-DE"/>
        </w:rPr>
      </w:pPr>
      <w:r w:rsidRPr="00633F67">
        <w:rPr>
          <w:rFonts w:eastAsia="SimSun"/>
          <w:snapToGrid w:val="0"/>
          <w:vertAlign w:val="superscript"/>
          <w:lang w:val="de-DE" w:eastAsia="ja-JP"/>
        </w:rPr>
        <w:t>*</w:t>
      </w:r>
      <w:r w:rsidRPr="00633F67">
        <w:fldChar w:fldCharType="begin"/>
      </w:r>
      <w:r w:rsidRPr="00633F67">
        <w:rPr>
          <w:lang w:val="de-DE"/>
        </w:rPr>
        <w:instrText xml:space="preserve"> AUTONUM  </w:instrText>
      </w:r>
      <w:r w:rsidRPr="00633F67">
        <w:fldChar w:fldCharType="end"/>
      </w:r>
      <w:r w:rsidRPr="00633F67">
        <w:rPr>
          <w:lang w:val="de-DE"/>
        </w:rPr>
        <w:tab/>
        <w:t>Der CAJ nahm den Bericht über die Entwicklungen in der BMT, wie in Dokument CAJ/71/8, Absätze 6 bis 9 dargelegt, zur Kenntnis.</w:t>
      </w:r>
    </w:p>
    <w:p w:rsidR="004125C8" w:rsidRPr="00633F67" w:rsidRDefault="004125C8" w:rsidP="004125C8">
      <w:pPr>
        <w:rPr>
          <w:lang w:val="de-DE"/>
        </w:rPr>
      </w:pPr>
    </w:p>
    <w:p w:rsidR="004125C8" w:rsidRPr="00633F67" w:rsidRDefault="004125C8" w:rsidP="004125C8">
      <w:pPr>
        <w:rPr>
          <w:lang w:val="de-DE"/>
        </w:rPr>
      </w:pPr>
      <w:r w:rsidRPr="00633F67">
        <w:rPr>
          <w:rFonts w:eastAsia="SimSun"/>
          <w:snapToGrid w:val="0"/>
          <w:vertAlign w:val="superscript"/>
          <w:lang w:val="de-DE" w:eastAsia="ja-JP"/>
        </w:rPr>
        <w:t>*</w:t>
      </w:r>
      <w:r w:rsidRPr="00633F67">
        <w:fldChar w:fldCharType="begin"/>
      </w:r>
      <w:r w:rsidRPr="00633F67">
        <w:rPr>
          <w:lang w:val="de-DE"/>
        </w:rPr>
        <w:instrText xml:space="preserve"> AUTONUM  </w:instrText>
      </w:r>
      <w:r w:rsidRPr="00633F67">
        <w:fldChar w:fldCharType="end"/>
      </w:r>
      <w:r w:rsidRPr="00633F67">
        <w:rPr>
          <w:lang w:val="de-DE"/>
        </w:rPr>
        <w:tab/>
        <w:t>Der CAJ nahm zur Kenntnis, daß die gemeinsame Arbeitstagung von OECD, UPOV und ISTA vom 12. November 2014 in Seoul, Republik Korea, vereinbart hatte, daß es zweckmäßig wäre, die gemeinsame Arbeitstagung auf einschlägigen Tagungen der OECD und der ISTA zu wiederholen, und in dieser Hinsicht, daß die Tagung der Technischen Arbeitsgruppe der OECD-Saatgutsysteme vereinbart hatte, daß eine weitere gemeinsame Arbeitstagung von OECD, UPOV, ISTA über molekulare Verfahren entweder in Verbindung mit der Jahrestagung der OECD-Saatgutsysteme im Juni 2015 in Paris oder in Verbindung mit der Tagung der Technischen Arbeitsgruppe im Januar 2016 organisiert werden soll.</w:t>
      </w:r>
    </w:p>
    <w:p w:rsidR="004125C8" w:rsidRPr="00633F67" w:rsidRDefault="004125C8" w:rsidP="004125C8">
      <w:pPr>
        <w:rPr>
          <w:lang w:val="de-DE"/>
        </w:rPr>
      </w:pPr>
    </w:p>
    <w:p w:rsidR="004125C8" w:rsidRPr="00633F67" w:rsidRDefault="004125C8" w:rsidP="004125C8">
      <w:pPr>
        <w:rPr>
          <w:lang w:val="de-DE"/>
        </w:rPr>
      </w:pPr>
      <w:r w:rsidRPr="00633F67">
        <w:rPr>
          <w:rFonts w:eastAsia="SimSun"/>
          <w:snapToGrid w:val="0"/>
          <w:vertAlign w:val="superscript"/>
          <w:lang w:val="de-DE" w:eastAsia="ja-JP"/>
        </w:rPr>
        <w:t>*</w:t>
      </w:r>
      <w:r w:rsidRPr="00633F67">
        <w:fldChar w:fldCharType="begin"/>
      </w:r>
      <w:r w:rsidRPr="00633F67">
        <w:rPr>
          <w:lang w:val="de-DE"/>
        </w:rPr>
        <w:instrText xml:space="preserve"> AUTONUM  </w:instrText>
      </w:r>
      <w:r w:rsidRPr="00633F67">
        <w:fldChar w:fldCharType="end"/>
      </w:r>
      <w:r w:rsidRPr="00633F67">
        <w:rPr>
          <w:lang w:val="de-DE"/>
        </w:rPr>
        <w:tab/>
        <w:t>Der CAJ nahm zur Kenntnis, daß der TC auf seiner einundfünfzigsten Tagung das Programm für die fünfzehnte Tagung der BMT im Jahr 2016, einschließlich der Einplanung eines speziellen Datums („Tag der Züchter“) für die Punkte über die Verwendung molekularer Verfahren bei der Prüfung der wesentlichen Ableitung und bei der Sortenidentifikation, gebilligt hatte.</w:t>
      </w:r>
    </w:p>
    <w:p w:rsidR="004125C8" w:rsidRPr="00633F67" w:rsidRDefault="004125C8" w:rsidP="004125C8">
      <w:pPr>
        <w:rPr>
          <w:lang w:val="de-DE"/>
        </w:rPr>
      </w:pPr>
    </w:p>
    <w:p w:rsidR="004125C8" w:rsidRPr="00633F67" w:rsidRDefault="004125C8" w:rsidP="004125C8">
      <w:pPr>
        <w:rPr>
          <w:lang w:val="de-DE"/>
        </w:rPr>
      </w:pPr>
      <w:r w:rsidRPr="00633F67">
        <w:rPr>
          <w:rFonts w:eastAsia="SimSun"/>
          <w:snapToGrid w:val="0"/>
          <w:vertAlign w:val="superscript"/>
          <w:lang w:val="de-DE" w:eastAsia="ja-JP"/>
        </w:rPr>
        <w:t>*</w:t>
      </w:r>
      <w:r w:rsidRPr="00633F67">
        <w:fldChar w:fldCharType="begin"/>
      </w:r>
      <w:r w:rsidRPr="00633F67">
        <w:rPr>
          <w:lang w:val="de-DE"/>
        </w:rPr>
        <w:instrText xml:space="preserve"> AUTONUM  </w:instrText>
      </w:r>
      <w:r w:rsidRPr="00633F67">
        <w:fldChar w:fldCharType="end"/>
      </w:r>
      <w:r w:rsidRPr="00633F67">
        <w:rPr>
          <w:lang w:val="de-DE"/>
        </w:rPr>
        <w:tab/>
        <w:t xml:space="preserve">Der CAJ nahm zur Kenntnis, daß der TC vereinbart hatte, </w:t>
      </w:r>
      <w:r w:rsidRPr="00633F67">
        <w:rPr>
          <w:rFonts w:cs="Arial"/>
          <w:lang w:val="de-DE" w:eastAsia="ja-JP"/>
        </w:rPr>
        <w:t>vorbehaltlich der Billigung durch den Rat und in Koordination mit OECD und ISTA,</w:t>
      </w:r>
      <w:r w:rsidRPr="00633F67">
        <w:rPr>
          <w:lang w:val="de-DE"/>
        </w:rPr>
        <w:t xml:space="preserve"> ein gemeinsames Dokument zur Erläuterung der wesentlichen Besonderheiten der Systeme von OECD, UPOV und ISTA (</w:t>
      </w:r>
      <w:r w:rsidRPr="00633F67">
        <w:rPr>
          <w:rFonts w:cs="Arial"/>
          <w:lang w:val="de-DE" w:eastAsia="ja-JP"/>
        </w:rPr>
        <w:t xml:space="preserve">z.B. DUS, Sortenidentifikation, Sortenreinheit usw.) </w:t>
      </w:r>
      <w:r w:rsidRPr="00633F67">
        <w:rPr>
          <w:lang w:val="de-DE"/>
        </w:rPr>
        <w:t>zu erarbeiten.</w:t>
      </w:r>
    </w:p>
    <w:p w:rsidR="004125C8" w:rsidRPr="00633F67" w:rsidRDefault="004125C8" w:rsidP="004125C8">
      <w:pPr>
        <w:rPr>
          <w:lang w:val="de-DE"/>
        </w:rPr>
      </w:pPr>
    </w:p>
    <w:p w:rsidR="004125C8" w:rsidRPr="00633F67" w:rsidRDefault="004125C8" w:rsidP="004125C8">
      <w:pPr>
        <w:rPr>
          <w:lang w:val="de-DE"/>
        </w:rPr>
      </w:pPr>
      <w:r w:rsidRPr="00633F67">
        <w:rPr>
          <w:rFonts w:eastAsia="SimSun"/>
          <w:snapToGrid w:val="0"/>
          <w:vertAlign w:val="superscript"/>
          <w:lang w:val="de-DE" w:eastAsia="ja-JP"/>
        </w:rPr>
        <w:t>*</w:t>
      </w:r>
      <w:r w:rsidRPr="00633F67">
        <w:fldChar w:fldCharType="begin"/>
      </w:r>
      <w:r w:rsidRPr="00633F67">
        <w:rPr>
          <w:lang w:val="de-DE"/>
        </w:rPr>
        <w:instrText xml:space="preserve"> AUTONUM  </w:instrText>
      </w:r>
      <w:r w:rsidRPr="00633F67">
        <w:fldChar w:fldCharType="end"/>
      </w:r>
      <w:r w:rsidRPr="00633F67">
        <w:rPr>
          <w:lang w:val="de-DE"/>
        </w:rPr>
        <w:tab/>
        <w:t xml:space="preserve">Der CAJ nahm zur Kenntnis, daß der TC vereinbart hatte, </w:t>
      </w:r>
      <w:r w:rsidRPr="00633F67">
        <w:rPr>
          <w:rFonts w:cs="Arial"/>
          <w:lang w:val="de-DE" w:eastAsia="ja-JP"/>
        </w:rPr>
        <w:t xml:space="preserve">vorbehaltlich der Billigung durch den Rat und in Koordination mit OECD und ISTA, </w:t>
      </w:r>
      <w:r w:rsidRPr="00633F67">
        <w:rPr>
          <w:lang w:val="de-DE"/>
        </w:rPr>
        <w:t xml:space="preserve">eine Bestandsaufnahme zur Verwendung molekularer Markerverfahren nach Pflanze im Hinblick auf die Ausarbeitung eines gemeinsamen Dokuments von OECD, UPOV und ISTA mit diesen Informationen in einem ähnlichen Format wie das UPOV-Dokument UPOV/INF/16 „Austauschbare Software“ </w:t>
      </w:r>
      <w:r w:rsidRPr="00633F67">
        <w:rPr>
          <w:rFonts w:cs="Arial"/>
          <w:lang w:val="de-DE" w:eastAsia="ja-JP"/>
        </w:rPr>
        <w:t>zu erarbeiten</w:t>
      </w:r>
      <w:r w:rsidRPr="00633F67">
        <w:rPr>
          <w:lang w:val="de-DE"/>
        </w:rPr>
        <w:t>. Der CAJ vereinbarte, daß es notwendig sein würde, für dem Dokument hinzuzufügende Informationen Kriterien und einen Prozess festzulegen.</w:t>
      </w:r>
    </w:p>
    <w:p w:rsidR="004125C8" w:rsidRPr="00633F67" w:rsidRDefault="004125C8" w:rsidP="004125C8">
      <w:pPr>
        <w:rPr>
          <w:lang w:val="de-DE"/>
        </w:rPr>
      </w:pPr>
    </w:p>
    <w:p w:rsidR="004125C8" w:rsidRPr="00633F67" w:rsidRDefault="004125C8" w:rsidP="004125C8">
      <w:pPr>
        <w:rPr>
          <w:lang w:val="de-DE"/>
        </w:rPr>
      </w:pPr>
      <w:r w:rsidRPr="00633F67">
        <w:rPr>
          <w:rFonts w:eastAsia="SimSun"/>
          <w:snapToGrid w:val="0"/>
          <w:vertAlign w:val="superscript"/>
          <w:lang w:val="de-DE" w:eastAsia="ja-JP"/>
        </w:rPr>
        <w:t>*</w:t>
      </w:r>
      <w:r w:rsidRPr="00633F67">
        <w:fldChar w:fldCharType="begin"/>
      </w:r>
      <w:r w:rsidRPr="00633F67">
        <w:rPr>
          <w:lang w:val="de-DE"/>
        </w:rPr>
        <w:instrText xml:space="preserve"> AUTONUM  </w:instrText>
      </w:r>
      <w:r w:rsidRPr="00633F67">
        <w:fldChar w:fldCharType="end"/>
      </w:r>
      <w:r w:rsidRPr="00633F67">
        <w:rPr>
          <w:lang w:val="de-DE"/>
        </w:rPr>
        <w:tab/>
        <w:t>Der CAJ nahm zur Kenntnis, daß der TC vereinbart hatte, daß die BMT auf ihrer fünfzehnten Tagung Listen möglicher gemeinsamer Initiativen mit OECD und ISTA hinsichtlich molekularer Verfahren erstellen solle.</w:t>
      </w:r>
    </w:p>
    <w:p w:rsidR="004125C8" w:rsidRPr="00633F67" w:rsidRDefault="004125C8" w:rsidP="004125C8">
      <w:pPr>
        <w:rPr>
          <w:lang w:val="de-DE"/>
        </w:rPr>
      </w:pPr>
    </w:p>
    <w:p w:rsidR="004125C8" w:rsidRPr="00633F67" w:rsidRDefault="004125C8" w:rsidP="004125C8">
      <w:pPr>
        <w:rPr>
          <w:spacing w:val="-2"/>
          <w:lang w:val="de-DE"/>
        </w:rPr>
      </w:pPr>
      <w:r w:rsidRPr="00633F67">
        <w:rPr>
          <w:rFonts w:eastAsia="SimSun"/>
          <w:snapToGrid w:val="0"/>
          <w:spacing w:val="-2"/>
          <w:vertAlign w:val="superscript"/>
          <w:lang w:val="de-DE" w:eastAsia="ja-JP"/>
        </w:rPr>
        <w:t>*</w:t>
      </w:r>
      <w:r w:rsidRPr="00633F67">
        <w:rPr>
          <w:spacing w:val="-2"/>
        </w:rPr>
        <w:fldChar w:fldCharType="begin"/>
      </w:r>
      <w:r w:rsidRPr="00633F67">
        <w:rPr>
          <w:spacing w:val="-2"/>
          <w:lang w:val="de-DE"/>
        </w:rPr>
        <w:instrText xml:space="preserve"> AUTONUM  </w:instrText>
      </w:r>
      <w:r w:rsidRPr="00633F67">
        <w:rPr>
          <w:spacing w:val="-2"/>
        </w:rPr>
        <w:fldChar w:fldCharType="end"/>
      </w:r>
      <w:r w:rsidRPr="00633F67">
        <w:rPr>
          <w:spacing w:val="-2"/>
          <w:lang w:val="de-DE"/>
        </w:rPr>
        <w:tab/>
        <w:t>Der CAJ nahm zur Kenntnis, daß der TC die Ausarbeitung eines Entwurfs für Frage und Antwort bezüglich der Informationen über die Lage in der UPOV hinsichtlich der Verwendung molekularer Verfahren für ein breiteres Publikum, einschließlich der Öffentlichkeit im allgemeinen, geprüft hatte. Der TC hatte vereinbart, die TWP zu ersuchen, auf ihren Tagungen im Jahr 2015 den folgenden ersten Entwurf zu prüfen, der während der Tagung des TC erörtert wurde (vergleiche Dokument TC/51/39 „Bericht“, Absätze 172 bis 181):</w:t>
      </w:r>
    </w:p>
    <w:p w:rsidR="004125C8" w:rsidRPr="00633F67" w:rsidRDefault="004125C8" w:rsidP="004125C8">
      <w:pPr>
        <w:rPr>
          <w:sz w:val="18"/>
          <w:lang w:val="de-DE"/>
        </w:rPr>
      </w:pPr>
    </w:p>
    <w:p w:rsidR="004125C8" w:rsidRPr="00633F67" w:rsidRDefault="004125C8" w:rsidP="004125C8">
      <w:pPr>
        <w:ind w:left="567" w:right="567"/>
        <w:rPr>
          <w:sz w:val="18"/>
          <w:lang w:val="de-DE"/>
        </w:rPr>
      </w:pPr>
      <w:r w:rsidRPr="00633F67">
        <w:rPr>
          <w:sz w:val="18"/>
          <w:lang w:val="de-DE"/>
        </w:rPr>
        <w:t>„Ist es möglich, Sortenschutz auf der Grundlage eines DNA-Profils zu erteilen?</w:t>
      </w:r>
    </w:p>
    <w:p w:rsidR="004125C8" w:rsidRPr="00633F67" w:rsidRDefault="004125C8" w:rsidP="004125C8">
      <w:pPr>
        <w:ind w:left="567" w:right="567"/>
        <w:rPr>
          <w:sz w:val="18"/>
          <w:lang w:val="de-DE"/>
        </w:rPr>
      </w:pPr>
    </w:p>
    <w:p w:rsidR="004125C8" w:rsidRPr="00633F67" w:rsidRDefault="004125C8" w:rsidP="004125C8">
      <w:pPr>
        <w:ind w:left="567" w:right="567"/>
        <w:rPr>
          <w:sz w:val="18"/>
          <w:lang w:val="de-DE"/>
        </w:rPr>
      </w:pPr>
      <w:r w:rsidRPr="00633F67">
        <w:rPr>
          <w:sz w:val="18"/>
          <w:lang w:val="de-DE"/>
        </w:rPr>
        <w:t>„Um eine Sorte zu schützen, muß sie deutlich unterscheidbar von sämtlichen bestehenden Sorten sein auf der Grundlage von Merkmalen, die physikalisch ausgeprägt sind, z.B. Pflanzenhöhe, Blühzeitpunkt, Fruchtfarbe, Krankheitsresistenz usw. [Molekulare Verfahren (DNA-Profile) können als unterstützende Information verwendet werden].</w:t>
      </w:r>
    </w:p>
    <w:p w:rsidR="004125C8" w:rsidRPr="00633F67" w:rsidRDefault="004125C8" w:rsidP="004125C8">
      <w:pPr>
        <w:ind w:left="567" w:right="567"/>
        <w:rPr>
          <w:sz w:val="18"/>
          <w:lang w:val="de-DE"/>
        </w:rPr>
      </w:pPr>
    </w:p>
    <w:p w:rsidR="004125C8" w:rsidRPr="00633F67" w:rsidRDefault="004125C8" w:rsidP="004125C8">
      <w:pPr>
        <w:ind w:left="567" w:right="567"/>
        <w:rPr>
          <w:sz w:val="18"/>
          <w:lang w:val="de-DE"/>
        </w:rPr>
      </w:pPr>
      <w:r w:rsidRPr="00633F67">
        <w:rPr>
          <w:sz w:val="18"/>
          <w:lang w:val="de-DE"/>
        </w:rPr>
        <w:t>„Eine ausführlichere Erläuterung findet sich in der häufig gestellten Frage ‘Erlaubt die UPOV die Verwendung molekularer Verfahren (DNS-Profile) bei der Prüfung der Unterscheidbarkeit, der Homogenität und der Beständigkeit („DUS“)?’</w:t>
      </w:r>
    </w:p>
    <w:p w:rsidR="004125C8" w:rsidRPr="00633F67" w:rsidRDefault="004125C8" w:rsidP="004125C8">
      <w:pPr>
        <w:ind w:left="567" w:right="567"/>
        <w:rPr>
          <w:sz w:val="18"/>
          <w:lang w:val="de-DE"/>
        </w:rPr>
      </w:pPr>
    </w:p>
    <w:p w:rsidR="004125C8" w:rsidRPr="00633F67" w:rsidRDefault="004125C8" w:rsidP="004125C8">
      <w:pPr>
        <w:ind w:left="567" w:right="567"/>
        <w:rPr>
          <w:sz w:val="18"/>
          <w:lang w:val="de-DE"/>
        </w:rPr>
      </w:pPr>
      <w:r w:rsidRPr="00633F67">
        <w:rPr>
          <w:sz w:val="18"/>
          <w:lang w:val="de-DE"/>
        </w:rPr>
        <w:t>„Vergleiche auch:</w:t>
      </w:r>
    </w:p>
    <w:p w:rsidR="0080264F" w:rsidRPr="00633F67" w:rsidRDefault="004125C8" w:rsidP="009B6F95">
      <w:pPr>
        <w:ind w:left="567" w:right="567"/>
        <w:rPr>
          <w:sz w:val="18"/>
          <w:lang w:val="de-DE"/>
        </w:rPr>
      </w:pPr>
      <w:r w:rsidRPr="00633F67">
        <w:rPr>
          <w:sz w:val="18"/>
          <w:lang w:val="de-DE"/>
        </w:rPr>
        <w:t>„Was sind die Voraussetzungen für den Schutz einer neuen Pflanzensorte?“</w:t>
      </w:r>
    </w:p>
    <w:p w:rsidR="003C682A" w:rsidRPr="00633F67" w:rsidRDefault="003C682A" w:rsidP="003C682A">
      <w:pPr>
        <w:rPr>
          <w:lang w:val="de-DE"/>
        </w:rPr>
      </w:pPr>
    </w:p>
    <w:p w:rsidR="002C634D" w:rsidRPr="00633F67" w:rsidRDefault="003C682A" w:rsidP="00633F67">
      <w:pPr>
        <w:spacing w:after="480"/>
        <w:rPr>
          <w:lang w:val="de-DE"/>
        </w:rPr>
      </w:pPr>
      <w:r w:rsidRPr="00633F67">
        <w:fldChar w:fldCharType="begin"/>
      </w:r>
      <w:r w:rsidRPr="00633F67">
        <w:rPr>
          <w:lang w:val="de-DE"/>
        </w:rPr>
        <w:instrText xml:space="preserve"> AUTONUM  </w:instrText>
      </w:r>
      <w:r w:rsidRPr="00633F67">
        <w:fldChar w:fldCharType="end"/>
      </w:r>
      <w:r w:rsidRPr="00633F67">
        <w:rPr>
          <w:lang w:val="de-DE"/>
        </w:rPr>
        <w:tab/>
      </w:r>
      <w:r w:rsidR="00FA01B7" w:rsidRPr="00633F67">
        <w:rPr>
          <w:lang w:val="de-DE"/>
        </w:rPr>
        <w:t xml:space="preserve">Die </w:t>
      </w:r>
      <w:r w:rsidR="006F148B" w:rsidRPr="00633F67">
        <w:rPr>
          <w:lang w:val="de-DE"/>
        </w:rPr>
        <w:t>Vertreter</w:t>
      </w:r>
      <w:r w:rsidR="00FA01B7" w:rsidRPr="00633F67">
        <w:rPr>
          <w:lang w:val="de-DE"/>
        </w:rPr>
        <w:t>in</w:t>
      </w:r>
      <w:r w:rsidR="006F148B" w:rsidRPr="00633F67">
        <w:rPr>
          <w:lang w:val="de-DE"/>
        </w:rPr>
        <w:t xml:space="preserve"> der Vereinigung für Pflanzenzüchtung zum Nutzen der Gesellschaft (APBREBES) äußerte </w:t>
      </w:r>
      <w:r w:rsidR="00FA01B7" w:rsidRPr="00633F67">
        <w:rPr>
          <w:lang w:val="de-DE"/>
        </w:rPr>
        <w:t>Bedenken hinsichtlich der Kosten von</w:t>
      </w:r>
      <w:r w:rsidR="00F23962" w:rsidRPr="00633F67">
        <w:rPr>
          <w:lang w:val="de-DE"/>
        </w:rPr>
        <w:t xml:space="preserve"> </w:t>
      </w:r>
      <w:r w:rsidR="00FA01B7" w:rsidRPr="00633F67">
        <w:rPr>
          <w:lang w:val="de-DE"/>
        </w:rPr>
        <w:t>DNS</w:t>
      </w:r>
      <w:r w:rsidR="00633F67">
        <w:rPr>
          <w:rFonts w:ascii="Cambria Math" w:hAnsi="Cambria Math" w:cs="Cambria Math"/>
          <w:lang w:val="de-DE"/>
        </w:rPr>
        <w:noBreakHyphen/>
      </w:r>
      <w:r w:rsidR="00FA01B7" w:rsidRPr="00633F67">
        <w:rPr>
          <w:lang w:val="de-DE"/>
        </w:rPr>
        <w:t xml:space="preserve">Profilierung </w:t>
      </w:r>
      <w:r w:rsidR="003C50AC" w:rsidRPr="00633F67">
        <w:rPr>
          <w:lang w:val="de-DE"/>
        </w:rPr>
        <w:t xml:space="preserve">und </w:t>
      </w:r>
      <w:r w:rsidR="00D37105" w:rsidRPr="00633F67">
        <w:rPr>
          <w:lang w:val="de-DE"/>
        </w:rPr>
        <w:t xml:space="preserve">war der Ansicht, daß </w:t>
      </w:r>
      <w:r w:rsidR="00FA01B7" w:rsidRPr="00633F67">
        <w:rPr>
          <w:lang w:val="de-DE"/>
        </w:rPr>
        <w:t>DNS</w:t>
      </w:r>
      <w:r w:rsidR="00633F67">
        <w:rPr>
          <w:rFonts w:ascii="Cambria Math" w:hAnsi="Cambria Math" w:cs="Cambria Math"/>
          <w:lang w:val="de-DE"/>
        </w:rPr>
        <w:noBreakHyphen/>
      </w:r>
      <w:r w:rsidR="00FA01B7" w:rsidRPr="00633F67">
        <w:rPr>
          <w:lang w:val="de-DE"/>
        </w:rPr>
        <w:t>Fingerabdr</w:t>
      </w:r>
      <w:r w:rsidR="00FA01B7" w:rsidRPr="00633F67">
        <w:rPr>
          <w:rFonts w:cs="Arial"/>
          <w:lang w:val="de-DE"/>
        </w:rPr>
        <w:t>ü</w:t>
      </w:r>
      <w:r w:rsidR="00FA01B7" w:rsidRPr="00633F67">
        <w:rPr>
          <w:lang w:val="de-DE"/>
        </w:rPr>
        <w:t xml:space="preserve">cke </w:t>
      </w:r>
      <w:r w:rsidR="00457E66" w:rsidRPr="00633F67">
        <w:rPr>
          <w:lang w:val="de-DE"/>
        </w:rPr>
        <w:t xml:space="preserve">Feldprüfungen nicht ersetzen </w:t>
      </w:r>
      <w:r w:rsidR="00DC1904" w:rsidRPr="00633F67">
        <w:rPr>
          <w:lang w:val="de-DE"/>
        </w:rPr>
        <w:t>s</w:t>
      </w:r>
      <w:r w:rsidR="00457E66" w:rsidRPr="00633F67">
        <w:rPr>
          <w:lang w:val="de-DE"/>
        </w:rPr>
        <w:t>ollten</w:t>
      </w:r>
      <w:r w:rsidR="00B92AB0" w:rsidRPr="00633F67">
        <w:rPr>
          <w:lang w:val="de-DE"/>
        </w:rPr>
        <w:t xml:space="preserve">. </w:t>
      </w:r>
      <w:r w:rsidR="00457E66" w:rsidRPr="00633F67">
        <w:rPr>
          <w:lang w:val="de-DE"/>
        </w:rPr>
        <w:t>Sie</w:t>
      </w:r>
      <w:r w:rsidR="006F148B" w:rsidRPr="00633F67">
        <w:rPr>
          <w:lang w:val="de-DE"/>
        </w:rPr>
        <w:t xml:space="preserve"> war der Ansicht, daß</w:t>
      </w:r>
      <w:r w:rsidR="00B92AB0" w:rsidRPr="00633F67">
        <w:rPr>
          <w:lang w:val="de-DE"/>
        </w:rPr>
        <w:t xml:space="preserve"> </w:t>
      </w:r>
      <w:r w:rsidR="00457E66" w:rsidRPr="00633F67">
        <w:rPr>
          <w:lang w:val="de-DE"/>
        </w:rPr>
        <w:t>bei der Verwendung von molekularen Daten zur</w:t>
      </w:r>
      <w:r w:rsidR="002C634D" w:rsidRPr="00633F67">
        <w:rPr>
          <w:lang w:val="de-DE"/>
        </w:rPr>
        <w:t xml:space="preserve"> </w:t>
      </w:r>
      <w:r w:rsidR="00457E66" w:rsidRPr="00633F67">
        <w:rPr>
          <w:lang w:val="de-DE"/>
        </w:rPr>
        <w:t xml:space="preserve">Wahrung </w:t>
      </w:r>
      <w:r w:rsidR="00DC1904" w:rsidRPr="00633F67">
        <w:rPr>
          <w:lang w:val="de-DE"/>
        </w:rPr>
        <w:t>von</w:t>
      </w:r>
      <w:r w:rsidR="00457E66" w:rsidRPr="00633F67">
        <w:rPr>
          <w:lang w:val="de-DE"/>
        </w:rPr>
        <w:t xml:space="preserve"> Züchterrechte</w:t>
      </w:r>
      <w:r w:rsidR="00DC1904" w:rsidRPr="00633F67">
        <w:rPr>
          <w:lang w:val="de-DE"/>
        </w:rPr>
        <w:t>n</w:t>
      </w:r>
      <w:r w:rsidR="002C634D" w:rsidRPr="00633F67">
        <w:rPr>
          <w:lang w:val="de-DE"/>
        </w:rPr>
        <w:t xml:space="preserve"> </w:t>
      </w:r>
      <w:r w:rsidR="002E3D8A" w:rsidRPr="00633F67">
        <w:rPr>
          <w:lang w:val="de-DE"/>
        </w:rPr>
        <w:t>Landwirte</w:t>
      </w:r>
      <w:r w:rsidR="003C50AC" w:rsidRPr="00633F67">
        <w:rPr>
          <w:lang w:val="de-DE"/>
        </w:rPr>
        <w:t xml:space="preserve"> und </w:t>
      </w:r>
      <w:r w:rsidR="00457E66" w:rsidRPr="00633F67">
        <w:rPr>
          <w:lang w:val="de-DE"/>
        </w:rPr>
        <w:t>andere Z</w:t>
      </w:r>
      <w:r w:rsidR="003C50AC" w:rsidRPr="00633F67">
        <w:rPr>
          <w:lang w:val="de-DE"/>
        </w:rPr>
        <w:t>üchter</w:t>
      </w:r>
      <w:r w:rsidR="00457E66" w:rsidRPr="00633F67">
        <w:rPr>
          <w:lang w:val="de-DE"/>
        </w:rPr>
        <w:t xml:space="preserve"> zwecks ihrer Verteidigung </w:t>
      </w:r>
      <w:r w:rsidR="00DC1904" w:rsidRPr="00633F67">
        <w:rPr>
          <w:lang w:val="de-DE"/>
        </w:rPr>
        <w:t xml:space="preserve">Zugriff auf diese Daten </w:t>
      </w:r>
      <w:r w:rsidR="00457E66" w:rsidRPr="00633F67">
        <w:rPr>
          <w:lang w:val="de-DE"/>
        </w:rPr>
        <w:t>benötigen würden</w:t>
      </w:r>
      <w:r w:rsidR="002C634D" w:rsidRPr="00633F67">
        <w:rPr>
          <w:lang w:val="de-DE"/>
        </w:rPr>
        <w:t>.</w:t>
      </w:r>
      <w:r w:rsidR="00457E66" w:rsidRPr="00633F67">
        <w:rPr>
          <w:lang w:val="de-DE"/>
        </w:rPr>
        <w:t xml:space="preserve"> Hinsichtlich des Besitzes von</w:t>
      </w:r>
      <w:r w:rsidR="007C068B" w:rsidRPr="00633F67">
        <w:rPr>
          <w:lang w:val="de-DE"/>
        </w:rPr>
        <w:t xml:space="preserve"> DUS</w:t>
      </w:r>
      <w:r w:rsidR="00457E66" w:rsidRPr="00633F67">
        <w:rPr>
          <w:lang w:val="de-DE"/>
        </w:rPr>
        <w:t xml:space="preserve">-Proben und </w:t>
      </w:r>
      <w:r w:rsidR="007C068B" w:rsidRPr="00633F67">
        <w:rPr>
          <w:lang w:val="de-DE"/>
        </w:rPr>
        <w:t>DN</w:t>
      </w:r>
      <w:r w:rsidR="00457E66" w:rsidRPr="00633F67">
        <w:rPr>
          <w:lang w:val="de-DE"/>
        </w:rPr>
        <w:t xml:space="preserve">S-Daten </w:t>
      </w:r>
      <w:r w:rsidR="00DC1904" w:rsidRPr="00633F67">
        <w:rPr>
          <w:lang w:val="de-DE"/>
        </w:rPr>
        <w:t>wies sie auf</w:t>
      </w:r>
      <w:r w:rsidR="00457E66" w:rsidRPr="00633F67">
        <w:rPr>
          <w:lang w:val="de-DE"/>
        </w:rPr>
        <w:t xml:space="preserve"> die Unterschiede zwischen Handelsgeheimnissen </w:t>
      </w:r>
      <w:r w:rsidR="003C50AC" w:rsidRPr="00633F67">
        <w:rPr>
          <w:lang w:val="de-DE"/>
        </w:rPr>
        <w:t xml:space="preserve">und </w:t>
      </w:r>
      <w:r w:rsidR="00457E66" w:rsidRPr="00633F67">
        <w:rPr>
          <w:lang w:val="de-DE"/>
        </w:rPr>
        <w:t>Patenten</w:t>
      </w:r>
      <w:r w:rsidR="003C50AC" w:rsidRPr="00633F67">
        <w:rPr>
          <w:lang w:val="de-DE"/>
        </w:rPr>
        <w:t xml:space="preserve"> </w:t>
      </w:r>
      <w:r w:rsidR="00DC1904" w:rsidRPr="00633F67">
        <w:rPr>
          <w:lang w:val="de-DE"/>
        </w:rPr>
        <w:t xml:space="preserve">hin </w:t>
      </w:r>
      <w:r w:rsidR="003C50AC" w:rsidRPr="00633F67">
        <w:rPr>
          <w:lang w:val="de-DE"/>
        </w:rPr>
        <w:t xml:space="preserve">und </w:t>
      </w:r>
      <w:r w:rsidR="00457E66" w:rsidRPr="00633F67">
        <w:rPr>
          <w:lang w:val="de-DE"/>
        </w:rPr>
        <w:t>äußerte, daß es notwendig sei, eine Befragung über Regelungen öffentlicher Offenbarung und Vertraulichkeitsregelungen betreffend Sortenschutztitel</w:t>
      </w:r>
      <w:r w:rsidR="00DC1904" w:rsidRPr="00633F67">
        <w:rPr>
          <w:lang w:val="de-DE"/>
        </w:rPr>
        <w:t xml:space="preserve"> durchzuführen</w:t>
      </w:r>
      <w:r w:rsidR="002C634D" w:rsidRPr="00633F67">
        <w:rPr>
          <w:lang w:val="de-DE"/>
        </w:rPr>
        <w:t xml:space="preserve">. </w:t>
      </w:r>
    </w:p>
    <w:p w:rsidR="004125C8" w:rsidRPr="00633F67" w:rsidRDefault="004125C8" w:rsidP="004125C8">
      <w:pPr>
        <w:keepNext/>
        <w:jc w:val="left"/>
        <w:outlineLvl w:val="0"/>
        <w:rPr>
          <w:snapToGrid w:val="0"/>
          <w:u w:val="single"/>
          <w:lang w:val="de-DE"/>
        </w:rPr>
      </w:pPr>
      <w:r w:rsidRPr="00633F67">
        <w:rPr>
          <w:snapToGrid w:val="0"/>
          <w:u w:val="single"/>
          <w:lang w:val="de-DE"/>
        </w:rPr>
        <w:lastRenderedPageBreak/>
        <w:t>Programm für die zweiundsiebzigste Tagung</w:t>
      </w:r>
    </w:p>
    <w:p w:rsidR="004125C8" w:rsidRPr="00633F67" w:rsidRDefault="004125C8" w:rsidP="004125C8">
      <w:pPr>
        <w:keepNext/>
        <w:rPr>
          <w:lang w:val="de-DE"/>
        </w:rPr>
      </w:pPr>
    </w:p>
    <w:p w:rsidR="004125C8" w:rsidRPr="00633F67" w:rsidRDefault="004125C8" w:rsidP="004125C8">
      <w:pPr>
        <w:keepNext/>
        <w:rPr>
          <w:lang w:val="de-DE"/>
        </w:rPr>
      </w:pPr>
      <w:r w:rsidRPr="00633F67">
        <w:rPr>
          <w:rFonts w:eastAsia="SimSun"/>
          <w:snapToGrid w:val="0"/>
          <w:vertAlign w:val="superscript"/>
          <w:lang w:val="de-DE" w:eastAsia="ja-JP"/>
        </w:rPr>
        <w:t>*</w:t>
      </w:r>
      <w:r w:rsidRPr="00633F67">
        <w:fldChar w:fldCharType="begin"/>
      </w:r>
      <w:r w:rsidRPr="00633F67">
        <w:rPr>
          <w:lang w:val="de-DE"/>
        </w:rPr>
        <w:instrText xml:space="preserve"> AUTONUM  </w:instrText>
      </w:r>
      <w:r w:rsidRPr="00633F67">
        <w:fldChar w:fldCharType="end"/>
      </w:r>
      <w:r w:rsidRPr="00633F67">
        <w:rPr>
          <w:lang w:val="de-DE"/>
        </w:rPr>
        <w:tab/>
        <w:t>Das folgende Programm wurde für die zweiundsiebzigste Tagung des CAJ vereinbart:</w:t>
      </w:r>
    </w:p>
    <w:p w:rsidR="004125C8" w:rsidRPr="00633F67" w:rsidRDefault="004125C8" w:rsidP="004125C8">
      <w:pPr>
        <w:keepNext/>
        <w:rPr>
          <w:lang w:val="de-DE"/>
        </w:rPr>
      </w:pPr>
    </w:p>
    <w:p w:rsidR="004125C8" w:rsidRPr="00633F67" w:rsidRDefault="004125C8" w:rsidP="004125C8">
      <w:pPr>
        <w:ind w:left="1134" w:hanging="567"/>
        <w:rPr>
          <w:lang w:val="de-DE"/>
        </w:rPr>
      </w:pPr>
      <w:r w:rsidRPr="00633F67">
        <w:rPr>
          <w:lang w:val="de-DE"/>
        </w:rPr>
        <w:t>1.  Eröffnung der Tagung</w:t>
      </w:r>
    </w:p>
    <w:p w:rsidR="009B6F95" w:rsidRPr="00633F67" w:rsidRDefault="009B6F95" w:rsidP="009B6F95">
      <w:pPr>
        <w:ind w:left="1134" w:hanging="567"/>
        <w:rPr>
          <w:sz w:val="14"/>
          <w:lang w:val="de-DE"/>
        </w:rPr>
      </w:pPr>
    </w:p>
    <w:p w:rsidR="004125C8" w:rsidRPr="00633F67" w:rsidRDefault="004125C8" w:rsidP="004125C8">
      <w:pPr>
        <w:ind w:left="1134" w:hanging="567"/>
        <w:rPr>
          <w:lang w:val="de-DE"/>
        </w:rPr>
      </w:pPr>
      <w:r w:rsidRPr="00633F67">
        <w:rPr>
          <w:lang w:val="de-DE"/>
        </w:rPr>
        <w:t>2.  Annahme der Tagesordnung</w:t>
      </w:r>
    </w:p>
    <w:p w:rsidR="009B6F95" w:rsidRPr="00633F67" w:rsidRDefault="009B6F95" w:rsidP="009B6F95">
      <w:pPr>
        <w:ind w:left="1134" w:hanging="567"/>
        <w:rPr>
          <w:sz w:val="14"/>
          <w:lang w:val="de-DE"/>
        </w:rPr>
      </w:pPr>
    </w:p>
    <w:p w:rsidR="004125C8" w:rsidRPr="00633F67" w:rsidRDefault="004125C8" w:rsidP="004125C8">
      <w:pPr>
        <w:ind w:left="1134" w:hanging="567"/>
        <w:rPr>
          <w:lang w:val="de-DE"/>
        </w:rPr>
      </w:pPr>
      <w:r w:rsidRPr="00633F67">
        <w:rPr>
          <w:lang w:val="de-DE"/>
        </w:rPr>
        <w:t>3.  Ausarbeitung von Informationsmaterial zum UPOV-Übereinkommen</w:t>
      </w:r>
    </w:p>
    <w:p w:rsidR="004125C8" w:rsidRPr="00633F67" w:rsidRDefault="004125C8" w:rsidP="004125C8">
      <w:pPr>
        <w:ind w:left="1134" w:hanging="567"/>
        <w:rPr>
          <w:sz w:val="14"/>
          <w:lang w:val="de-DE"/>
        </w:rPr>
      </w:pPr>
    </w:p>
    <w:p w:rsidR="004125C8" w:rsidRPr="00633F67" w:rsidRDefault="004125C8" w:rsidP="004125C8">
      <w:pPr>
        <w:ind w:left="1701" w:hanging="567"/>
        <w:rPr>
          <w:lang w:val="de-DE"/>
        </w:rPr>
      </w:pPr>
      <w:r w:rsidRPr="00633F67">
        <w:rPr>
          <w:lang w:val="de-DE"/>
        </w:rPr>
        <w:t>(a)</w:t>
      </w:r>
      <w:r w:rsidRPr="00633F67">
        <w:rPr>
          <w:lang w:val="de-DE"/>
        </w:rPr>
        <w:tab/>
        <w:t xml:space="preserve">Erläuterungen zu den </w:t>
      </w:r>
      <w:r w:rsidR="003F3839" w:rsidRPr="00633F67">
        <w:rPr>
          <w:lang w:val="de-DE"/>
        </w:rPr>
        <w:t xml:space="preserve">im wesentlichen </w:t>
      </w:r>
      <w:r w:rsidRPr="00633F67">
        <w:rPr>
          <w:lang w:val="de-DE"/>
        </w:rPr>
        <w:t>abgeleiteten Sorten nach der Akte von 1991 des UPOV-Übereinkommens (Überarbeitung) (Dokument UPOV/EXN/EDV/2 Draft 6)</w:t>
      </w:r>
    </w:p>
    <w:p w:rsidR="004125C8" w:rsidRPr="00633F67" w:rsidRDefault="004125C8" w:rsidP="004125C8">
      <w:pPr>
        <w:ind w:left="1701" w:hanging="567"/>
        <w:rPr>
          <w:sz w:val="14"/>
          <w:lang w:val="de-DE"/>
        </w:rPr>
      </w:pPr>
    </w:p>
    <w:p w:rsidR="004125C8" w:rsidRPr="00633F67" w:rsidRDefault="004125C8" w:rsidP="004125C8">
      <w:pPr>
        <w:ind w:left="1701" w:hanging="567"/>
        <w:rPr>
          <w:lang w:val="de-DE"/>
        </w:rPr>
      </w:pPr>
      <w:r w:rsidRPr="00633F67">
        <w:rPr>
          <w:lang w:val="de-DE"/>
        </w:rPr>
        <w:t>(b)</w:t>
      </w:r>
      <w:r w:rsidRPr="00633F67">
        <w:rPr>
          <w:lang w:val="de-DE"/>
        </w:rPr>
        <w:tab/>
        <w:t>Erläuterungen zu Vermehrungsmaterial nach dem UPOV-Übereinkommen (Dokument UPOV/EXN/PPM/1 Draft 5)</w:t>
      </w:r>
    </w:p>
    <w:p w:rsidR="004125C8" w:rsidRPr="00633F67" w:rsidRDefault="004125C8" w:rsidP="004125C8">
      <w:pPr>
        <w:ind w:left="1134" w:hanging="567"/>
        <w:rPr>
          <w:sz w:val="14"/>
          <w:lang w:val="de-DE"/>
        </w:rPr>
      </w:pPr>
    </w:p>
    <w:p w:rsidR="004125C8" w:rsidRPr="00633F67" w:rsidRDefault="004125C8" w:rsidP="004125C8">
      <w:pPr>
        <w:ind w:left="1134" w:hanging="567"/>
        <w:rPr>
          <w:lang w:val="de-DE"/>
        </w:rPr>
      </w:pPr>
      <w:r w:rsidRPr="00633F67">
        <w:rPr>
          <w:lang w:val="de-DE"/>
        </w:rPr>
        <w:t>4.</w:t>
      </w:r>
      <w:r w:rsidRPr="00633F67">
        <w:rPr>
          <w:lang w:val="de-DE"/>
        </w:rPr>
        <w:tab/>
        <w:t>Sortenbezeichnungen</w:t>
      </w:r>
    </w:p>
    <w:p w:rsidR="004125C8" w:rsidRPr="00633F67" w:rsidRDefault="004125C8" w:rsidP="004125C8">
      <w:pPr>
        <w:ind w:left="1134" w:hanging="567"/>
        <w:rPr>
          <w:sz w:val="14"/>
          <w:lang w:val="de-DE"/>
        </w:rPr>
      </w:pPr>
    </w:p>
    <w:p w:rsidR="004125C8" w:rsidRPr="00633F67" w:rsidRDefault="004125C8" w:rsidP="004125C8">
      <w:pPr>
        <w:ind w:left="567"/>
        <w:rPr>
          <w:lang w:val="de-DE"/>
        </w:rPr>
      </w:pPr>
      <w:r w:rsidRPr="00633F67">
        <w:rPr>
          <w:lang w:val="de-DE"/>
        </w:rPr>
        <w:t>5.</w:t>
      </w:r>
      <w:r w:rsidRPr="00633F67">
        <w:rPr>
          <w:lang w:val="de-DE"/>
        </w:rPr>
        <w:tab/>
        <w:t>Erntematerial</w:t>
      </w:r>
    </w:p>
    <w:p w:rsidR="004125C8" w:rsidRPr="00633F67" w:rsidRDefault="004125C8" w:rsidP="004125C8">
      <w:pPr>
        <w:ind w:left="1134" w:hanging="567"/>
        <w:rPr>
          <w:sz w:val="14"/>
          <w:lang w:val="de-DE"/>
        </w:rPr>
      </w:pPr>
    </w:p>
    <w:p w:rsidR="004125C8" w:rsidRPr="00633F67" w:rsidRDefault="004125C8" w:rsidP="004125C8">
      <w:pPr>
        <w:keepNext/>
        <w:ind w:left="1134" w:hanging="567"/>
        <w:rPr>
          <w:lang w:val="de-DE"/>
        </w:rPr>
      </w:pPr>
      <w:r w:rsidRPr="00633F67">
        <w:rPr>
          <w:lang w:val="de-DE"/>
        </w:rPr>
        <w:t>6.</w:t>
      </w:r>
      <w:r w:rsidRPr="00633F67">
        <w:rPr>
          <w:lang w:val="de-DE"/>
        </w:rPr>
        <w:tab/>
        <w:t>Informationen und Datenbanken</w:t>
      </w:r>
    </w:p>
    <w:p w:rsidR="009B6F95" w:rsidRPr="00633F67" w:rsidRDefault="009B6F95" w:rsidP="009B6F95">
      <w:pPr>
        <w:ind w:left="1134" w:hanging="567"/>
        <w:rPr>
          <w:sz w:val="14"/>
          <w:lang w:val="de-DE"/>
        </w:rPr>
      </w:pPr>
    </w:p>
    <w:p w:rsidR="004125C8" w:rsidRPr="00633F67" w:rsidRDefault="004125C8" w:rsidP="004125C8">
      <w:pPr>
        <w:keepNext/>
        <w:ind w:left="1701" w:hanging="567"/>
        <w:rPr>
          <w:lang w:val="de-DE"/>
        </w:rPr>
      </w:pPr>
      <w:r w:rsidRPr="00633F67">
        <w:rPr>
          <w:lang w:val="de-DE"/>
        </w:rPr>
        <w:t>a) Elektronische Systeme für die Einreichung von Anträgen</w:t>
      </w:r>
    </w:p>
    <w:p w:rsidR="009B6F95" w:rsidRPr="00633F67" w:rsidRDefault="009B6F95" w:rsidP="009B6F95">
      <w:pPr>
        <w:ind w:left="1134" w:hanging="567"/>
        <w:rPr>
          <w:sz w:val="14"/>
          <w:lang w:val="de-DE"/>
        </w:rPr>
      </w:pPr>
    </w:p>
    <w:p w:rsidR="004125C8" w:rsidRPr="00633F67" w:rsidRDefault="004125C8" w:rsidP="004125C8">
      <w:pPr>
        <w:keepNext/>
        <w:ind w:left="1701" w:hanging="567"/>
        <w:rPr>
          <w:lang w:val="de-DE"/>
        </w:rPr>
      </w:pPr>
      <w:r w:rsidRPr="00633F67">
        <w:rPr>
          <w:lang w:val="de-DE"/>
        </w:rPr>
        <w:t>b) UPOV-Informationsdatenbanken</w:t>
      </w:r>
    </w:p>
    <w:p w:rsidR="009B6F95" w:rsidRPr="00633F67" w:rsidRDefault="009B6F95" w:rsidP="009B6F95">
      <w:pPr>
        <w:ind w:left="1134" w:hanging="567"/>
        <w:rPr>
          <w:sz w:val="14"/>
          <w:lang w:val="de-DE"/>
        </w:rPr>
      </w:pPr>
    </w:p>
    <w:p w:rsidR="004125C8" w:rsidRPr="00633F67" w:rsidRDefault="004125C8" w:rsidP="004125C8">
      <w:pPr>
        <w:keepNext/>
        <w:ind w:left="1701" w:hanging="567"/>
        <w:rPr>
          <w:lang w:val="de-DE"/>
        </w:rPr>
      </w:pPr>
      <w:r w:rsidRPr="00633F67">
        <w:rPr>
          <w:lang w:val="de-DE"/>
        </w:rPr>
        <w:t>c) Austausch und Verwendung von Software und Ausrüstung</w:t>
      </w:r>
    </w:p>
    <w:p w:rsidR="004125C8" w:rsidRPr="00633F67" w:rsidRDefault="004125C8" w:rsidP="004125C8">
      <w:pPr>
        <w:keepNext/>
        <w:ind w:left="1701" w:hanging="567"/>
        <w:rPr>
          <w:sz w:val="14"/>
          <w:lang w:val="de-DE"/>
        </w:rPr>
      </w:pPr>
    </w:p>
    <w:p w:rsidR="004125C8" w:rsidRPr="00633F67" w:rsidRDefault="004125C8" w:rsidP="004125C8">
      <w:pPr>
        <w:ind w:left="1134" w:hanging="567"/>
        <w:rPr>
          <w:lang w:val="de-DE"/>
        </w:rPr>
      </w:pPr>
      <w:r w:rsidRPr="00633F67">
        <w:rPr>
          <w:lang w:val="de-DE"/>
        </w:rPr>
        <w:t>7.</w:t>
      </w:r>
      <w:r w:rsidRPr="00633F67">
        <w:rPr>
          <w:lang w:val="de-DE"/>
        </w:rPr>
        <w:tab/>
        <w:t>Programm für die dreiundsiebzigste Tagung</w:t>
      </w:r>
    </w:p>
    <w:p w:rsidR="004125C8" w:rsidRPr="00633F67" w:rsidRDefault="004125C8" w:rsidP="004125C8">
      <w:pPr>
        <w:ind w:left="1134" w:hanging="567"/>
        <w:rPr>
          <w:sz w:val="14"/>
          <w:lang w:val="de-DE"/>
        </w:rPr>
      </w:pPr>
    </w:p>
    <w:p w:rsidR="004125C8" w:rsidRPr="00633F67" w:rsidRDefault="004125C8" w:rsidP="004125C8">
      <w:pPr>
        <w:ind w:left="1134" w:hanging="567"/>
        <w:rPr>
          <w:lang w:val="de-DE"/>
        </w:rPr>
      </w:pPr>
      <w:r w:rsidRPr="00633F67">
        <w:rPr>
          <w:lang w:val="de-DE"/>
        </w:rPr>
        <w:t>8.</w:t>
      </w:r>
      <w:r w:rsidRPr="00633F67">
        <w:rPr>
          <w:lang w:val="de-DE"/>
        </w:rPr>
        <w:tab/>
        <w:t>Annahme des Berichts über die Entschließungen (sofern zeitlich möglich)</w:t>
      </w:r>
    </w:p>
    <w:p w:rsidR="004125C8" w:rsidRPr="00633F67" w:rsidRDefault="004125C8" w:rsidP="004125C8">
      <w:pPr>
        <w:ind w:left="1134" w:hanging="567"/>
        <w:rPr>
          <w:sz w:val="14"/>
          <w:lang w:val="de-DE"/>
        </w:rPr>
      </w:pPr>
    </w:p>
    <w:p w:rsidR="004125C8" w:rsidRPr="00633F67" w:rsidRDefault="004125C8" w:rsidP="004125C8">
      <w:pPr>
        <w:ind w:left="1134" w:hanging="567"/>
        <w:rPr>
          <w:lang w:val="de-DE"/>
        </w:rPr>
      </w:pPr>
      <w:r w:rsidRPr="00633F67">
        <w:rPr>
          <w:lang w:val="de-DE"/>
        </w:rPr>
        <w:t>9.</w:t>
      </w:r>
      <w:r w:rsidRPr="00633F67">
        <w:rPr>
          <w:lang w:val="de-DE"/>
        </w:rPr>
        <w:tab/>
        <w:t>Schließung der Tagung</w:t>
      </w:r>
    </w:p>
    <w:p w:rsidR="008A74DE" w:rsidRPr="00633F67" w:rsidRDefault="008A74DE" w:rsidP="008A74DE">
      <w:pPr>
        <w:rPr>
          <w:lang w:val="de-DE"/>
        </w:rPr>
      </w:pPr>
    </w:p>
    <w:p w:rsidR="00987FEA" w:rsidRPr="00633F67" w:rsidRDefault="00987FEA" w:rsidP="008A74DE">
      <w:pPr>
        <w:rPr>
          <w:lang w:val="de-DE"/>
        </w:rPr>
      </w:pPr>
      <w:r w:rsidRPr="00633F67">
        <w:fldChar w:fldCharType="begin"/>
      </w:r>
      <w:r w:rsidRPr="00633F67">
        <w:rPr>
          <w:lang w:val="de-DE"/>
        </w:rPr>
        <w:instrText xml:space="preserve"> AUTONUM  </w:instrText>
      </w:r>
      <w:r w:rsidRPr="00633F67">
        <w:fldChar w:fldCharType="end"/>
      </w:r>
      <w:r w:rsidRPr="00633F67">
        <w:rPr>
          <w:lang w:val="de-DE"/>
        </w:rPr>
        <w:tab/>
      </w:r>
      <w:r w:rsidR="0088643E" w:rsidRPr="00633F67">
        <w:rPr>
          <w:lang w:val="de-DE"/>
        </w:rPr>
        <w:t xml:space="preserve">Der Vorsitzende </w:t>
      </w:r>
      <w:r w:rsidR="00631AF2" w:rsidRPr="00633F67">
        <w:rPr>
          <w:lang w:val="de-DE"/>
        </w:rPr>
        <w:t>nahm zur Kenntnis,</w:t>
      </w:r>
      <w:r w:rsidR="0088643E" w:rsidRPr="00633F67">
        <w:rPr>
          <w:lang w:val="de-DE"/>
        </w:rPr>
        <w:t xml:space="preserve"> daß wichtige Themen auf der Tagesordnung stünden, aber bemerkte, daß nur ein paar Punkte zu erläutern seien</w:t>
      </w:r>
      <w:r w:rsidR="00814FFF" w:rsidRPr="00633F67">
        <w:rPr>
          <w:lang w:val="de-DE"/>
        </w:rPr>
        <w:t xml:space="preserve">. </w:t>
      </w:r>
      <w:r w:rsidR="0088643E" w:rsidRPr="00633F67">
        <w:rPr>
          <w:lang w:val="de-DE"/>
        </w:rPr>
        <w:t xml:space="preserve">Dies führte ihn zu der Frage, ob diese Punkte </w:t>
      </w:r>
      <w:r w:rsidR="003357B8" w:rsidRPr="00633F67">
        <w:rPr>
          <w:lang w:val="de-DE"/>
        </w:rPr>
        <w:t xml:space="preserve">in einer einzigen zweitägigen Tagung geprüft werden könnten </w:t>
      </w:r>
      <w:r w:rsidR="0088643E" w:rsidRPr="00633F67">
        <w:rPr>
          <w:lang w:val="de-DE"/>
        </w:rPr>
        <w:t>anstatt</w:t>
      </w:r>
      <w:r w:rsidR="003357B8" w:rsidRPr="00633F67">
        <w:rPr>
          <w:lang w:val="de-DE"/>
        </w:rPr>
        <w:t xml:space="preserve"> gemäß</w:t>
      </w:r>
      <w:r w:rsidR="0088643E" w:rsidRPr="00633F67">
        <w:rPr>
          <w:lang w:val="de-DE"/>
        </w:rPr>
        <w:t xml:space="preserve"> der derzeitigen Praxis</w:t>
      </w:r>
      <w:r w:rsidR="00DC1904" w:rsidRPr="00633F67">
        <w:rPr>
          <w:lang w:val="de-DE"/>
        </w:rPr>
        <w:t xml:space="preserve"> </w:t>
      </w:r>
      <w:r w:rsidR="0088643E" w:rsidRPr="00633F67">
        <w:rPr>
          <w:lang w:val="de-DE"/>
        </w:rPr>
        <w:t xml:space="preserve">in einer eintägigen Tagung des </w:t>
      </w:r>
      <w:r w:rsidR="00F23962" w:rsidRPr="00633F67">
        <w:rPr>
          <w:lang w:val="de-DE"/>
        </w:rPr>
        <w:t xml:space="preserve">CAJ </w:t>
      </w:r>
      <w:r w:rsidR="0088643E" w:rsidRPr="00633F67">
        <w:rPr>
          <w:lang w:val="de-DE"/>
        </w:rPr>
        <w:t>im März</w:t>
      </w:r>
      <w:r w:rsidR="00BF45B5" w:rsidRPr="00633F67">
        <w:rPr>
          <w:lang w:val="de-DE"/>
        </w:rPr>
        <w:t>/April</w:t>
      </w:r>
      <w:r w:rsidR="003C50AC" w:rsidRPr="00633F67">
        <w:rPr>
          <w:lang w:val="de-DE"/>
        </w:rPr>
        <w:t xml:space="preserve"> und</w:t>
      </w:r>
      <w:r w:rsidR="0088643E" w:rsidRPr="00633F67">
        <w:rPr>
          <w:lang w:val="de-DE"/>
        </w:rPr>
        <w:t xml:space="preserve"> einer zweitägigen Tagung des C</w:t>
      </w:r>
      <w:r w:rsidR="00F23962" w:rsidRPr="00633F67">
        <w:rPr>
          <w:lang w:val="de-DE"/>
        </w:rPr>
        <w:t>AJ </w:t>
      </w:r>
      <w:r w:rsidR="0088643E" w:rsidRPr="00633F67">
        <w:rPr>
          <w:lang w:val="de-DE"/>
        </w:rPr>
        <w:t>im</w:t>
      </w:r>
      <w:r w:rsidR="00BF45B5" w:rsidRPr="00633F67">
        <w:rPr>
          <w:lang w:val="de-DE"/>
        </w:rPr>
        <w:t xml:space="preserve"> O</w:t>
      </w:r>
      <w:r w:rsidR="0088643E" w:rsidRPr="00633F67">
        <w:rPr>
          <w:lang w:val="de-DE"/>
        </w:rPr>
        <w:t>k</w:t>
      </w:r>
      <w:r w:rsidR="00BF45B5" w:rsidRPr="00633F67">
        <w:rPr>
          <w:lang w:val="de-DE"/>
        </w:rPr>
        <w:t>tober/November.</w:t>
      </w:r>
      <w:r w:rsidR="00C66E47" w:rsidRPr="00633F67">
        <w:rPr>
          <w:lang w:val="de-DE"/>
        </w:rPr>
        <w:t xml:space="preserve"> </w:t>
      </w:r>
      <w:r w:rsidR="0088643E" w:rsidRPr="00633F67">
        <w:rPr>
          <w:lang w:val="de-DE"/>
        </w:rPr>
        <w:t>Er war der Ansicht, daß zwei Tage für die Erörterung der Tagesordnungspunkte ausreichen würden</w:t>
      </w:r>
      <w:r w:rsidR="00C66E47" w:rsidRPr="00633F67">
        <w:rPr>
          <w:lang w:val="de-DE"/>
        </w:rPr>
        <w:t>.</w:t>
      </w:r>
      <w:r w:rsidR="00DC1904" w:rsidRPr="00633F67">
        <w:rPr>
          <w:lang w:val="de-DE"/>
        </w:rPr>
        <w:t xml:space="preserve"> </w:t>
      </w:r>
      <w:r w:rsidR="0088643E" w:rsidRPr="00633F67">
        <w:rPr>
          <w:lang w:val="de-DE"/>
        </w:rPr>
        <w:t>E</w:t>
      </w:r>
      <w:r w:rsidR="00DC1904" w:rsidRPr="00633F67">
        <w:rPr>
          <w:lang w:val="de-DE"/>
        </w:rPr>
        <w:t>r</w:t>
      </w:r>
      <w:r w:rsidR="0088643E" w:rsidRPr="00633F67">
        <w:rPr>
          <w:lang w:val="de-DE"/>
        </w:rPr>
        <w:t xml:space="preserve"> bezog sich auf den </w:t>
      </w:r>
      <w:r w:rsidR="0068489A" w:rsidRPr="00633F67">
        <w:rPr>
          <w:lang w:val="de-DE"/>
        </w:rPr>
        <w:t>TC</w:t>
      </w:r>
      <w:r w:rsidR="00C66E47" w:rsidRPr="00633F67">
        <w:rPr>
          <w:lang w:val="de-DE"/>
        </w:rPr>
        <w:t xml:space="preserve">, </w:t>
      </w:r>
      <w:r w:rsidR="0088643E" w:rsidRPr="00633F67">
        <w:rPr>
          <w:lang w:val="de-DE"/>
        </w:rPr>
        <w:t>der eine Tagung pro Jahr abhält,</w:t>
      </w:r>
      <w:r w:rsidR="003C50AC" w:rsidRPr="00633F67">
        <w:rPr>
          <w:lang w:val="de-DE"/>
        </w:rPr>
        <w:t xml:space="preserve"> und schlug vor, daß </w:t>
      </w:r>
      <w:r w:rsidR="0088643E" w:rsidRPr="00633F67">
        <w:rPr>
          <w:lang w:val="de-DE"/>
        </w:rPr>
        <w:t>der</w:t>
      </w:r>
      <w:r w:rsidR="00C66E47" w:rsidRPr="00633F67">
        <w:rPr>
          <w:lang w:val="de-DE"/>
        </w:rPr>
        <w:t xml:space="preserve"> CAJ</w:t>
      </w:r>
      <w:r w:rsidR="0088643E" w:rsidRPr="00633F67">
        <w:rPr>
          <w:lang w:val="de-DE"/>
        </w:rPr>
        <w:t xml:space="preserve"> </w:t>
      </w:r>
      <w:r w:rsidR="003357B8" w:rsidRPr="00633F67">
        <w:rPr>
          <w:lang w:val="de-DE"/>
        </w:rPr>
        <w:t xml:space="preserve">ebenfalls </w:t>
      </w:r>
      <w:r w:rsidR="0088643E" w:rsidRPr="00633F67">
        <w:rPr>
          <w:lang w:val="de-DE"/>
        </w:rPr>
        <w:t xml:space="preserve">die Vorteile nur einer Tagung pro Jahr </w:t>
      </w:r>
      <w:r w:rsidR="00DC1904" w:rsidRPr="00633F67">
        <w:rPr>
          <w:lang w:val="de-DE"/>
        </w:rPr>
        <w:t>prüfen</w:t>
      </w:r>
      <w:r w:rsidR="0088643E" w:rsidRPr="00633F67">
        <w:rPr>
          <w:lang w:val="de-DE"/>
        </w:rPr>
        <w:t xml:space="preserve"> sollte</w:t>
      </w:r>
      <w:r w:rsidR="00C66E47" w:rsidRPr="00633F67">
        <w:rPr>
          <w:lang w:val="de-DE"/>
        </w:rPr>
        <w:t>.</w:t>
      </w:r>
      <w:r w:rsidR="0088643E" w:rsidRPr="00633F67">
        <w:rPr>
          <w:lang w:val="de-DE"/>
        </w:rPr>
        <w:t xml:space="preserve"> Er wies darauf hin, daß </w:t>
      </w:r>
      <w:r w:rsidR="003357B8" w:rsidRPr="00633F67">
        <w:rPr>
          <w:lang w:val="de-DE"/>
        </w:rPr>
        <w:t>derzeit k</w:t>
      </w:r>
      <w:r w:rsidR="0088643E" w:rsidRPr="00633F67">
        <w:rPr>
          <w:lang w:val="de-DE"/>
        </w:rPr>
        <w:t>eine Entscheidung getroffen werden müsse</w:t>
      </w:r>
      <w:r w:rsidR="00DC1904" w:rsidRPr="00633F67">
        <w:rPr>
          <w:lang w:val="de-DE"/>
        </w:rPr>
        <w:t>, aber</w:t>
      </w:r>
      <w:r w:rsidR="0088643E" w:rsidRPr="00633F67">
        <w:rPr>
          <w:lang w:val="de-DE"/>
        </w:rPr>
        <w:t xml:space="preserve"> </w:t>
      </w:r>
      <w:r w:rsidR="00DC1904" w:rsidRPr="00633F67">
        <w:rPr>
          <w:lang w:val="de-DE"/>
        </w:rPr>
        <w:t xml:space="preserve">brachte seine </w:t>
      </w:r>
      <w:r w:rsidR="0088643E" w:rsidRPr="00633F67">
        <w:rPr>
          <w:lang w:val="de-DE"/>
        </w:rPr>
        <w:t>Meinung</w:t>
      </w:r>
      <w:r w:rsidR="00DC1904" w:rsidRPr="00633F67">
        <w:rPr>
          <w:lang w:val="de-DE"/>
        </w:rPr>
        <w:t xml:space="preserve"> zum Ausdruck</w:t>
      </w:r>
      <w:r w:rsidR="0088643E" w:rsidRPr="00633F67">
        <w:rPr>
          <w:lang w:val="de-DE"/>
        </w:rPr>
        <w:t>, daß es sinnvoll wäre, über diese Frage im Ok</w:t>
      </w:r>
      <w:r w:rsidR="006D6963" w:rsidRPr="00633F67">
        <w:rPr>
          <w:lang w:val="de-DE"/>
        </w:rPr>
        <w:t>tober 2015</w:t>
      </w:r>
      <w:r w:rsidR="0088643E" w:rsidRPr="00633F67">
        <w:rPr>
          <w:lang w:val="de-DE"/>
        </w:rPr>
        <w:t xml:space="preserve"> bei der Prüfung des Programms für die dreiundsiebzigste Tagung des</w:t>
      </w:r>
      <w:r w:rsidR="007C6038" w:rsidRPr="00633F67">
        <w:rPr>
          <w:lang w:val="de-DE"/>
        </w:rPr>
        <w:t xml:space="preserve"> CAJ</w:t>
      </w:r>
      <w:r w:rsidR="00DC1904" w:rsidRPr="00633F67">
        <w:rPr>
          <w:lang w:val="de-DE"/>
        </w:rPr>
        <w:t xml:space="preserve"> nachzudenken</w:t>
      </w:r>
      <w:r w:rsidR="00917A92" w:rsidRPr="00633F67">
        <w:rPr>
          <w:lang w:val="de-DE"/>
        </w:rPr>
        <w:t>.</w:t>
      </w:r>
    </w:p>
    <w:p w:rsidR="00917A92" w:rsidRPr="00633F67" w:rsidRDefault="00917A92" w:rsidP="008A74DE">
      <w:pPr>
        <w:rPr>
          <w:lang w:val="de-DE"/>
        </w:rPr>
      </w:pPr>
    </w:p>
    <w:p w:rsidR="00F70043" w:rsidRPr="00633F67" w:rsidRDefault="00917A92" w:rsidP="00F70043">
      <w:pPr>
        <w:rPr>
          <w:lang w:val="de-DE"/>
        </w:rPr>
      </w:pPr>
      <w:r w:rsidRPr="00633F67">
        <w:fldChar w:fldCharType="begin"/>
      </w:r>
      <w:r w:rsidRPr="00633F67">
        <w:rPr>
          <w:lang w:val="de-DE"/>
        </w:rPr>
        <w:instrText xml:space="preserve"> AUTONUM  </w:instrText>
      </w:r>
      <w:r w:rsidRPr="00633F67">
        <w:fldChar w:fldCharType="end"/>
      </w:r>
      <w:r w:rsidRPr="00633F67">
        <w:rPr>
          <w:lang w:val="de-DE"/>
        </w:rPr>
        <w:tab/>
      </w:r>
      <w:r w:rsidR="002245A9" w:rsidRPr="00633F67">
        <w:rPr>
          <w:lang w:val="de-DE"/>
        </w:rPr>
        <w:t xml:space="preserve">Der </w:t>
      </w:r>
      <w:r w:rsidR="003C50AC" w:rsidRPr="00633F67">
        <w:rPr>
          <w:lang w:val="de-DE"/>
        </w:rPr>
        <w:t>Stellvertretende Generalsekretär</w:t>
      </w:r>
      <w:r w:rsidR="002245A9" w:rsidRPr="00633F67">
        <w:rPr>
          <w:lang w:val="de-DE"/>
        </w:rPr>
        <w:t xml:space="preserve"> erläuterte, daß die Möglich</w:t>
      </w:r>
      <w:r w:rsidR="00DC1904" w:rsidRPr="00633F67">
        <w:rPr>
          <w:lang w:val="de-DE"/>
        </w:rPr>
        <w:t>keit</w:t>
      </w:r>
      <w:r w:rsidR="002245A9" w:rsidRPr="00633F67">
        <w:rPr>
          <w:lang w:val="de-DE"/>
        </w:rPr>
        <w:t xml:space="preserve">, </w:t>
      </w:r>
      <w:r w:rsidR="00DC1904" w:rsidRPr="00633F67">
        <w:rPr>
          <w:lang w:val="de-DE"/>
        </w:rPr>
        <w:t xml:space="preserve">einmal pro Jahr </w:t>
      </w:r>
      <w:r w:rsidR="002245A9" w:rsidRPr="00633F67">
        <w:rPr>
          <w:lang w:val="de-DE"/>
        </w:rPr>
        <w:t>eine Tagung des</w:t>
      </w:r>
      <w:r w:rsidR="006D6963" w:rsidRPr="00633F67">
        <w:rPr>
          <w:lang w:val="de-DE"/>
        </w:rPr>
        <w:t xml:space="preserve"> </w:t>
      </w:r>
      <w:r w:rsidR="007C6038" w:rsidRPr="00633F67">
        <w:rPr>
          <w:lang w:val="de-DE"/>
        </w:rPr>
        <w:t xml:space="preserve">CAJ </w:t>
      </w:r>
      <w:r w:rsidR="00DC1904" w:rsidRPr="00633F67">
        <w:rPr>
          <w:lang w:val="de-DE"/>
        </w:rPr>
        <w:t xml:space="preserve">abzuhalten, </w:t>
      </w:r>
      <w:r w:rsidR="002245A9" w:rsidRPr="00633F67">
        <w:rPr>
          <w:lang w:val="de-DE"/>
        </w:rPr>
        <w:t xml:space="preserve">vom Vorsitzenden nach Rücksprache mit dem Verbandsbüro aufgebracht worden war. </w:t>
      </w:r>
      <w:r w:rsidR="00DC1904" w:rsidRPr="00633F67">
        <w:rPr>
          <w:lang w:val="de-DE"/>
        </w:rPr>
        <w:t xml:space="preserve">Zur Unterstützung </w:t>
      </w:r>
      <w:r w:rsidR="002245A9" w:rsidRPr="00633F67">
        <w:rPr>
          <w:lang w:val="de-DE"/>
        </w:rPr>
        <w:t xml:space="preserve">der vom Vorsitzenden aufgeworfenen Frage </w:t>
      </w:r>
      <w:r w:rsidR="00DC1904" w:rsidRPr="00633F67">
        <w:rPr>
          <w:lang w:val="de-DE"/>
        </w:rPr>
        <w:t>merkte er an</w:t>
      </w:r>
      <w:r w:rsidR="00631AF2" w:rsidRPr="00633F67">
        <w:rPr>
          <w:lang w:val="de-DE"/>
        </w:rPr>
        <w:t>,</w:t>
      </w:r>
      <w:r w:rsidR="002245A9" w:rsidRPr="00633F67">
        <w:rPr>
          <w:lang w:val="de-DE"/>
        </w:rPr>
        <w:t xml:space="preserve"> daß gewisse Delegierte den Wunsch geäußert hatten, daß Entwürfe für I</w:t>
      </w:r>
      <w:r w:rsidR="00F70043" w:rsidRPr="00633F67">
        <w:rPr>
          <w:lang w:val="de-DE"/>
        </w:rPr>
        <w:t>nformation</w:t>
      </w:r>
      <w:r w:rsidR="002245A9" w:rsidRPr="00633F67">
        <w:rPr>
          <w:lang w:val="de-DE"/>
        </w:rPr>
        <w:t>smaterialien</w:t>
      </w:r>
      <w:r w:rsidR="003C50AC" w:rsidRPr="00633F67">
        <w:rPr>
          <w:lang w:val="de-DE"/>
        </w:rPr>
        <w:t xml:space="preserve"> und </w:t>
      </w:r>
      <w:r w:rsidR="00677F05" w:rsidRPr="00633F67">
        <w:rPr>
          <w:lang w:val="de-DE"/>
        </w:rPr>
        <w:t xml:space="preserve">Erläuterungen </w:t>
      </w:r>
      <w:r w:rsidR="00633F67">
        <w:rPr>
          <w:lang w:val="de-DE"/>
        </w:rPr>
        <w:t>früher als sechs </w:t>
      </w:r>
      <w:r w:rsidR="002245A9" w:rsidRPr="00633F67">
        <w:rPr>
          <w:lang w:val="de-DE"/>
        </w:rPr>
        <w:t xml:space="preserve">Wochen vor der Tagung </w:t>
      </w:r>
      <w:r w:rsidR="003F3839" w:rsidRPr="00633F67">
        <w:rPr>
          <w:lang w:val="de-DE"/>
        </w:rPr>
        <w:t xml:space="preserve">auf der UPOV-Website </w:t>
      </w:r>
      <w:r w:rsidR="002245A9" w:rsidRPr="00633F67">
        <w:rPr>
          <w:lang w:val="de-DE"/>
        </w:rPr>
        <w:t>veröffentlicht würden</w:t>
      </w:r>
      <w:r w:rsidR="00F70043" w:rsidRPr="00633F67">
        <w:rPr>
          <w:lang w:val="de-DE"/>
        </w:rPr>
        <w:t xml:space="preserve">, </w:t>
      </w:r>
      <w:r w:rsidR="002245A9" w:rsidRPr="00633F67">
        <w:rPr>
          <w:lang w:val="de-DE"/>
        </w:rPr>
        <w:t>um mehr Zeit für Beratungen zu lassen</w:t>
      </w:r>
      <w:r w:rsidR="00387B28" w:rsidRPr="00633F67">
        <w:rPr>
          <w:lang w:val="de-DE"/>
        </w:rPr>
        <w:t xml:space="preserve">. </w:t>
      </w:r>
      <w:r w:rsidR="002245A9" w:rsidRPr="00633F67">
        <w:rPr>
          <w:lang w:val="de-DE"/>
        </w:rPr>
        <w:t xml:space="preserve">Bei einem Zeitraum von nur sechs Monaten zwischen den Tagungen des </w:t>
      </w:r>
      <w:r w:rsidR="00F70043" w:rsidRPr="00633F67">
        <w:rPr>
          <w:lang w:val="de-DE"/>
        </w:rPr>
        <w:t>CAJ</w:t>
      </w:r>
      <w:r w:rsidR="002245A9" w:rsidRPr="00633F67">
        <w:rPr>
          <w:lang w:val="de-DE"/>
        </w:rPr>
        <w:t xml:space="preserve"> sei es jedoch schwierig, neue Fassungen von</w:t>
      </w:r>
      <w:r w:rsidR="00F70043" w:rsidRPr="00633F67">
        <w:rPr>
          <w:lang w:val="de-DE"/>
        </w:rPr>
        <w:t xml:space="preserve"> </w:t>
      </w:r>
      <w:r w:rsidR="006F148B" w:rsidRPr="00633F67">
        <w:rPr>
          <w:lang w:val="de-DE"/>
        </w:rPr>
        <w:t>Dokument</w:t>
      </w:r>
      <w:r w:rsidR="002245A9" w:rsidRPr="00633F67">
        <w:rPr>
          <w:lang w:val="de-DE"/>
        </w:rPr>
        <w:t>en in den vier Sprachen früher als sechs Wochen vor der Tagung</w:t>
      </w:r>
      <w:r w:rsidR="00F70043" w:rsidRPr="00633F67">
        <w:rPr>
          <w:lang w:val="de-DE"/>
        </w:rPr>
        <w:t xml:space="preserve"> </w:t>
      </w:r>
      <w:r w:rsidR="00DC1904" w:rsidRPr="00633F67">
        <w:rPr>
          <w:lang w:val="de-DE"/>
        </w:rPr>
        <w:t>auszuarbeiten.</w:t>
      </w:r>
      <w:r w:rsidR="00F70043" w:rsidRPr="00633F67">
        <w:rPr>
          <w:lang w:val="de-DE"/>
        </w:rPr>
        <w:t xml:space="preserve"> </w:t>
      </w:r>
      <w:r w:rsidR="002245A9" w:rsidRPr="00633F67">
        <w:rPr>
          <w:lang w:val="de-DE"/>
        </w:rPr>
        <w:t xml:space="preserve">Der </w:t>
      </w:r>
      <w:r w:rsidR="003C50AC" w:rsidRPr="00633F67">
        <w:rPr>
          <w:lang w:val="de-DE"/>
        </w:rPr>
        <w:t>Stellvertretende Generalsekretär</w:t>
      </w:r>
      <w:r w:rsidR="002245A9" w:rsidRPr="00633F67">
        <w:rPr>
          <w:lang w:val="de-DE"/>
        </w:rPr>
        <w:t xml:space="preserve"> bezog sich auch auf die Kosten für jede Tagung des</w:t>
      </w:r>
      <w:r w:rsidR="00896BEB" w:rsidRPr="00633F67">
        <w:rPr>
          <w:lang w:val="de-DE"/>
        </w:rPr>
        <w:t xml:space="preserve"> </w:t>
      </w:r>
      <w:r w:rsidR="00F70043" w:rsidRPr="00633F67">
        <w:rPr>
          <w:lang w:val="de-DE"/>
        </w:rPr>
        <w:t>CAJ</w:t>
      </w:r>
      <w:r w:rsidR="002245A9" w:rsidRPr="00633F67">
        <w:rPr>
          <w:lang w:val="de-DE"/>
        </w:rPr>
        <w:t xml:space="preserve"> und die Kosten für die Teilnehmer</w:t>
      </w:r>
      <w:r w:rsidR="00F70043" w:rsidRPr="00633F67">
        <w:rPr>
          <w:lang w:val="de-DE"/>
        </w:rPr>
        <w:t>.</w:t>
      </w:r>
    </w:p>
    <w:p w:rsidR="00F70043" w:rsidRPr="00633F67" w:rsidRDefault="00F70043" w:rsidP="008A74DE">
      <w:pPr>
        <w:rPr>
          <w:lang w:val="de-DE"/>
        </w:rPr>
      </w:pPr>
    </w:p>
    <w:p w:rsidR="004125C8" w:rsidRPr="00633F67" w:rsidRDefault="004125C8" w:rsidP="004125C8">
      <w:pPr>
        <w:rPr>
          <w:lang w:val="de-DE"/>
        </w:rPr>
      </w:pPr>
      <w:r w:rsidRPr="00633F67">
        <w:rPr>
          <w:rFonts w:eastAsia="SimSun"/>
          <w:snapToGrid w:val="0"/>
          <w:vertAlign w:val="superscript"/>
          <w:lang w:val="de-DE" w:eastAsia="ja-JP"/>
        </w:rPr>
        <w:t>*</w:t>
      </w:r>
      <w:r w:rsidRPr="00633F67">
        <w:fldChar w:fldCharType="begin"/>
      </w:r>
      <w:r w:rsidRPr="00633F67">
        <w:rPr>
          <w:lang w:val="de-DE"/>
        </w:rPr>
        <w:instrText xml:space="preserve"> AUTONUM  </w:instrText>
      </w:r>
      <w:r w:rsidRPr="00633F67">
        <w:fldChar w:fldCharType="end"/>
      </w:r>
      <w:r w:rsidRPr="00633F67">
        <w:rPr>
          <w:lang w:val="de-DE"/>
        </w:rPr>
        <w:tab/>
        <w:t>Der CAJ entschied, daß der CAJ auf seiner zweiundsiebzigsten Tagung unter dem Tagesordnungspunkt „Programm für die dreiundsiebzigste Tagung” den Zeitplan der</w:t>
      </w:r>
      <w:r w:rsidRPr="00633F67">
        <w:rPr>
          <w:snapToGrid w:val="0"/>
          <w:lang w:val="de-DE"/>
        </w:rPr>
        <w:t xml:space="preserve"> CAJ-Tagungen im Jahr 2016 </w:t>
      </w:r>
      <w:r w:rsidRPr="00633F67">
        <w:rPr>
          <w:lang w:val="de-DE"/>
        </w:rPr>
        <w:t>prüfen würde</w:t>
      </w:r>
      <w:r w:rsidRPr="00633F67">
        <w:rPr>
          <w:snapToGrid w:val="0"/>
          <w:lang w:val="de-DE"/>
        </w:rPr>
        <w:t>.</w:t>
      </w:r>
    </w:p>
    <w:p w:rsidR="004125C8" w:rsidRPr="00633F67" w:rsidRDefault="004125C8" w:rsidP="004125C8">
      <w:pPr>
        <w:rPr>
          <w:lang w:val="de-DE"/>
        </w:rPr>
      </w:pPr>
    </w:p>
    <w:p w:rsidR="004125C8" w:rsidRPr="007F371C" w:rsidRDefault="004125C8" w:rsidP="004125C8">
      <w:pPr>
        <w:rPr>
          <w:lang w:val="de-DE"/>
        </w:rPr>
      </w:pPr>
      <w:r w:rsidRPr="00633F67">
        <w:rPr>
          <w:rFonts w:eastAsia="SimSun"/>
          <w:snapToGrid w:val="0"/>
          <w:vertAlign w:val="superscript"/>
          <w:lang w:val="de-DE" w:eastAsia="ja-JP"/>
        </w:rPr>
        <w:t>*</w:t>
      </w:r>
      <w:r w:rsidRPr="00633F67">
        <w:fldChar w:fldCharType="begin"/>
      </w:r>
      <w:r w:rsidRPr="00633F67">
        <w:rPr>
          <w:lang w:val="de-DE"/>
        </w:rPr>
        <w:instrText xml:space="preserve"> AUTONUM  </w:instrText>
      </w:r>
      <w:r w:rsidRPr="00633F67">
        <w:fldChar w:fldCharType="end"/>
      </w:r>
      <w:r w:rsidRPr="00633F67">
        <w:rPr>
          <w:lang w:val="de-DE"/>
        </w:rPr>
        <w:tab/>
        <w:t>Der CAJ vereinbarte, seine zweiundsiebzigste Tagung am 26. und 27. Oktober 2015 abzuhalten und entschied, keine Tagung der CAJ-AG am 30. Oktober 2015 anzuberaumen.</w:t>
      </w:r>
      <w:r w:rsidRPr="007F371C">
        <w:rPr>
          <w:lang w:val="de-DE"/>
        </w:rPr>
        <w:t xml:space="preserve"> </w:t>
      </w:r>
    </w:p>
    <w:p w:rsidR="004125C8" w:rsidRDefault="004125C8" w:rsidP="004125C8">
      <w:pPr>
        <w:rPr>
          <w:lang w:val="de-DE"/>
        </w:rPr>
      </w:pPr>
    </w:p>
    <w:p w:rsidR="00633F67" w:rsidRPr="00DB4033" w:rsidRDefault="00DB4033" w:rsidP="00DB4033">
      <w:pPr>
        <w:pStyle w:val="DecisionInvitingPara"/>
        <w:rPr>
          <w:lang w:val="de-DE"/>
        </w:rPr>
      </w:pPr>
      <w:r w:rsidRPr="00DB4033">
        <w:rPr>
          <w:lang w:val="de-DE"/>
        </w:rPr>
        <w:fldChar w:fldCharType="begin"/>
      </w:r>
      <w:r w:rsidRPr="00DB4033">
        <w:rPr>
          <w:lang w:val="de-DE"/>
        </w:rPr>
        <w:instrText xml:space="preserve"> AUTONUM  </w:instrText>
      </w:r>
      <w:r w:rsidRPr="00DB4033">
        <w:rPr>
          <w:lang w:val="de-DE"/>
        </w:rPr>
        <w:fldChar w:fldCharType="end"/>
      </w:r>
      <w:r w:rsidRPr="00DB4033">
        <w:rPr>
          <w:lang w:val="de-DE"/>
        </w:rPr>
        <w:tab/>
        <w:t>Dieser Bericht ist auf schriftlichem Wege angenommen worden.</w:t>
      </w:r>
    </w:p>
    <w:p w:rsidR="00DB4033" w:rsidRDefault="00DB4033" w:rsidP="004125C8">
      <w:pPr>
        <w:rPr>
          <w:lang w:val="de-DE"/>
        </w:rPr>
      </w:pPr>
    </w:p>
    <w:p w:rsidR="00DB4033" w:rsidRDefault="00DB4033" w:rsidP="004125C8">
      <w:pPr>
        <w:rPr>
          <w:lang w:val="de-DE"/>
        </w:rPr>
      </w:pPr>
    </w:p>
    <w:p w:rsidR="004125C8" w:rsidRPr="00494D0E" w:rsidRDefault="004125C8" w:rsidP="004125C8">
      <w:pPr>
        <w:jc w:val="right"/>
        <w:rPr>
          <w:lang w:val="de-DE"/>
        </w:rPr>
      </w:pPr>
      <w:r w:rsidRPr="00494D0E">
        <w:rPr>
          <w:lang w:val="de-DE"/>
        </w:rPr>
        <w:t>[Anlage folgt]</w:t>
      </w:r>
    </w:p>
    <w:p w:rsidR="00120D65" w:rsidRPr="00055396" w:rsidRDefault="00120D65" w:rsidP="00184A76">
      <w:pPr>
        <w:jc w:val="right"/>
        <w:rPr>
          <w:lang w:val="fr-CH"/>
        </w:rPr>
        <w:sectPr w:rsidR="00120D65" w:rsidRPr="00055396" w:rsidSect="00906DDC">
          <w:headerReference w:type="default" r:id="rId14"/>
          <w:pgSz w:w="11907" w:h="16840" w:code="9"/>
          <w:pgMar w:top="510" w:right="1134" w:bottom="1134" w:left="1134" w:header="510" w:footer="680" w:gutter="0"/>
          <w:cols w:space="720"/>
          <w:titlePg/>
        </w:sectPr>
      </w:pPr>
    </w:p>
    <w:p w:rsidR="00844F30" w:rsidRPr="00055396" w:rsidRDefault="00844F30" w:rsidP="00844F30">
      <w:pPr>
        <w:jc w:val="center"/>
        <w:rPr>
          <w:caps/>
          <w:lang w:val="fr-CH"/>
        </w:rPr>
      </w:pPr>
      <w:r w:rsidRPr="00055396">
        <w:rPr>
          <w:caps/>
          <w:lang w:val="fr-CH"/>
        </w:rPr>
        <w:lastRenderedPageBreak/>
        <w:t>CAJ/71/11</w:t>
      </w:r>
    </w:p>
    <w:p w:rsidR="00844F30" w:rsidRPr="00055396" w:rsidRDefault="00844F30" w:rsidP="00844F30">
      <w:pPr>
        <w:jc w:val="center"/>
        <w:rPr>
          <w:caps/>
          <w:lang w:val="fr-CH"/>
        </w:rPr>
      </w:pPr>
    </w:p>
    <w:p w:rsidR="00844F30" w:rsidRPr="00055396" w:rsidRDefault="00844F30" w:rsidP="00844F30">
      <w:pPr>
        <w:jc w:val="center"/>
        <w:rPr>
          <w:caps/>
          <w:lang w:val="fr-CH"/>
        </w:rPr>
      </w:pPr>
      <w:r w:rsidRPr="00055396">
        <w:rPr>
          <w:caps/>
          <w:lang w:val="fr-CH"/>
        </w:rPr>
        <w:t>annexe / annex / anlage / anexo</w:t>
      </w:r>
    </w:p>
    <w:p w:rsidR="00844F30" w:rsidRPr="00055396" w:rsidRDefault="00844F30" w:rsidP="00844F30">
      <w:pPr>
        <w:jc w:val="center"/>
        <w:rPr>
          <w:caps/>
          <w:lang w:val="fr-CH"/>
        </w:rPr>
      </w:pPr>
    </w:p>
    <w:p w:rsidR="00844F30" w:rsidRPr="00055396" w:rsidRDefault="00844F30" w:rsidP="00844F30">
      <w:pPr>
        <w:jc w:val="center"/>
        <w:rPr>
          <w:caps/>
          <w:lang w:val="fr-CH"/>
        </w:rPr>
      </w:pPr>
    </w:p>
    <w:p w:rsidR="00844F30" w:rsidRPr="00055396" w:rsidRDefault="00844F30" w:rsidP="00844F30">
      <w:pPr>
        <w:jc w:val="center"/>
        <w:rPr>
          <w:caps/>
          <w:lang w:val="fr-CH"/>
        </w:rPr>
      </w:pPr>
    </w:p>
    <w:p w:rsidR="00844F30" w:rsidRPr="00055396" w:rsidRDefault="00844F30" w:rsidP="00844F30">
      <w:pPr>
        <w:jc w:val="center"/>
        <w:rPr>
          <w:caps/>
          <w:lang w:val="fr-CH"/>
        </w:rPr>
      </w:pPr>
      <w:r w:rsidRPr="00055396">
        <w:rPr>
          <w:caps/>
          <w:lang w:val="fr-CH"/>
        </w:rPr>
        <w:t>LISTE DES PARTICIPANTS / LIST OF PARTICIPANTS /</w:t>
      </w:r>
    </w:p>
    <w:p w:rsidR="00844F30" w:rsidRPr="00055396" w:rsidRDefault="00844F30" w:rsidP="00844F30">
      <w:pPr>
        <w:jc w:val="center"/>
        <w:rPr>
          <w:caps/>
          <w:lang w:val="fr-CH"/>
        </w:rPr>
      </w:pPr>
      <w:r w:rsidRPr="00055396">
        <w:rPr>
          <w:caps/>
          <w:lang w:val="fr-CH"/>
        </w:rPr>
        <w:t>TEILNEHMERLISTE / LISTA DE PARTICIPANTES</w:t>
      </w:r>
      <w:r w:rsidRPr="00055396">
        <w:rPr>
          <w:caps/>
          <w:lang w:val="fr-CH"/>
        </w:rPr>
        <w:br/>
      </w:r>
      <w:r w:rsidRPr="00055396">
        <w:rPr>
          <w:caps/>
          <w:lang w:val="fr-CH"/>
        </w:rPr>
        <w:br/>
        <w:t>(</w:t>
      </w:r>
      <w:r w:rsidRPr="00055396">
        <w:rPr>
          <w:lang w:val="fr-CH"/>
        </w:rPr>
        <w:t xml:space="preserve">dans l’ordre alphabétique des noms français des membres / </w:t>
      </w:r>
      <w:r w:rsidRPr="00055396">
        <w:rPr>
          <w:lang w:val="fr-CH"/>
        </w:rPr>
        <w:br/>
        <w:t xml:space="preserve">in the alphabetical order of the French names of the Members / </w:t>
      </w:r>
      <w:r w:rsidRPr="00055396">
        <w:rPr>
          <w:lang w:val="fr-CH"/>
        </w:rPr>
        <w:br/>
        <w:t xml:space="preserve">in alphabetischer Reihenfolge der französischen Namen der Mitglieder / </w:t>
      </w:r>
      <w:r w:rsidRPr="00055396">
        <w:rPr>
          <w:lang w:val="fr-CH"/>
        </w:rPr>
        <w:br/>
        <w:t>por orden alfabético de los nombres en francés de los miembros)</w:t>
      </w:r>
    </w:p>
    <w:p w:rsidR="00844F30" w:rsidRPr="00055396" w:rsidRDefault="00844F30" w:rsidP="00844F30">
      <w:pPr>
        <w:rPr>
          <w:lang w:val="fr-CH"/>
        </w:rPr>
      </w:pPr>
    </w:p>
    <w:p w:rsidR="00844F30" w:rsidRPr="00055396" w:rsidRDefault="00844F30" w:rsidP="00844F30">
      <w:pPr>
        <w:rPr>
          <w:lang w:val="fr-CH"/>
        </w:rPr>
      </w:pPr>
    </w:p>
    <w:p w:rsidR="00844F30" w:rsidRPr="003E268A" w:rsidRDefault="00844F30" w:rsidP="00844F30">
      <w:pPr>
        <w:jc w:val="center"/>
        <w:rPr>
          <w:rFonts w:cs="Arial"/>
          <w:u w:val="single"/>
          <w:lang w:val="fr-CH" w:eastAsia="zh-CN"/>
        </w:rPr>
      </w:pPr>
      <w:r w:rsidRPr="003E268A">
        <w:rPr>
          <w:rFonts w:cs="Arial"/>
          <w:lang w:val="fr-CH" w:eastAsia="zh-CN"/>
        </w:rPr>
        <w:t xml:space="preserve">I. </w:t>
      </w:r>
      <w:r w:rsidRPr="003E268A">
        <w:rPr>
          <w:rFonts w:cs="Arial"/>
          <w:lang w:val="fr-CH" w:eastAsia="zh-CN"/>
        </w:rPr>
        <w:tab/>
      </w:r>
      <w:r w:rsidRPr="003E268A">
        <w:rPr>
          <w:rFonts w:cs="Arial"/>
          <w:u w:val="single"/>
          <w:lang w:val="fr-CH" w:eastAsia="zh-CN"/>
        </w:rPr>
        <w:t>MEMBRES / MEMBERS / VERBANDSMITGLIEDER / MIEMBROS</w:t>
      </w:r>
    </w:p>
    <w:p w:rsidR="00844F30" w:rsidRPr="003E268A" w:rsidRDefault="00844F30" w:rsidP="00844F30">
      <w:pPr>
        <w:rPr>
          <w:rFonts w:cs="Arial"/>
          <w:lang w:val="fr-CH" w:eastAsia="zh-CN"/>
        </w:rPr>
      </w:pPr>
    </w:p>
    <w:p w:rsidR="00844F30" w:rsidRPr="003E268A" w:rsidRDefault="00844F30" w:rsidP="00844F30">
      <w:pPr>
        <w:rPr>
          <w:rFonts w:cs="Arial"/>
          <w:u w:val="single"/>
          <w:lang w:val="fr-CH" w:eastAsia="zh-CN"/>
        </w:rPr>
      </w:pPr>
      <w:r w:rsidRPr="003E268A">
        <w:rPr>
          <w:rFonts w:cs="Arial"/>
          <w:u w:val="single"/>
          <w:lang w:val="fr-CH" w:eastAsia="zh-CN"/>
        </w:rPr>
        <w:t>ALLEMAGNE / GERMANY / DEUTSCHLAND / ALEMANIA</w:t>
      </w:r>
    </w:p>
    <w:p w:rsidR="00844F30" w:rsidRPr="003E268A" w:rsidRDefault="00844F30" w:rsidP="00844F30">
      <w:pPr>
        <w:rPr>
          <w:rFonts w:cs="Arial"/>
          <w:lang w:val="fr-CH" w:eastAsia="zh-CN"/>
        </w:rPr>
      </w:pPr>
    </w:p>
    <w:p w:rsidR="00844F30" w:rsidRPr="003E268A" w:rsidRDefault="00844F30" w:rsidP="00844F30">
      <w:pPr>
        <w:rPr>
          <w:rFonts w:cs="Arial"/>
          <w:lang w:val="fr-CH" w:eastAsia="zh-CN"/>
        </w:rPr>
      </w:pPr>
      <w:r w:rsidRPr="003E268A">
        <w:rPr>
          <w:rFonts w:cs="Arial"/>
          <w:lang w:val="fr-CH" w:eastAsia="zh-CN"/>
        </w:rPr>
        <w:t xml:space="preserve">Barbara SOHNEMANN (Frau), Justiziarin, Leiterin, Rechtsangelegenheiten, Sortenverwaltung, Gebühren, Bundessortenamt, Hannover (e-mail: barbara.sohnemann@bundessortenamt.de) </w:t>
      </w:r>
    </w:p>
    <w:p w:rsidR="00844F30" w:rsidRPr="003E268A" w:rsidRDefault="00844F30" w:rsidP="00844F30">
      <w:pPr>
        <w:rPr>
          <w:rFonts w:cs="Arial"/>
          <w:lang w:val="fr-CH" w:eastAsia="zh-CN"/>
        </w:rPr>
      </w:pPr>
    </w:p>
    <w:p w:rsidR="00844F30" w:rsidRPr="00055396" w:rsidRDefault="00844F30" w:rsidP="00844F30">
      <w:pPr>
        <w:rPr>
          <w:rFonts w:cs="Arial"/>
          <w:u w:val="single"/>
          <w:lang w:val="es-ES" w:eastAsia="zh-CN"/>
        </w:rPr>
      </w:pPr>
      <w:r w:rsidRPr="00055396">
        <w:rPr>
          <w:rFonts w:cs="Arial"/>
          <w:u w:val="single"/>
          <w:lang w:val="es-ES" w:eastAsia="zh-CN"/>
        </w:rPr>
        <w:t>ARGENTINE / ARGENTINA / ARGENTINIEN / ARGENTINA</w:t>
      </w:r>
    </w:p>
    <w:p w:rsidR="00844F30" w:rsidRPr="00055396" w:rsidRDefault="00844F30" w:rsidP="00844F30">
      <w:pPr>
        <w:rPr>
          <w:rFonts w:cs="Arial"/>
          <w:u w:val="single"/>
          <w:lang w:val="es-ES" w:eastAsia="zh-CN"/>
        </w:rPr>
      </w:pPr>
    </w:p>
    <w:p w:rsidR="00844F30" w:rsidRPr="00055396" w:rsidRDefault="00844F30" w:rsidP="00844F30">
      <w:pPr>
        <w:rPr>
          <w:rFonts w:cs="Arial"/>
          <w:lang w:val="es-ES" w:eastAsia="zh-CN"/>
        </w:rPr>
      </w:pPr>
      <w:r w:rsidRPr="00055396">
        <w:rPr>
          <w:rFonts w:cs="Arial"/>
          <w:lang w:val="es-ES" w:eastAsia="zh-CN"/>
        </w:rPr>
        <w:t xml:space="preserve">Raimundo LAVIGNOLLE, Presidente del directorio, Instituto Nacional de Semillas (INASE), Buenos Aires </w:t>
      </w:r>
    </w:p>
    <w:p w:rsidR="00844F30" w:rsidRPr="00055396" w:rsidRDefault="00844F30" w:rsidP="00844F30">
      <w:pPr>
        <w:rPr>
          <w:rFonts w:cs="Arial"/>
          <w:lang w:val="es-ES" w:eastAsia="zh-CN"/>
        </w:rPr>
      </w:pPr>
      <w:r w:rsidRPr="00055396">
        <w:rPr>
          <w:rFonts w:cs="Arial"/>
          <w:lang w:val="es-ES" w:eastAsia="zh-CN"/>
        </w:rPr>
        <w:t>(e-mail: rlavignolle@inase.gov.ar)</w:t>
      </w:r>
    </w:p>
    <w:p w:rsidR="00844F30" w:rsidRPr="00055396" w:rsidRDefault="00844F30" w:rsidP="00844F30">
      <w:pPr>
        <w:rPr>
          <w:rFonts w:cs="Arial"/>
          <w:lang w:val="es-ES" w:eastAsia="zh-CN"/>
        </w:rPr>
      </w:pPr>
    </w:p>
    <w:p w:rsidR="00844F30" w:rsidRPr="00055396" w:rsidRDefault="00844F30" w:rsidP="00844F30">
      <w:pPr>
        <w:rPr>
          <w:rFonts w:cs="Arial"/>
          <w:lang w:val="es-ES" w:eastAsia="zh-CN"/>
        </w:rPr>
      </w:pPr>
      <w:r w:rsidRPr="00055396">
        <w:rPr>
          <w:rFonts w:cs="Arial"/>
          <w:lang w:val="es-ES" w:eastAsia="zh-CN"/>
        </w:rPr>
        <w:t>Carmen Amelia M. GIANNI (Sra.), Coordinadora de Propiedad Intelectual / Recursos Fitogenéticos, Instituto Nacional de Semillas (INASE), Buenos Aires (e-mail: cgianni@inase.gov.ar)</w:t>
      </w:r>
    </w:p>
    <w:p w:rsidR="00844F30" w:rsidRPr="00055396" w:rsidRDefault="00844F30" w:rsidP="00844F30">
      <w:pPr>
        <w:rPr>
          <w:rFonts w:cs="Arial"/>
          <w:lang w:val="es-ES" w:eastAsia="zh-CN"/>
        </w:rPr>
      </w:pPr>
    </w:p>
    <w:p w:rsidR="00844F30" w:rsidRPr="00AB63DB" w:rsidRDefault="00844F30" w:rsidP="00844F30">
      <w:pPr>
        <w:rPr>
          <w:rFonts w:cs="Arial"/>
          <w:u w:val="single"/>
          <w:lang w:eastAsia="zh-CN"/>
        </w:rPr>
      </w:pPr>
      <w:r w:rsidRPr="00AB63DB">
        <w:rPr>
          <w:rFonts w:cs="Arial"/>
          <w:u w:val="single"/>
          <w:lang w:eastAsia="zh-CN"/>
        </w:rPr>
        <w:t>AUSTRALIE / AUSTRALIA / AUSTRALIEN / AUSTRALIA</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 xml:space="preserve">Tanvir HOSSAIN, Senior Examiner, Plant Breeder's Rights Office, IP Australia, Woden </w:t>
      </w:r>
    </w:p>
    <w:p w:rsidR="00844F30" w:rsidRPr="00055396" w:rsidRDefault="00844F30" w:rsidP="00844F30">
      <w:pPr>
        <w:rPr>
          <w:rFonts w:cs="Arial"/>
          <w:lang w:val="fr-CH" w:eastAsia="zh-CN"/>
        </w:rPr>
      </w:pPr>
      <w:r w:rsidRPr="00055396">
        <w:rPr>
          <w:rFonts w:cs="Arial"/>
          <w:lang w:val="fr-CH" w:eastAsia="zh-CN"/>
        </w:rPr>
        <w:t xml:space="preserve">(e-mail: tanvir.hossain@ipaustralia.gov.au)  </w:t>
      </w:r>
    </w:p>
    <w:p w:rsidR="00844F30" w:rsidRPr="00055396" w:rsidRDefault="00844F30" w:rsidP="00844F30">
      <w:pPr>
        <w:rPr>
          <w:rFonts w:cs="Arial"/>
          <w:lang w:val="fr-CH" w:eastAsia="zh-CN"/>
        </w:rPr>
      </w:pPr>
    </w:p>
    <w:p w:rsidR="00844F30" w:rsidRPr="00055396" w:rsidRDefault="00844F30" w:rsidP="00844F30">
      <w:pPr>
        <w:rPr>
          <w:rFonts w:cs="Arial"/>
          <w:u w:val="single"/>
          <w:lang w:val="fr-CH" w:eastAsia="zh-CN"/>
        </w:rPr>
      </w:pPr>
      <w:r w:rsidRPr="00055396">
        <w:rPr>
          <w:rFonts w:cs="Arial"/>
          <w:u w:val="single"/>
          <w:lang w:val="fr-CH" w:eastAsia="zh-CN"/>
        </w:rPr>
        <w:t>BELGIQUE / BELGIUM / BELGIEN / BÉLGICA</w:t>
      </w:r>
    </w:p>
    <w:p w:rsidR="00844F30" w:rsidRPr="00055396" w:rsidRDefault="00844F30" w:rsidP="00844F30">
      <w:pPr>
        <w:rPr>
          <w:rFonts w:cs="Arial"/>
          <w:lang w:val="fr-CH" w:eastAsia="zh-CN"/>
        </w:rPr>
      </w:pPr>
    </w:p>
    <w:p w:rsidR="00844F30" w:rsidRPr="00055396" w:rsidRDefault="00844F30" w:rsidP="00844F30">
      <w:pPr>
        <w:rPr>
          <w:rFonts w:cs="Arial"/>
          <w:lang w:val="fr-CH" w:eastAsia="zh-CN"/>
        </w:rPr>
      </w:pPr>
      <w:r w:rsidRPr="00055396">
        <w:rPr>
          <w:rFonts w:cs="Arial"/>
          <w:lang w:val="fr-CH" w:eastAsia="zh-CN"/>
        </w:rPr>
        <w:t xml:space="preserve">Françoise DE SCHUTTER (Mme), Attachée, Office belge de la Propriété intellectuelle (OPRI), Bruxelles </w:t>
      </w:r>
    </w:p>
    <w:p w:rsidR="00844F30" w:rsidRPr="00055396" w:rsidRDefault="00844F30" w:rsidP="00844F30">
      <w:pPr>
        <w:rPr>
          <w:rFonts w:cs="Arial"/>
          <w:lang w:val="fr-CH" w:eastAsia="zh-CN"/>
        </w:rPr>
      </w:pPr>
      <w:r w:rsidRPr="00055396">
        <w:rPr>
          <w:rFonts w:cs="Arial"/>
          <w:lang w:val="fr-CH" w:eastAsia="zh-CN"/>
        </w:rPr>
        <w:t xml:space="preserve">(e-mail: francoise.deschutter@economie.fgov.be)  </w:t>
      </w:r>
    </w:p>
    <w:p w:rsidR="00844F30" w:rsidRPr="00055396" w:rsidRDefault="00844F30" w:rsidP="00844F30">
      <w:pPr>
        <w:rPr>
          <w:rFonts w:cs="Arial"/>
          <w:lang w:val="fr-CH" w:eastAsia="zh-CN"/>
        </w:rPr>
      </w:pPr>
    </w:p>
    <w:p w:rsidR="00844F30" w:rsidRPr="00055396" w:rsidRDefault="00844F30" w:rsidP="00844F30">
      <w:pPr>
        <w:rPr>
          <w:rFonts w:cs="Arial"/>
          <w:u w:val="single"/>
          <w:lang w:val="fr-CH" w:eastAsia="zh-CN"/>
        </w:rPr>
      </w:pPr>
      <w:r w:rsidRPr="00055396">
        <w:rPr>
          <w:rFonts w:cs="Arial"/>
          <w:u w:val="single"/>
          <w:lang w:val="fr-CH" w:eastAsia="zh-CN"/>
        </w:rPr>
        <w:t>BRÉSIL / BRAZIL / BRASILIEN / BRASIL</w:t>
      </w:r>
    </w:p>
    <w:p w:rsidR="00844F30" w:rsidRPr="00055396" w:rsidRDefault="00844F30" w:rsidP="00844F30">
      <w:pPr>
        <w:rPr>
          <w:rFonts w:cs="Arial"/>
          <w:lang w:val="fr-CH" w:eastAsia="zh-CN"/>
        </w:rPr>
      </w:pPr>
    </w:p>
    <w:p w:rsidR="00844F30" w:rsidRPr="00AB63DB" w:rsidRDefault="00844F30" w:rsidP="00844F30">
      <w:pPr>
        <w:rPr>
          <w:rFonts w:cs="Arial"/>
          <w:lang w:eastAsia="zh-CN"/>
        </w:rPr>
      </w:pPr>
      <w:r w:rsidRPr="00AB63DB">
        <w:rPr>
          <w:rFonts w:cs="Arial"/>
          <w:lang w:eastAsia="zh-CN"/>
        </w:rPr>
        <w:t xml:space="preserve">Fabrício SANTANA SANTOS, Coordinator, National Plant Variety Protection Office (SNPC), Ministry of Agriculture, Livestock and Food Supply, Brasilia (e-mail: fabricio.santos@agricultura.gov.br)  </w:t>
      </w:r>
    </w:p>
    <w:p w:rsidR="00844F30" w:rsidRPr="00AB63DB" w:rsidRDefault="00844F30" w:rsidP="00844F30">
      <w:pPr>
        <w:rPr>
          <w:rFonts w:cs="Arial"/>
          <w:lang w:eastAsia="zh-CN"/>
        </w:rPr>
      </w:pPr>
    </w:p>
    <w:p w:rsidR="00844F30" w:rsidRPr="00AB63DB" w:rsidRDefault="00844F30" w:rsidP="00844F30">
      <w:pPr>
        <w:rPr>
          <w:rFonts w:cs="Arial"/>
          <w:u w:val="single"/>
          <w:lang w:eastAsia="zh-CN"/>
        </w:rPr>
      </w:pPr>
      <w:r w:rsidRPr="00AB63DB">
        <w:rPr>
          <w:rFonts w:cs="Arial"/>
          <w:u w:val="single"/>
          <w:lang w:eastAsia="zh-CN"/>
        </w:rPr>
        <w:t>CANADA / CANANDA / KANADA / CANADÁ</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 xml:space="preserve">Anthony PARKER, Commissioner, Plant Breeders' Rights Office, Canadian Food Inspection Agency (CFIA), Ottawa (e-mail: anthony.parker@inspection.gc.ca)  </w:t>
      </w:r>
    </w:p>
    <w:p w:rsidR="00844F30" w:rsidRPr="00AB63DB" w:rsidRDefault="00844F30" w:rsidP="00844F30">
      <w:pPr>
        <w:rPr>
          <w:rFonts w:cs="Arial"/>
          <w:u w:val="single"/>
          <w:lang w:eastAsia="zh-CN"/>
        </w:rPr>
      </w:pPr>
    </w:p>
    <w:p w:rsidR="00844F30" w:rsidRPr="00055396" w:rsidRDefault="00844F30" w:rsidP="00844F30">
      <w:pPr>
        <w:rPr>
          <w:rFonts w:cs="Arial"/>
          <w:u w:val="single"/>
          <w:lang w:val="es-ES" w:eastAsia="zh-CN"/>
        </w:rPr>
      </w:pPr>
      <w:r w:rsidRPr="00055396">
        <w:rPr>
          <w:rFonts w:cs="Arial"/>
          <w:u w:val="single"/>
          <w:lang w:val="es-ES" w:eastAsia="zh-CN"/>
        </w:rPr>
        <w:t>CHILI / CHILE / CHILE / CHILE</w:t>
      </w:r>
    </w:p>
    <w:p w:rsidR="00844F30" w:rsidRPr="00055396" w:rsidRDefault="00844F30" w:rsidP="00844F30">
      <w:pPr>
        <w:rPr>
          <w:rFonts w:cs="Arial"/>
          <w:lang w:val="es-ES" w:eastAsia="zh-CN"/>
        </w:rPr>
      </w:pPr>
    </w:p>
    <w:p w:rsidR="00844F30" w:rsidRPr="00055396" w:rsidRDefault="00844F30" w:rsidP="00844F30">
      <w:pPr>
        <w:rPr>
          <w:rFonts w:cs="Arial"/>
          <w:lang w:val="es-ES" w:eastAsia="zh-CN"/>
        </w:rPr>
      </w:pPr>
      <w:r w:rsidRPr="00055396">
        <w:rPr>
          <w:rFonts w:cs="Arial"/>
          <w:lang w:val="es-ES" w:eastAsia="zh-CN"/>
        </w:rPr>
        <w:t xml:space="preserve">Manuel TORO UGALDE, Jefe Subdepartamento, Registro de Variedades Protegidas, División Semillas, Servicio Agrícola y Ganadero (SAG), Santiago de Chile (e-mail: manuel.toro@sag.gob.cl) </w:t>
      </w:r>
    </w:p>
    <w:p w:rsidR="00844F30" w:rsidRPr="00055396" w:rsidRDefault="00844F30" w:rsidP="00844F30">
      <w:pPr>
        <w:rPr>
          <w:rFonts w:cs="Arial"/>
          <w:lang w:val="es-ES" w:eastAsia="zh-CN"/>
        </w:rPr>
      </w:pPr>
    </w:p>
    <w:p w:rsidR="00844F30" w:rsidRPr="00055396" w:rsidRDefault="00844F30" w:rsidP="00844F30">
      <w:pPr>
        <w:rPr>
          <w:rFonts w:cs="Arial"/>
          <w:lang w:val="es-ES" w:eastAsia="zh-CN"/>
        </w:rPr>
      </w:pPr>
      <w:r w:rsidRPr="00055396">
        <w:rPr>
          <w:rFonts w:cs="Arial"/>
          <w:lang w:val="es-ES" w:eastAsia="zh-CN"/>
        </w:rPr>
        <w:t xml:space="preserve">Natalia SOTOMAYOR (Ms.), Legal Advisor, Oficina de Estudios y Politicas Agrarias (ODEPA), Santiago de Chile (e-mail: nsotomayor@odepa.gob.cl)  </w:t>
      </w:r>
    </w:p>
    <w:p w:rsidR="00844F30" w:rsidRPr="00055396" w:rsidRDefault="00844F30" w:rsidP="00844F30">
      <w:pPr>
        <w:rPr>
          <w:rFonts w:cs="Arial"/>
          <w:lang w:val="es-ES" w:eastAsia="zh-CN"/>
        </w:rPr>
      </w:pPr>
    </w:p>
    <w:p w:rsidR="00844F30" w:rsidRPr="00AB63DB" w:rsidRDefault="00844F30" w:rsidP="00844F30">
      <w:pPr>
        <w:keepNext/>
        <w:rPr>
          <w:rFonts w:cs="Arial"/>
          <w:u w:val="single"/>
          <w:lang w:eastAsia="zh-CN"/>
        </w:rPr>
      </w:pPr>
      <w:r w:rsidRPr="00AB63DB">
        <w:rPr>
          <w:rFonts w:cs="Arial"/>
          <w:u w:val="single"/>
          <w:lang w:eastAsia="zh-CN"/>
        </w:rPr>
        <w:t>CHINE / CHINA / CHINA / CHINA</w:t>
      </w:r>
    </w:p>
    <w:p w:rsidR="00844F30" w:rsidRPr="00AB63DB" w:rsidRDefault="00844F30" w:rsidP="00844F30">
      <w:pPr>
        <w:keepNext/>
        <w:rPr>
          <w:rFonts w:cs="Arial"/>
          <w:lang w:eastAsia="zh-CN"/>
        </w:rPr>
      </w:pPr>
    </w:p>
    <w:p w:rsidR="00844F30" w:rsidRPr="00AB63DB" w:rsidRDefault="00844F30" w:rsidP="00844F30">
      <w:pPr>
        <w:rPr>
          <w:rFonts w:cs="Arial"/>
          <w:lang w:eastAsia="zh-CN"/>
        </w:rPr>
      </w:pPr>
      <w:r w:rsidRPr="00AB63DB">
        <w:rPr>
          <w:rFonts w:cs="Arial"/>
          <w:lang w:eastAsia="zh-CN"/>
        </w:rPr>
        <w:t xml:space="preserve">Mingqi LI, Deputy Director General, Office for the Protection of New Plant Varieties, State Forestry Administration, Beijing (e-mail: limingqi709@126.com)  </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 xml:space="preserve">Faji HUANG, Officer, Office for the Protection of New Plant Varieties, State Forestry Administration, Beijing (e-mail: huangfaji@cnpvp.net)  </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lastRenderedPageBreak/>
        <w:t>Juan LI (Ms.), Project Administrator, Beijing (e-mail: lijuan_8@sipo.gov.cn)</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Xin LU (Ms.), PVP Examiner, Plant Variety Protection Division, Development Center for Science and Technology, Ministry of Agriculture, Beijing (e-mail: luxin@agri.gov.cn)</w:t>
      </w:r>
    </w:p>
    <w:p w:rsidR="00844F30" w:rsidRPr="00AB63DB" w:rsidRDefault="00844F30" w:rsidP="00844F30">
      <w:pPr>
        <w:rPr>
          <w:rFonts w:cs="Arial"/>
          <w:lang w:eastAsia="zh-CN"/>
        </w:rPr>
      </w:pPr>
    </w:p>
    <w:p w:rsidR="00844F30" w:rsidRPr="00055396" w:rsidRDefault="00844F30" w:rsidP="00844F30">
      <w:pPr>
        <w:rPr>
          <w:rFonts w:cs="Arial"/>
          <w:u w:val="single"/>
          <w:lang w:val="es-ES" w:eastAsia="zh-CN"/>
        </w:rPr>
      </w:pPr>
      <w:r w:rsidRPr="00055396">
        <w:rPr>
          <w:rFonts w:cs="Arial"/>
          <w:u w:val="single"/>
          <w:lang w:val="es-ES" w:eastAsia="zh-CN"/>
        </w:rPr>
        <w:t>COLOMBIE / COLOMBIA / KOLUMBIEN / COLOMBIA</w:t>
      </w:r>
    </w:p>
    <w:p w:rsidR="00844F30" w:rsidRPr="00055396" w:rsidRDefault="00844F30" w:rsidP="00844F30">
      <w:pPr>
        <w:rPr>
          <w:rFonts w:cs="Arial"/>
          <w:lang w:val="es-ES" w:eastAsia="zh-CN"/>
        </w:rPr>
      </w:pPr>
    </w:p>
    <w:p w:rsidR="00844F30" w:rsidRPr="00055396" w:rsidRDefault="00844F30" w:rsidP="00844F30">
      <w:pPr>
        <w:rPr>
          <w:rFonts w:cs="Arial"/>
          <w:lang w:val="es-ES" w:eastAsia="zh-CN"/>
        </w:rPr>
      </w:pPr>
      <w:r w:rsidRPr="00055396">
        <w:rPr>
          <w:rFonts w:cs="Arial"/>
          <w:lang w:val="es-ES" w:eastAsia="zh-CN"/>
        </w:rPr>
        <w:t xml:space="preserve">Ana Luisa DÍAZ JIMÉNEZ (Sra.), Directora Técnica de Semillas, Dirección Técnica de Semillas, Instituto Colombiano Agropecuario (ICA), Bogotá (e-mail: ana.diaz@ica.gov.co)  </w:t>
      </w:r>
    </w:p>
    <w:p w:rsidR="00844F30" w:rsidRPr="00055396" w:rsidRDefault="00844F30" w:rsidP="00844F30">
      <w:pPr>
        <w:rPr>
          <w:rFonts w:cs="Arial"/>
          <w:lang w:val="es-ES" w:eastAsia="zh-CN"/>
        </w:rPr>
      </w:pPr>
    </w:p>
    <w:p w:rsidR="00844F30" w:rsidRPr="00AB63DB" w:rsidRDefault="00844F30" w:rsidP="00844F30">
      <w:pPr>
        <w:rPr>
          <w:rFonts w:cs="Arial"/>
          <w:u w:val="single"/>
          <w:lang w:eastAsia="zh-CN"/>
        </w:rPr>
      </w:pPr>
      <w:r w:rsidRPr="00AB63DB">
        <w:rPr>
          <w:rFonts w:cs="Arial"/>
          <w:u w:val="single"/>
          <w:lang w:eastAsia="zh-CN"/>
        </w:rPr>
        <w:t>CROATIE / CROATIA / KROATIEN / CROACIA</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 xml:space="preserve">Ivana BULAJIĆ (Ms.), Head of Plant Health Service, Directorate for Food Quality and Fitosanitary Policy, Ministry of Agriculture, Zagreb (e-mail: ivana.bulajic@mps.hr)  </w:t>
      </w:r>
    </w:p>
    <w:p w:rsidR="00844F30" w:rsidRPr="00AB63DB" w:rsidRDefault="00844F30" w:rsidP="00844F30">
      <w:pPr>
        <w:rPr>
          <w:rFonts w:cs="Arial"/>
          <w:lang w:eastAsia="zh-CN"/>
        </w:rPr>
      </w:pPr>
    </w:p>
    <w:p w:rsidR="00844F30" w:rsidRPr="00AB63DB" w:rsidRDefault="00844F30" w:rsidP="00844F30">
      <w:pPr>
        <w:rPr>
          <w:rFonts w:cs="Arial"/>
          <w:u w:val="single"/>
          <w:lang w:eastAsia="zh-CN"/>
        </w:rPr>
      </w:pPr>
      <w:r w:rsidRPr="00AB63DB">
        <w:rPr>
          <w:rFonts w:cs="Arial"/>
          <w:u w:val="single"/>
          <w:lang w:eastAsia="zh-CN"/>
        </w:rPr>
        <w:t>DANEMARK / DENMARK / DÄNEMARK / DINAMARCA</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 xml:space="preserve">Gerhard DENEKEN, Department of Variety Testing, The Danish AgriFish Agency (NaturErhvervestyrelsen), Skaelskoer (e-mail: gde@naturerhverv.dk)  </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Maria LILLIE SONNE (Ms.), Head of Legal, Danish AgriFish Agency (NaturErhvervestyrelsen), Copenhagen (e-mail: maliso@naturerhverv.dk)</w:t>
      </w:r>
    </w:p>
    <w:p w:rsidR="00844F30" w:rsidRPr="00AB63DB" w:rsidRDefault="00844F30" w:rsidP="00844F30">
      <w:pPr>
        <w:rPr>
          <w:rFonts w:cs="Arial"/>
          <w:lang w:eastAsia="zh-CN"/>
        </w:rPr>
      </w:pPr>
    </w:p>
    <w:p w:rsidR="00844F30" w:rsidRPr="00055396" w:rsidRDefault="00844F30" w:rsidP="00844F30">
      <w:pPr>
        <w:rPr>
          <w:rFonts w:cs="Arial"/>
          <w:u w:val="single"/>
          <w:lang w:val="es-ES" w:eastAsia="zh-CN"/>
        </w:rPr>
      </w:pPr>
      <w:r w:rsidRPr="00055396">
        <w:rPr>
          <w:rFonts w:cs="Arial"/>
          <w:u w:val="single"/>
          <w:lang w:val="es-ES" w:eastAsia="zh-CN"/>
        </w:rPr>
        <w:t>ÉQUATEUR / ECUADOR / ECUADOR / ECUADOR</w:t>
      </w:r>
    </w:p>
    <w:p w:rsidR="00844F30" w:rsidRPr="00055396" w:rsidRDefault="00844F30" w:rsidP="00844F30">
      <w:pPr>
        <w:rPr>
          <w:rFonts w:cs="Arial"/>
          <w:lang w:val="es-ES" w:eastAsia="zh-CN"/>
        </w:rPr>
      </w:pPr>
    </w:p>
    <w:p w:rsidR="00844F30" w:rsidRPr="00055396" w:rsidRDefault="00844F30" w:rsidP="00844F30">
      <w:pPr>
        <w:rPr>
          <w:rFonts w:cs="Arial"/>
          <w:lang w:val="es-ES" w:eastAsia="zh-CN"/>
        </w:rPr>
      </w:pPr>
      <w:r w:rsidRPr="00055396">
        <w:rPr>
          <w:rFonts w:cs="Arial"/>
          <w:lang w:val="es-ES" w:eastAsia="zh-CN"/>
        </w:rPr>
        <w:t xml:space="preserve">Juan Carlos CASTRILLÓN J., Ministro, Misión Permanente, Ginebra (e-mail: jccastrillonj@gmail.com)  </w:t>
      </w:r>
    </w:p>
    <w:p w:rsidR="00844F30" w:rsidRPr="00055396" w:rsidRDefault="00844F30" w:rsidP="00844F30">
      <w:pPr>
        <w:rPr>
          <w:rFonts w:cs="Arial"/>
          <w:lang w:val="es-ES" w:eastAsia="zh-CN"/>
        </w:rPr>
      </w:pPr>
    </w:p>
    <w:p w:rsidR="00844F30" w:rsidRPr="00055396" w:rsidRDefault="00844F30" w:rsidP="00844F30">
      <w:pPr>
        <w:rPr>
          <w:rFonts w:cs="Arial"/>
          <w:u w:val="single"/>
          <w:lang w:val="es-ES" w:eastAsia="zh-CN"/>
        </w:rPr>
      </w:pPr>
      <w:r w:rsidRPr="00055396">
        <w:rPr>
          <w:rFonts w:cs="Arial"/>
          <w:u w:val="single"/>
          <w:lang w:val="es-ES" w:eastAsia="zh-CN"/>
        </w:rPr>
        <w:t>ESPAGNE / SPAIN / SPANIEN / ESPAÑA</w:t>
      </w:r>
    </w:p>
    <w:p w:rsidR="00844F30" w:rsidRPr="00055396" w:rsidRDefault="00844F30" w:rsidP="00844F30">
      <w:pPr>
        <w:rPr>
          <w:rFonts w:cs="Arial"/>
          <w:lang w:val="es-ES" w:eastAsia="zh-CN"/>
        </w:rPr>
      </w:pPr>
    </w:p>
    <w:p w:rsidR="00844F30" w:rsidRPr="00055396" w:rsidRDefault="00844F30" w:rsidP="00844F30">
      <w:pPr>
        <w:rPr>
          <w:rFonts w:cs="Arial"/>
          <w:lang w:val="es-ES" w:eastAsia="zh-CN"/>
        </w:rPr>
      </w:pPr>
      <w:r w:rsidRPr="00055396">
        <w:rPr>
          <w:rFonts w:cs="Arial"/>
          <w:lang w:val="es-ES" w:eastAsia="zh-CN"/>
        </w:rPr>
        <w:t xml:space="preserve">Luis SALAICES SÁNCHEZ, Jefe del Área del Registro de Variedades, Subdirección General de Medios de Producción Agrícolas y Oficina Española de Variedades Vegetales (MPA y OEVV), Ministerio de Agricultura, Alimentación y Medio Ambiente (MAGRAMA), Madrid (e-mail: luis.salaices@magrama.es)  </w:t>
      </w:r>
    </w:p>
    <w:p w:rsidR="00844F30" w:rsidRPr="00055396" w:rsidRDefault="00844F30" w:rsidP="00844F30">
      <w:pPr>
        <w:rPr>
          <w:rFonts w:cs="Arial"/>
          <w:lang w:val="es-ES" w:eastAsia="zh-CN"/>
        </w:rPr>
      </w:pPr>
    </w:p>
    <w:p w:rsidR="00844F30" w:rsidRPr="00AB63DB" w:rsidRDefault="00844F30" w:rsidP="00844F30">
      <w:pPr>
        <w:rPr>
          <w:rFonts w:cs="Arial"/>
          <w:u w:val="single"/>
          <w:lang w:eastAsia="zh-CN"/>
        </w:rPr>
      </w:pPr>
      <w:r w:rsidRPr="00AB63DB">
        <w:rPr>
          <w:rFonts w:cs="Arial"/>
          <w:u w:val="single"/>
          <w:lang w:eastAsia="zh-CN"/>
        </w:rPr>
        <w:t>ESTONIE / ESTONIA / ESTLAND / ESTONIA</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Renata TSATURJAN (Ms.), Chief Specialist, Plant Production Bureau, Ministry of Agriculture, Tallinn</w:t>
      </w:r>
      <w:r w:rsidRPr="00AB63DB">
        <w:rPr>
          <w:rFonts w:cs="Arial"/>
          <w:lang w:eastAsia="zh-CN"/>
        </w:rPr>
        <w:br/>
        <w:t xml:space="preserve">(e-mail: renata.tsaturjan@agri.ee)  </w:t>
      </w:r>
    </w:p>
    <w:p w:rsidR="00844F30" w:rsidRPr="00AB63DB" w:rsidRDefault="00844F30" w:rsidP="00844F30">
      <w:pPr>
        <w:rPr>
          <w:rFonts w:cs="Arial"/>
          <w:lang w:eastAsia="zh-CN"/>
        </w:rPr>
      </w:pPr>
    </w:p>
    <w:p w:rsidR="00844F30" w:rsidRPr="0023456F" w:rsidRDefault="00844F30" w:rsidP="00844F30">
      <w:pPr>
        <w:rPr>
          <w:rFonts w:cs="Arial"/>
          <w:u w:val="single"/>
          <w:lang w:val="es-ES_tradnl" w:eastAsia="zh-CN"/>
        </w:rPr>
      </w:pPr>
      <w:r w:rsidRPr="0023456F">
        <w:rPr>
          <w:rFonts w:cs="Arial"/>
          <w:u w:val="single"/>
          <w:lang w:val="es-ES_tradnl" w:eastAsia="zh-CN"/>
        </w:rPr>
        <w:t>ÉTATS-UNIS D'AMÉRIQUE / UNITED STATES OF AMERICA / VEREINIGTE STAATEN VON AMERIKA / ESTADOS UNIDOS DE AMÉRICA</w:t>
      </w:r>
    </w:p>
    <w:p w:rsidR="00844F30" w:rsidRPr="0023456F" w:rsidRDefault="00844F30" w:rsidP="00844F30">
      <w:pPr>
        <w:rPr>
          <w:rFonts w:cs="Arial"/>
          <w:lang w:val="es-ES_tradnl" w:eastAsia="zh-CN"/>
        </w:rPr>
      </w:pPr>
    </w:p>
    <w:p w:rsidR="00844F30" w:rsidRPr="00AB63DB" w:rsidRDefault="00844F30" w:rsidP="00844F30">
      <w:pPr>
        <w:rPr>
          <w:rFonts w:cs="Arial"/>
          <w:lang w:eastAsia="zh-CN"/>
        </w:rPr>
      </w:pPr>
      <w:r w:rsidRPr="00AB63DB">
        <w:rPr>
          <w:rFonts w:cs="Arial"/>
          <w:lang w:eastAsia="zh-CN"/>
        </w:rPr>
        <w:t xml:space="preserve">Kitisri SUKHAPINDA (Ms.), Patent Attorney, Office of Policy and External Affairs, United States Patent and Trademark Office (USPTO), Alexandria (e-mail: kitisri.sukhapinda@uspto.gov) </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 xml:space="preserve">Jeffery HAYNES, Deputy Commissioner, U.S. Plant Variety Protection Office, USDA, AMS, S&amp;T, Plant Variety Protection Office, Washington D.C. (e-mail: Jeffery.Haynes@ams.usda.gov) </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Elaine WU (Ms.), Patent Attorney, United States Patent and Trademark Office (USPTO), Alexandria</w:t>
      </w:r>
    </w:p>
    <w:p w:rsidR="00844F30" w:rsidRPr="00AB63DB" w:rsidRDefault="00844F30" w:rsidP="00844F30">
      <w:pPr>
        <w:rPr>
          <w:rFonts w:cs="Arial"/>
          <w:lang w:eastAsia="zh-CN"/>
        </w:rPr>
      </w:pPr>
    </w:p>
    <w:p w:rsidR="00844F30" w:rsidRPr="00055396" w:rsidRDefault="00844F30" w:rsidP="00844F30">
      <w:pPr>
        <w:keepNext/>
        <w:rPr>
          <w:rFonts w:cs="Arial"/>
          <w:u w:val="single"/>
          <w:lang w:val="fr-CH" w:eastAsia="zh-CN"/>
        </w:rPr>
      </w:pPr>
      <w:r w:rsidRPr="00055396">
        <w:rPr>
          <w:rFonts w:cs="Arial"/>
          <w:u w:val="single"/>
          <w:lang w:val="fr-CH" w:eastAsia="zh-CN"/>
        </w:rPr>
        <w:t>FÉDÉRATION DE RUSSIE / RUSSIAN FEDERATION / RUSSISCHE FÖDERATION / FEDERACIÓN DE RUSIA</w:t>
      </w:r>
    </w:p>
    <w:p w:rsidR="00844F30" w:rsidRPr="00055396" w:rsidRDefault="00844F30" w:rsidP="00844F30">
      <w:pPr>
        <w:keepNext/>
        <w:rPr>
          <w:rFonts w:cs="Arial"/>
          <w:lang w:val="fr-CH" w:eastAsia="zh-CN"/>
        </w:rPr>
      </w:pPr>
    </w:p>
    <w:p w:rsidR="00844F30" w:rsidRPr="00AB63DB" w:rsidRDefault="00844F30" w:rsidP="00844F30">
      <w:pPr>
        <w:rPr>
          <w:rFonts w:cs="Arial"/>
          <w:lang w:eastAsia="zh-CN"/>
        </w:rPr>
      </w:pPr>
      <w:r w:rsidRPr="00AB63DB">
        <w:rPr>
          <w:rFonts w:cs="Arial"/>
          <w:lang w:eastAsia="zh-CN"/>
        </w:rPr>
        <w:t xml:space="preserve">Viktor I. STARTCEV, Deputy Chairman, State Commission of the Russian Federation for Selection Achievements Test and Protection, Moscow (e-mail: gossort@gossort.com)  </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Yury A. ROGOVSKIY, Deputy Chairman, Head of Methodology and International Cooperation, State Commission of the Russian Federation for Selection Achievements Test and Protection, Moscow</w:t>
      </w:r>
      <w:r w:rsidRPr="00AB63DB">
        <w:rPr>
          <w:rFonts w:cs="Arial"/>
          <w:lang w:eastAsia="zh-CN"/>
        </w:rPr>
        <w:br/>
        <w:t xml:space="preserve">(e-mail: yrogovskij@yandex.ru)  </w:t>
      </w:r>
    </w:p>
    <w:p w:rsidR="00844F30" w:rsidRPr="00AB63DB" w:rsidRDefault="00844F30" w:rsidP="00844F30">
      <w:pPr>
        <w:rPr>
          <w:rFonts w:cs="Arial"/>
          <w:lang w:eastAsia="zh-CN"/>
        </w:rPr>
      </w:pPr>
    </w:p>
    <w:p w:rsidR="00844F30" w:rsidRPr="00AB63DB" w:rsidRDefault="00844F30" w:rsidP="00844F30">
      <w:pPr>
        <w:spacing w:after="240"/>
        <w:rPr>
          <w:rFonts w:cs="Arial"/>
          <w:lang w:eastAsia="zh-CN"/>
        </w:rPr>
      </w:pPr>
      <w:r w:rsidRPr="00AB63DB">
        <w:rPr>
          <w:rFonts w:cs="Arial"/>
          <w:lang w:eastAsia="zh-CN"/>
        </w:rPr>
        <w:t>Antonina TRETINNIKOVA (Ms.), Deputy Head, Methodology and International Cooperation Department, State Commission of the Russian Federation for Selection Achievements Test and Protection, Moscow</w:t>
      </w:r>
      <w:r w:rsidRPr="00AB63DB">
        <w:rPr>
          <w:rFonts w:cs="Arial"/>
          <w:lang w:eastAsia="zh-CN"/>
        </w:rPr>
        <w:br/>
        <w:t xml:space="preserve">(e-mail: tretinnikova@mail.ru)  </w:t>
      </w:r>
    </w:p>
    <w:p w:rsidR="00844F30" w:rsidRPr="00AB63DB" w:rsidRDefault="00844F30" w:rsidP="00844F30">
      <w:pPr>
        <w:rPr>
          <w:rFonts w:cs="Arial"/>
          <w:u w:val="single"/>
          <w:lang w:eastAsia="zh-CN"/>
        </w:rPr>
      </w:pPr>
      <w:r w:rsidRPr="00AB63DB">
        <w:rPr>
          <w:rFonts w:cs="Arial"/>
          <w:u w:val="single"/>
          <w:lang w:eastAsia="zh-CN"/>
        </w:rPr>
        <w:lastRenderedPageBreak/>
        <w:t>FINLANDE / FINLAND / FINNLAND / FINLANDIA</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 xml:space="preserve">Tarja Päivikki HIETARANTA (Ms.), Senior Officer, Seed Certification Unit, Finnish Food and Safety Authority (EVIRA), Loimaa (e-mail: tarja.hietaranta@evira.fi)  </w:t>
      </w:r>
    </w:p>
    <w:p w:rsidR="00844F30" w:rsidRPr="00AB63DB" w:rsidRDefault="00844F30" w:rsidP="00844F30">
      <w:pPr>
        <w:rPr>
          <w:rFonts w:cs="Arial"/>
          <w:lang w:eastAsia="zh-CN"/>
        </w:rPr>
      </w:pPr>
    </w:p>
    <w:p w:rsidR="00844F30" w:rsidRPr="00055396" w:rsidRDefault="00844F30" w:rsidP="00844F30">
      <w:pPr>
        <w:rPr>
          <w:rFonts w:cs="Arial"/>
          <w:u w:val="single"/>
          <w:lang w:val="fr-CH" w:eastAsia="zh-CN"/>
        </w:rPr>
      </w:pPr>
      <w:r w:rsidRPr="00055396">
        <w:rPr>
          <w:rFonts w:cs="Arial"/>
          <w:u w:val="single"/>
          <w:lang w:val="fr-CH" w:eastAsia="zh-CN"/>
        </w:rPr>
        <w:t>FRANCE / FRANCE / FRANKREICH / FRANCIA</w:t>
      </w:r>
    </w:p>
    <w:p w:rsidR="00844F30" w:rsidRPr="00055396" w:rsidRDefault="00844F30" w:rsidP="00844F30">
      <w:pPr>
        <w:rPr>
          <w:rFonts w:cs="Arial"/>
          <w:lang w:val="fr-CH" w:eastAsia="zh-CN"/>
        </w:rPr>
      </w:pPr>
    </w:p>
    <w:p w:rsidR="00844F30" w:rsidRPr="00055396" w:rsidRDefault="00844F30" w:rsidP="00844F30">
      <w:pPr>
        <w:rPr>
          <w:rFonts w:cs="Arial"/>
          <w:lang w:val="fr-CH" w:eastAsia="zh-CN"/>
        </w:rPr>
      </w:pPr>
      <w:r w:rsidRPr="00055396">
        <w:rPr>
          <w:rFonts w:cs="Arial"/>
          <w:lang w:val="fr-CH" w:eastAsia="zh-CN"/>
        </w:rPr>
        <w:t xml:space="preserve">Anne CHAN-HON-TONG (Mme), Chargée d'étude pôle semences, Bureau des semences et de la santé des végétaux, Direction Générale de l'Alimentation Service de la Prévention des Risques Sanitaires de la Production Primaire, Sous-direction de la Qualité et de la Protection des Végétaux, Ministère de l'Agriculture, de l'Agroalimentaire et de la Forêt, Paris (e-mail: anne.chan-hon-tong@agriculture.gouv.fr)  </w:t>
      </w:r>
    </w:p>
    <w:p w:rsidR="00844F30" w:rsidRPr="00055396" w:rsidRDefault="00844F30" w:rsidP="00844F30">
      <w:pPr>
        <w:rPr>
          <w:rFonts w:cs="Arial"/>
          <w:lang w:val="fr-CH" w:eastAsia="zh-CN"/>
        </w:rPr>
      </w:pPr>
    </w:p>
    <w:p w:rsidR="00844F30" w:rsidRPr="00055396" w:rsidRDefault="00844F30" w:rsidP="00844F30">
      <w:pPr>
        <w:rPr>
          <w:rFonts w:cs="Arial"/>
          <w:lang w:val="fr-CH" w:eastAsia="zh-CN"/>
        </w:rPr>
      </w:pPr>
      <w:r w:rsidRPr="00055396">
        <w:rPr>
          <w:rFonts w:cs="Arial"/>
          <w:lang w:val="fr-CH" w:eastAsia="zh-CN"/>
        </w:rPr>
        <w:t xml:space="preserve">Arnaud DELTOUR, Directeur général, Groupe d'étude et de contrôle des variétés et des semences (GEVES), Beaucouzé (e-mail: arnaud.deltour@geves.fr)  </w:t>
      </w:r>
    </w:p>
    <w:p w:rsidR="00844F30" w:rsidRPr="00055396" w:rsidRDefault="00844F30" w:rsidP="00844F30">
      <w:pPr>
        <w:rPr>
          <w:rFonts w:cs="Arial"/>
          <w:lang w:val="fr-CH" w:eastAsia="zh-CN"/>
        </w:rPr>
      </w:pPr>
    </w:p>
    <w:p w:rsidR="00844F30" w:rsidRPr="00055396" w:rsidRDefault="00844F30" w:rsidP="00844F30">
      <w:pPr>
        <w:rPr>
          <w:rFonts w:cs="Arial"/>
          <w:lang w:val="fr-CH" w:eastAsia="zh-CN"/>
        </w:rPr>
      </w:pPr>
      <w:r w:rsidRPr="00055396">
        <w:rPr>
          <w:rFonts w:cs="Arial"/>
          <w:lang w:val="fr-CH" w:eastAsia="zh-CN"/>
        </w:rPr>
        <w:t xml:space="preserve">Virginie BERTOUX (Mme), Responsable, Instance nationale des obtentions végétales (INOV), INOV-GEVES, Beaucouzé (e-mail: virginie.bertoux@geves.fr)  </w:t>
      </w:r>
    </w:p>
    <w:p w:rsidR="00844F30" w:rsidRPr="00055396" w:rsidRDefault="00844F30" w:rsidP="00844F30">
      <w:pPr>
        <w:rPr>
          <w:rFonts w:cs="Arial"/>
          <w:lang w:val="fr-CH" w:eastAsia="zh-CN"/>
        </w:rPr>
      </w:pPr>
    </w:p>
    <w:p w:rsidR="00844F30" w:rsidRPr="0023456F" w:rsidRDefault="00844F30" w:rsidP="00844F30">
      <w:pPr>
        <w:rPr>
          <w:rFonts w:cs="Arial"/>
          <w:u w:val="single"/>
          <w:lang w:val="fr-CH" w:eastAsia="zh-CN"/>
        </w:rPr>
      </w:pPr>
      <w:r w:rsidRPr="0023456F">
        <w:rPr>
          <w:rFonts w:cs="Arial"/>
          <w:u w:val="single"/>
          <w:lang w:val="fr-CH" w:eastAsia="zh-CN"/>
        </w:rPr>
        <w:t>HONGRIE / HUNGARY / UNGARN / HUNGRÍA</w:t>
      </w:r>
    </w:p>
    <w:p w:rsidR="00844F30" w:rsidRPr="0023456F" w:rsidRDefault="00844F30" w:rsidP="00844F30">
      <w:pPr>
        <w:rPr>
          <w:rFonts w:cs="Arial"/>
          <w:lang w:val="fr-CH" w:eastAsia="zh-CN"/>
        </w:rPr>
      </w:pPr>
    </w:p>
    <w:p w:rsidR="00844F30" w:rsidRPr="00AB63DB" w:rsidRDefault="00844F30" w:rsidP="00844F30">
      <w:pPr>
        <w:rPr>
          <w:rFonts w:cs="Arial"/>
          <w:lang w:eastAsia="zh-CN"/>
        </w:rPr>
      </w:pPr>
      <w:r w:rsidRPr="00AB63DB">
        <w:rPr>
          <w:rFonts w:cs="Arial"/>
          <w:lang w:eastAsia="zh-CN"/>
        </w:rPr>
        <w:t xml:space="preserve">Krisztina KOVÁCS (Ms.), Head, Industrial Property Law, Budapest (e-mail: krisztina.kovacs@hipo.gov.hu)  </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 xml:space="preserve">Katalin MIKLÓ (Ms.), Head of Chemical and Agricultural Division, Agriculture and Plant Variety </w:t>
      </w:r>
    </w:p>
    <w:p w:rsidR="00844F30" w:rsidRPr="00AB63DB" w:rsidRDefault="00844F30" w:rsidP="00844F30">
      <w:pPr>
        <w:rPr>
          <w:rFonts w:cs="Arial"/>
          <w:lang w:eastAsia="zh-CN"/>
        </w:rPr>
      </w:pPr>
      <w:r w:rsidRPr="00AB63DB">
        <w:rPr>
          <w:rFonts w:cs="Arial"/>
          <w:lang w:eastAsia="zh-CN"/>
        </w:rPr>
        <w:t xml:space="preserve">Protection Section, Hungarian Intellectual Property Office, Budapest (e-mail: katalin.miklo@hipo.gov.hu)  </w:t>
      </w:r>
    </w:p>
    <w:p w:rsidR="00844F30" w:rsidRPr="00AB63DB" w:rsidRDefault="00844F30" w:rsidP="00844F30">
      <w:pPr>
        <w:rPr>
          <w:rFonts w:cs="Arial"/>
          <w:lang w:eastAsia="zh-CN"/>
        </w:rPr>
      </w:pPr>
    </w:p>
    <w:p w:rsidR="00844F30" w:rsidRPr="00AB63DB" w:rsidRDefault="00844F30" w:rsidP="00844F30">
      <w:pPr>
        <w:rPr>
          <w:rFonts w:cs="Arial"/>
          <w:u w:val="single"/>
          <w:lang w:eastAsia="zh-CN"/>
        </w:rPr>
      </w:pPr>
      <w:r w:rsidRPr="00AB63DB">
        <w:rPr>
          <w:rFonts w:cs="Arial"/>
          <w:u w:val="single"/>
          <w:lang w:eastAsia="zh-CN"/>
        </w:rPr>
        <w:t>IRLANDE / IRELAND / IRLAND / IRLANDA</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 xml:space="preserve">Donal COLEMAN, Controller of Plant Breeders' Rights, National Crop Evaluation Centre, Department of Agriculture, Food and Marine, National Crop Evaluation Centre, Leixlip </w:t>
      </w:r>
    </w:p>
    <w:p w:rsidR="00844F30" w:rsidRPr="00055396" w:rsidRDefault="00844F30" w:rsidP="00844F30">
      <w:pPr>
        <w:rPr>
          <w:rFonts w:cs="Arial"/>
          <w:lang w:val="fr-CH" w:eastAsia="zh-CN"/>
        </w:rPr>
      </w:pPr>
      <w:r w:rsidRPr="00055396">
        <w:rPr>
          <w:rFonts w:cs="Arial"/>
          <w:lang w:val="fr-CH" w:eastAsia="zh-CN"/>
        </w:rPr>
        <w:t xml:space="preserve">(e-mail: donal.coleman@agriculture.gov.ie)  </w:t>
      </w:r>
    </w:p>
    <w:p w:rsidR="00844F30" w:rsidRPr="00055396" w:rsidRDefault="00844F30" w:rsidP="00844F30">
      <w:pPr>
        <w:rPr>
          <w:rFonts w:cs="Arial"/>
          <w:lang w:val="fr-CH" w:eastAsia="zh-CN"/>
        </w:rPr>
      </w:pPr>
    </w:p>
    <w:p w:rsidR="00844F30" w:rsidRPr="00055396" w:rsidRDefault="00844F30" w:rsidP="00844F30">
      <w:pPr>
        <w:keepNext/>
        <w:rPr>
          <w:rFonts w:cs="Arial"/>
          <w:u w:val="single"/>
          <w:lang w:val="fr-CH" w:eastAsia="zh-CN"/>
        </w:rPr>
      </w:pPr>
      <w:r w:rsidRPr="00055396">
        <w:rPr>
          <w:rFonts w:cs="Arial"/>
          <w:u w:val="single"/>
          <w:lang w:val="fr-CH" w:eastAsia="zh-CN"/>
        </w:rPr>
        <w:t>JAPON / JAPAN / JAPAN / JAPÓN</w:t>
      </w:r>
    </w:p>
    <w:p w:rsidR="00844F30" w:rsidRPr="00055396" w:rsidRDefault="00844F30" w:rsidP="00844F30">
      <w:pPr>
        <w:rPr>
          <w:rFonts w:cs="Arial"/>
          <w:lang w:val="fr-CH" w:eastAsia="zh-CN"/>
        </w:rPr>
      </w:pPr>
    </w:p>
    <w:p w:rsidR="00844F30" w:rsidRPr="00AB63DB" w:rsidRDefault="00844F30" w:rsidP="00844F30">
      <w:pPr>
        <w:keepNext/>
        <w:rPr>
          <w:rFonts w:cs="Arial"/>
          <w:lang w:eastAsia="zh-CN"/>
        </w:rPr>
      </w:pPr>
      <w:r w:rsidRPr="00AB63DB">
        <w:rPr>
          <w:rFonts w:cs="Arial"/>
          <w:lang w:eastAsia="zh-CN"/>
        </w:rPr>
        <w:t xml:space="preserve">Katsuhiro SAKA, Director, New Business and Intellectual Property Division, Ministry of Agriculture, Forestry and Fisheries (MAFF), Tokyo (e-mail: katsuhiro_saka@nm.maff.go.jp) </w:t>
      </w:r>
    </w:p>
    <w:p w:rsidR="00844F30" w:rsidRPr="00AB63DB" w:rsidRDefault="00844F30" w:rsidP="00844F30">
      <w:pPr>
        <w:keepNext/>
        <w:rPr>
          <w:rFonts w:cs="Arial"/>
          <w:lang w:eastAsia="zh-CN"/>
        </w:rPr>
      </w:pPr>
    </w:p>
    <w:p w:rsidR="00844F30" w:rsidRPr="00AB63DB" w:rsidRDefault="00844F30" w:rsidP="00844F30">
      <w:pPr>
        <w:keepNext/>
        <w:rPr>
          <w:rFonts w:cs="Arial"/>
          <w:lang w:eastAsia="zh-CN"/>
        </w:rPr>
      </w:pPr>
      <w:r w:rsidRPr="00AB63DB">
        <w:rPr>
          <w:rFonts w:cs="Arial"/>
          <w:lang w:eastAsia="zh-CN"/>
        </w:rPr>
        <w:t xml:space="preserve">Akira MIYAKE, Senior Policy Advisor, New Business and Intellectual Property Division, Food Industry Affairs Bureau, Ministry of Agriculture, Forestry and Fisheries (MAFF), Tokyo (e-mail: akira_miyake@nm.maff.go.jp)  </w:t>
      </w:r>
    </w:p>
    <w:p w:rsidR="00844F30" w:rsidRPr="00AB63DB" w:rsidRDefault="00844F30" w:rsidP="00844F30">
      <w:pPr>
        <w:rPr>
          <w:rFonts w:cs="Arial"/>
          <w:lang w:eastAsia="zh-CN"/>
        </w:rPr>
      </w:pPr>
    </w:p>
    <w:p w:rsidR="00844F30" w:rsidRPr="00AB63DB" w:rsidRDefault="00844F30" w:rsidP="00844F30">
      <w:pPr>
        <w:keepNext/>
        <w:rPr>
          <w:rFonts w:cs="Arial"/>
          <w:u w:val="single"/>
          <w:lang w:eastAsia="zh-CN"/>
        </w:rPr>
      </w:pPr>
      <w:r w:rsidRPr="00AB63DB">
        <w:rPr>
          <w:rFonts w:cs="Arial"/>
          <w:u w:val="single"/>
          <w:lang w:eastAsia="zh-CN"/>
        </w:rPr>
        <w:t>KENYA / KENYA / KENIA / KENYA</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 xml:space="preserve">Simeon Kibet KOGO, General Manager, Quality Assurance, Kenya Plant Health Inspectorate Service (KEPHIS), Nairobi (e-mail: skibet@kephis.org)  </w:t>
      </w:r>
    </w:p>
    <w:p w:rsidR="00844F30" w:rsidRPr="00AB63DB" w:rsidRDefault="00844F30" w:rsidP="00844F30">
      <w:pPr>
        <w:rPr>
          <w:rFonts w:cs="Arial"/>
          <w:lang w:eastAsia="zh-CN"/>
        </w:rPr>
      </w:pPr>
    </w:p>
    <w:p w:rsidR="00844F30" w:rsidRPr="00AB63DB" w:rsidRDefault="00844F30" w:rsidP="00844F30">
      <w:pPr>
        <w:rPr>
          <w:rFonts w:cs="Arial"/>
          <w:u w:val="single"/>
          <w:lang w:eastAsia="zh-CN"/>
        </w:rPr>
      </w:pPr>
      <w:r w:rsidRPr="00AB63DB">
        <w:rPr>
          <w:rFonts w:cs="Arial"/>
          <w:u w:val="single"/>
          <w:lang w:eastAsia="zh-CN"/>
        </w:rPr>
        <w:t>LETTONIE / LATVIA / LETTLAND / LETONIA</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Iveta OZOLINA (Mrs.), Deputy Director, Department of Agriculture, Ministry of Agriculture, Riga</w:t>
      </w:r>
    </w:p>
    <w:p w:rsidR="00844F30" w:rsidRPr="00AB63DB" w:rsidRDefault="00844F30" w:rsidP="00844F30">
      <w:pPr>
        <w:rPr>
          <w:rFonts w:cs="Arial"/>
          <w:lang w:eastAsia="zh-CN"/>
        </w:rPr>
      </w:pPr>
      <w:r w:rsidRPr="00AB63DB">
        <w:rPr>
          <w:rFonts w:cs="Arial"/>
          <w:lang w:eastAsia="zh-CN"/>
        </w:rPr>
        <w:t xml:space="preserve">(e-mail: iveta.ozolina@zm.gov.lv)  </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Velta EVELONE (Ms.), Director of Seed Control Department, State Plant Protection Service, Riga</w:t>
      </w:r>
    </w:p>
    <w:p w:rsidR="00844F30" w:rsidRPr="00AB63DB" w:rsidRDefault="00844F30" w:rsidP="00844F30">
      <w:pPr>
        <w:rPr>
          <w:rFonts w:cs="Arial"/>
          <w:lang w:eastAsia="zh-CN"/>
        </w:rPr>
      </w:pPr>
      <w:r w:rsidRPr="00AB63DB">
        <w:rPr>
          <w:rFonts w:cs="Arial"/>
          <w:lang w:eastAsia="zh-CN"/>
        </w:rPr>
        <w:t xml:space="preserve">(e-mail: velta.evelone@vaad.gov.lv)  </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 xml:space="preserve">Outi TYNI (Ms.), Political Administrator, Official of the General Secretariat of the Council of the European Union, Bruxelles (e-mail: Outi.Tyni@consilium.europa.eu)  </w:t>
      </w:r>
    </w:p>
    <w:p w:rsidR="00844F30" w:rsidRPr="00AB63DB" w:rsidRDefault="00844F30" w:rsidP="00844F30">
      <w:pPr>
        <w:rPr>
          <w:rFonts w:cs="Arial"/>
          <w:lang w:eastAsia="zh-CN"/>
        </w:rPr>
      </w:pPr>
    </w:p>
    <w:p w:rsidR="00844F30" w:rsidRPr="00AB63DB" w:rsidRDefault="00844F30" w:rsidP="00844F30">
      <w:pPr>
        <w:rPr>
          <w:rFonts w:cs="Arial"/>
          <w:u w:val="single"/>
          <w:lang w:eastAsia="zh-CN"/>
        </w:rPr>
      </w:pPr>
      <w:r w:rsidRPr="00AB63DB">
        <w:rPr>
          <w:rFonts w:cs="Arial"/>
          <w:u w:val="single"/>
          <w:lang w:eastAsia="zh-CN"/>
        </w:rPr>
        <w:t>LITUANIE / LITHUANIA / LITAUEN / LITUANIA</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 xml:space="preserve">Rasa ZUIKIENÉ (Mrs.), Deputy Head of the plant variety division, State Plant Service under the Ministry of Agriculture, Vilnius (e-mail: rasa.zuikiene@vatzum.lt)  </w:t>
      </w:r>
    </w:p>
    <w:p w:rsidR="00844F30" w:rsidRPr="00AB63DB" w:rsidRDefault="00844F30" w:rsidP="00844F30">
      <w:pPr>
        <w:rPr>
          <w:rFonts w:cs="Arial"/>
          <w:lang w:eastAsia="zh-CN"/>
        </w:rPr>
      </w:pPr>
    </w:p>
    <w:p w:rsidR="00844F30" w:rsidRPr="00055396" w:rsidRDefault="00844F30" w:rsidP="00844F30">
      <w:pPr>
        <w:keepNext/>
        <w:rPr>
          <w:rFonts w:cs="Arial"/>
          <w:u w:val="single"/>
          <w:lang w:val="fr-CH" w:eastAsia="zh-CN"/>
        </w:rPr>
      </w:pPr>
      <w:r w:rsidRPr="00055396">
        <w:rPr>
          <w:rFonts w:cs="Arial"/>
          <w:u w:val="single"/>
          <w:lang w:val="fr-CH" w:eastAsia="zh-CN"/>
        </w:rPr>
        <w:lastRenderedPageBreak/>
        <w:t>MAROC / MOROCCO / MAROKKO / MARRUECOS</w:t>
      </w:r>
    </w:p>
    <w:p w:rsidR="00844F30" w:rsidRPr="00055396" w:rsidRDefault="00844F30" w:rsidP="00844F30">
      <w:pPr>
        <w:keepNext/>
        <w:rPr>
          <w:rFonts w:cs="Arial"/>
          <w:lang w:val="fr-CH" w:eastAsia="zh-CN"/>
        </w:rPr>
      </w:pPr>
    </w:p>
    <w:p w:rsidR="00844F30" w:rsidRPr="00055396" w:rsidRDefault="00844F30" w:rsidP="00844F30">
      <w:pPr>
        <w:rPr>
          <w:rFonts w:cs="Arial"/>
          <w:lang w:val="fr-CH" w:eastAsia="zh-CN"/>
        </w:rPr>
      </w:pPr>
      <w:r w:rsidRPr="00055396">
        <w:rPr>
          <w:rFonts w:cs="Arial"/>
          <w:lang w:val="fr-CH" w:eastAsia="zh-CN"/>
        </w:rPr>
        <w:t>Zoubida TAOUSSI (Mrs.), Chargée de la protection des obtentions végétales, Office National de Sécurité de Produits Alimentaires, Rabat (e-mail: ztaoussi67@gmail.com)</w:t>
      </w:r>
    </w:p>
    <w:p w:rsidR="00844F30" w:rsidRPr="00055396" w:rsidRDefault="00844F30" w:rsidP="00844F30">
      <w:pPr>
        <w:rPr>
          <w:rFonts w:cs="Arial"/>
          <w:lang w:val="fr-CH" w:eastAsia="zh-CN"/>
        </w:rPr>
      </w:pPr>
    </w:p>
    <w:p w:rsidR="00844F30" w:rsidRPr="00055396" w:rsidRDefault="00844F30" w:rsidP="00844F30">
      <w:pPr>
        <w:rPr>
          <w:rFonts w:cs="Arial"/>
          <w:u w:val="single"/>
          <w:lang w:val="es-ES" w:eastAsia="zh-CN"/>
        </w:rPr>
      </w:pPr>
      <w:r w:rsidRPr="00055396">
        <w:rPr>
          <w:rFonts w:cs="Arial"/>
          <w:u w:val="single"/>
          <w:lang w:val="es-ES" w:eastAsia="zh-CN"/>
        </w:rPr>
        <w:t>MEXIQUE / MEXICO / MEXIKO / MÉXICO</w:t>
      </w:r>
    </w:p>
    <w:p w:rsidR="00844F30" w:rsidRPr="00055396" w:rsidRDefault="00844F30" w:rsidP="00844F30">
      <w:pPr>
        <w:rPr>
          <w:rFonts w:cs="Arial"/>
          <w:u w:val="single"/>
          <w:lang w:val="es-ES" w:eastAsia="zh-CN"/>
        </w:rPr>
      </w:pPr>
    </w:p>
    <w:p w:rsidR="00844F30" w:rsidRPr="00055396" w:rsidRDefault="00844F30" w:rsidP="00844F30">
      <w:pPr>
        <w:rPr>
          <w:rFonts w:cs="Arial"/>
          <w:lang w:val="es-ES" w:eastAsia="zh-CN"/>
        </w:rPr>
      </w:pPr>
      <w:r w:rsidRPr="00055396">
        <w:rPr>
          <w:rFonts w:cs="Arial"/>
          <w:lang w:val="es-ES" w:eastAsia="zh-CN"/>
        </w:rPr>
        <w:t>Alejandro BARRIENTOS-PRIEGO, Profesor, Departamento de Fitotecnica, Universidad Autónoma de Chapingo (UACh), Chapingo (email: abarrien@correo.chapingo.mx)</w:t>
      </w:r>
    </w:p>
    <w:p w:rsidR="00844F30" w:rsidRPr="00055396" w:rsidRDefault="00844F30" w:rsidP="00844F30">
      <w:pPr>
        <w:rPr>
          <w:rFonts w:cs="Arial"/>
          <w:lang w:val="es-ES" w:eastAsia="zh-CN"/>
        </w:rPr>
      </w:pPr>
    </w:p>
    <w:p w:rsidR="00844F30" w:rsidRPr="00055396" w:rsidRDefault="00844F30" w:rsidP="00844F30">
      <w:pPr>
        <w:rPr>
          <w:rFonts w:cs="Arial"/>
          <w:lang w:val="es-ES" w:eastAsia="zh-CN"/>
        </w:rPr>
      </w:pPr>
      <w:r w:rsidRPr="00055396">
        <w:rPr>
          <w:rFonts w:cs="Arial"/>
          <w:lang w:val="es-ES" w:eastAsia="zh-CN"/>
        </w:rPr>
        <w:t xml:space="preserve">Sara MANZANO MERINO (Sra.), Advisor, Misión Permanente, Genève (e-mail: smanzano@sre.gob.mx)  </w:t>
      </w:r>
    </w:p>
    <w:p w:rsidR="00844F30" w:rsidRPr="00055396" w:rsidRDefault="00844F30" w:rsidP="00844F30">
      <w:pPr>
        <w:rPr>
          <w:rFonts w:cs="Arial"/>
          <w:lang w:val="es-ES" w:eastAsia="zh-CN"/>
        </w:rPr>
      </w:pPr>
    </w:p>
    <w:p w:rsidR="00844F30" w:rsidRPr="00AB63DB" w:rsidRDefault="00844F30" w:rsidP="00844F30">
      <w:pPr>
        <w:rPr>
          <w:rFonts w:cs="Arial"/>
          <w:u w:val="single"/>
          <w:lang w:eastAsia="zh-CN"/>
        </w:rPr>
      </w:pPr>
      <w:r w:rsidRPr="00AB63DB">
        <w:rPr>
          <w:rFonts w:cs="Arial"/>
          <w:u w:val="single"/>
          <w:lang w:eastAsia="zh-CN"/>
        </w:rPr>
        <w:t>NORVÈGE / NORWAY / NORWEGEN / NORUEGA</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 xml:space="preserve">Tor Erik JØRGENSEN, Head of Section, National Approvals, Norwegian Food Safety Authority, Brumunddal (e-mail: tor.erik.jorgensen@mattilsynet.no)  </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 xml:space="preserve">Teshome Hunduma MULESA, Advisor, Oslo (e-mail: teshome@utviklingsfondet.no)  </w:t>
      </w:r>
    </w:p>
    <w:p w:rsidR="00844F30" w:rsidRPr="00AB63DB" w:rsidRDefault="00844F30" w:rsidP="00844F30">
      <w:pPr>
        <w:rPr>
          <w:rFonts w:cs="Arial"/>
          <w:lang w:eastAsia="zh-CN"/>
        </w:rPr>
      </w:pPr>
    </w:p>
    <w:p w:rsidR="00844F30" w:rsidRPr="00AB63DB" w:rsidRDefault="00844F30" w:rsidP="00844F30">
      <w:pPr>
        <w:rPr>
          <w:rFonts w:cs="Arial"/>
          <w:u w:val="single"/>
          <w:lang w:eastAsia="zh-CN"/>
        </w:rPr>
      </w:pPr>
      <w:r w:rsidRPr="00AB63DB">
        <w:rPr>
          <w:rFonts w:cs="Arial"/>
          <w:u w:val="single"/>
          <w:lang w:eastAsia="zh-CN"/>
        </w:rPr>
        <w:t>NOUVELLE-ZÉLANDE / NEW ZEALAND / NEUSEELAND / NUEVA ZELANDIA</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 xml:space="preserve">Christopher J. BARNABY, Assistant Commissioner / Principal Examiner for Plant Variety Rights, Plant Variety Rights Office, Intellectual Property Office of New Zealand, Ministry of Business, Innovation and Employment, Christchurch (e-mail: Chris.Barnaby@pvr.govt.nz)  </w:t>
      </w:r>
    </w:p>
    <w:p w:rsidR="00844F30" w:rsidRPr="00AB63DB" w:rsidRDefault="00844F30" w:rsidP="00844F30">
      <w:pPr>
        <w:rPr>
          <w:rFonts w:cs="Arial"/>
          <w:u w:val="single"/>
          <w:lang w:eastAsia="zh-CN"/>
        </w:rPr>
      </w:pPr>
    </w:p>
    <w:p w:rsidR="00844F30" w:rsidRPr="00AB63DB" w:rsidRDefault="00844F30" w:rsidP="00844F30">
      <w:pPr>
        <w:rPr>
          <w:rFonts w:cs="Arial"/>
          <w:u w:val="single"/>
          <w:lang w:eastAsia="zh-CN"/>
        </w:rPr>
      </w:pPr>
      <w:r w:rsidRPr="00AB63DB">
        <w:rPr>
          <w:rFonts w:cs="Arial"/>
          <w:u w:val="single"/>
          <w:lang w:eastAsia="zh-CN"/>
        </w:rPr>
        <w:t>OMAN / OMAN / OMAN / OMÁN</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 xml:space="preserve">Ali AL LAWATI, Plant Genetic Resources Expert, The Research Council, Oman Animal and Plant Genetic Resources, Muscat (e-mail: ali.allawati@trc.gov.om)  </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 xml:space="preserve">Dua'a Yousuf AL MAQBALI (Ms.), Data Collector and Analyst, The Research Council, Oman Animal and Plant Genetic Resources Center, Muscat (e-mail: duaa.almaqbali@trc.gov.om)  </w:t>
      </w:r>
    </w:p>
    <w:p w:rsidR="00844F30" w:rsidRPr="00AB63DB" w:rsidRDefault="00844F30" w:rsidP="00844F30">
      <w:pPr>
        <w:rPr>
          <w:rFonts w:cs="Arial"/>
          <w:lang w:eastAsia="zh-CN"/>
        </w:rPr>
      </w:pPr>
    </w:p>
    <w:p w:rsidR="00844F30" w:rsidRPr="00AB63DB" w:rsidRDefault="00844F30" w:rsidP="00844F30">
      <w:pPr>
        <w:rPr>
          <w:rFonts w:cs="Arial"/>
          <w:u w:val="single"/>
          <w:lang w:eastAsia="zh-CN"/>
        </w:rPr>
      </w:pPr>
      <w:r w:rsidRPr="00AB63DB">
        <w:rPr>
          <w:rFonts w:cs="Arial"/>
          <w:u w:val="single"/>
          <w:lang w:eastAsia="zh-CN"/>
        </w:rPr>
        <w:t xml:space="preserve">ORGANISATION AFRICAINE DE LA PROPRIÉTÉ INTELLECTUELLE (OAPI) / AFRICAN INTELLECTUAL PROPERTY ORGANIZATION (OAPI) / AFRIKANISCHE ORGANISATION FÜR GEISTIGES EIGENTUM (OAPI) / ORGANIZACIÓN AFRICANA DE LA PROPIEDAD INTELECTUAL (OAPI) </w:t>
      </w:r>
    </w:p>
    <w:p w:rsidR="00844F30" w:rsidRPr="00AB63DB" w:rsidRDefault="00844F30" w:rsidP="00844F30">
      <w:pPr>
        <w:rPr>
          <w:rFonts w:cs="Arial"/>
          <w:lang w:eastAsia="zh-CN"/>
        </w:rPr>
      </w:pPr>
    </w:p>
    <w:p w:rsidR="00844F30" w:rsidRPr="00055396" w:rsidRDefault="00844F30" w:rsidP="00844F30">
      <w:pPr>
        <w:rPr>
          <w:rFonts w:cs="Arial"/>
          <w:lang w:val="fr-CH" w:eastAsia="zh-CN"/>
        </w:rPr>
      </w:pPr>
      <w:r w:rsidRPr="00055396">
        <w:rPr>
          <w:rFonts w:cs="Arial"/>
          <w:lang w:val="fr-CH" w:eastAsia="zh-CN"/>
        </w:rPr>
        <w:t xml:space="preserve">Juliette DOUMATEY AYITE (Mme), Directeur Général Adjoint, Organisation africaine de la propriété intellectuelle (OAPI), Yaoundé (e-mail: ayijuliette@yahoo.fr)  </w:t>
      </w:r>
    </w:p>
    <w:p w:rsidR="00844F30" w:rsidRPr="00055396" w:rsidRDefault="00844F30" w:rsidP="00844F30">
      <w:pPr>
        <w:rPr>
          <w:rFonts w:cs="Arial"/>
          <w:lang w:val="fr-CH" w:eastAsia="zh-CN"/>
        </w:rPr>
      </w:pPr>
    </w:p>
    <w:p w:rsidR="00844F30" w:rsidRPr="00055396" w:rsidRDefault="00844F30" w:rsidP="00844F30">
      <w:pPr>
        <w:rPr>
          <w:rFonts w:cs="Arial"/>
          <w:lang w:val="fr-CH" w:eastAsia="zh-CN"/>
        </w:rPr>
      </w:pPr>
      <w:r w:rsidRPr="00055396">
        <w:rPr>
          <w:rFonts w:cs="Arial"/>
          <w:lang w:val="fr-CH" w:eastAsia="zh-CN"/>
        </w:rPr>
        <w:t xml:space="preserve">Wéré Régine GAZARO (Mme), Directeur, Protection de la propriété industrielle, Organisation africaine de la propriété intellectuelle (OAPI), Yaoundé (e-mail: were_regine@yahoo.fr)  </w:t>
      </w:r>
    </w:p>
    <w:p w:rsidR="00844F30" w:rsidRPr="00055396" w:rsidRDefault="00844F30" w:rsidP="00844F30">
      <w:pPr>
        <w:rPr>
          <w:rFonts w:cs="Arial"/>
          <w:lang w:val="fr-CH" w:eastAsia="zh-CN"/>
        </w:rPr>
      </w:pPr>
    </w:p>
    <w:p w:rsidR="00844F30" w:rsidRPr="00055396" w:rsidRDefault="00844F30" w:rsidP="00844F30">
      <w:pPr>
        <w:rPr>
          <w:rFonts w:cs="Arial"/>
          <w:u w:val="single"/>
          <w:lang w:val="es-ES" w:eastAsia="zh-CN"/>
        </w:rPr>
      </w:pPr>
      <w:r w:rsidRPr="00055396">
        <w:rPr>
          <w:rFonts w:cs="Arial"/>
          <w:u w:val="single"/>
          <w:lang w:val="es-ES" w:eastAsia="zh-CN"/>
        </w:rPr>
        <w:t>PARAGUAY / PARAGUAY / PARAGUAY / PARAGUAY</w:t>
      </w:r>
    </w:p>
    <w:p w:rsidR="00844F30" w:rsidRPr="00055396" w:rsidRDefault="00844F30" w:rsidP="00844F30">
      <w:pPr>
        <w:rPr>
          <w:rFonts w:cs="Arial"/>
          <w:lang w:val="es-ES" w:eastAsia="zh-CN"/>
        </w:rPr>
      </w:pPr>
    </w:p>
    <w:p w:rsidR="00844F30" w:rsidRPr="00055396" w:rsidRDefault="00844F30" w:rsidP="00844F30">
      <w:pPr>
        <w:rPr>
          <w:rFonts w:cs="Arial"/>
          <w:lang w:val="es-ES" w:eastAsia="zh-CN"/>
        </w:rPr>
      </w:pPr>
      <w:r w:rsidRPr="00055396">
        <w:rPr>
          <w:rFonts w:cs="Arial"/>
          <w:lang w:val="es-ES" w:eastAsia="zh-CN"/>
        </w:rPr>
        <w:t>Hugo Daniel ALCARAZ, Director Jurídico, Servicio Nacional de Calidad y Sanidad Vegetal y de Semillas (SENAVE), San Lorenzo (email: hugoalcarazz@senave.com)</w:t>
      </w:r>
    </w:p>
    <w:p w:rsidR="00844F30" w:rsidRPr="00055396" w:rsidRDefault="00844F30" w:rsidP="00844F30">
      <w:pPr>
        <w:rPr>
          <w:rFonts w:cs="Arial"/>
          <w:lang w:val="es-ES" w:eastAsia="zh-CN"/>
        </w:rPr>
      </w:pPr>
    </w:p>
    <w:p w:rsidR="00844F30" w:rsidRPr="00055396" w:rsidRDefault="00844F30" w:rsidP="00844F30">
      <w:pPr>
        <w:rPr>
          <w:rFonts w:cs="Arial"/>
          <w:lang w:val="es-ES" w:eastAsia="zh-CN"/>
        </w:rPr>
      </w:pPr>
      <w:r w:rsidRPr="00055396">
        <w:rPr>
          <w:rFonts w:cs="Arial"/>
          <w:lang w:val="es-ES" w:eastAsia="zh-CN"/>
        </w:rPr>
        <w:t xml:space="preserve">Blanca Julia NÚÑEZ DE MATTO (Sra.), Jefa, Departamento de Protección y Uso de Variedades, Dirección de Semillas (DISE), Servicio Nacional de Calidad y Sanidad Vegetal y de Semillas (SENAVE), San Lorenzo (e-mail: blanca.nunez@senave.gov.py) </w:t>
      </w:r>
    </w:p>
    <w:p w:rsidR="00844F30" w:rsidRPr="00055396" w:rsidRDefault="00844F30" w:rsidP="00844F30">
      <w:pPr>
        <w:rPr>
          <w:rFonts w:cs="Arial"/>
          <w:lang w:val="es-ES" w:eastAsia="zh-CN"/>
        </w:rPr>
      </w:pPr>
    </w:p>
    <w:p w:rsidR="00844F30" w:rsidRPr="00055396" w:rsidRDefault="00844F30" w:rsidP="00844F30">
      <w:pPr>
        <w:rPr>
          <w:rFonts w:cs="Arial"/>
          <w:u w:val="single"/>
          <w:lang w:val="fr-CH" w:eastAsia="zh-CN"/>
        </w:rPr>
      </w:pPr>
      <w:r w:rsidRPr="00055396">
        <w:rPr>
          <w:rFonts w:cs="Arial"/>
          <w:u w:val="single"/>
          <w:lang w:val="fr-CH" w:eastAsia="zh-CN"/>
        </w:rPr>
        <w:t>PAYS-BAS / NETHERLANDS / NIEDERLANDE / PAÍSES BAJOS</w:t>
      </w:r>
    </w:p>
    <w:p w:rsidR="00844F30" w:rsidRPr="00055396" w:rsidRDefault="00844F30" w:rsidP="00844F30">
      <w:pPr>
        <w:rPr>
          <w:rFonts w:cs="Arial"/>
          <w:lang w:val="fr-CH" w:eastAsia="zh-CN"/>
        </w:rPr>
      </w:pPr>
    </w:p>
    <w:p w:rsidR="00844F30" w:rsidRPr="00AB63DB" w:rsidRDefault="00844F30" w:rsidP="00844F30">
      <w:pPr>
        <w:keepNext/>
        <w:rPr>
          <w:rFonts w:cs="Arial"/>
          <w:lang w:eastAsia="zh-CN"/>
        </w:rPr>
      </w:pPr>
      <w:r w:rsidRPr="00AB63DB">
        <w:rPr>
          <w:rFonts w:cs="Arial"/>
          <w:lang w:eastAsia="zh-CN"/>
        </w:rPr>
        <w:t>Marien VALSTAR, Senior Policy Officer, Seeds and Plant Propagation Material, Ministry of Economic Affairs, DG AGRO, The Hague (e-mail: m.valstar@minez.nl)</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 xml:space="preserve">Kees Jan GROENEWOUD, Secretary, Plant Variety Board (Raad voor Plantenrassen), Naktuinbouw NL, Roelofarendsveen (e-mail: c.j.a.groenewoud@naktuinbouw.nl)  </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Kees VAN ETTEKOVEN, Head of Variety Testing Department, Naktuinbouw NL, Roelofarendsveen</w:t>
      </w:r>
    </w:p>
    <w:p w:rsidR="00844F30" w:rsidRPr="00055396" w:rsidRDefault="00844F30" w:rsidP="00844F30">
      <w:pPr>
        <w:rPr>
          <w:rFonts w:cs="Arial"/>
          <w:lang w:val="fr-CH" w:eastAsia="zh-CN"/>
        </w:rPr>
      </w:pPr>
      <w:r w:rsidRPr="00055396">
        <w:rPr>
          <w:rFonts w:cs="Arial"/>
          <w:lang w:val="fr-CH" w:eastAsia="zh-CN"/>
        </w:rPr>
        <w:t xml:space="preserve">(e-mail: c.v.ettekoven@naktuinbouw.nl)  </w:t>
      </w:r>
    </w:p>
    <w:p w:rsidR="00844F30" w:rsidRPr="00055396" w:rsidRDefault="00844F30" w:rsidP="00844F30">
      <w:pPr>
        <w:keepNext/>
        <w:rPr>
          <w:rFonts w:cs="Arial"/>
          <w:u w:val="single"/>
          <w:lang w:val="fr-CH" w:eastAsia="zh-CN"/>
        </w:rPr>
      </w:pPr>
      <w:r w:rsidRPr="00055396">
        <w:rPr>
          <w:rFonts w:cs="Arial"/>
          <w:u w:val="single"/>
          <w:lang w:val="fr-CH" w:eastAsia="zh-CN"/>
        </w:rPr>
        <w:lastRenderedPageBreak/>
        <w:t>POLOGNE / POLAND / POLEN / POLONIA</w:t>
      </w:r>
    </w:p>
    <w:p w:rsidR="00844F30" w:rsidRPr="00055396" w:rsidRDefault="00844F30" w:rsidP="00844F30">
      <w:pPr>
        <w:rPr>
          <w:rFonts w:cs="Arial"/>
          <w:lang w:val="fr-CH" w:eastAsia="zh-CN"/>
        </w:rPr>
      </w:pPr>
    </w:p>
    <w:p w:rsidR="00844F30" w:rsidRPr="00AB63DB" w:rsidRDefault="00844F30" w:rsidP="00844F30">
      <w:pPr>
        <w:keepNext/>
        <w:rPr>
          <w:rFonts w:cs="Arial"/>
          <w:lang w:eastAsia="zh-CN"/>
        </w:rPr>
      </w:pPr>
      <w:r w:rsidRPr="00AB63DB">
        <w:rPr>
          <w:rFonts w:cs="Arial"/>
          <w:lang w:eastAsia="zh-CN"/>
        </w:rPr>
        <w:t xml:space="preserve">Edward S. GACEK, Director General, Research Centre for Cultivar Testing (COBORU), Slupia Wielka </w:t>
      </w:r>
    </w:p>
    <w:p w:rsidR="00844F30" w:rsidRPr="00AB63DB" w:rsidRDefault="00844F30" w:rsidP="00844F30">
      <w:pPr>
        <w:keepNext/>
        <w:rPr>
          <w:rFonts w:cs="Arial"/>
          <w:lang w:eastAsia="zh-CN"/>
        </w:rPr>
      </w:pPr>
      <w:r w:rsidRPr="00AB63DB">
        <w:rPr>
          <w:rFonts w:cs="Arial"/>
          <w:lang w:eastAsia="zh-CN"/>
        </w:rPr>
        <w:t xml:space="preserve">(e-mail: e.gacek@coboru.pl)  </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 xml:space="preserve">Alicja RUTKOWSKA-ŁOŚ (Mrs.), Head, National Listing and Plant Breeders' Rights Protection Office, The Research Centre for Cultivar Testing (COBORU), Slupia Wielka (e-mail: a.rutkowska@coboru.pl) </w:t>
      </w:r>
    </w:p>
    <w:p w:rsidR="00844F30" w:rsidRPr="00AB63DB" w:rsidRDefault="00844F30" w:rsidP="00844F30">
      <w:pPr>
        <w:rPr>
          <w:rFonts w:cs="Arial"/>
          <w:u w:val="single"/>
          <w:lang w:eastAsia="zh-CN"/>
        </w:rPr>
      </w:pPr>
    </w:p>
    <w:p w:rsidR="00844F30" w:rsidRPr="0023456F" w:rsidRDefault="00844F30" w:rsidP="00844F30">
      <w:pPr>
        <w:rPr>
          <w:rFonts w:cs="Arial"/>
          <w:u w:val="single"/>
          <w:lang w:val="es-ES_tradnl" w:eastAsia="zh-CN"/>
        </w:rPr>
      </w:pPr>
      <w:r w:rsidRPr="0023456F">
        <w:rPr>
          <w:rFonts w:cs="Arial"/>
          <w:u w:val="single"/>
          <w:lang w:val="es-ES_tradnl" w:eastAsia="zh-CN"/>
        </w:rPr>
        <w:t>RÉPUBLIQUE DE CORÉE / REPUBLIC OF KOREA / REPUBLIK KOREA / REPÚBLICA DE COREA</w:t>
      </w:r>
    </w:p>
    <w:p w:rsidR="00844F30" w:rsidRPr="0023456F" w:rsidRDefault="00844F30" w:rsidP="00844F30">
      <w:pPr>
        <w:rPr>
          <w:rFonts w:cs="Arial"/>
          <w:lang w:val="es-ES_tradnl" w:eastAsia="zh-CN"/>
        </w:rPr>
      </w:pPr>
    </w:p>
    <w:p w:rsidR="00844F30" w:rsidRPr="00AB63DB" w:rsidRDefault="00844F30" w:rsidP="00844F30">
      <w:pPr>
        <w:rPr>
          <w:rFonts w:cs="Arial"/>
          <w:lang w:eastAsia="zh-CN"/>
        </w:rPr>
      </w:pPr>
      <w:r w:rsidRPr="00AB63DB">
        <w:rPr>
          <w:rFonts w:cs="Arial"/>
          <w:lang w:eastAsia="zh-CN"/>
        </w:rPr>
        <w:t xml:space="preserve">Seung-In YI, Deputy Head, Plant Variety Protection Division, Korea Seed &amp; Variety Service (KSVS), Gyeongsangbuk-Do (e-mail: seedin@korea.kr)  </w:t>
      </w:r>
    </w:p>
    <w:p w:rsidR="00844F30" w:rsidRPr="00AB63DB" w:rsidRDefault="00844F30" w:rsidP="00844F30">
      <w:pPr>
        <w:rPr>
          <w:rFonts w:cs="Arial"/>
          <w:u w:val="single"/>
          <w:lang w:eastAsia="zh-CN"/>
        </w:rPr>
      </w:pPr>
    </w:p>
    <w:p w:rsidR="00844F30" w:rsidRPr="00055396" w:rsidRDefault="00844F30" w:rsidP="00844F30">
      <w:pPr>
        <w:keepNext/>
        <w:rPr>
          <w:rFonts w:cs="Arial"/>
          <w:u w:val="single"/>
          <w:lang w:val="es-ES" w:eastAsia="zh-CN"/>
        </w:rPr>
      </w:pPr>
      <w:r w:rsidRPr="00055396">
        <w:rPr>
          <w:rFonts w:cs="Arial"/>
          <w:u w:val="single"/>
          <w:lang w:val="es-ES" w:eastAsia="zh-CN"/>
        </w:rPr>
        <w:t>RÉPUBLIQUE DE MOLDOVA / REPUBLIC OF MOLDOVA / REPUBLIK MOLDAU / REPÚBLICA DE MOLDOVA</w:t>
      </w:r>
    </w:p>
    <w:p w:rsidR="00844F30" w:rsidRPr="00055396" w:rsidRDefault="00844F30" w:rsidP="00844F30">
      <w:pPr>
        <w:rPr>
          <w:rFonts w:cs="Arial"/>
          <w:lang w:val="es-ES" w:eastAsia="zh-CN"/>
        </w:rPr>
      </w:pPr>
    </w:p>
    <w:p w:rsidR="00844F30" w:rsidRPr="00AB63DB" w:rsidRDefault="00844F30" w:rsidP="00844F30">
      <w:pPr>
        <w:keepNext/>
        <w:rPr>
          <w:rFonts w:cs="Arial"/>
          <w:lang w:eastAsia="zh-CN"/>
        </w:rPr>
      </w:pPr>
      <w:r w:rsidRPr="00AB63DB">
        <w:rPr>
          <w:rFonts w:cs="Arial"/>
          <w:lang w:eastAsia="zh-CN"/>
        </w:rPr>
        <w:t xml:space="preserve">Mihail MACHIDON, Chairman, State Commission for Crops Variety Testing and Registration (SCCVTR), Chisinau (e-mail: info@cstsp.md)  </w:t>
      </w:r>
    </w:p>
    <w:p w:rsidR="00844F30" w:rsidRPr="00AB63DB" w:rsidRDefault="00844F30" w:rsidP="00844F30">
      <w:pPr>
        <w:keepNext/>
        <w:rPr>
          <w:rFonts w:cs="Arial"/>
          <w:lang w:eastAsia="zh-CN"/>
        </w:rPr>
      </w:pPr>
    </w:p>
    <w:p w:rsidR="00844F30" w:rsidRPr="00AB63DB" w:rsidRDefault="00844F30" w:rsidP="00844F30">
      <w:pPr>
        <w:keepNext/>
        <w:rPr>
          <w:rFonts w:cs="Arial"/>
          <w:lang w:eastAsia="zh-CN"/>
        </w:rPr>
      </w:pPr>
      <w:r w:rsidRPr="00AB63DB">
        <w:rPr>
          <w:rFonts w:cs="Arial"/>
          <w:lang w:eastAsia="zh-CN"/>
        </w:rPr>
        <w:t xml:space="preserve">Ala GUSAN (Mrs.), Head, Inventions and Plant Varieties Department, State Agency on Intellectual Property (AGEPI), Chisinau (e-mail: ala.gusan@agepi.gov.md)  </w:t>
      </w:r>
    </w:p>
    <w:p w:rsidR="00844F30" w:rsidRPr="00AB63DB" w:rsidRDefault="00844F30" w:rsidP="00844F30">
      <w:pPr>
        <w:rPr>
          <w:rFonts w:cs="Arial"/>
          <w:lang w:eastAsia="zh-CN"/>
        </w:rPr>
      </w:pPr>
    </w:p>
    <w:p w:rsidR="00844F30" w:rsidRPr="00AB63DB" w:rsidRDefault="00844F30" w:rsidP="00844F30">
      <w:pPr>
        <w:keepNext/>
        <w:rPr>
          <w:rFonts w:cs="Arial"/>
          <w:u w:val="single"/>
          <w:lang w:eastAsia="zh-CN"/>
        </w:rPr>
      </w:pPr>
      <w:r w:rsidRPr="00AB63DB">
        <w:rPr>
          <w:rFonts w:cs="Arial"/>
          <w:u w:val="single"/>
          <w:lang w:eastAsia="zh-CN"/>
        </w:rPr>
        <w:t>RÉPUBLIQUE TCHÈQUE / CZECH REPUBLIC / TSCHECHISCHE REPUBLIK / REPÚBLICA CHECA</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Radmila SAFARIKOVA (Mrs.), Head of Division, Central Institute for Supervising and Testing in Agriculture (UKZUZ), National Plant Variety Office, Brno (e-mail: radmila.safarikova@ukzuz.cz)</w:t>
      </w:r>
    </w:p>
    <w:p w:rsidR="00844F30" w:rsidRPr="00AB63DB" w:rsidRDefault="00844F30" w:rsidP="00844F30">
      <w:pPr>
        <w:rPr>
          <w:rFonts w:cs="Arial"/>
          <w:u w:val="single"/>
          <w:lang w:eastAsia="zh-CN"/>
        </w:rPr>
      </w:pPr>
      <w:r w:rsidRPr="00AB63DB">
        <w:rPr>
          <w:rFonts w:cs="Arial"/>
          <w:u w:val="single"/>
          <w:lang w:eastAsia="zh-CN"/>
        </w:rPr>
        <w:t>ROUMANIE / ROMANIA / RUMÄNIEN / RUMANIA</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 xml:space="preserve">Aura Giorgiana MINDRUTA (Ms.), Expert, State Institute for Variety Testing and Registration (ISTIS), Bucarest (e-mail: aura_mindruta@istis.ro)  </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 xml:space="preserve">Cristian Irinel MOCANU, Head of Legal Department, State Institute for Variety Testing and Registration, Bucharest (e-mail: irinel_mocanu@istis.ro)  </w:t>
      </w:r>
    </w:p>
    <w:p w:rsidR="00844F30" w:rsidRPr="00AB63DB" w:rsidRDefault="00844F30" w:rsidP="00844F30">
      <w:pPr>
        <w:rPr>
          <w:rFonts w:cs="Arial"/>
          <w:u w:val="single"/>
          <w:lang w:eastAsia="zh-CN"/>
        </w:rPr>
      </w:pPr>
    </w:p>
    <w:p w:rsidR="00844F30" w:rsidRPr="00AB63DB" w:rsidRDefault="00844F30" w:rsidP="00844F30">
      <w:pPr>
        <w:rPr>
          <w:rFonts w:cs="Arial"/>
          <w:u w:val="single"/>
          <w:lang w:eastAsia="zh-CN"/>
        </w:rPr>
      </w:pPr>
      <w:r w:rsidRPr="00AB63DB">
        <w:rPr>
          <w:rFonts w:cs="Arial"/>
          <w:u w:val="single"/>
          <w:lang w:eastAsia="zh-CN"/>
        </w:rPr>
        <w:t>ROYAUME-UNI / UNITED KINGDOM / VEREINIGTES KÖNIGREICH / REINO UNIDO</w:t>
      </w:r>
    </w:p>
    <w:p w:rsidR="00844F30" w:rsidRPr="00AB63DB" w:rsidRDefault="00844F30" w:rsidP="00844F30">
      <w:pPr>
        <w:rPr>
          <w:rFonts w:cs="Arial"/>
          <w:u w:val="single"/>
          <w:lang w:eastAsia="zh-CN"/>
        </w:rPr>
      </w:pPr>
    </w:p>
    <w:p w:rsidR="00844F30" w:rsidRPr="00AB63DB" w:rsidRDefault="00844F30" w:rsidP="00844F30">
      <w:pPr>
        <w:rPr>
          <w:rFonts w:cs="Arial"/>
          <w:lang w:eastAsia="zh-CN"/>
        </w:rPr>
      </w:pPr>
      <w:r w:rsidRPr="00AB63DB">
        <w:rPr>
          <w:rFonts w:cs="Arial"/>
          <w:lang w:eastAsia="zh-CN"/>
        </w:rPr>
        <w:t xml:space="preserve">Andrew MITCHELL, Head of Varieties and Seeds, Department for Environment, Food and Rural Affairs (DEFRA), Cambridge (e-mail: andrew.mitchell@defra.gsi.gov.uk)  </w:t>
      </w:r>
    </w:p>
    <w:p w:rsidR="00844F30" w:rsidRPr="00AB63DB" w:rsidRDefault="00844F30" w:rsidP="00844F30">
      <w:pPr>
        <w:rPr>
          <w:rFonts w:cs="Arial"/>
          <w:lang w:eastAsia="zh-CN"/>
        </w:rPr>
      </w:pPr>
    </w:p>
    <w:p w:rsidR="00844F30" w:rsidRPr="00AB63DB" w:rsidRDefault="00844F30" w:rsidP="00844F30">
      <w:pPr>
        <w:rPr>
          <w:rFonts w:cs="Arial"/>
          <w:u w:val="single"/>
          <w:lang w:eastAsia="zh-CN"/>
        </w:rPr>
      </w:pPr>
      <w:r w:rsidRPr="00AB63DB">
        <w:rPr>
          <w:rFonts w:cs="Arial"/>
          <w:u w:val="single"/>
          <w:lang w:eastAsia="zh-CN"/>
        </w:rPr>
        <w:t>SLOVAQUIE / SLOVAKIA / SLOWAKEI / ESLOVAQUIA</w:t>
      </w:r>
    </w:p>
    <w:p w:rsidR="00844F30" w:rsidRPr="00AB63DB" w:rsidRDefault="00844F30" w:rsidP="00844F30">
      <w:pPr>
        <w:rPr>
          <w:rFonts w:cs="Arial"/>
          <w:u w:val="single"/>
          <w:lang w:eastAsia="zh-CN"/>
        </w:rPr>
      </w:pPr>
    </w:p>
    <w:p w:rsidR="00844F30" w:rsidRPr="00AB63DB" w:rsidRDefault="00844F30" w:rsidP="00844F30">
      <w:pPr>
        <w:rPr>
          <w:rFonts w:cs="Arial"/>
          <w:lang w:eastAsia="zh-CN"/>
        </w:rPr>
      </w:pPr>
      <w:r w:rsidRPr="00AB63DB">
        <w:rPr>
          <w:rFonts w:cs="Arial"/>
          <w:lang w:eastAsia="zh-CN"/>
        </w:rPr>
        <w:t xml:space="preserve">Bronislava BÁTOROVÁ (Mrs.), National Coordinator for the Cooperation of the Slovak Republic with UPOV/ Senior Officer, Department of Variety Testing, Central Controlling and Testing Institute in Agriculture (ÚKSÚP), Nitra (e-mail: bronislava.batorova@uksup.sk)  </w:t>
      </w:r>
    </w:p>
    <w:p w:rsidR="00844F30" w:rsidRPr="00AB63DB" w:rsidRDefault="00844F30" w:rsidP="00844F30">
      <w:pPr>
        <w:rPr>
          <w:rFonts w:cs="Arial"/>
          <w:lang w:eastAsia="zh-CN"/>
        </w:rPr>
      </w:pPr>
    </w:p>
    <w:p w:rsidR="00844F30" w:rsidRPr="00AB63DB" w:rsidRDefault="00844F30" w:rsidP="00844F30">
      <w:pPr>
        <w:rPr>
          <w:rFonts w:cs="Arial"/>
          <w:u w:val="single"/>
          <w:lang w:eastAsia="zh-CN"/>
        </w:rPr>
      </w:pPr>
      <w:r w:rsidRPr="00AB63DB">
        <w:rPr>
          <w:rFonts w:cs="Arial"/>
          <w:u w:val="single"/>
          <w:lang w:eastAsia="zh-CN"/>
        </w:rPr>
        <w:t>SUÈDE / SWEDEN / SCHWEDEN / SUECIA</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 xml:space="preserve">Olof JOHANSSON, Head, Plant and Environment Department, Swedish Board of Agriculture, Jönköping </w:t>
      </w:r>
    </w:p>
    <w:p w:rsidR="00844F30" w:rsidRPr="00055396" w:rsidRDefault="00844F30" w:rsidP="00844F30">
      <w:pPr>
        <w:rPr>
          <w:rFonts w:cs="Arial"/>
          <w:lang w:val="fr-CH" w:eastAsia="zh-CN"/>
        </w:rPr>
      </w:pPr>
      <w:r w:rsidRPr="00055396">
        <w:rPr>
          <w:rFonts w:cs="Arial"/>
          <w:lang w:val="fr-CH" w:eastAsia="zh-CN"/>
        </w:rPr>
        <w:t xml:space="preserve">(e-mail: olof.johansson@jordbruksverket.se)  </w:t>
      </w:r>
    </w:p>
    <w:p w:rsidR="00844F30" w:rsidRPr="00055396" w:rsidRDefault="00844F30" w:rsidP="00844F30">
      <w:pPr>
        <w:rPr>
          <w:rFonts w:cs="Arial"/>
          <w:lang w:val="fr-CH" w:eastAsia="zh-CN"/>
        </w:rPr>
      </w:pPr>
    </w:p>
    <w:p w:rsidR="00844F30" w:rsidRPr="00055396" w:rsidRDefault="00844F30" w:rsidP="00844F30">
      <w:pPr>
        <w:keepNext/>
        <w:rPr>
          <w:rFonts w:cs="Arial"/>
          <w:u w:val="single"/>
          <w:lang w:val="fr-CH" w:eastAsia="zh-CN"/>
        </w:rPr>
      </w:pPr>
      <w:r w:rsidRPr="00055396">
        <w:rPr>
          <w:rFonts w:cs="Arial"/>
          <w:u w:val="single"/>
          <w:lang w:val="fr-CH" w:eastAsia="zh-CN"/>
        </w:rPr>
        <w:t>SUISSE / SWITZERLAND / SCHWEIZ / SUIZA</w:t>
      </w:r>
    </w:p>
    <w:p w:rsidR="00844F30" w:rsidRPr="00055396" w:rsidRDefault="00844F30" w:rsidP="00844F30">
      <w:pPr>
        <w:rPr>
          <w:rFonts w:cs="Arial"/>
          <w:lang w:val="fr-CH" w:eastAsia="zh-CN"/>
        </w:rPr>
      </w:pPr>
    </w:p>
    <w:p w:rsidR="00844F30" w:rsidRPr="00AB63DB" w:rsidRDefault="00844F30" w:rsidP="00844F30">
      <w:pPr>
        <w:rPr>
          <w:rFonts w:cs="Arial"/>
          <w:lang w:eastAsia="zh-CN"/>
        </w:rPr>
      </w:pPr>
      <w:r w:rsidRPr="00AB63DB">
        <w:rPr>
          <w:rFonts w:cs="Arial"/>
          <w:lang w:eastAsia="zh-CN"/>
        </w:rPr>
        <w:t xml:space="preserve">Manuela BRAND (Ms.), Plant Variety Rights Office, Federal Department of Economic Affairs Education and Research (EAER) Plant Health and Varieties, Federal Office for Agriculture FOAG, Bern </w:t>
      </w:r>
      <w:r w:rsidRPr="00AB63DB">
        <w:rPr>
          <w:rFonts w:cs="Arial"/>
          <w:lang w:eastAsia="zh-CN"/>
        </w:rPr>
        <w:br/>
        <w:t xml:space="preserve">(e-mail: manuela.brand@blw.admin.ch)  </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 xml:space="preserve">Eva TSCHARLAND (Frau), Juristin, Direktionsbereich Landwirtschaftliche Produktionsmittel, Bundesamt für Landwirtschaft, Bern (e-mail: eva.tscharland@blw.admin.ch)  </w:t>
      </w:r>
    </w:p>
    <w:p w:rsidR="00844F30" w:rsidRPr="00AB63DB" w:rsidRDefault="00844F30" w:rsidP="00844F30">
      <w:pPr>
        <w:rPr>
          <w:rFonts w:cs="Arial"/>
          <w:lang w:eastAsia="zh-CN"/>
        </w:rPr>
      </w:pPr>
    </w:p>
    <w:p w:rsidR="00844F30" w:rsidRPr="00055396" w:rsidRDefault="00844F30" w:rsidP="00844F30">
      <w:pPr>
        <w:keepNext/>
        <w:rPr>
          <w:rFonts w:cs="Arial"/>
          <w:u w:val="single"/>
          <w:lang w:val="fr-CH" w:eastAsia="zh-CN"/>
        </w:rPr>
      </w:pPr>
      <w:r w:rsidRPr="00055396">
        <w:rPr>
          <w:rFonts w:cs="Arial"/>
          <w:u w:val="single"/>
          <w:lang w:val="fr-CH" w:eastAsia="zh-CN"/>
        </w:rPr>
        <w:lastRenderedPageBreak/>
        <w:t>TUNISIE / TUNISIA / TUNESIEN / TÚNEZ</w:t>
      </w:r>
    </w:p>
    <w:p w:rsidR="00844F30" w:rsidRPr="00055396" w:rsidRDefault="00844F30" w:rsidP="00844F30">
      <w:pPr>
        <w:keepNext/>
        <w:rPr>
          <w:rFonts w:cs="Arial"/>
          <w:lang w:val="fr-CH" w:eastAsia="zh-CN"/>
        </w:rPr>
      </w:pPr>
    </w:p>
    <w:p w:rsidR="00844F30" w:rsidRPr="00055396" w:rsidRDefault="00844F30" w:rsidP="00844F30">
      <w:pPr>
        <w:rPr>
          <w:rFonts w:cs="Arial"/>
          <w:lang w:val="fr-CH" w:eastAsia="zh-CN"/>
        </w:rPr>
      </w:pPr>
      <w:r w:rsidRPr="00055396">
        <w:rPr>
          <w:rFonts w:cs="Arial"/>
          <w:lang w:val="fr-CH" w:eastAsia="zh-CN"/>
        </w:rPr>
        <w:t>Tarek CHIBOUB, Directeur général, Direction générale de la protection et du contrôle de la qualité des produits agricoles, Ministère de l’Agriculture, des Ressources Hydrauliques et de la Pêche, Tunis (e</w:t>
      </w:r>
      <w:r w:rsidRPr="00055396">
        <w:rPr>
          <w:rFonts w:cs="Arial"/>
          <w:lang w:val="fr-CH" w:eastAsia="zh-CN"/>
        </w:rPr>
        <w:noBreakHyphen/>
        <w:t xml:space="preserve">mail: tarechib@yahoo.fr)  </w:t>
      </w:r>
    </w:p>
    <w:p w:rsidR="00844F30" w:rsidRPr="00055396" w:rsidRDefault="00844F30" w:rsidP="00844F30">
      <w:pPr>
        <w:rPr>
          <w:rFonts w:cs="Arial"/>
          <w:lang w:val="fr-CH" w:eastAsia="zh-CN"/>
        </w:rPr>
      </w:pPr>
    </w:p>
    <w:p w:rsidR="00844F30" w:rsidRPr="00AB63DB" w:rsidRDefault="00844F30" w:rsidP="00844F30">
      <w:pPr>
        <w:keepNext/>
        <w:rPr>
          <w:rFonts w:cs="Arial"/>
          <w:u w:val="single"/>
          <w:lang w:eastAsia="zh-CN"/>
        </w:rPr>
      </w:pPr>
      <w:r w:rsidRPr="00AB63DB">
        <w:rPr>
          <w:rFonts w:cs="Arial"/>
          <w:u w:val="single"/>
          <w:lang w:eastAsia="zh-CN"/>
        </w:rPr>
        <w:t>TURQUIE / TURKEY / TÜRKEI / TURQUÍA</w:t>
      </w:r>
    </w:p>
    <w:p w:rsidR="00844F30" w:rsidRPr="00AB63DB" w:rsidRDefault="00844F30" w:rsidP="00844F30">
      <w:pPr>
        <w:rPr>
          <w:rFonts w:cs="Arial"/>
          <w:lang w:eastAsia="zh-CN"/>
        </w:rPr>
      </w:pPr>
    </w:p>
    <w:p w:rsidR="00844F30" w:rsidRPr="00AB63DB" w:rsidRDefault="00844F30" w:rsidP="00844F30">
      <w:pPr>
        <w:keepNext/>
        <w:rPr>
          <w:rFonts w:cs="Arial"/>
          <w:lang w:eastAsia="zh-CN"/>
        </w:rPr>
      </w:pPr>
      <w:r w:rsidRPr="00AB63DB">
        <w:rPr>
          <w:rFonts w:cs="Arial"/>
          <w:lang w:eastAsia="zh-CN"/>
        </w:rPr>
        <w:t xml:space="preserve">Necati Cem AKTUZ, PBR Expert, Crop Production Directorate, Seed Department, Ministry of Food, Agriculture and Livestock, Ankara (e-mail: necaticem.aktuz@tarim.gov.tr)  </w:t>
      </w:r>
    </w:p>
    <w:p w:rsidR="00844F30" w:rsidRPr="00AB63DB" w:rsidRDefault="00844F30" w:rsidP="00844F30">
      <w:pPr>
        <w:keepNext/>
        <w:rPr>
          <w:rFonts w:cs="Arial"/>
          <w:lang w:eastAsia="zh-CN"/>
        </w:rPr>
      </w:pPr>
    </w:p>
    <w:p w:rsidR="00844F30" w:rsidRPr="00AB63DB" w:rsidRDefault="00844F30" w:rsidP="00844F30">
      <w:pPr>
        <w:keepNext/>
        <w:rPr>
          <w:rFonts w:cs="Arial"/>
          <w:lang w:eastAsia="zh-CN"/>
        </w:rPr>
      </w:pPr>
      <w:r w:rsidRPr="00AB63DB">
        <w:rPr>
          <w:rFonts w:cs="Arial"/>
          <w:lang w:eastAsia="zh-CN"/>
        </w:rPr>
        <w:t xml:space="preserve">Muhittin BAĞCI, Coordinator (Engineer), Variety Registration and Seed Certification Centre, Ankara </w:t>
      </w:r>
    </w:p>
    <w:p w:rsidR="00844F30" w:rsidRPr="00AB63DB" w:rsidRDefault="00844F30" w:rsidP="00844F30">
      <w:pPr>
        <w:keepNext/>
        <w:rPr>
          <w:rFonts w:cs="Arial"/>
          <w:lang w:eastAsia="zh-CN"/>
        </w:rPr>
      </w:pPr>
      <w:r w:rsidRPr="00AB63DB">
        <w:rPr>
          <w:rFonts w:cs="Arial"/>
          <w:lang w:eastAsia="zh-CN"/>
        </w:rPr>
        <w:t xml:space="preserve">(e-mail: muhittin.bagci@gthb.gov.tr)  </w:t>
      </w:r>
    </w:p>
    <w:p w:rsidR="00844F30" w:rsidRPr="00AB63DB" w:rsidRDefault="00844F30" w:rsidP="00844F30">
      <w:pPr>
        <w:keepNext/>
        <w:rPr>
          <w:rFonts w:cs="Arial"/>
          <w:lang w:eastAsia="zh-CN"/>
        </w:rPr>
      </w:pPr>
    </w:p>
    <w:p w:rsidR="00844F30" w:rsidRPr="00AB63DB" w:rsidRDefault="00844F30" w:rsidP="00844F30">
      <w:pPr>
        <w:rPr>
          <w:rFonts w:cs="Arial"/>
          <w:lang w:eastAsia="zh-CN"/>
        </w:rPr>
      </w:pPr>
      <w:r w:rsidRPr="00AB63DB">
        <w:rPr>
          <w:rFonts w:cs="Arial"/>
          <w:lang w:eastAsia="zh-CN"/>
        </w:rPr>
        <w:t xml:space="preserve">Ilknur YALVAÇ (Ms.), PBR Expert, General Directorate of Crop Production, Seed Department, Ministry of Food, Agriculture and Livestock, Ankara (e-mail: ilknur.yalvac@tarim.gov.tr)  </w:t>
      </w:r>
    </w:p>
    <w:p w:rsidR="00844F30" w:rsidRPr="00AB63DB" w:rsidRDefault="00844F30" w:rsidP="00844F30">
      <w:pPr>
        <w:rPr>
          <w:rFonts w:cs="Arial"/>
          <w:u w:val="single"/>
          <w:lang w:eastAsia="zh-CN"/>
        </w:rPr>
      </w:pPr>
    </w:p>
    <w:p w:rsidR="00844F30" w:rsidRPr="00AB63DB" w:rsidRDefault="00844F30" w:rsidP="00844F30">
      <w:pPr>
        <w:rPr>
          <w:rFonts w:cs="Arial"/>
          <w:u w:val="single"/>
          <w:lang w:eastAsia="zh-CN"/>
        </w:rPr>
      </w:pPr>
      <w:r w:rsidRPr="00AB63DB">
        <w:rPr>
          <w:rFonts w:cs="Arial"/>
          <w:u w:val="single"/>
          <w:lang w:eastAsia="zh-CN"/>
        </w:rPr>
        <w:t>UNION EUROPÉENNE / EUROPEAN UNION / EUROPÄISCHE UNION / UNIÓN EUROPEA</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H.E. Mr. Peter SØRENSEN, Ambassador, Head of the Delegation of the European Union to the United Nations in Geneva, Geneva</w:t>
      </w:r>
    </w:p>
    <w:p w:rsidR="00844F30" w:rsidRPr="00AB63DB" w:rsidRDefault="00844F30" w:rsidP="00844F30">
      <w:pPr>
        <w:rPr>
          <w:rFonts w:cs="Arial"/>
          <w:lang w:eastAsia="zh-CN"/>
        </w:rPr>
      </w:pPr>
    </w:p>
    <w:p w:rsidR="00844F30" w:rsidRPr="00AB63DB" w:rsidRDefault="00844F30" w:rsidP="00844F30">
      <w:pPr>
        <w:tabs>
          <w:tab w:val="left" w:pos="90"/>
        </w:tabs>
        <w:autoSpaceDE w:val="0"/>
        <w:autoSpaceDN w:val="0"/>
        <w:adjustRightInd w:val="0"/>
        <w:rPr>
          <w:rFonts w:cs="Arial"/>
          <w:lang w:eastAsia="zh-CN"/>
        </w:rPr>
      </w:pPr>
      <w:r w:rsidRPr="00AB63DB">
        <w:rPr>
          <w:rFonts w:cs="Arial"/>
          <w:lang w:eastAsia="zh-CN"/>
        </w:rPr>
        <w:t>Oliver HALL-ALLEN, First Counsellor, Delegation of the European Union to the United Nations in Geneva, Geneva (e-mail: Oliver.Hall-Allen@eeas.europa.eu)</w:t>
      </w:r>
    </w:p>
    <w:p w:rsidR="00844F30" w:rsidRPr="00AB63DB" w:rsidRDefault="00844F30" w:rsidP="00844F30">
      <w:pPr>
        <w:rPr>
          <w:rFonts w:cs="Arial"/>
          <w:lang w:eastAsia="zh-CN"/>
        </w:rPr>
      </w:pPr>
    </w:p>
    <w:p w:rsidR="00844F30" w:rsidRPr="00055396" w:rsidRDefault="00844F30" w:rsidP="00844F30">
      <w:pPr>
        <w:rPr>
          <w:rFonts w:cs="Arial"/>
          <w:lang w:val="fr-CH" w:eastAsia="zh-CN"/>
        </w:rPr>
      </w:pPr>
      <w:r w:rsidRPr="00055396">
        <w:rPr>
          <w:rFonts w:cs="Arial"/>
          <w:lang w:val="fr-CH" w:eastAsia="zh-CN"/>
        </w:rPr>
        <w:t xml:space="preserve">Päivi MANNERKORPI (Mrs.), Head of Sector - Unit E2, Plant Reproductive Material, Direction Générale Santé et Protection des Consommateurs, Commission européenne (DG SANCO), Bruxelles </w:t>
      </w:r>
    </w:p>
    <w:p w:rsidR="00844F30" w:rsidRPr="00055396" w:rsidRDefault="00844F30" w:rsidP="00844F30">
      <w:pPr>
        <w:rPr>
          <w:rFonts w:cs="Arial"/>
          <w:lang w:val="fr-CH" w:eastAsia="zh-CN"/>
        </w:rPr>
      </w:pPr>
      <w:r w:rsidRPr="00055396">
        <w:rPr>
          <w:rFonts w:cs="Arial"/>
          <w:lang w:val="fr-CH" w:eastAsia="zh-CN"/>
        </w:rPr>
        <w:t xml:space="preserve">(e-mail: paivi.mannerkorpi@ec.europa.eu)  </w:t>
      </w:r>
    </w:p>
    <w:p w:rsidR="00844F30" w:rsidRPr="00055396" w:rsidRDefault="00844F30" w:rsidP="00844F30">
      <w:pPr>
        <w:rPr>
          <w:rFonts w:cs="Arial"/>
          <w:lang w:val="fr-CH" w:eastAsia="zh-CN"/>
        </w:rPr>
      </w:pPr>
    </w:p>
    <w:p w:rsidR="00844F30" w:rsidRPr="00055396" w:rsidRDefault="00844F30" w:rsidP="00844F30">
      <w:pPr>
        <w:rPr>
          <w:rFonts w:cs="Arial"/>
          <w:lang w:val="fr-CH" w:eastAsia="zh-CN"/>
        </w:rPr>
      </w:pPr>
      <w:r w:rsidRPr="00055396">
        <w:rPr>
          <w:rFonts w:cs="Arial"/>
          <w:lang w:val="fr-CH" w:eastAsia="zh-CN"/>
        </w:rPr>
        <w:t xml:space="preserve">Isabelle CLEMENT-NISSOU (Mrs.), Policy Officer - Unité E2, Plant Reproductive Material Sector, Direction Générale Santé et Protection des Consommateurs, Commission européenne (DG SANCO), Bruxelles </w:t>
      </w:r>
    </w:p>
    <w:p w:rsidR="00844F30" w:rsidRPr="00AB63DB" w:rsidRDefault="00844F30" w:rsidP="00844F30">
      <w:pPr>
        <w:rPr>
          <w:rFonts w:cs="Arial"/>
          <w:lang w:eastAsia="zh-CN"/>
        </w:rPr>
      </w:pPr>
      <w:r w:rsidRPr="00AB63DB">
        <w:rPr>
          <w:rFonts w:cs="Arial"/>
          <w:lang w:eastAsia="zh-CN"/>
        </w:rPr>
        <w:t xml:space="preserve">(e-mail: isabelle.clement-nissou@ec.europa.eu)  </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Martin EKVAD, President, Community Plant Variety Office (CPVO), Angers (e-mail: ekvad@cpvo.europa.eu)</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 xml:space="preserve">Carlos GODINHO, Vice-President, Community Plant Variety Office (CPVO), Angers </w:t>
      </w:r>
    </w:p>
    <w:p w:rsidR="00844F30" w:rsidRPr="00AB63DB" w:rsidRDefault="00844F30" w:rsidP="00844F30">
      <w:pPr>
        <w:rPr>
          <w:rFonts w:cs="Arial"/>
          <w:lang w:eastAsia="zh-CN"/>
        </w:rPr>
      </w:pPr>
      <w:r w:rsidRPr="00AB63DB">
        <w:rPr>
          <w:rFonts w:cs="Arial"/>
          <w:lang w:eastAsia="zh-CN"/>
        </w:rPr>
        <w:t xml:space="preserve">(e-mail: godinho@cpvo.europa.eu)  </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Francesco MATTINA, Head of Legal Unit, Community Plant Variety Office (CPVO), Angers</w:t>
      </w:r>
    </w:p>
    <w:p w:rsidR="00844F30" w:rsidRPr="00AB63DB" w:rsidRDefault="00844F30" w:rsidP="00844F30">
      <w:pPr>
        <w:rPr>
          <w:rFonts w:cs="Arial"/>
          <w:lang w:eastAsia="zh-CN"/>
        </w:rPr>
      </w:pPr>
      <w:r w:rsidRPr="00AB63DB">
        <w:rPr>
          <w:rFonts w:cs="Arial"/>
          <w:lang w:eastAsia="zh-CN"/>
        </w:rPr>
        <w:t xml:space="preserve">(e-mail: mattina@cpvo.europa.eu)  </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Antonella ZAPPIA (Ms.), Intern, Delegation of the European Union to the United Nations in Geneva, Geneva (e-mail: Antonella.Zappia@eeas.europa.eu)</w:t>
      </w:r>
    </w:p>
    <w:p w:rsidR="00844F30" w:rsidRPr="00AB63DB" w:rsidRDefault="00844F30" w:rsidP="00844F30">
      <w:pPr>
        <w:rPr>
          <w:rFonts w:cs="Arial"/>
          <w:lang w:eastAsia="zh-CN"/>
        </w:rPr>
      </w:pPr>
    </w:p>
    <w:p w:rsidR="00844F30" w:rsidRPr="00AB63DB" w:rsidRDefault="00844F30" w:rsidP="00844F30">
      <w:pPr>
        <w:rPr>
          <w:rFonts w:cs="Arial"/>
          <w:lang w:eastAsia="zh-CN"/>
        </w:rPr>
      </w:pPr>
    </w:p>
    <w:p w:rsidR="00844F30" w:rsidRPr="00055396" w:rsidRDefault="00844F30" w:rsidP="00844F30">
      <w:pPr>
        <w:jc w:val="center"/>
        <w:rPr>
          <w:rFonts w:cs="Arial"/>
          <w:u w:val="single"/>
          <w:lang w:val="fr-CH" w:eastAsia="zh-CN"/>
        </w:rPr>
      </w:pPr>
      <w:r w:rsidRPr="00055396">
        <w:rPr>
          <w:rFonts w:cs="Arial"/>
          <w:lang w:val="fr-CH" w:eastAsia="zh-CN"/>
        </w:rPr>
        <w:t>II.</w:t>
      </w:r>
      <w:r w:rsidRPr="00055396">
        <w:rPr>
          <w:rFonts w:cs="Arial"/>
          <w:lang w:val="fr-CH" w:eastAsia="zh-CN"/>
        </w:rPr>
        <w:tab/>
      </w:r>
      <w:r w:rsidRPr="00055396">
        <w:rPr>
          <w:rFonts w:cs="Arial"/>
          <w:u w:val="single"/>
          <w:lang w:val="fr-CH" w:eastAsia="zh-CN"/>
        </w:rPr>
        <w:t>OBSERVATEURS / OBSERVERS / BEOBACHTER / OBSERVADORES</w:t>
      </w:r>
    </w:p>
    <w:p w:rsidR="00844F30" w:rsidRPr="00055396" w:rsidRDefault="00844F30" w:rsidP="00844F30">
      <w:pPr>
        <w:rPr>
          <w:rFonts w:cs="Arial"/>
          <w:lang w:val="fr-CH" w:eastAsia="zh-CN"/>
        </w:rPr>
      </w:pPr>
    </w:p>
    <w:p w:rsidR="00844F30" w:rsidRPr="00055396" w:rsidRDefault="00844F30" w:rsidP="00844F30">
      <w:pPr>
        <w:rPr>
          <w:rFonts w:cs="Arial"/>
          <w:u w:val="single"/>
          <w:lang w:val="fr-CH" w:eastAsia="zh-CN"/>
        </w:rPr>
      </w:pPr>
      <w:r w:rsidRPr="00055396">
        <w:rPr>
          <w:rFonts w:cs="Arial"/>
          <w:u w:val="single"/>
          <w:lang w:val="fr-CH" w:eastAsia="zh-CN"/>
        </w:rPr>
        <w:t>ÉGYPTE / EGYPT / ÄGYPTEN / EGIPTO</w:t>
      </w:r>
    </w:p>
    <w:p w:rsidR="00844F30" w:rsidRPr="00055396" w:rsidRDefault="00844F30" w:rsidP="00844F30">
      <w:pPr>
        <w:rPr>
          <w:rFonts w:cs="Arial"/>
          <w:lang w:val="fr-CH" w:eastAsia="zh-CN"/>
        </w:rPr>
      </w:pPr>
    </w:p>
    <w:p w:rsidR="00844F30" w:rsidRPr="00AB63DB" w:rsidRDefault="00844F30" w:rsidP="00844F30">
      <w:pPr>
        <w:rPr>
          <w:rFonts w:cs="Arial"/>
          <w:lang w:eastAsia="zh-CN"/>
        </w:rPr>
      </w:pPr>
      <w:r w:rsidRPr="00AB63DB">
        <w:rPr>
          <w:rFonts w:cs="Arial"/>
          <w:lang w:eastAsia="zh-CN"/>
        </w:rPr>
        <w:t xml:space="preserve">Samy Hamed EL DEIB SALLAM, Head, Technical Secretary of Variety Registration Committee, Central Administration for Seed Certification (CASC), Giza (e-mail: sllamsamy@yahoo.com) </w:t>
      </w:r>
    </w:p>
    <w:p w:rsidR="00844F30" w:rsidRPr="00AB63DB" w:rsidRDefault="00844F30" w:rsidP="00844F30">
      <w:pPr>
        <w:rPr>
          <w:rFonts w:cs="Arial"/>
          <w:lang w:eastAsia="zh-CN"/>
        </w:rPr>
      </w:pPr>
    </w:p>
    <w:p w:rsidR="00844F30" w:rsidRPr="00AB63DB" w:rsidRDefault="00844F30" w:rsidP="00844F30">
      <w:pPr>
        <w:keepNext/>
        <w:rPr>
          <w:rFonts w:cs="Arial"/>
          <w:u w:val="single"/>
          <w:lang w:eastAsia="zh-CN"/>
        </w:rPr>
      </w:pPr>
      <w:r w:rsidRPr="00AB63DB">
        <w:rPr>
          <w:rFonts w:cs="Arial"/>
          <w:u w:val="single"/>
          <w:lang w:eastAsia="zh-CN"/>
        </w:rPr>
        <w:t>THAÏLANDE / THAILAND / THAILAND / TAILANDIA</w:t>
      </w:r>
    </w:p>
    <w:p w:rsidR="00844F30" w:rsidRPr="00AB63DB" w:rsidRDefault="00844F30" w:rsidP="00844F30">
      <w:pPr>
        <w:rPr>
          <w:rFonts w:cs="Arial"/>
          <w:lang w:eastAsia="zh-CN"/>
        </w:rPr>
      </w:pPr>
    </w:p>
    <w:p w:rsidR="00844F30" w:rsidRPr="00AB63DB" w:rsidRDefault="00844F30" w:rsidP="00844F30">
      <w:pPr>
        <w:keepNext/>
        <w:rPr>
          <w:rFonts w:cs="Arial"/>
          <w:lang w:eastAsia="zh-CN"/>
        </w:rPr>
      </w:pPr>
      <w:r w:rsidRPr="00AB63DB">
        <w:rPr>
          <w:rFonts w:cs="Arial"/>
          <w:lang w:eastAsia="zh-CN"/>
        </w:rPr>
        <w:t xml:space="preserve">Sudkhet BORIBOONSRI, Counsellor, Permanent Mission of Thailand to the World Trade Organization (WTO), Genève (e-mail: sudkhet@thaiwto.com)  </w:t>
      </w:r>
    </w:p>
    <w:p w:rsidR="00844F30" w:rsidRPr="00AB63DB" w:rsidRDefault="00844F30" w:rsidP="00844F30">
      <w:pPr>
        <w:rPr>
          <w:rFonts w:cs="Arial"/>
          <w:lang w:eastAsia="zh-CN"/>
        </w:rPr>
      </w:pPr>
    </w:p>
    <w:p w:rsidR="00844F30" w:rsidRPr="00AB63DB" w:rsidRDefault="00844F30" w:rsidP="00844F30">
      <w:pPr>
        <w:jc w:val="center"/>
        <w:rPr>
          <w:rFonts w:cs="Arial"/>
          <w:lang w:eastAsia="zh-CN"/>
        </w:rPr>
      </w:pPr>
    </w:p>
    <w:p w:rsidR="00844F30" w:rsidRPr="00AB63DB" w:rsidRDefault="00844F30" w:rsidP="00844F30">
      <w:pPr>
        <w:jc w:val="left"/>
        <w:rPr>
          <w:rFonts w:cs="Arial"/>
          <w:lang w:eastAsia="zh-CN"/>
        </w:rPr>
      </w:pPr>
      <w:r w:rsidRPr="00AB63DB">
        <w:rPr>
          <w:rFonts w:cs="Arial"/>
          <w:lang w:eastAsia="zh-CN"/>
        </w:rPr>
        <w:br w:type="page"/>
      </w:r>
    </w:p>
    <w:p w:rsidR="00844F30" w:rsidRPr="00AB63DB" w:rsidRDefault="00844F30" w:rsidP="00844F30">
      <w:pPr>
        <w:jc w:val="center"/>
        <w:rPr>
          <w:rFonts w:cs="Arial"/>
          <w:lang w:eastAsia="zh-CN"/>
        </w:rPr>
      </w:pPr>
      <w:r w:rsidRPr="00AB63DB">
        <w:rPr>
          <w:rFonts w:cs="Arial"/>
          <w:lang w:eastAsia="zh-CN"/>
        </w:rPr>
        <w:lastRenderedPageBreak/>
        <w:t>III</w:t>
      </w:r>
      <w:r w:rsidRPr="00AB63DB">
        <w:rPr>
          <w:rFonts w:cs="Arial"/>
          <w:lang w:eastAsia="zh-CN"/>
        </w:rPr>
        <w:tab/>
      </w:r>
      <w:r w:rsidRPr="00AB63DB">
        <w:rPr>
          <w:rFonts w:cs="Arial"/>
          <w:u w:val="single"/>
          <w:lang w:eastAsia="zh-CN"/>
        </w:rPr>
        <w:t>ORGANISATIONS / ORGANIZATIONS / ORGANISATIONEN / ORGANIZACIONES</w:t>
      </w:r>
    </w:p>
    <w:p w:rsidR="00844F30" w:rsidRPr="00AB63DB" w:rsidRDefault="00844F30" w:rsidP="00844F30">
      <w:pPr>
        <w:rPr>
          <w:rFonts w:cs="Arial"/>
          <w:lang w:eastAsia="zh-CN"/>
        </w:rPr>
      </w:pPr>
    </w:p>
    <w:p w:rsidR="00844F30" w:rsidRPr="00AB63DB" w:rsidRDefault="00844F30" w:rsidP="00844F30">
      <w:pPr>
        <w:rPr>
          <w:rFonts w:cs="Arial"/>
          <w:u w:val="single"/>
          <w:lang w:eastAsia="zh-CN"/>
        </w:rPr>
      </w:pPr>
      <w:r w:rsidRPr="00AB63DB">
        <w:rPr>
          <w:rFonts w:cs="Arial"/>
          <w:u w:val="single"/>
          <w:lang w:eastAsia="zh-CN"/>
        </w:rPr>
        <w:t>ASSOCIATION FOR PLANT BREEDING FOR THE BENEFIT OF SOCIETY (APBREBES)</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Susanne GURA (Ms.), APBREBES Coordinator, Bonn (gura@dinse.net)</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 xml:space="preserve">François MEIENBERG, Board Member, Bonn (e-mail: food@evb.ch)  </w:t>
      </w:r>
    </w:p>
    <w:p w:rsidR="00844F30" w:rsidRPr="00AB63DB" w:rsidRDefault="00844F30" w:rsidP="00844F30">
      <w:pPr>
        <w:rPr>
          <w:rFonts w:cs="Arial"/>
          <w:lang w:eastAsia="zh-CN"/>
        </w:rPr>
      </w:pPr>
    </w:p>
    <w:p w:rsidR="00844F30" w:rsidRPr="00AB63DB" w:rsidRDefault="00844F30" w:rsidP="00844F30">
      <w:pPr>
        <w:keepNext/>
        <w:rPr>
          <w:rFonts w:cs="Arial"/>
          <w:u w:val="single"/>
          <w:lang w:eastAsia="zh-CN"/>
        </w:rPr>
      </w:pPr>
      <w:r w:rsidRPr="00AB63DB">
        <w:rPr>
          <w:rFonts w:cs="Arial"/>
          <w:u w:val="single"/>
          <w:lang w:eastAsia="zh-CN"/>
        </w:rPr>
        <w:t>SOUTH CENTRE</w:t>
      </w:r>
    </w:p>
    <w:p w:rsidR="00844F30" w:rsidRPr="00AB63DB" w:rsidRDefault="00844F30" w:rsidP="00844F30">
      <w:pPr>
        <w:keepNext/>
        <w:rPr>
          <w:rFonts w:cs="Arial"/>
          <w:lang w:eastAsia="zh-CN"/>
        </w:rPr>
      </w:pPr>
    </w:p>
    <w:p w:rsidR="00844F30" w:rsidRPr="00AB63DB" w:rsidRDefault="00844F30" w:rsidP="00844F30">
      <w:pPr>
        <w:keepNext/>
        <w:rPr>
          <w:rFonts w:cs="Arial"/>
          <w:lang w:eastAsia="zh-CN"/>
        </w:rPr>
      </w:pPr>
      <w:r w:rsidRPr="00AB63DB">
        <w:rPr>
          <w:rFonts w:cs="Arial"/>
          <w:lang w:eastAsia="zh-CN"/>
        </w:rPr>
        <w:t xml:space="preserve">Nirmalya SYAM, Programme Officer, Innovation and Access to Knowledge Programme, Genève </w:t>
      </w:r>
    </w:p>
    <w:p w:rsidR="00844F30" w:rsidRPr="00AB63DB" w:rsidRDefault="00844F30" w:rsidP="00844F30">
      <w:pPr>
        <w:keepNext/>
        <w:rPr>
          <w:rFonts w:cs="Arial"/>
          <w:lang w:eastAsia="zh-CN"/>
        </w:rPr>
      </w:pPr>
      <w:r w:rsidRPr="00AB63DB">
        <w:rPr>
          <w:rFonts w:cs="Arial"/>
          <w:lang w:eastAsia="zh-CN"/>
        </w:rPr>
        <w:t xml:space="preserve">(e-mail: syam@southcentre.int) </w:t>
      </w:r>
    </w:p>
    <w:p w:rsidR="00844F30" w:rsidRPr="00AB63DB" w:rsidRDefault="00844F30" w:rsidP="00844F30">
      <w:pPr>
        <w:keepNext/>
        <w:rPr>
          <w:rFonts w:cs="Arial"/>
          <w:lang w:eastAsia="zh-CN"/>
        </w:rPr>
      </w:pPr>
    </w:p>
    <w:p w:rsidR="00844F30" w:rsidRPr="00AB63DB" w:rsidRDefault="00844F30" w:rsidP="00844F30">
      <w:pPr>
        <w:keepNext/>
        <w:rPr>
          <w:rFonts w:cs="Arial"/>
          <w:lang w:eastAsia="zh-CN"/>
        </w:rPr>
      </w:pPr>
      <w:r w:rsidRPr="00AB63DB">
        <w:rPr>
          <w:rFonts w:cs="Arial"/>
          <w:lang w:eastAsia="zh-CN"/>
        </w:rPr>
        <w:t xml:space="preserve">Emmanuel K. OKE, Intern, Innovation and Access to Knowledge Programme, Genève </w:t>
      </w:r>
    </w:p>
    <w:p w:rsidR="00844F30" w:rsidRPr="00055396" w:rsidRDefault="00844F30" w:rsidP="00844F30">
      <w:pPr>
        <w:keepNext/>
        <w:rPr>
          <w:rFonts w:cs="Arial"/>
          <w:lang w:val="fr-CH" w:eastAsia="zh-CN"/>
        </w:rPr>
      </w:pPr>
      <w:r w:rsidRPr="00055396">
        <w:rPr>
          <w:rFonts w:cs="Arial"/>
          <w:lang w:val="fr-CH" w:eastAsia="zh-CN"/>
        </w:rPr>
        <w:t xml:space="preserve">(e-mail: oke@southcentre.int)  </w:t>
      </w:r>
    </w:p>
    <w:p w:rsidR="00844F30" w:rsidRPr="00055396" w:rsidRDefault="00844F30" w:rsidP="00844F30">
      <w:pPr>
        <w:keepNext/>
        <w:rPr>
          <w:rFonts w:cs="Arial"/>
          <w:lang w:val="fr-CH" w:eastAsia="zh-CN"/>
        </w:rPr>
      </w:pPr>
    </w:p>
    <w:p w:rsidR="00844F30" w:rsidRPr="00055396" w:rsidRDefault="00844F30" w:rsidP="00844F30">
      <w:pPr>
        <w:keepNext/>
        <w:rPr>
          <w:rFonts w:cs="Arial"/>
          <w:lang w:val="fr-CH" w:eastAsia="zh-CN"/>
        </w:rPr>
      </w:pPr>
      <w:r w:rsidRPr="00055396">
        <w:rPr>
          <w:rFonts w:cs="Arial"/>
          <w:lang w:val="fr-CH" w:eastAsia="zh-CN"/>
        </w:rPr>
        <w:t xml:space="preserve">Bertram ZAGEMA, Consultant, Genève (e-mail: bzagema@yahoo.com)  </w:t>
      </w:r>
    </w:p>
    <w:p w:rsidR="00844F30" w:rsidRPr="00055396" w:rsidRDefault="00844F30" w:rsidP="00844F30">
      <w:pPr>
        <w:keepNext/>
        <w:rPr>
          <w:rFonts w:cs="Arial"/>
          <w:lang w:val="fr-CH" w:eastAsia="zh-CN"/>
        </w:rPr>
      </w:pPr>
    </w:p>
    <w:p w:rsidR="00844F30" w:rsidRPr="00055396" w:rsidRDefault="00844F30" w:rsidP="00844F30">
      <w:pPr>
        <w:keepNext/>
        <w:keepLines/>
        <w:rPr>
          <w:rFonts w:cs="Arial"/>
          <w:u w:val="single"/>
          <w:lang w:val="fr-CH" w:eastAsia="zh-CN"/>
        </w:rPr>
      </w:pPr>
      <w:r w:rsidRPr="00055396">
        <w:rPr>
          <w:rFonts w:cs="Arial"/>
          <w:u w:val="single"/>
          <w:lang w:val="fr-CH" w:eastAsia="zh-CN"/>
        </w:rPr>
        <w:t>ASSOCIATION INTERNATIONALE DES PRODUCTEURS HORTICOLES (AIPH) / INTERNATIONAL ASSOCIATION OF HORTICULTURAL PRODUCERS (AIPH) / INTERNATIONALER VERBAND DES ERWERBSGARTENBAUES (AIPH) / ASOCIACIÓN INTERNACIONAL DE PRODUCTORES HORTÍCOLAS (AIPH)</w:t>
      </w:r>
    </w:p>
    <w:p w:rsidR="00844F30" w:rsidRPr="00055396" w:rsidRDefault="00844F30" w:rsidP="00844F30">
      <w:pPr>
        <w:rPr>
          <w:rFonts w:cs="Arial"/>
          <w:lang w:val="fr-CH" w:eastAsia="zh-CN"/>
        </w:rPr>
      </w:pPr>
    </w:p>
    <w:p w:rsidR="00844F30" w:rsidRPr="00AB63DB" w:rsidRDefault="00844F30" w:rsidP="00844F30">
      <w:pPr>
        <w:rPr>
          <w:rFonts w:cs="Arial"/>
          <w:lang w:eastAsia="zh-CN"/>
        </w:rPr>
      </w:pPr>
      <w:r w:rsidRPr="00AB63DB">
        <w:rPr>
          <w:rFonts w:cs="Arial"/>
          <w:lang w:eastAsia="zh-CN"/>
        </w:rPr>
        <w:t xml:space="preserve">Mia BUMA (Mrs.), Secretary, Committee for Novelty Protection, International Association of Horticultural Producers (AIPH), Reading (e-mail: info@miabuma.nl)  </w:t>
      </w:r>
    </w:p>
    <w:p w:rsidR="00844F30" w:rsidRPr="00AB63DB" w:rsidRDefault="00844F30" w:rsidP="00844F30">
      <w:pPr>
        <w:rPr>
          <w:rFonts w:cs="Arial"/>
          <w:u w:val="single"/>
          <w:lang w:eastAsia="zh-CN"/>
        </w:rPr>
      </w:pPr>
    </w:p>
    <w:p w:rsidR="00844F30" w:rsidRPr="0023456F" w:rsidRDefault="00844F30" w:rsidP="00844F30">
      <w:pPr>
        <w:rPr>
          <w:rFonts w:cs="Arial"/>
          <w:u w:val="single"/>
          <w:lang w:val="es-ES_tradnl" w:eastAsia="zh-CN"/>
        </w:rPr>
      </w:pPr>
      <w:r w:rsidRPr="0023456F">
        <w:rPr>
          <w:rFonts w:cs="Arial"/>
          <w:u w:val="single"/>
          <w:lang w:val="es-ES_tradnl" w:eastAsia="zh-CN"/>
        </w:rPr>
        <w:t>COMMUNAUTÉ INTERNATIONALE DES OBTENTEURS DE PLANTES ORNEMENTALES ET FRUITIÈRES À REPRODUCTION ASEXUÉE (CIOPORA) / INTERNATIONAL COMMUNITY  OF BREEDERS OF ASEXUALLY REPRODUCED ORNAMENTAL AND FRUIT VARIETIES (CIOPORA) / INTERNATIONALE GEMEINSCHAFT DER ZÜCHTER VEGETATIV VERMEHRBARER ZIERUND OBSTPFLANZEN (CIOPORA) / COMUNIDAD INTERNACIONAL DE OBTENTORES DE VARIEDADES ORNAMENTALES Y FRUTALES DE REPRODUCCIÓN ASEXUADA (CIOPORA)</w:t>
      </w:r>
    </w:p>
    <w:p w:rsidR="00844F30" w:rsidRPr="0023456F" w:rsidRDefault="00844F30" w:rsidP="00844F30">
      <w:pPr>
        <w:rPr>
          <w:rFonts w:cs="Arial"/>
          <w:lang w:val="es-ES_tradnl" w:eastAsia="zh-CN"/>
        </w:rPr>
      </w:pPr>
    </w:p>
    <w:p w:rsidR="00844F30" w:rsidRPr="00AB63DB" w:rsidRDefault="00844F30" w:rsidP="00844F30">
      <w:pPr>
        <w:rPr>
          <w:rFonts w:cs="Arial"/>
          <w:lang w:eastAsia="zh-CN"/>
        </w:rPr>
      </w:pPr>
      <w:r w:rsidRPr="00AB63DB">
        <w:rPr>
          <w:rFonts w:cs="Arial"/>
          <w:lang w:eastAsia="zh-CN"/>
        </w:rPr>
        <w:t>Edgar KRIEGER, Secretary General, Hamburg (e-mail: info@ciopora.org)</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 xml:space="preserve">Yael Victoria MIARA (Mrs.), IPR Manager, Grapa Varieties Ltd, Zichron Yaakov (e-mail: ered@grapaes.com)  </w:t>
      </w:r>
    </w:p>
    <w:p w:rsidR="00844F30" w:rsidRPr="00AB63DB" w:rsidRDefault="00844F30" w:rsidP="00844F30">
      <w:pPr>
        <w:rPr>
          <w:rFonts w:cs="Arial"/>
          <w:lang w:eastAsia="zh-CN"/>
        </w:rPr>
      </w:pPr>
    </w:p>
    <w:p w:rsidR="00844F30" w:rsidRPr="00055396" w:rsidRDefault="00844F30" w:rsidP="00844F30">
      <w:pPr>
        <w:rPr>
          <w:rFonts w:cs="Arial"/>
          <w:u w:val="single"/>
          <w:lang w:val="fr-CH" w:eastAsia="zh-CN"/>
        </w:rPr>
      </w:pPr>
      <w:r w:rsidRPr="00055396">
        <w:rPr>
          <w:rFonts w:cs="Arial"/>
          <w:u w:val="single"/>
          <w:lang w:val="fr-CH" w:eastAsia="zh-CN"/>
        </w:rPr>
        <w:t>CROPLIFE INTERNATIONAL</w:t>
      </w:r>
    </w:p>
    <w:p w:rsidR="00844F30" w:rsidRPr="00055396" w:rsidRDefault="00844F30" w:rsidP="00844F30">
      <w:pPr>
        <w:rPr>
          <w:rFonts w:cs="Arial"/>
          <w:lang w:val="fr-CH" w:eastAsia="zh-CN"/>
        </w:rPr>
      </w:pPr>
    </w:p>
    <w:p w:rsidR="00844F30" w:rsidRPr="00055396" w:rsidRDefault="00844F30" w:rsidP="00844F30">
      <w:pPr>
        <w:rPr>
          <w:rFonts w:cs="Arial"/>
          <w:lang w:val="fr-CH" w:eastAsia="zh-CN"/>
        </w:rPr>
      </w:pPr>
      <w:r w:rsidRPr="00055396">
        <w:rPr>
          <w:rFonts w:cs="Arial"/>
          <w:lang w:val="fr-CH" w:eastAsia="zh-CN"/>
        </w:rPr>
        <w:t xml:space="preserve">Marcel BRUINS, Consultant, CropLife International, Bruxelles (e-mail: mbruins1964@gmail.com)  </w:t>
      </w:r>
    </w:p>
    <w:p w:rsidR="00844F30" w:rsidRPr="00055396" w:rsidRDefault="00844F30" w:rsidP="00844F30">
      <w:pPr>
        <w:rPr>
          <w:rFonts w:cs="Arial"/>
          <w:lang w:val="fr-CH" w:eastAsia="zh-CN"/>
        </w:rPr>
      </w:pPr>
    </w:p>
    <w:p w:rsidR="00844F30" w:rsidRPr="00055396" w:rsidRDefault="00844F30" w:rsidP="00844F30">
      <w:pPr>
        <w:keepNext/>
        <w:rPr>
          <w:rFonts w:cs="Arial"/>
          <w:u w:val="single"/>
          <w:lang w:val="fr-CH" w:eastAsia="zh-CN"/>
        </w:rPr>
      </w:pPr>
      <w:r w:rsidRPr="00055396">
        <w:rPr>
          <w:rFonts w:cs="Arial"/>
          <w:u w:val="single"/>
          <w:lang w:val="fr-CH" w:eastAsia="zh-CN"/>
        </w:rPr>
        <w:t>EUROPEAN SEED ASSOCIATION (ESA)</w:t>
      </w:r>
    </w:p>
    <w:p w:rsidR="00844F30" w:rsidRPr="00055396" w:rsidRDefault="00844F30" w:rsidP="00844F30">
      <w:pPr>
        <w:keepNext/>
        <w:rPr>
          <w:rFonts w:cs="Arial"/>
          <w:lang w:val="fr-CH" w:eastAsia="zh-CN"/>
        </w:rPr>
      </w:pPr>
    </w:p>
    <w:p w:rsidR="00844F30" w:rsidRPr="00055396" w:rsidRDefault="00844F30" w:rsidP="00844F30">
      <w:pPr>
        <w:keepNext/>
        <w:rPr>
          <w:rFonts w:cs="Arial"/>
          <w:lang w:val="fr-CH" w:eastAsia="zh-CN"/>
        </w:rPr>
      </w:pPr>
      <w:r w:rsidRPr="00055396">
        <w:rPr>
          <w:rFonts w:cs="Arial"/>
          <w:lang w:val="fr-CH" w:eastAsia="zh-CN"/>
        </w:rPr>
        <w:t>Bert SCHOLTE, Technical Director, Bruxelles (email: bertscholte@euroseeds.eu)</w:t>
      </w:r>
    </w:p>
    <w:p w:rsidR="00844F30" w:rsidRPr="00055396" w:rsidRDefault="00844F30" w:rsidP="00844F30">
      <w:pPr>
        <w:keepNext/>
        <w:rPr>
          <w:rFonts w:cs="Arial"/>
          <w:lang w:val="fr-CH" w:eastAsia="zh-CN"/>
        </w:rPr>
      </w:pPr>
    </w:p>
    <w:p w:rsidR="00844F30" w:rsidRPr="00055396" w:rsidRDefault="00844F30" w:rsidP="00844F30">
      <w:pPr>
        <w:keepNext/>
        <w:rPr>
          <w:rFonts w:cs="Arial"/>
          <w:lang w:val="fr-CH" w:eastAsia="zh-CN"/>
        </w:rPr>
      </w:pPr>
      <w:r w:rsidRPr="00055396">
        <w:rPr>
          <w:rFonts w:cs="Arial"/>
          <w:lang w:val="fr-CH" w:eastAsia="zh-CN"/>
        </w:rPr>
        <w:t xml:space="preserve">Christiane DUCHENE (Mrs.), IP and Seed Regulation Director, Limagrain, Bruxelles </w:t>
      </w:r>
    </w:p>
    <w:p w:rsidR="00844F30" w:rsidRPr="00AB63DB" w:rsidRDefault="00844F30" w:rsidP="00844F30">
      <w:pPr>
        <w:keepNext/>
        <w:rPr>
          <w:rFonts w:cs="Arial"/>
          <w:lang w:eastAsia="zh-CN"/>
        </w:rPr>
      </w:pPr>
      <w:r w:rsidRPr="00AB63DB">
        <w:rPr>
          <w:rFonts w:cs="Arial"/>
          <w:lang w:eastAsia="zh-CN"/>
        </w:rPr>
        <w:t xml:space="preserve">(e-mail: christiane.duchene@limagrain.com)  </w:t>
      </w:r>
    </w:p>
    <w:p w:rsidR="00844F30" w:rsidRPr="00AB63DB" w:rsidRDefault="00844F30" w:rsidP="00844F30">
      <w:pPr>
        <w:keepNext/>
        <w:rPr>
          <w:rFonts w:cs="Arial"/>
          <w:lang w:eastAsia="zh-CN"/>
        </w:rPr>
      </w:pPr>
    </w:p>
    <w:p w:rsidR="00844F30" w:rsidRPr="00AB63DB" w:rsidRDefault="00844F30" w:rsidP="00844F30">
      <w:pPr>
        <w:keepNext/>
        <w:rPr>
          <w:rFonts w:cs="Arial"/>
          <w:lang w:eastAsia="zh-CN"/>
        </w:rPr>
      </w:pPr>
      <w:r w:rsidRPr="00AB63DB">
        <w:rPr>
          <w:rFonts w:cs="Arial"/>
          <w:lang w:eastAsia="zh-CN"/>
        </w:rPr>
        <w:t xml:space="preserve">Christina DIMOPOULOU, Interim Junior Lawyer, Bruxelles (e-mail: dimopoulou@euroseeds.eu)  </w:t>
      </w:r>
    </w:p>
    <w:p w:rsidR="00844F30" w:rsidRPr="00AB63DB" w:rsidRDefault="00844F30" w:rsidP="00844F30">
      <w:pPr>
        <w:rPr>
          <w:rFonts w:cs="Arial"/>
          <w:u w:val="single"/>
          <w:lang w:eastAsia="zh-CN"/>
        </w:rPr>
      </w:pPr>
    </w:p>
    <w:p w:rsidR="00844F30" w:rsidRPr="00AB63DB" w:rsidRDefault="00844F30" w:rsidP="00844F30">
      <w:pPr>
        <w:rPr>
          <w:rFonts w:cs="Arial"/>
          <w:u w:val="single"/>
          <w:lang w:eastAsia="zh-CN"/>
        </w:rPr>
      </w:pPr>
      <w:r w:rsidRPr="00AB63DB">
        <w:rPr>
          <w:rFonts w:cs="Arial"/>
          <w:u w:val="single"/>
          <w:lang w:eastAsia="zh-CN"/>
        </w:rPr>
        <w:t>INTERNATIONAL SEED FEDERATION (ISF)</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 xml:space="preserve">Michael KELLER, Secretary General, Nyon (e-mail: m.keller@worldseed.org) </w:t>
      </w:r>
    </w:p>
    <w:p w:rsidR="00844F30" w:rsidRPr="00AB63DB" w:rsidRDefault="00844F30" w:rsidP="00844F30">
      <w:pPr>
        <w:rPr>
          <w:rFonts w:cs="Arial"/>
          <w:lang w:eastAsia="zh-CN"/>
        </w:rPr>
      </w:pPr>
    </w:p>
    <w:p w:rsidR="00844F30" w:rsidRPr="00055396" w:rsidRDefault="00844F30" w:rsidP="00844F30">
      <w:pPr>
        <w:rPr>
          <w:rFonts w:cs="Arial"/>
          <w:lang w:val="fr-CH" w:eastAsia="zh-CN"/>
        </w:rPr>
      </w:pPr>
      <w:r w:rsidRPr="00055396">
        <w:rPr>
          <w:rFonts w:cs="Arial"/>
          <w:lang w:val="fr-CH" w:eastAsia="zh-CN"/>
        </w:rPr>
        <w:t>Hélène GUILLOT (Mlle), Juriste, Union Française des Semenciers (UFS), Paris</w:t>
      </w:r>
    </w:p>
    <w:p w:rsidR="00844F30" w:rsidRPr="00AB63DB" w:rsidRDefault="00844F30" w:rsidP="00844F30">
      <w:pPr>
        <w:rPr>
          <w:rFonts w:cs="Arial"/>
          <w:lang w:eastAsia="zh-CN"/>
        </w:rPr>
      </w:pPr>
      <w:r w:rsidRPr="00AB63DB">
        <w:rPr>
          <w:rFonts w:cs="Arial"/>
          <w:lang w:eastAsia="zh-CN"/>
        </w:rPr>
        <w:t xml:space="preserve">(e-mail: helene.guillot@ufs-asso.com)  </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Michael ROTH, Executive Vice-President &amp; General Counsel, Arvegenix LLC, St. Louis</w:t>
      </w:r>
    </w:p>
    <w:p w:rsidR="00844F30" w:rsidRPr="00AB63DB" w:rsidRDefault="00844F30" w:rsidP="00844F30">
      <w:pPr>
        <w:rPr>
          <w:rFonts w:cs="Arial"/>
          <w:lang w:eastAsia="zh-CN"/>
        </w:rPr>
      </w:pPr>
      <w:r w:rsidRPr="00AB63DB">
        <w:rPr>
          <w:rFonts w:cs="Arial"/>
          <w:lang w:eastAsia="zh-CN"/>
        </w:rPr>
        <w:t>(e-mail: seed.law@gmail.com)</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 xml:space="preserve">Astrid M. SCHENKEVELD (Mrs.), Specialist, Variety Registration &amp; Protection, Rijk Zwaan Zaadteelt en Zaadhandel B.V., De Lier (e-mail: a.schenkeveld@rijkzwaan.nl)  </w:t>
      </w:r>
    </w:p>
    <w:p w:rsidR="00844F30" w:rsidRPr="00AB63DB" w:rsidRDefault="00844F30" w:rsidP="00844F30">
      <w:pPr>
        <w:keepNext/>
        <w:rPr>
          <w:rFonts w:cs="Arial"/>
          <w:u w:val="single"/>
          <w:lang w:eastAsia="zh-CN"/>
        </w:rPr>
      </w:pPr>
      <w:r w:rsidRPr="00AB63DB">
        <w:rPr>
          <w:rFonts w:cs="Arial"/>
          <w:u w:val="single"/>
          <w:lang w:eastAsia="zh-CN"/>
        </w:rPr>
        <w:lastRenderedPageBreak/>
        <w:t>SEED ASSOCIATION OF THE AMERICAS (SAA)</w:t>
      </w:r>
    </w:p>
    <w:p w:rsidR="00844F30" w:rsidRPr="00AB63DB" w:rsidRDefault="00844F30" w:rsidP="00844F30">
      <w:pPr>
        <w:keepNext/>
        <w:rPr>
          <w:rFonts w:cs="Arial"/>
          <w:lang w:eastAsia="zh-CN"/>
        </w:rPr>
      </w:pPr>
    </w:p>
    <w:p w:rsidR="00844F30" w:rsidRPr="00AB63DB" w:rsidRDefault="00844F30" w:rsidP="00844F30">
      <w:pPr>
        <w:keepNext/>
        <w:rPr>
          <w:rFonts w:cs="Arial"/>
          <w:lang w:eastAsia="zh-CN"/>
        </w:rPr>
      </w:pPr>
      <w:r w:rsidRPr="00AB63DB">
        <w:rPr>
          <w:rFonts w:cs="Arial"/>
          <w:lang w:eastAsia="zh-CN"/>
        </w:rPr>
        <w:t>Diego RISSO, Secretary General, Montevideo (e-mail: drisso@saaseed.org)</w:t>
      </w:r>
    </w:p>
    <w:p w:rsidR="00844F30" w:rsidRPr="00AB63DB" w:rsidRDefault="00844F30" w:rsidP="00844F30">
      <w:pPr>
        <w:keepNext/>
        <w:adjustRightInd w:val="0"/>
        <w:jc w:val="center"/>
        <w:rPr>
          <w:rFonts w:cs="Arial"/>
        </w:rPr>
      </w:pPr>
    </w:p>
    <w:p w:rsidR="00844F30" w:rsidRPr="00AB63DB" w:rsidRDefault="00844F30" w:rsidP="00844F30">
      <w:pPr>
        <w:keepNext/>
        <w:adjustRightInd w:val="0"/>
        <w:jc w:val="center"/>
        <w:rPr>
          <w:rFonts w:cs="Arial"/>
        </w:rPr>
      </w:pPr>
    </w:p>
    <w:p w:rsidR="00844F30" w:rsidRPr="00AB63DB" w:rsidRDefault="00844F30" w:rsidP="00844F30">
      <w:pPr>
        <w:keepNext/>
        <w:adjustRightInd w:val="0"/>
        <w:jc w:val="center"/>
        <w:rPr>
          <w:rFonts w:cs="Arial"/>
          <w:u w:val="single"/>
        </w:rPr>
      </w:pPr>
      <w:r w:rsidRPr="00AB63DB">
        <w:rPr>
          <w:rFonts w:cs="Arial"/>
        </w:rPr>
        <w:t>IV.</w:t>
      </w:r>
      <w:r w:rsidRPr="00AB63DB">
        <w:rPr>
          <w:rFonts w:cs="Arial"/>
        </w:rPr>
        <w:tab/>
      </w:r>
      <w:r w:rsidRPr="00AB63DB">
        <w:rPr>
          <w:rFonts w:cs="Arial"/>
          <w:u w:val="single"/>
        </w:rPr>
        <w:t>BUREAU / OFFICER / VORSITZ / OFICINA</w:t>
      </w:r>
    </w:p>
    <w:p w:rsidR="00844F30" w:rsidRPr="00AB63DB" w:rsidRDefault="00844F30" w:rsidP="00844F30">
      <w:pPr>
        <w:adjustRightInd w:val="0"/>
        <w:jc w:val="center"/>
        <w:rPr>
          <w:rFonts w:cs="Arial"/>
        </w:rPr>
      </w:pPr>
    </w:p>
    <w:p w:rsidR="00844F30" w:rsidRPr="00AB63DB" w:rsidRDefault="00844F30" w:rsidP="00844F30">
      <w:pPr>
        <w:adjustRightInd w:val="0"/>
        <w:rPr>
          <w:rFonts w:cs="Arial"/>
          <w:color w:val="000000"/>
        </w:rPr>
      </w:pPr>
      <w:r w:rsidRPr="00AB63DB">
        <w:rPr>
          <w:rFonts w:cs="Arial"/>
          <w:color w:val="000000"/>
        </w:rPr>
        <w:t>Martin EKVAD, Chair</w:t>
      </w:r>
    </w:p>
    <w:p w:rsidR="00844F30" w:rsidRPr="00AB63DB" w:rsidRDefault="00844F30" w:rsidP="00844F30">
      <w:pPr>
        <w:keepNext/>
        <w:adjustRightInd w:val="0"/>
        <w:jc w:val="center"/>
        <w:rPr>
          <w:rFonts w:cs="Arial"/>
          <w:u w:val="single"/>
        </w:rPr>
      </w:pPr>
    </w:p>
    <w:p w:rsidR="00844F30" w:rsidRPr="00AB63DB" w:rsidRDefault="00844F30" w:rsidP="00844F30">
      <w:pPr>
        <w:keepNext/>
        <w:adjustRightInd w:val="0"/>
        <w:jc w:val="center"/>
        <w:rPr>
          <w:rFonts w:cs="Arial"/>
        </w:rPr>
      </w:pPr>
    </w:p>
    <w:p w:rsidR="00844F30" w:rsidRPr="0023456F" w:rsidRDefault="00844F30" w:rsidP="00844F30">
      <w:pPr>
        <w:keepNext/>
        <w:adjustRightInd w:val="0"/>
        <w:jc w:val="center"/>
        <w:rPr>
          <w:rFonts w:cs="Arial"/>
          <w:u w:val="single"/>
          <w:lang w:val="es-ES_tradnl"/>
        </w:rPr>
      </w:pPr>
      <w:r w:rsidRPr="0023456F">
        <w:rPr>
          <w:rFonts w:cs="Arial"/>
          <w:lang w:val="es-ES_tradnl"/>
        </w:rPr>
        <w:t>V.</w:t>
      </w:r>
      <w:r w:rsidRPr="0023456F">
        <w:rPr>
          <w:rFonts w:cs="Arial"/>
          <w:lang w:val="es-ES_tradnl"/>
        </w:rPr>
        <w:tab/>
      </w:r>
      <w:r w:rsidRPr="0023456F">
        <w:rPr>
          <w:rFonts w:cs="Arial"/>
          <w:u w:val="single"/>
          <w:lang w:val="es-ES_tradnl"/>
        </w:rPr>
        <w:t>BUREAU DE L’UPOV / OFFICE OF UPOV / BÜRO DER UPOV / OFICINA DE LA UPOV</w:t>
      </w:r>
    </w:p>
    <w:p w:rsidR="00844F30" w:rsidRPr="0023456F" w:rsidRDefault="00844F30" w:rsidP="00844F30">
      <w:pPr>
        <w:rPr>
          <w:rFonts w:cs="Arial"/>
          <w:lang w:val="es-ES_tradnl" w:eastAsia="zh-CN"/>
        </w:rPr>
      </w:pPr>
    </w:p>
    <w:p w:rsidR="00844F30" w:rsidRPr="00AB63DB" w:rsidRDefault="00844F30" w:rsidP="00844F30">
      <w:pPr>
        <w:rPr>
          <w:rFonts w:cs="Arial"/>
          <w:lang w:eastAsia="zh-CN"/>
        </w:rPr>
      </w:pPr>
      <w:r w:rsidRPr="00AB63DB">
        <w:rPr>
          <w:rFonts w:cs="Arial"/>
          <w:lang w:eastAsia="zh-CN"/>
        </w:rPr>
        <w:t xml:space="preserve">Peter BUTTON, Vice Secretary-General </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 xml:space="preserve">Yolanda HUERTA (Ms.), Legal Counsel </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Jun KOIDE, Technical/Regional Officer (Asia)</w:t>
      </w:r>
    </w:p>
    <w:p w:rsidR="00844F30" w:rsidRPr="00AB63DB" w:rsidRDefault="00844F30" w:rsidP="00844F30">
      <w:pPr>
        <w:rPr>
          <w:rFonts w:cs="Arial"/>
          <w:lang w:eastAsia="zh-CN"/>
        </w:rPr>
      </w:pPr>
    </w:p>
    <w:p w:rsidR="00844F30" w:rsidRPr="00AB63DB" w:rsidRDefault="00844F30" w:rsidP="00844F30">
      <w:pPr>
        <w:rPr>
          <w:rFonts w:cs="Arial"/>
          <w:lang w:eastAsia="zh-CN"/>
        </w:rPr>
      </w:pPr>
      <w:r w:rsidRPr="00AB63DB">
        <w:rPr>
          <w:rFonts w:cs="Arial"/>
          <w:lang w:eastAsia="zh-CN"/>
        </w:rPr>
        <w:t>Ben RIVOIRE, Technical/Regional Officer (Africa, Arab Countries)</w:t>
      </w:r>
    </w:p>
    <w:p w:rsidR="00844F30" w:rsidRPr="00AB63DB" w:rsidRDefault="00844F30" w:rsidP="00844F30">
      <w:pPr>
        <w:rPr>
          <w:rFonts w:cs="Arial"/>
          <w:lang w:eastAsia="zh-CN"/>
        </w:rPr>
      </w:pPr>
    </w:p>
    <w:p w:rsidR="00844F30" w:rsidRPr="00055396" w:rsidRDefault="00844F30" w:rsidP="00844F30">
      <w:pPr>
        <w:rPr>
          <w:rFonts w:cs="Arial"/>
          <w:lang w:val="fr-CH" w:eastAsia="zh-CN"/>
        </w:rPr>
      </w:pPr>
      <w:r w:rsidRPr="00055396">
        <w:rPr>
          <w:rFonts w:cs="Arial"/>
          <w:lang w:val="fr-CH" w:eastAsia="zh-CN"/>
        </w:rPr>
        <w:t>Leontino TAVEIRA, Technical/Regional Officer (Latin America, Caribbean)</w:t>
      </w:r>
    </w:p>
    <w:p w:rsidR="00844F30" w:rsidRPr="00055396" w:rsidRDefault="00844F30" w:rsidP="00844F30">
      <w:pPr>
        <w:rPr>
          <w:rFonts w:cs="Arial"/>
          <w:lang w:val="fr-CH" w:eastAsia="zh-CN"/>
        </w:rPr>
      </w:pPr>
    </w:p>
    <w:p w:rsidR="00844F30" w:rsidRPr="00055396" w:rsidRDefault="00844F30" w:rsidP="00844F30">
      <w:pPr>
        <w:rPr>
          <w:rFonts w:cs="Arial"/>
          <w:lang w:val="fr-CH" w:eastAsia="zh-CN"/>
        </w:rPr>
      </w:pPr>
      <w:r w:rsidRPr="00055396">
        <w:rPr>
          <w:rFonts w:cs="Arial"/>
          <w:lang w:val="fr-CH" w:eastAsia="zh-CN"/>
        </w:rPr>
        <w:t>Ariane BESSE (Ms.), Administrative Assistant</w:t>
      </w:r>
    </w:p>
    <w:p w:rsidR="00844F30" w:rsidRPr="00055396" w:rsidRDefault="00844F30" w:rsidP="00844F30">
      <w:pPr>
        <w:rPr>
          <w:rFonts w:cs="Arial"/>
          <w:lang w:val="fr-CH"/>
        </w:rPr>
      </w:pPr>
    </w:p>
    <w:p w:rsidR="00844F30" w:rsidRPr="00055396" w:rsidRDefault="00844F30" w:rsidP="00844F30">
      <w:pPr>
        <w:rPr>
          <w:rFonts w:cs="Arial"/>
          <w:lang w:val="fr-CH"/>
        </w:rPr>
      </w:pPr>
    </w:p>
    <w:p w:rsidR="00844F30" w:rsidRPr="00055396" w:rsidRDefault="00844F30" w:rsidP="00844F30">
      <w:pPr>
        <w:jc w:val="right"/>
        <w:rPr>
          <w:rFonts w:cs="Arial"/>
          <w:lang w:val="fr-CH"/>
        </w:rPr>
      </w:pPr>
      <w:r w:rsidRPr="00055396">
        <w:rPr>
          <w:rFonts w:cs="Arial"/>
          <w:lang w:val="fr-CH"/>
        </w:rPr>
        <w:t xml:space="preserve">[Fin de l’annexe et du document / </w:t>
      </w:r>
    </w:p>
    <w:p w:rsidR="00844F30" w:rsidRPr="00AB63DB" w:rsidRDefault="00844F30" w:rsidP="00844F30">
      <w:pPr>
        <w:jc w:val="right"/>
        <w:rPr>
          <w:rFonts w:cs="Arial"/>
        </w:rPr>
      </w:pPr>
      <w:r w:rsidRPr="00AB63DB">
        <w:rPr>
          <w:rFonts w:cs="Arial"/>
        </w:rPr>
        <w:t xml:space="preserve">End of Annex and of document / </w:t>
      </w:r>
    </w:p>
    <w:p w:rsidR="00844F30" w:rsidRPr="00055396" w:rsidRDefault="00844F30" w:rsidP="00844F30">
      <w:pPr>
        <w:jc w:val="right"/>
        <w:rPr>
          <w:rFonts w:cs="Arial"/>
          <w:lang w:val="fr-CH"/>
        </w:rPr>
      </w:pPr>
      <w:r w:rsidRPr="00055396">
        <w:rPr>
          <w:rFonts w:cs="Arial"/>
          <w:lang w:val="fr-CH"/>
        </w:rPr>
        <w:t xml:space="preserve">Ende der Anlage und des Dokuments / </w:t>
      </w:r>
    </w:p>
    <w:p w:rsidR="00844F30" w:rsidRPr="00055396" w:rsidRDefault="00844F30" w:rsidP="00844F30">
      <w:pPr>
        <w:jc w:val="right"/>
        <w:rPr>
          <w:rFonts w:cs="Arial"/>
          <w:lang w:val="es-ES"/>
        </w:rPr>
      </w:pPr>
      <w:r w:rsidRPr="00055396">
        <w:rPr>
          <w:rFonts w:cs="Arial"/>
          <w:lang w:val="es-ES"/>
        </w:rPr>
        <w:t>Fin del Anexo y del documento]</w:t>
      </w:r>
    </w:p>
    <w:p w:rsidR="00844F30" w:rsidRPr="00055396" w:rsidRDefault="00844F30" w:rsidP="00844F30">
      <w:pPr>
        <w:rPr>
          <w:rFonts w:cs="Arial"/>
          <w:lang w:val="es-ES" w:eastAsia="zh-CN"/>
        </w:rPr>
      </w:pPr>
    </w:p>
    <w:p w:rsidR="00844F30" w:rsidRPr="00055396" w:rsidRDefault="00844F30" w:rsidP="00844F30">
      <w:pPr>
        <w:rPr>
          <w:lang w:val="es-ES"/>
        </w:rPr>
      </w:pPr>
    </w:p>
    <w:p w:rsidR="00120D65" w:rsidRPr="005663D4" w:rsidRDefault="00120D65" w:rsidP="005663D4"/>
    <w:sectPr w:rsidR="00120D65" w:rsidRPr="005663D4" w:rsidSect="00120D65">
      <w:headerReference w:type="defaul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64A" w:rsidRDefault="00CD064A">
      <w:r>
        <w:separator/>
      </w:r>
    </w:p>
    <w:p w:rsidR="00CD064A" w:rsidRDefault="00CD064A"/>
    <w:p w:rsidR="00CD064A" w:rsidRDefault="00CD064A"/>
  </w:endnote>
  <w:endnote w:type="continuationSeparator" w:id="0">
    <w:p w:rsidR="00CD064A" w:rsidRDefault="00CD064A">
      <w:r>
        <w:separator/>
      </w:r>
    </w:p>
    <w:p w:rsidR="00CD064A" w:rsidRPr="00664515" w:rsidRDefault="00CD064A">
      <w:pPr>
        <w:pStyle w:val="Footer"/>
        <w:spacing w:after="60"/>
        <w:rPr>
          <w:sz w:val="18"/>
          <w:lang w:val="fr-CH"/>
        </w:rPr>
      </w:pPr>
      <w:r w:rsidRPr="00664515">
        <w:rPr>
          <w:sz w:val="18"/>
          <w:lang w:val="fr-CH"/>
        </w:rPr>
        <w:t>[Suite de la note de la page précédente]</w:t>
      </w:r>
    </w:p>
    <w:p w:rsidR="00CD064A" w:rsidRPr="00664515" w:rsidRDefault="00CD064A">
      <w:pPr>
        <w:rPr>
          <w:lang w:val="fr-CH"/>
        </w:rPr>
      </w:pPr>
    </w:p>
    <w:p w:rsidR="00CD064A" w:rsidRPr="00664515" w:rsidRDefault="00CD064A">
      <w:pPr>
        <w:rPr>
          <w:lang w:val="fr-CH"/>
        </w:rPr>
      </w:pPr>
    </w:p>
  </w:endnote>
  <w:endnote w:type="continuationNotice" w:id="1">
    <w:p w:rsidR="00CD064A" w:rsidRPr="00664515" w:rsidRDefault="00CD064A">
      <w:pPr>
        <w:spacing w:before="60"/>
        <w:jc w:val="right"/>
        <w:rPr>
          <w:sz w:val="18"/>
          <w:lang w:val="fr-CH"/>
        </w:rPr>
      </w:pPr>
      <w:r w:rsidRPr="00664515">
        <w:rPr>
          <w:sz w:val="18"/>
          <w:lang w:val="fr-CH"/>
        </w:rPr>
        <w:t>[Suite de la note page suivante]</w:t>
      </w:r>
    </w:p>
    <w:p w:rsidR="00CD064A" w:rsidRPr="00664515" w:rsidRDefault="00CD064A">
      <w:pPr>
        <w:rPr>
          <w:lang w:val="fr-CH"/>
        </w:rPr>
      </w:pPr>
    </w:p>
    <w:p w:rsidR="00CD064A" w:rsidRPr="00664515" w:rsidRDefault="00CD064A">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64A" w:rsidRDefault="00CD064A" w:rsidP="009D690D">
      <w:pPr>
        <w:spacing w:before="120"/>
      </w:pPr>
      <w:r>
        <w:separator/>
      </w:r>
    </w:p>
  </w:footnote>
  <w:footnote w:type="continuationSeparator" w:id="0">
    <w:p w:rsidR="00CD064A" w:rsidRDefault="00CD064A" w:rsidP="00520297">
      <w:pPr>
        <w:spacing w:before="120"/>
        <w:jc w:val="left"/>
      </w:pPr>
      <w:r>
        <w:separator/>
      </w:r>
    </w:p>
  </w:footnote>
  <w:footnote w:type="continuationNotice" w:id="1">
    <w:p w:rsidR="00CD064A" w:rsidRDefault="00CD064A"/>
  </w:footnote>
  <w:footnote w:id="2">
    <w:p w:rsidR="00D22B7D" w:rsidRPr="003D724A" w:rsidRDefault="00D22B7D" w:rsidP="00B85B59">
      <w:pPr>
        <w:pStyle w:val="FootnoteText"/>
        <w:ind w:left="567" w:hanging="567"/>
        <w:rPr>
          <w:szCs w:val="16"/>
          <w:lang w:val="de-DE"/>
        </w:rPr>
      </w:pPr>
      <w:r w:rsidRPr="003D724A">
        <w:rPr>
          <w:rStyle w:val="FootnoteReference"/>
          <w:lang w:val="de-DE"/>
        </w:rPr>
        <w:t>*</w:t>
      </w:r>
      <w:r w:rsidRPr="003D724A">
        <w:rPr>
          <w:lang w:val="de-DE"/>
        </w:rPr>
        <w:t xml:space="preserve"> </w:t>
      </w:r>
      <w:r w:rsidRPr="003D724A">
        <w:rPr>
          <w:szCs w:val="16"/>
          <w:lang w:val="de-DE"/>
        </w:rPr>
        <w:tab/>
        <w:t>Die mit einem Sternchen versehenen Absätze sind dem Bericht über die Entschließungen (Do</w:t>
      </w:r>
      <w:r>
        <w:rPr>
          <w:szCs w:val="16"/>
          <w:lang w:val="de-DE"/>
        </w:rPr>
        <w:t>k</w:t>
      </w:r>
      <w:r w:rsidRPr="003D724A">
        <w:rPr>
          <w:szCs w:val="16"/>
          <w:lang w:val="de-DE"/>
        </w:rPr>
        <w:t>ument CAJ/71/10)</w:t>
      </w:r>
      <w:r>
        <w:rPr>
          <w:szCs w:val="16"/>
          <w:lang w:val="de-DE"/>
        </w:rPr>
        <w:t xml:space="preserve"> entnommen</w:t>
      </w:r>
      <w:r w:rsidRPr="003D724A">
        <w:rPr>
          <w:szCs w:val="16"/>
          <w:lang w:val="de-DE"/>
        </w:rPr>
        <w:t>.</w:t>
      </w:r>
    </w:p>
  </w:footnote>
  <w:footnote w:id="3">
    <w:p w:rsidR="00D22B7D" w:rsidRPr="004F1012" w:rsidRDefault="00D22B7D" w:rsidP="00176C7D">
      <w:pPr>
        <w:pStyle w:val="FootnoteText"/>
        <w:rPr>
          <w:lang w:val="de-DE"/>
        </w:rPr>
      </w:pPr>
      <w:r>
        <w:rPr>
          <w:rStyle w:val="FootnoteReference"/>
        </w:rPr>
        <w:footnoteRef/>
      </w:r>
      <w:r w:rsidRPr="004F1012">
        <w:rPr>
          <w:lang w:val="de-DE"/>
        </w:rPr>
        <w:tab/>
        <w:t xml:space="preserve">Vergleiche Dokument CAJ-AG/14/9/6 </w:t>
      </w:r>
      <w:r>
        <w:rPr>
          <w:lang w:val="de-DE"/>
        </w:rPr>
        <w:t>„</w:t>
      </w:r>
      <w:r w:rsidRPr="004F1012">
        <w:rPr>
          <w:lang w:val="de-DE"/>
        </w:rPr>
        <w:t>Bericht über die Entschließungen” Absatz 21.</w:t>
      </w:r>
    </w:p>
  </w:footnote>
  <w:footnote w:id="4">
    <w:p w:rsidR="00D22B7D" w:rsidRPr="004F1012" w:rsidRDefault="00D22B7D" w:rsidP="00176C7D">
      <w:pPr>
        <w:pStyle w:val="FootnoteText"/>
        <w:rPr>
          <w:lang w:val="de-DE"/>
        </w:rPr>
      </w:pPr>
      <w:r w:rsidRPr="00E831EC">
        <w:rPr>
          <w:rStyle w:val="FootnoteReference"/>
        </w:rPr>
        <w:footnoteRef/>
      </w:r>
      <w:r w:rsidRPr="004F1012">
        <w:rPr>
          <w:lang w:val="de-DE"/>
        </w:rPr>
        <w:t xml:space="preserve"> </w:t>
      </w:r>
      <w:r w:rsidRPr="004F1012">
        <w:rPr>
          <w:lang w:val="de-DE"/>
        </w:rPr>
        <w:tab/>
        <w:t>Ver</w:t>
      </w:r>
      <w:r>
        <w:rPr>
          <w:lang w:val="de-DE"/>
        </w:rPr>
        <w:t>gleiche Dokument CAJ-AG/14/9/6 „</w:t>
      </w:r>
      <w:r w:rsidRPr="004F1012">
        <w:rPr>
          <w:lang w:val="de-DE"/>
        </w:rPr>
        <w:t>Bericht über die Entschließungen” Absatz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B7D" w:rsidRPr="00997029" w:rsidRDefault="00D22B7D" w:rsidP="00E23920">
    <w:pPr>
      <w:jc w:val="center"/>
      <w:rPr>
        <w:rStyle w:val="PageNumber"/>
      </w:rPr>
    </w:pPr>
    <w:r>
      <w:rPr>
        <w:rStyle w:val="PageNumber"/>
      </w:rPr>
      <w:t>CAJ/71/11</w:t>
    </w:r>
  </w:p>
  <w:p w:rsidR="00D22B7D" w:rsidRPr="00997029" w:rsidRDefault="00D22B7D" w:rsidP="00E23920">
    <w:pPr>
      <w:jc w:val="center"/>
    </w:pPr>
    <w:r>
      <w:t>Seite</w:t>
    </w:r>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DF73A2">
      <w:rPr>
        <w:rStyle w:val="PageNumber"/>
        <w:noProof/>
      </w:rPr>
      <w:t>13</w:t>
    </w:r>
    <w:r w:rsidRPr="00997029">
      <w:rPr>
        <w:rStyle w:val="PageNumber"/>
      </w:rPr>
      <w:fldChar w:fldCharType="end"/>
    </w:r>
  </w:p>
  <w:p w:rsidR="00D22B7D" w:rsidRPr="00997029" w:rsidRDefault="00D22B7D"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186" w:rsidRPr="00D41656" w:rsidRDefault="009B6F95" w:rsidP="00EB048E">
    <w:pPr>
      <w:pStyle w:val="Header"/>
      <w:rPr>
        <w:rStyle w:val="PageNumber"/>
        <w:lang w:val="fr-CH"/>
      </w:rPr>
    </w:pPr>
    <w:r>
      <w:rPr>
        <w:rStyle w:val="PageNumber"/>
        <w:lang w:val="fr-CH"/>
      </w:rPr>
      <w:t>CAJ/71/11</w:t>
    </w:r>
  </w:p>
  <w:p w:rsidR="00F43186" w:rsidRPr="00055396" w:rsidRDefault="009B6F95" w:rsidP="00120D65">
    <w:pPr>
      <w:jc w:val="center"/>
      <w:rPr>
        <w:lang w:val="fr-CH"/>
      </w:rPr>
    </w:pPr>
    <w:r w:rsidRPr="00D41656">
      <w:rPr>
        <w:lang w:val="pt-BR"/>
      </w:rPr>
      <w:t xml:space="preserve">Annex / Annexe / Anlage / Anexo </w:t>
    </w:r>
    <w:r w:rsidRPr="00D41656">
      <w:rPr>
        <w:lang w:val="pt-BR"/>
      </w:rPr>
      <w:br/>
      <w:t xml:space="preserve">page </w:t>
    </w:r>
    <w:r w:rsidRPr="00D41656">
      <w:rPr>
        <w:lang w:val="fr-FR"/>
      </w:rPr>
      <w:fldChar w:fldCharType="begin"/>
    </w:r>
    <w:r w:rsidRPr="00D41656">
      <w:rPr>
        <w:lang w:val="pt-BR"/>
      </w:rPr>
      <w:instrText xml:space="preserve"> PAGE </w:instrText>
    </w:r>
    <w:r w:rsidRPr="00D41656">
      <w:rPr>
        <w:lang w:val="fr-FR"/>
      </w:rPr>
      <w:fldChar w:fldCharType="separate"/>
    </w:r>
    <w:r w:rsidR="00DF73A2">
      <w:rPr>
        <w:noProof/>
        <w:lang w:val="pt-BR"/>
      </w:rPr>
      <w:t>8</w:t>
    </w:r>
    <w:r w:rsidRPr="00D41656">
      <w:rPr>
        <w:lang w:val="fr-FR"/>
      </w:rPr>
      <w:fldChar w:fldCharType="end"/>
    </w:r>
    <w:r w:rsidRPr="00D41656">
      <w:rPr>
        <w:lang w:val="pt-BR"/>
      </w:rPr>
      <w:t xml:space="preserve"> / Seite </w:t>
    </w:r>
    <w:r w:rsidRPr="00D41656">
      <w:rPr>
        <w:lang w:val="fr-FR"/>
      </w:rPr>
      <w:fldChar w:fldCharType="begin"/>
    </w:r>
    <w:r w:rsidRPr="00D41656">
      <w:rPr>
        <w:lang w:val="pt-BR"/>
      </w:rPr>
      <w:instrText xml:space="preserve"> PAGE </w:instrText>
    </w:r>
    <w:r w:rsidRPr="00D41656">
      <w:rPr>
        <w:lang w:val="fr-FR"/>
      </w:rPr>
      <w:fldChar w:fldCharType="separate"/>
    </w:r>
    <w:r w:rsidR="00DF73A2">
      <w:rPr>
        <w:noProof/>
        <w:lang w:val="pt-BR"/>
      </w:rPr>
      <w:t>8</w:t>
    </w:r>
    <w:r w:rsidRPr="00D41656">
      <w:rPr>
        <w:lang w:val="fr-FR"/>
      </w:rPr>
      <w:fldChar w:fldCharType="end"/>
    </w:r>
    <w:r w:rsidRPr="00D41656">
      <w:rPr>
        <w:lang w:val="pt-BR"/>
      </w:rPr>
      <w:t xml:space="preserve"> / página </w:t>
    </w:r>
    <w:r w:rsidRPr="00D41656">
      <w:fldChar w:fldCharType="begin"/>
    </w:r>
    <w:r w:rsidRPr="00D41656">
      <w:rPr>
        <w:lang w:val="pt-BR"/>
      </w:rPr>
      <w:instrText xml:space="preserve"> PAGE  \* MERGEFORMAT </w:instrText>
    </w:r>
    <w:r w:rsidRPr="00D41656">
      <w:fldChar w:fldCharType="separate"/>
    </w:r>
    <w:r w:rsidR="00DF73A2">
      <w:rPr>
        <w:noProof/>
        <w:lang w:val="pt-BR"/>
      </w:rPr>
      <w:t>8</w:t>
    </w:r>
    <w:r w:rsidRPr="00D41656">
      <w:fldChar w:fldCharType="end"/>
    </w:r>
  </w:p>
  <w:p w:rsidR="00F43186" w:rsidRPr="00055396" w:rsidRDefault="00DF73A2" w:rsidP="00120D65">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3F35"/>
    <w:multiLevelType w:val="hybridMultilevel"/>
    <w:tmpl w:val="CBAE6948"/>
    <w:lvl w:ilvl="0" w:tplc="930810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B52846"/>
    <w:multiLevelType w:val="hybridMultilevel"/>
    <w:tmpl w:val="F6CA5E68"/>
    <w:lvl w:ilvl="0" w:tplc="3626C758">
      <w:start w:val="1"/>
      <w:numFmt w:val="lowerLetter"/>
      <w:lvlText w:val="(%1)"/>
      <w:lvlJc w:val="left"/>
      <w:pPr>
        <w:ind w:left="5180" w:hanging="360"/>
      </w:pPr>
      <w:rPr>
        <w:rFonts w:cs="Arial"/>
      </w:rPr>
    </w:lvl>
    <w:lvl w:ilvl="1" w:tplc="04090019">
      <w:start w:val="1"/>
      <w:numFmt w:val="lowerLetter"/>
      <w:lvlText w:val="%2."/>
      <w:lvlJc w:val="left"/>
      <w:pPr>
        <w:ind w:left="5900" w:hanging="360"/>
      </w:pPr>
    </w:lvl>
    <w:lvl w:ilvl="2" w:tplc="0409001B">
      <w:start w:val="1"/>
      <w:numFmt w:val="lowerRoman"/>
      <w:lvlText w:val="%3."/>
      <w:lvlJc w:val="right"/>
      <w:pPr>
        <w:ind w:left="6620" w:hanging="180"/>
      </w:pPr>
    </w:lvl>
    <w:lvl w:ilvl="3" w:tplc="0409000F">
      <w:start w:val="1"/>
      <w:numFmt w:val="decimal"/>
      <w:lvlText w:val="%4."/>
      <w:lvlJc w:val="left"/>
      <w:pPr>
        <w:ind w:left="7340" w:hanging="360"/>
      </w:pPr>
    </w:lvl>
    <w:lvl w:ilvl="4" w:tplc="04090019">
      <w:start w:val="1"/>
      <w:numFmt w:val="lowerLetter"/>
      <w:lvlText w:val="%5."/>
      <w:lvlJc w:val="left"/>
      <w:pPr>
        <w:ind w:left="8060" w:hanging="360"/>
      </w:pPr>
    </w:lvl>
    <w:lvl w:ilvl="5" w:tplc="0409001B">
      <w:start w:val="1"/>
      <w:numFmt w:val="lowerRoman"/>
      <w:lvlText w:val="%6."/>
      <w:lvlJc w:val="right"/>
      <w:pPr>
        <w:ind w:left="8780" w:hanging="180"/>
      </w:pPr>
    </w:lvl>
    <w:lvl w:ilvl="6" w:tplc="0409000F">
      <w:start w:val="1"/>
      <w:numFmt w:val="decimal"/>
      <w:lvlText w:val="%7."/>
      <w:lvlJc w:val="left"/>
      <w:pPr>
        <w:ind w:left="9500" w:hanging="360"/>
      </w:pPr>
    </w:lvl>
    <w:lvl w:ilvl="7" w:tplc="04090019">
      <w:start w:val="1"/>
      <w:numFmt w:val="lowerLetter"/>
      <w:lvlText w:val="%8."/>
      <w:lvlJc w:val="left"/>
      <w:pPr>
        <w:ind w:left="10220" w:hanging="360"/>
      </w:pPr>
    </w:lvl>
    <w:lvl w:ilvl="8" w:tplc="0409001B">
      <w:start w:val="1"/>
      <w:numFmt w:val="lowerRoman"/>
      <w:lvlText w:val="%9."/>
      <w:lvlJc w:val="right"/>
      <w:pPr>
        <w:ind w:left="10940" w:hanging="180"/>
      </w:pPr>
    </w:lvl>
  </w:abstractNum>
  <w:abstractNum w:abstractNumId="2">
    <w:nsid w:val="1E642855"/>
    <w:multiLevelType w:val="hybridMultilevel"/>
    <w:tmpl w:val="093CAFF8"/>
    <w:lvl w:ilvl="0" w:tplc="582616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3A5EAD"/>
    <w:multiLevelType w:val="hybridMultilevel"/>
    <w:tmpl w:val="FFEA45C6"/>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4">
    <w:nsid w:val="599C6BF1"/>
    <w:multiLevelType w:val="hybridMultilevel"/>
    <w:tmpl w:val="96EED50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
    <w:nsid w:val="5D2C2FB3"/>
    <w:multiLevelType w:val="hybridMultilevel"/>
    <w:tmpl w:val="5C7A136C"/>
    <w:lvl w:ilvl="0" w:tplc="79BED2FA">
      <w:start w:val="1"/>
      <w:numFmt w:val="lowerLetter"/>
      <w:lvlText w:val="(%1)"/>
      <w:lvlJc w:val="left"/>
      <w:pPr>
        <w:ind w:left="5180" w:hanging="360"/>
      </w:pPr>
      <w:rPr>
        <w:rFonts w:cs="Times New Roman"/>
      </w:rPr>
    </w:lvl>
    <w:lvl w:ilvl="1" w:tplc="04090019">
      <w:start w:val="1"/>
      <w:numFmt w:val="lowerLetter"/>
      <w:lvlText w:val="%2."/>
      <w:lvlJc w:val="left"/>
      <w:pPr>
        <w:ind w:left="5900" w:hanging="360"/>
      </w:pPr>
    </w:lvl>
    <w:lvl w:ilvl="2" w:tplc="0409001B">
      <w:start w:val="1"/>
      <w:numFmt w:val="lowerRoman"/>
      <w:lvlText w:val="%3."/>
      <w:lvlJc w:val="right"/>
      <w:pPr>
        <w:ind w:left="6620" w:hanging="180"/>
      </w:pPr>
    </w:lvl>
    <w:lvl w:ilvl="3" w:tplc="0409000F">
      <w:start w:val="1"/>
      <w:numFmt w:val="decimal"/>
      <w:lvlText w:val="%4."/>
      <w:lvlJc w:val="left"/>
      <w:pPr>
        <w:ind w:left="7340" w:hanging="360"/>
      </w:pPr>
    </w:lvl>
    <w:lvl w:ilvl="4" w:tplc="04090019">
      <w:start w:val="1"/>
      <w:numFmt w:val="lowerLetter"/>
      <w:lvlText w:val="%5."/>
      <w:lvlJc w:val="left"/>
      <w:pPr>
        <w:ind w:left="8060" w:hanging="360"/>
      </w:pPr>
    </w:lvl>
    <w:lvl w:ilvl="5" w:tplc="0409001B">
      <w:start w:val="1"/>
      <w:numFmt w:val="lowerRoman"/>
      <w:lvlText w:val="%6."/>
      <w:lvlJc w:val="right"/>
      <w:pPr>
        <w:ind w:left="8780" w:hanging="180"/>
      </w:pPr>
    </w:lvl>
    <w:lvl w:ilvl="6" w:tplc="0409000F">
      <w:start w:val="1"/>
      <w:numFmt w:val="decimal"/>
      <w:lvlText w:val="%7."/>
      <w:lvlJc w:val="left"/>
      <w:pPr>
        <w:ind w:left="9500" w:hanging="360"/>
      </w:pPr>
    </w:lvl>
    <w:lvl w:ilvl="7" w:tplc="04090019">
      <w:start w:val="1"/>
      <w:numFmt w:val="lowerLetter"/>
      <w:lvlText w:val="%8."/>
      <w:lvlJc w:val="left"/>
      <w:pPr>
        <w:ind w:left="10220" w:hanging="360"/>
      </w:pPr>
    </w:lvl>
    <w:lvl w:ilvl="8" w:tplc="0409001B">
      <w:start w:val="1"/>
      <w:numFmt w:val="lowerRoman"/>
      <w:lvlText w:val="%9."/>
      <w:lvlJc w:val="right"/>
      <w:pPr>
        <w:ind w:left="10940" w:hanging="180"/>
      </w:pPr>
    </w:lvl>
  </w:abstractNum>
  <w:abstractNum w:abstractNumId="6">
    <w:nsid w:val="6EF57C17"/>
    <w:multiLevelType w:val="hybridMultilevel"/>
    <w:tmpl w:val="FA9CD2AC"/>
    <w:lvl w:ilvl="0" w:tplc="F272BEEC">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AE1760"/>
    <w:multiLevelType w:val="hybridMultilevel"/>
    <w:tmpl w:val="25C8EDF0"/>
    <w:lvl w:ilvl="0" w:tplc="00E6F35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2"/>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73"/>
    <w:rsid w:val="00001380"/>
    <w:rsid w:val="00001D48"/>
    <w:rsid w:val="00010CF3"/>
    <w:rsid w:val="00011E27"/>
    <w:rsid w:val="000147EA"/>
    <w:rsid w:val="000148BC"/>
    <w:rsid w:val="00017623"/>
    <w:rsid w:val="00020DDF"/>
    <w:rsid w:val="000222EF"/>
    <w:rsid w:val="00024AB8"/>
    <w:rsid w:val="000259A3"/>
    <w:rsid w:val="00031CC9"/>
    <w:rsid w:val="000321F0"/>
    <w:rsid w:val="00035651"/>
    <w:rsid w:val="00036028"/>
    <w:rsid w:val="00041521"/>
    <w:rsid w:val="000446B9"/>
    <w:rsid w:val="00046C2F"/>
    <w:rsid w:val="00047E21"/>
    <w:rsid w:val="00053916"/>
    <w:rsid w:val="00055396"/>
    <w:rsid w:val="00057A83"/>
    <w:rsid w:val="00057D86"/>
    <w:rsid w:val="00061BFA"/>
    <w:rsid w:val="0006472C"/>
    <w:rsid w:val="000664B2"/>
    <w:rsid w:val="0007298D"/>
    <w:rsid w:val="000756CE"/>
    <w:rsid w:val="00085505"/>
    <w:rsid w:val="00087F5E"/>
    <w:rsid w:val="0009345E"/>
    <w:rsid w:val="000A12DF"/>
    <w:rsid w:val="000B4AAA"/>
    <w:rsid w:val="000C4D11"/>
    <w:rsid w:val="000C6DEE"/>
    <w:rsid w:val="000C7021"/>
    <w:rsid w:val="000D3102"/>
    <w:rsid w:val="000D492E"/>
    <w:rsid w:val="000D6BBC"/>
    <w:rsid w:val="000D7780"/>
    <w:rsid w:val="000E0BFB"/>
    <w:rsid w:val="000E2E76"/>
    <w:rsid w:val="000E3E0B"/>
    <w:rsid w:val="000F09D3"/>
    <w:rsid w:val="000F432D"/>
    <w:rsid w:val="00100172"/>
    <w:rsid w:val="00100B4E"/>
    <w:rsid w:val="00105430"/>
    <w:rsid w:val="00105929"/>
    <w:rsid w:val="001061BF"/>
    <w:rsid w:val="00107512"/>
    <w:rsid w:val="00110481"/>
    <w:rsid w:val="001131D5"/>
    <w:rsid w:val="00120D65"/>
    <w:rsid w:val="0013181D"/>
    <w:rsid w:val="0013198F"/>
    <w:rsid w:val="00141DB8"/>
    <w:rsid w:val="00143B11"/>
    <w:rsid w:val="00155F6F"/>
    <w:rsid w:val="0017474A"/>
    <w:rsid w:val="001758C6"/>
    <w:rsid w:val="00175AE8"/>
    <w:rsid w:val="00175FFD"/>
    <w:rsid w:val="00176C7D"/>
    <w:rsid w:val="001831F7"/>
    <w:rsid w:val="00184A76"/>
    <w:rsid w:val="00195FFC"/>
    <w:rsid w:val="001A22CD"/>
    <w:rsid w:val="001A4E9B"/>
    <w:rsid w:val="001B0A14"/>
    <w:rsid w:val="001C0B11"/>
    <w:rsid w:val="001C218B"/>
    <w:rsid w:val="001C3DF3"/>
    <w:rsid w:val="001D0C9E"/>
    <w:rsid w:val="001E39BA"/>
    <w:rsid w:val="001E5862"/>
    <w:rsid w:val="001F060E"/>
    <w:rsid w:val="001F1F2A"/>
    <w:rsid w:val="001F1F4F"/>
    <w:rsid w:val="0020119E"/>
    <w:rsid w:val="0021332C"/>
    <w:rsid w:val="00213982"/>
    <w:rsid w:val="0022290B"/>
    <w:rsid w:val="00222A56"/>
    <w:rsid w:val="002245A9"/>
    <w:rsid w:val="0023157F"/>
    <w:rsid w:val="00231FAB"/>
    <w:rsid w:val="00237C7D"/>
    <w:rsid w:val="002419D3"/>
    <w:rsid w:val="0024416D"/>
    <w:rsid w:val="002552BB"/>
    <w:rsid w:val="00264B48"/>
    <w:rsid w:val="00264D92"/>
    <w:rsid w:val="0027309C"/>
    <w:rsid w:val="002800A0"/>
    <w:rsid w:val="00281060"/>
    <w:rsid w:val="00286954"/>
    <w:rsid w:val="0029439F"/>
    <w:rsid w:val="002A333F"/>
    <w:rsid w:val="002A6C4A"/>
    <w:rsid w:val="002A6E50"/>
    <w:rsid w:val="002B7EFB"/>
    <w:rsid w:val="002C256A"/>
    <w:rsid w:val="002C634D"/>
    <w:rsid w:val="002C6AF6"/>
    <w:rsid w:val="002D31B7"/>
    <w:rsid w:val="002E3844"/>
    <w:rsid w:val="002E3D8A"/>
    <w:rsid w:val="002E7BA1"/>
    <w:rsid w:val="002F3AA1"/>
    <w:rsid w:val="002F4FBD"/>
    <w:rsid w:val="002F67E2"/>
    <w:rsid w:val="002F78FA"/>
    <w:rsid w:val="00305A7F"/>
    <w:rsid w:val="0030656C"/>
    <w:rsid w:val="00313290"/>
    <w:rsid w:val="003152FE"/>
    <w:rsid w:val="00316915"/>
    <w:rsid w:val="00320263"/>
    <w:rsid w:val="003248E9"/>
    <w:rsid w:val="00327436"/>
    <w:rsid w:val="003303CE"/>
    <w:rsid w:val="003357B8"/>
    <w:rsid w:val="00342A36"/>
    <w:rsid w:val="00344BD6"/>
    <w:rsid w:val="00347507"/>
    <w:rsid w:val="0035528D"/>
    <w:rsid w:val="0035678C"/>
    <w:rsid w:val="00361821"/>
    <w:rsid w:val="00364752"/>
    <w:rsid w:val="0037558D"/>
    <w:rsid w:val="00387B28"/>
    <w:rsid w:val="0039133E"/>
    <w:rsid w:val="003930BD"/>
    <w:rsid w:val="00396CEE"/>
    <w:rsid w:val="003A17C8"/>
    <w:rsid w:val="003B2766"/>
    <w:rsid w:val="003C10C0"/>
    <w:rsid w:val="003C3A9D"/>
    <w:rsid w:val="003C50AC"/>
    <w:rsid w:val="003C563E"/>
    <w:rsid w:val="003C682A"/>
    <w:rsid w:val="003D227C"/>
    <w:rsid w:val="003D2B4D"/>
    <w:rsid w:val="003D724A"/>
    <w:rsid w:val="003D7737"/>
    <w:rsid w:val="003E268A"/>
    <w:rsid w:val="003F3839"/>
    <w:rsid w:val="003F6136"/>
    <w:rsid w:val="003F7524"/>
    <w:rsid w:val="00404111"/>
    <w:rsid w:val="00405E02"/>
    <w:rsid w:val="004125C8"/>
    <w:rsid w:val="0042159E"/>
    <w:rsid w:val="00424476"/>
    <w:rsid w:val="004262D2"/>
    <w:rsid w:val="00426786"/>
    <w:rsid w:val="00427139"/>
    <w:rsid w:val="00427B3A"/>
    <w:rsid w:val="00431A9F"/>
    <w:rsid w:val="00444A88"/>
    <w:rsid w:val="00454B78"/>
    <w:rsid w:val="00457711"/>
    <w:rsid w:val="00457E66"/>
    <w:rsid w:val="004708F2"/>
    <w:rsid w:val="00474DA4"/>
    <w:rsid w:val="0048367A"/>
    <w:rsid w:val="00492A57"/>
    <w:rsid w:val="00492C53"/>
    <w:rsid w:val="004A7992"/>
    <w:rsid w:val="004C416B"/>
    <w:rsid w:val="004D046D"/>
    <w:rsid w:val="004D047D"/>
    <w:rsid w:val="004D46DC"/>
    <w:rsid w:val="004D5617"/>
    <w:rsid w:val="004E4F91"/>
    <w:rsid w:val="004F305A"/>
    <w:rsid w:val="004F3CD9"/>
    <w:rsid w:val="00501B08"/>
    <w:rsid w:val="00505A3F"/>
    <w:rsid w:val="00512164"/>
    <w:rsid w:val="00520297"/>
    <w:rsid w:val="00522C30"/>
    <w:rsid w:val="00523F32"/>
    <w:rsid w:val="005338F9"/>
    <w:rsid w:val="00536D64"/>
    <w:rsid w:val="0054281C"/>
    <w:rsid w:val="00544B91"/>
    <w:rsid w:val="00551E76"/>
    <w:rsid w:val="0055268D"/>
    <w:rsid w:val="00554CDB"/>
    <w:rsid w:val="00556FFA"/>
    <w:rsid w:val="005663D4"/>
    <w:rsid w:val="00567EB3"/>
    <w:rsid w:val="005711ED"/>
    <w:rsid w:val="00572E44"/>
    <w:rsid w:val="00576BE4"/>
    <w:rsid w:val="0057792E"/>
    <w:rsid w:val="00580B8A"/>
    <w:rsid w:val="0058418B"/>
    <w:rsid w:val="005932A9"/>
    <w:rsid w:val="005A400A"/>
    <w:rsid w:val="005A6BAC"/>
    <w:rsid w:val="005B10C6"/>
    <w:rsid w:val="005B153F"/>
    <w:rsid w:val="005B1C24"/>
    <w:rsid w:val="005B4F9E"/>
    <w:rsid w:val="005D1718"/>
    <w:rsid w:val="005D4333"/>
    <w:rsid w:val="005E0025"/>
    <w:rsid w:val="005F5022"/>
    <w:rsid w:val="005F5A2A"/>
    <w:rsid w:val="005F7CA9"/>
    <w:rsid w:val="00606248"/>
    <w:rsid w:val="006117E2"/>
    <w:rsid w:val="00611927"/>
    <w:rsid w:val="00612379"/>
    <w:rsid w:val="0061555F"/>
    <w:rsid w:val="00624853"/>
    <w:rsid w:val="00626868"/>
    <w:rsid w:val="00631AF2"/>
    <w:rsid w:val="00633F67"/>
    <w:rsid w:val="00641173"/>
    <w:rsid w:val="00641200"/>
    <w:rsid w:val="00644DE0"/>
    <w:rsid w:val="00661C02"/>
    <w:rsid w:val="00662112"/>
    <w:rsid w:val="00663ED8"/>
    <w:rsid w:val="00664515"/>
    <w:rsid w:val="00673346"/>
    <w:rsid w:val="00677F05"/>
    <w:rsid w:val="0068489A"/>
    <w:rsid w:val="00687461"/>
    <w:rsid w:val="00687BEE"/>
    <w:rsid w:val="00687EB4"/>
    <w:rsid w:val="006A1B56"/>
    <w:rsid w:val="006B17D2"/>
    <w:rsid w:val="006B45FA"/>
    <w:rsid w:val="006B5D17"/>
    <w:rsid w:val="006C007C"/>
    <w:rsid w:val="006C224E"/>
    <w:rsid w:val="006C6D65"/>
    <w:rsid w:val="006D6963"/>
    <w:rsid w:val="006F148B"/>
    <w:rsid w:val="006F2BFF"/>
    <w:rsid w:val="006F4B34"/>
    <w:rsid w:val="006F5636"/>
    <w:rsid w:val="007005AB"/>
    <w:rsid w:val="007119D6"/>
    <w:rsid w:val="007209D1"/>
    <w:rsid w:val="00721097"/>
    <w:rsid w:val="00732DEC"/>
    <w:rsid w:val="00734184"/>
    <w:rsid w:val="00734BE0"/>
    <w:rsid w:val="00735BD5"/>
    <w:rsid w:val="0073629B"/>
    <w:rsid w:val="007427CA"/>
    <w:rsid w:val="00743C97"/>
    <w:rsid w:val="00743CF0"/>
    <w:rsid w:val="0075117E"/>
    <w:rsid w:val="007528A3"/>
    <w:rsid w:val="00754088"/>
    <w:rsid w:val="007556F6"/>
    <w:rsid w:val="00760130"/>
    <w:rsid w:val="00760EAF"/>
    <w:rsid w:val="00760EEF"/>
    <w:rsid w:val="00761982"/>
    <w:rsid w:val="00764BF5"/>
    <w:rsid w:val="0077265A"/>
    <w:rsid w:val="00774F08"/>
    <w:rsid w:val="00777D55"/>
    <w:rsid w:val="00777EE5"/>
    <w:rsid w:val="007821E9"/>
    <w:rsid w:val="0078389D"/>
    <w:rsid w:val="00784836"/>
    <w:rsid w:val="0079023E"/>
    <w:rsid w:val="00794517"/>
    <w:rsid w:val="007953C4"/>
    <w:rsid w:val="007A7659"/>
    <w:rsid w:val="007B23D9"/>
    <w:rsid w:val="007B5877"/>
    <w:rsid w:val="007B6894"/>
    <w:rsid w:val="007C068B"/>
    <w:rsid w:val="007C6038"/>
    <w:rsid w:val="007C6639"/>
    <w:rsid w:val="007C7224"/>
    <w:rsid w:val="007D0B9D"/>
    <w:rsid w:val="007D19B0"/>
    <w:rsid w:val="007D6157"/>
    <w:rsid w:val="007E5D55"/>
    <w:rsid w:val="007F04DB"/>
    <w:rsid w:val="007F1B20"/>
    <w:rsid w:val="007F498F"/>
    <w:rsid w:val="0080264F"/>
    <w:rsid w:val="0080679D"/>
    <w:rsid w:val="008108B0"/>
    <w:rsid w:val="00811B20"/>
    <w:rsid w:val="00814FFF"/>
    <w:rsid w:val="00815BC8"/>
    <w:rsid w:val="008169FF"/>
    <w:rsid w:val="0082296E"/>
    <w:rsid w:val="00824099"/>
    <w:rsid w:val="00826422"/>
    <w:rsid w:val="00835608"/>
    <w:rsid w:val="00836267"/>
    <w:rsid w:val="00836E88"/>
    <w:rsid w:val="008449CC"/>
    <w:rsid w:val="00844A94"/>
    <w:rsid w:val="00844F30"/>
    <w:rsid w:val="00852CAB"/>
    <w:rsid w:val="00855C7D"/>
    <w:rsid w:val="00855DBD"/>
    <w:rsid w:val="00856EE1"/>
    <w:rsid w:val="008653D0"/>
    <w:rsid w:val="00867AC1"/>
    <w:rsid w:val="00870F78"/>
    <w:rsid w:val="00872105"/>
    <w:rsid w:val="008724BD"/>
    <w:rsid w:val="0088128E"/>
    <w:rsid w:val="0088417E"/>
    <w:rsid w:val="0088643E"/>
    <w:rsid w:val="008959BA"/>
    <w:rsid w:val="00896BEB"/>
    <w:rsid w:val="00897B05"/>
    <w:rsid w:val="008A1BE4"/>
    <w:rsid w:val="008A395B"/>
    <w:rsid w:val="008A743F"/>
    <w:rsid w:val="008A74DE"/>
    <w:rsid w:val="008A74EC"/>
    <w:rsid w:val="008B51D0"/>
    <w:rsid w:val="008C0970"/>
    <w:rsid w:val="008C0ED1"/>
    <w:rsid w:val="008C2FC0"/>
    <w:rsid w:val="008C6F25"/>
    <w:rsid w:val="008C7EEA"/>
    <w:rsid w:val="008D05F7"/>
    <w:rsid w:val="008D1AE9"/>
    <w:rsid w:val="008D2CF7"/>
    <w:rsid w:val="008E2478"/>
    <w:rsid w:val="008E793E"/>
    <w:rsid w:val="00900C26"/>
    <w:rsid w:val="0090197F"/>
    <w:rsid w:val="00906DDC"/>
    <w:rsid w:val="00917A92"/>
    <w:rsid w:val="00934E09"/>
    <w:rsid w:val="00936253"/>
    <w:rsid w:val="00942890"/>
    <w:rsid w:val="00960B29"/>
    <w:rsid w:val="009625D4"/>
    <w:rsid w:val="00962E4C"/>
    <w:rsid w:val="00970FED"/>
    <w:rsid w:val="0097572E"/>
    <w:rsid w:val="009804B0"/>
    <w:rsid w:val="00987543"/>
    <w:rsid w:val="00987FEA"/>
    <w:rsid w:val="009922A0"/>
    <w:rsid w:val="00993DC4"/>
    <w:rsid w:val="00997029"/>
    <w:rsid w:val="009A466E"/>
    <w:rsid w:val="009A4FE5"/>
    <w:rsid w:val="009B1B68"/>
    <w:rsid w:val="009B56C1"/>
    <w:rsid w:val="009B6F95"/>
    <w:rsid w:val="009C6998"/>
    <w:rsid w:val="009D0DE5"/>
    <w:rsid w:val="009D2BBB"/>
    <w:rsid w:val="009D690D"/>
    <w:rsid w:val="009E312B"/>
    <w:rsid w:val="009E65B6"/>
    <w:rsid w:val="00A022F2"/>
    <w:rsid w:val="00A0695F"/>
    <w:rsid w:val="00A1111C"/>
    <w:rsid w:val="00A222F0"/>
    <w:rsid w:val="00A250CE"/>
    <w:rsid w:val="00A2544C"/>
    <w:rsid w:val="00A260D6"/>
    <w:rsid w:val="00A32565"/>
    <w:rsid w:val="00A36ACB"/>
    <w:rsid w:val="00A377BD"/>
    <w:rsid w:val="00A42AC3"/>
    <w:rsid w:val="00A430CF"/>
    <w:rsid w:val="00A44040"/>
    <w:rsid w:val="00A527A4"/>
    <w:rsid w:val="00A54309"/>
    <w:rsid w:val="00A92C63"/>
    <w:rsid w:val="00A951A4"/>
    <w:rsid w:val="00A95C46"/>
    <w:rsid w:val="00AB2B93"/>
    <w:rsid w:val="00AB63DB"/>
    <w:rsid w:val="00AC0291"/>
    <w:rsid w:val="00AC1672"/>
    <w:rsid w:val="00AE0EF1"/>
    <w:rsid w:val="00AE180D"/>
    <w:rsid w:val="00AF174A"/>
    <w:rsid w:val="00B07301"/>
    <w:rsid w:val="00B1141E"/>
    <w:rsid w:val="00B21841"/>
    <w:rsid w:val="00B224DE"/>
    <w:rsid w:val="00B2553C"/>
    <w:rsid w:val="00B51026"/>
    <w:rsid w:val="00B557B4"/>
    <w:rsid w:val="00B65C17"/>
    <w:rsid w:val="00B7220C"/>
    <w:rsid w:val="00B7487E"/>
    <w:rsid w:val="00B84BBD"/>
    <w:rsid w:val="00B84E4E"/>
    <w:rsid w:val="00B85B59"/>
    <w:rsid w:val="00B9249F"/>
    <w:rsid w:val="00B92AB0"/>
    <w:rsid w:val="00B93148"/>
    <w:rsid w:val="00B9438F"/>
    <w:rsid w:val="00B95956"/>
    <w:rsid w:val="00BA43FB"/>
    <w:rsid w:val="00BC127D"/>
    <w:rsid w:val="00BC1FE6"/>
    <w:rsid w:val="00BC40AC"/>
    <w:rsid w:val="00BC5F85"/>
    <w:rsid w:val="00BC6116"/>
    <w:rsid w:val="00BD061F"/>
    <w:rsid w:val="00BD4C24"/>
    <w:rsid w:val="00BD5767"/>
    <w:rsid w:val="00BD6FF1"/>
    <w:rsid w:val="00BE07CB"/>
    <w:rsid w:val="00BF099F"/>
    <w:rsid w:val="00BF45B5"/>
    <w:rsid w:val="00BF6883"/>
    <w:rsid w:val="00BF7FCB"/>
    <w:rsid w:val="00C061B6"/>
    <w:rsid w:val="00C073C6"/>
    <w:rsid w:val="00C100F9"/>
    <w:rsid w:val="00C11AA9"/>
    <w:rsid w:val="00C15D6A"/>
    <w:rsid w:val="00C21DBF"/>
    <w:rsid w:val="00C231AC"/>
    <w:rsid w:val="00C2446C"/>
    <w:rsid w:val="00C24C6A"/>
    <w:rsid w:val="00C25FCF"/>
    <w:rsid w:val="00C36AE5"/>
    <w:rsid w:val="00C41F17"/>
    <w:rsid w:val="00C51A6F"/>
    <w:rsid w:val="00C52304"/>
    <w:rsid w:val="00C54BF4"/>
    <w:rsid w:val="00C5791C"/>
    <w:rsid w:val="00C60152"/>
    <w:rsid w:val="00C66290"/>
    <w:rsid w:val="00C66E47"/>
    <w:rsid w:val="00C6789E"/>
    <w:rsid w:val="00C72B7A"/>
    <w:rsid w:val="00C778DC"/>
    <w:rsid w:val="00C80773"/>
    <w:rsid w:val="00C84EC3"/>
    <w:rsid w:val="00C86BA2"/>
    <w:rsid w:val="00C9098E"/>
    <w:rsid w:val="00C9299E"/>
    <w:rsid w:val="00C973F2"/>
    <w:rsid w:val="00CA1641"/>
    <w:rsid w:val="00CA4A8D"/>
    <w:rsid w:val="00CA774A"/>
    <w:rsid w:val="00CB0BF0"/>
    <w:rsid w:val="00CB3136"/>
    <w:rsid w:val="00CC11B0"/>
    <w:rsid w:val="00CC15AC"/>
    <w:rsid w:val="00CC1C58"/>
    <w:rsid w:val="00CC3AF6"/>
    <w:rsid w:val="00CC7B18"/>
    <w:rsid w:val="00CD064A"/>
    <w:rsid w:val="00CD5A1F"/>
    <w:rsid w:val="00CE0F9E"/>
    <w:rsid w:val="00CE4345"/>
    <w:rsid w:val="00CE6528"/>
    <w:rsid w:val="00CF1731"/>
    <w:rsid w:val="00CF50A2"/>
    <w:rsid w:val="00CF7E36"/>
    <w:rsid w:val="00D04324"/>
    <w:rsid w:val="00D10ABC"/>
    <w:rsid w:val="00D10DC6"/>
    <w:rsid w:val="00D10FAE"/>
    <w:rsid w:val="00D12CCC"/>
    <w:rsid w:val="00D15FDE"/>
    <w:rsid w:val="00D22B7D"/>
    <w:rsid w:val="00D233D8"/>
    <w:rsid w:val="00D24210"/>
    <w:rsid w:val="00D2673D"/>
    <w:rsid w:val="00D36630"/>
    <w:rsid w:val="00D3708D"/>
    <w:rsid w:val="00D37105"/>
    <w:rsid w:val="00D37374"/>
    <w:rsid w:val="00D40426"/>
    <w:rsid w:val="00D57C96"/>
    <w:rsid w:val="00D610A1"/>
    <w:rsid w:val="00D61ECB"/>
    <w:rsid w:val="00D641ED"/>
    <w:rsid w:val="00D64FB9"/>
    <w:rsid w:val="00D846FD"/>
    <w:rsid w:val="00D84ECD"/>
    <w:rsid w:val="00D86825"/>
    <w:rsid w:val="00D86E62"/>
    <w:rsid w:val="00D91203"/>
    <w:rsid w:val="00D92124"/>
    <w:rsid w:val="00D95174"/>
    <w:rsid w:val="00D95A5C"/>
    <w:rsid w:val="00DA6F36"/>
    <w:rsid w:val="00DB4033"/>
    <w:rsid w:val="00DB7C86"/>
    <w:rsid w:val="00DC00EA"/>
    <w:rsid w:val="00DC1904"/>
    <w:rsid w:val="00DC2D96"/>
    <w:rsid w:val="00DD46BE"/>
    <w:rsid w:val="00DF73A2"/>
    <w:rsid w:val="00E05EF7"/>
    <w:rsid w:val="00E23920"/>
    <w:rsid w:val="00E26276"/>
    <w:rsid w:val="00E30A85"/>
    <w:rsid w:val="00E42770"/>
    <w:rsid w:val="00E57773"/>
    <w:rsid w:val="00E631EA"/>
    <w:rsid w:val="00E64988"/>
    <w:rsid w:val="00E65F66"/>
    <w:rsid w:val="00E67481"/>
    <w:rsid w:val="00E705FE"/>
    <w:rsid w:val="00E72D49"/>
    <w:rsid w:val="00E73FC3"/>
    <w:rsid w:val="00E7593C"/>
    <w:rsid w:val="00E7678A"/>
    <w:rsid w:val="00E87C07"/>
    <w:rsid w:val="00E935F1"/>
    <w:rsid w:val="00E94A81"/>
    <w:rsid w:val="00EA1208"/>
    <w:rsid w:val="00EA1DD1"/>
    <w:rsid w:val="00EA1FFB"/>
    <w:rsid w:val="00EA5F34"/>
    <w:rsid w:val="00EB048E"/>
    <w:rsid w:val="00EB1E7A"/>
    <w:rsid w:val="00EB3EFA"/>
    <w:rsid w:val="00EE4B26"/>
    <w:rsid w:val="00EF2F89"/>
    <w:rsid w:val="00F020BD"/>
    <w:rsid w:val="00F0338B"/>
    <w:rsid w:val="00F04DEB"/>
    <w:rsid w:val="00F1237A"/>
    <w:rsid w:val="00F131C4"/>
    <w:rsid w:val="00F17E67"/>
    <w:rsid w:val="00F22CBD"/>
    <w:rsid w:val="00F231C9"/>
    <w:rsid w:val="00F23962"/>
    <w:rsid w:val="00F26E5A"/>
    <w:rsid w:val="00F37961"/>
    <w:rsid w:val="00F4353D"/>
    <w:rsid w:val="00F47697"/>
    <w:rsid w:val="00F528B4"/>
    <w:rsid w:val="00F54BD9"/>
    <w:rsid w:val="00F6334D"/>
    <w:rsid w:val="00F6374A"/>
    <w:rsid w:val="00F70043"/>
    <w:rsid w:val="00F70302"/>
    <w:rsid w:val="00F7256E"/>
    <w:rsid w:val="00F73FFF"/>
    <w:rsid w:val="00F85667"/>
    <w:rsid w:val="00F91E07"/>
    <w:rsid w:val="00F9690D"/>
    <w:rsid w:val="00FA01B7"/>
    <w:rsid w:val="00FA1442"/>
    <w:rsid w:val="00FA2091"/>
    <w:rsid w:val="00FA31E7"/>
    <w:rsid w:val="00FA49AB"/>
    <w:rsid w:val="00FB0AB8"/>
    <w:rsid w:val="00FB0D37"/>
    <w:rsid w:val="00FC7C87"/>
    <w:rsid w:val="00FD69C7"/>
    <w:rsid w:val="00FE217A"/>
    <w:rsid w:val="00FE39C7"/>
    <w:rsid w:val="00FE4AF3"/>
    <w:rsid w:val="00FF6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link w:val="Heading3Char"/>
    <w:autoRedefine/>
    <w:qFormat/>
    <w:rsid w:val="00F37961"/>
    <w:pPr>
      <w:keepNext/>
      <w:jc w:val="both"/>
      <w:outlineLvl w:val="2"/>
    </w:pPr>
    <w:rPr>
      <w:rFonts w:ascii="Arial" w:hAnsi="Arial"/>
      <w:i/>
    </w:rPr>
  </w:style>
  <w:style w:type="paragraph" w:styleId="Heading4">
    <w:name w:val="heading 4"/>
    <w:next w:val="Normal"/>
    <w:link w:val="Heading4Char"/>
    <w:autoRedefine/>
    <w:qFormat/>
    <w:rsid w:val="00F37961"/>
    <w:pPr>
      <w:keepNext/>
      <w:ind w:left="567"/>
      <w:jc w:val="both"/>
      <w:outlineLvl w:val="3"/>
    </w:pPr>
    <w:rPr>
      <w:rFonts w:ascii="Arial" w:hAnsi="Arial"/>
      <w:i/>
      <w:lang w:val="fr-FR"/>
    </w:rPr>
  </w:style>
  <w:style w:type="paragraph" w:styleId="Heading5">
    <w:name w:val="heading 5"/>
    <w:next w:val="Normal"/>
    <w:link w:val="Heading5Char"/>
    <w:autoRedefine/>
    <w:qFormat/>
    <w:rsid w:val="00B21841"/>
    <w:pPr>
      <w:keepNext/>
      <w:ind w:left="1134" w:hanging="567"/>
      <w:jc w:val="both"/>
      <w:outlineLvl w:val="4"/>
    </w:pPr>
    <w:rPr>
      <w:rFonts w:ascii="Arial" w:hAnsi="Arial"/>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872105"/>
    <w:pPr>
      <w:spacing w:before="60"/>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523F32"/>
    <w:pPr>
      <w:ind w:left="720"/>
      <w:contextualSpacing/>
    </w:pPr>
  </w:style>
  <w:style w:type="paragraph" w:customStyle="1" w:styleId="DecisionInvitingPara">
    <w:name w:val="Decision Inviting Para."/>
    <w:basedOn w:val="Normal"/>
    <w:rsid w:val="00662112"/>
    <w:pPr>
      <w:ind w:left="4536"/>
    </w:pPr>
    <w:rPr>
      <w:i/>
      <w:lang w:val="es-ES_tradnl"/>
    </w:rPr>
  </w:style>
  <w:style w:type="character" w:customStyle="1" w:styleId="FootnoteTextChar">
    <w:name w:val="Footnote Text Char"/>
    <w:link w:val="FootnoteText"/>
    <w:rsid w:val="00872105"/>
    <w:rPr>
      <w:rFonts w:ascii="Arial" w:hAnsi="Arial"/>
      <w:sz w:val="16"/>
    </w:rPr>
  </w:style>
  <w:style w:type="character" w:customStyle="1" w:styleId="Heading3Char">
    <w:name w:val="Heading 3 Char"/>
    <w:basedOn w:val="DefaultParagraphFont"/>
    <w:link w:val="Heading3"/>
    <w:rsid w:val="00852CAB"/>
    <w:rPr>
      <w:rFonts w:ascii="Arial" w:hAnsi="Arial"/>
      <w:i/>
    </w:rPr>
  </w:style>
  <w:style w:type="character" w:customStyle="1" w:styleId="DecisionParagraphsChar">
    <w:name w:val="DecisionParagraphs Char"/>
    <w:link w:val="DecisionParagraphs"/>
    <w:rsid w:val="005A6BAC"/>
    <w:rPr>
      <w:rFonts w:ascii="Arial" w:hAnsi="Arial"/>
      <w:i/>
    </w:rPr>
  </w:style>
  <w:style w:type="character" w:styleId="Emphasis">
    <w:name w:val="Emphasis"/>
    <w:basedOn w:val="DefaultParagraphFont"/>
    <w:qFormat/>
    <w:rsid w:val="00624853"/>
    <w:rPr>
      <w:i/>
      <w:iCs/>
    </w:rPr>
  </w:style>
  <w:style w:type="character" w:customStyle="1" w:styleId="Heading4Char">
    <w:name w:val="Heading 4 Char"/>
    <w:basedOn w:val="DefaultParagraphFont"/>
    <w:link w:val="Heading4"/>
    <w:rsid w:val="004125C8"/>
    <w:rPr>
      <w:rFonts w:ascii="Arial" w:hAnsi="Arial"/>
      <w:i/>
      <w:lang w:val="fr-FR"/>
    </w:rPr>
  </w:style>
  <w:style w:type="character" w:customStyle="1" w:styleId="Heading5Char">
    <w:name w:val="Heading 5 Char"/>
    <w:basedOn w:val="DefaultParagraphFont"/>
    <w:link w:val="Heading5"/>
    <w:rsid w:val="004125C8"/>
    <w:rPr>
      <w:rFonts w:ascii="Arial" w:hAnsi="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link w:val="Heading3Char"/>
    <w:autoRedefine/>
    <w:qFormat/>
    <w:rsid w:val="00F37961"/>
    <w:pPr>
      <w:keepNext/>
      <w:jc w:val="both"/>
      <w:outlineLvl w:val="2"/>
    </w:pPr>
    <w:rPr>
      <w:rFonts w:ascii="Arial" w:hAnsi="Arial"/>
      <w:i/>
    </w:rPr>
  </w:style>
  <w:style w:type="paragraph" w:styleId="Heading4">
    <w:name w:val="heading 4"/>
    <w:next w:val="Normal"/>
    <w:link w:val="Heading4Char"/>
    <w:autoRedefine/>
    <w:qFormat/>
    <w:rsid w:val="00F37961"/>
    <w:pPr>
      <w:keepNext/>
      <w:ind w:left="567"/>
      <w:jc w:val="both"/>
      <w:outlineLvl w:val="3"/>
    </w:pPr>
    <w:rPr>
      <w:rFonts w:ascii="Arial" w:hAnsi="Arial"/>
      <w:i/>
      <w:lang w:val="fr-FR"/>
    </w:rPr>
  </w:style>
  <w:style w:type="paragraph" w:styleId="Heading5">
    <w:name w:val="heading 5"/>
    <w:next w:val="Normal"/>
    <w:link w:val="Heading5Char"/>
    <w:autoRedefine/>
    <w:qFormat/>
    <w:rsid w:val="00B21841"/>
    <w:pPr>
      <w:keepNext/>
      <w:ind w:left="1134" w:hanging="567"/>
      <w:jc w:val="both"/>
      <w:outlineLvl w:val="4"/>
    </w:pPr>
    <w:rPr>
      <w:rFonts w:ascii="Arial" w:hAnsi="Arial"/>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872105"/>
    <w:pPr>
      <w:spacing w:before="60"/>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523F32"/>
    <w:pPr>
      <w:ind w:left="720"/>
      <w:contextualSpacing/>
    </w:pPr>
  </w:style>
  <w:style w:type="paragraph" w:customStyle="1" w:styleId="DecisionInvitingPara">
    <w:name w:val="Decision Inviting Para."/>
    <w:basedOn w:val="Normal"/>
    <w:rsid w:val="00662112"/>
    <w:pPr>
      <w:ind w:left="4536"/>
    </w:pPr>
    <w:rPr>
      <w:i/>
      <w:lang w:val="es-ES_tradnl"/>
    </w:rPr>
  </w:style>
  <w:style w:type="character" w:customStyle="1" w:styleId="FootnoteTextChar">
    <w:name w:val="Footnote Text Char"/>
    <w:link w:val="FootnoteText"/>
    <w:rsid w:val="00872105"/>
    <w:rPr>
      <w:rFonts w:ascii="Arial" w:hAnsi="Arial"/>
      <w:sz w:val="16"/>
    </w:rPr>
  </w:style>
  <w:style w:type="character" w:customStyle="1" w:styleId="Heading3Char">
    <w:name w:val="Heading 3 Char"/>
    <w:basedOn w:val="DefaultParagraphFont"/>
    <w:link w:val="Heading3"/>
    <w:rsid w:val="00852CAB"/>
    <w:rPr>
      <w:rFonts w:ascii="Arial" w:hAnsi="Arial"/>
      <w:i/>
    </w:rPr>
  </w:style>
  <w:style w:type="character" w:customStyle="1" w:styleId="DecisionParagraphsChar">
    <w:name w:val="DecisionParagraphs Char"/>
    <w:link w:val="DecisionParagraphs"/>
    <w:rsid w:val="005A6BAC"/>
    <w:rPr>
      <w:rFonts w:ascii="Arial" w:hAnsi="Arial"/>
      <w:i/>
    </w:rPr>
  </w:style>
  <w:style w:type="character" w:styleId="Emphasis">
    <w:name w:val="Emphasis"/>
    <w:basedOn w:val="DefaultParagraphFont"/>
    <w:qFormat/>
    <w:rsid w:val="00624853"/>
    <w:rPr>
      <w:i/>
      <w:iCs/>
    </w:rPr>
  </w:style>
  <w:style w:type="character" w:customStyle="1" w:styleId="Heading4Char">
    <w:name w:val="Heading 4 Char"/>
    <w:basedOn w:val="DefaultParagraphFont"/>
    <w:link w:val="Heading4"/>
    <w:rsid w:val="004125C8"/>
    <w:rPr>
      <w:rFonts w:ascii="Arial" w:hAnsi="Arial"/>
      <w:i/>
      <w:lang w:val="fr-FR"/>
    </w:rPr>
  </w:style>
  <w:style w:type="character" w:customStyle="1" w:styleId="Heading5Char">
    <w:name w:val="Heading 5 Char"/>
    <w:basedOn w:val="DefaultParagraphFont"/>
    <w:link w:val="Heading5"/>
    <w:rsid w:val="004125C8"/>
    <w:rPr>
      <w:rFonts w:ascii="Arial" w:hAnsi="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60198">
      <w:bodyDiv w:val="1"/>
      <w:marLeft w:val="0"/>
      <w:marRight w:val="0"/>
      <w:marTop w:val="0"/>
      <w:marBottom w:val="0"/>
      <w:divBdr>
        <w:top w:val="none" w:sz="0" w:space="0" w:color="auto"/>
        <w:left w:val="none" w:sz="0" w:space="0" w:color="auto"/>
        <w:bottom w:val="none" w:sz="0" w:space="0" w:color="auto"/>
        <w:right w:val="none" w:sz="0" w:space="0" w:color="auto"/>
      </w:divBdr>
    </w:div>
    <w:div w:id="471825136">
      <w:bodyDiv w:val="1"/>
      <w:marLeft w:val="0"/>
      <w:marRight w:val="0"/>
      <w:marTop w:val="0"/>
      <w:marBottom w:val="0"/>
      <w:divBdr>
        <w:top w:val="none" w:sz="0" w:space="0" w:color="auto"/>
        <w:left w:val="none" w:sz="0" w:space="0" w:color="auto"/>
        <w:bottom w:val="none" w:sz="0" w:space="0" w:color="auto"/>
        <w:right w:val="none" w:sz="0" w:space="0" w:color="auto"/>
      </w:divBdr>
    </w:div>
    <w:div w:id="1198855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meetings/de/topic.jsp?group_id=25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ov.int/meetings/de/topic.jsp?group_id=2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edocs/tgpdocs/de/tgp_7.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AJ\CAJ71\templates\CAJ_7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20166-C03F-4F48-BE5B-807EC0E97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CAJ_71_EN.dotx</Template>
  <TotalTime>3</TotalTime>
  <Pages>21</Pages>
  <Words>8360</Words>
  <Characters>57555</Characters>
  <Application>Microsoft Office Word</Application>
  <DocSecurity>0</DocSecurity>
  <Lines>479</Lines>
  <Paragraphs>131</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20</vt:i4>
      </vt:variant>
    </vt:vector>
  </HeadingPairs>
  <TitlesOfParts>
    <vt:vector size="22" baseType="lpstr">
      <vt:lpstr>CAJ/70/</vt:lpstr>
      <vt:lpstr>CAJ/70/</vt:lpstr>
      <vt:lpstr>Eröffnung der Tagung</vt:lpstr>
      <vt:lpstr>Annahme der Tagesordnung</vt:lpstr>
      <vt:lpstr>Bericht über die Entwicklungen im Technischen Ausschuß </vt:lpstr>
      <vt:lpstr>Ausarbeitung von Informationsmaterial zum UPOV-Übereinkommen</vt:lpstr>
      <vt:lpstr/>
      <vt:lpstr>    Erläuterungen zu Vermehrungsmaterial nach der Akte von 1991 des UPOV-Übereinkomm</vt:lpstr>
      <vt:lpstr>    </vt:lpstr>
      <vt:lpstr>    </vt:lpstr>
      <vt:lpstr>    Von der CAJ-AG geprüfte Angelegenheiten betreffend Sortenbeschreibungen </vt:lpstr>
      <vt:lpstr>    Sortenbezeichnungen </vt:lpstr>
      <vt:lpstr>Informationen und Datenbanken</vt:lpstr>
      <vt:lpstr/>
      <vt:lpstr>        (a)	Elektronische Systeme für die Einreichung von Anträgen</vt:lpstr>
      <vt:lpstr>    (b)	UPOV-Informationsdatenbanken</vt:lpstr>
      <vt:lpstr>        (c)	Austausch und Verwendung von Software und Ausrüstung</vt:lpstr>
      <vt:lpstr>TGP-Dokumente</vt:lpstr>
      <vt:lpstr/>
      <vt:lpstr>Molekulare Verfahren</vt:lpstr>
      <vt:lpstr/>
      <vt:lpstr>Programm für die zweiundsiebzigste Tagung</vt:lpstr>
    </vt:vector>
  </TitlesOfParts>
  <Company>UPOV</Company>
  <LinksUpToDate>false</LinksUpToDate>
  <CharactersWithSpaces>65784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PASIEKA Allie</dc:creator>
  <cp:lastModifiedBy>BESSE Ariane</cp:lastModifiedBy>
  <cp:revision>7</cp:revision>
  <cp:lastPrinted>2015-10-05T12:02:00Z</cp:lastPrinted>
  <dcterms:created xsi:type="dcterms:W3CDTF">2015-10-02T09:03:00Z</dcterms:created>
  <dcterms:modified xsi:type="dcterms:W3CDTF">2015-10-05T12:02:00Z</dcterms:modified>
</cp:coreProperties>
</file>