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42567" w:rsidTr="00FB0D37">
        <w:trPr>
          <w:trHeight w:val="1760"/>
        </w:trPr>
        <w:tc>
          <w:tcPr>
            <w:tcW w:w="4243" w:type="dxa"/>
          </w:tcPr>
          <w:p w:rsidR="000D7780" w:rsidRPr="00997029" w:rsidRDefault="004230D9" w:rsidP="007D0B9D">
            <w:pPr>
              <w:rPr>
                <w:lang w:eastAsia="ja-JP"/>
              </w:rPr>
            </w:pPr>
            <w:r>
              <w:rPr>
                <w:rFonts w:hint="eastAsia"/>
                <w:lang w:eastAsia="ja-JP"/>
              </w:rPr>
              <w:t xml:space="preserve"> </w:t>
            </w:r>
          </w:p>
        </w:tc>
        <w:tc>
          <w:tcPr>
            <w:tcW w:w="1646" w:type="dxa"/>
            <w:vAlign w:val="center"/>
          </w:tcPr>
          <w:p w:rsidR="000D7780" w:rsidRPr="00576BE4" w:rsidRDefault="00110481" w:rsidP="00576BE4">
            <w:pPr>
              <w:pStyle w:val="LogoUPOV"/>
            </w:pPr>
            <w:r>
              <w:rPr>
                <w:noProof/>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242567" w:rsidRDefault="00D32FAC" w:rsidP="00576BE4">
            <w:pPr>
              <w:pStyle w:val="Lettrine"/>
              <w:rPr>
                <w:lang w:val="de-DE"/>
              </w:rPr>
            </w:pPr>
            <w:r w:rsidRPr="00242567">
              <w:rPr>
                <w:lang w:val="de-DE"/>
              </w:rPr>
              <w:t>G</w:t>
            </w:r>
          </w:p>
          <w:p w:rsidR="000D7780" w:rsidRPr="00242567" w:rsidRDefault="0083091D" w:rsidP="00474DA4">
            <w:pPr>
              <w:pStyle w:val="Docoriginal"/>
              <w:jc w:val="left"/>
              <w:rPr>
                <w:lang w:val="de-DE"/>
              </w:rPr>
            </w:pPr>
            <w:r w:rsidRPr="00242567">
              <w:rPr>
                <w:lang w:val="de-DE"/>
              </w:rPr>
              <w:t>CAJ/70</w:t>
            </w:r>
            <w:r w:rsidR="00EB3EFA" w:rsidRPr="00242567">
              <w:rPr>
                <w:lang w:val="de-DE"/>
              </w:rPr>
              <w:t>/</w:t>
            </w:r>
            <w:bookmarkStart w:id="0" w:name="Code"/>
            <w:bookmarkEnd w:id="0"/>
            <w:r w:rsidR="00BB3070" w:rsidRPr="00242567">
              <w:rPr>
                <w:lang w:val="de-DE"/>
              </w:rPr>
              <w:t>6</w:t>
            </w:r>
          </w:p>
          <w:p w:rsidR="000D7780" w:rsidRPr="00242567" w:rsidRDefault="0061555F" w:rsidP="00D32FAC">
            <w:pPr>
              <w:pStyle w:val="Docoriginal"/>
              <w:jc w:val="left"/>
              <w:rPr>
                <w:lang w:val="de-DE"/>
              </w:rPr>
            </w:pPr>
            <w:r w:rsidRPr="00242567">
              <w:rPr>
                <w:rStyle w:val="StyleDoclangBold"/>
                <w:b/>
                <w:bCs/>
                <w:spacing w:val="0"/>
                <w:lang w:val="de-DE"/>
              </w:rPr>
              <w:t>ORIGINAL</w:t>
            </w:r>
            <w:r w:rsidR="000D7780" w:rsidRPr="00242567">
              <w:rPr>
                <w:rStyle w:val="StyleDoclangBold"/>
                <w:b/>
                <w:bCs/>
                <w:spacing w:val="0"/>
                <w:lang w:val="de-DE"/>
              </w:rPr>
              <w:t>:</w:t>
            </w:r>
            <w:r w:rsidRPr="00242567">
              <w:rPr>
                <w:rStyle w:val="StyleDocoriginalNotBold1"/>
                <w:spacing w:val="0"/>
                <w:lang w:val="de-DE"/>
              </w:rPr>
              <w:t xml:space="preserve"> </w:t>
            </w:r>
            <w:r w:rsidR="000D7780" w:rsidRPr="00242567">
              <w:rPr>
                <w:rStyle w:val="StyleDocoriginalNotBold1"/>
                <w:spacing w:val="0"/>
                <w:lang w:val="de-DE"/>
              </w:rPr>
              <w:t xml:space="preserve"> </w:t>
            </w:r>
            <w:bookmarkStart w:id="1" w:name="Original"/>
            <w:bookmarkEnd w:id="1"/>
            <w:r w:rsidR="00D32FAC" w:rsidRPr="00242567">
              <w:rPr>
                <w:b w:val="0"/>
                <w:spacing w:val="0"/>
                <w:lang w:val="de-DE"/>
              </w:rPr>
              <w:t>en</w:t>
            </w:r>
            <w:r w:rsidR="0024416D" w:rsidRPr="00242567">
              <w:rPr>
                <w:b w:val="0"/>
                <w:spacing w:val="0"/>
                <w:lang w:val="de-DE"/>
              </w:rPr>
              <w:t>glis</w:t>
            </w:r>
            <w:r w:rsidR="00D32FAC" w:rsidRPr="00242567">
              <w:rPr>
                <w:b w:val="0"/>
                <w:spacing w:val="0"/>
                <w:lang w:val="de-DE"/>
              </w:rPr>
              <w:t>c</w:t>
            </w:r>
            <w:r w:rsidR="0024416D" w:rsidRPr="00242567">
              <w:rPr>
                <w:b w:val="0"/>
                <w:spacing w:val="0"/>
                <w:lang w:val="de-DE"/>
              </w:rPr>
              <w:t>h</w:t>
            </w:r>
          </w:p>
          <w:p w:rsidR="000D7780" w:rsidRPr="00242567" w:rsidRDefault="000D7780" w:rsidP="00F93879">
            <w:pPr>
              <w:pStyle w:val="Docoriginal"/>
              <w:jc w:val="left"/>
              <w:rPr>
                <w:b w:val="0"/>
                <w:spacing w:val="0"/>
                <w:highlight w:val="cyan"/>
                <w:lang w:val="de-DE"/>
              </w:rPr>
            </w:pPr>
            <w:r w:rsidRPr="00242567">
              <w:rPr>
                <w:spacing w:val="0"/>
                <w:lang w:val="de-DE"/>
              </w:rPr>
              <w:t>DATE:</w:t>
            </w:r>
            <w:r w:rsidR="0061555F" w:rsidRPr="00242567">
              <w:rPr>
                <w:b w:val="0"/>
                <w:spacing w:val="0"/>
                <w:lang w:val="de-DE"/>
              </w:rPr>
              <w:t xml:space="preserve"> </w:t>
            </w:r>
            <w:r w:rsidRPr="00242567">
              <w:rPr>
                <w:rStyle w:val="StyleDocoriginalNotBold1"/>
                <w:spacing w:val="0"/>
                <w:lang w:val="de-DE"/>
              </w:rPr>
              <w:t xml:space="preserve"> </w:t>
            </w:r>
            <w:bookmarkStart w:id="2" w:name="Date"/>
            <w:bookmarkEnd w:id="2"/>
            <w:r w:rsidR="00F93879">
              <w:rPr>
                <w:rStyle w:val="StyleDocoriginalNotBold1"/>
                <w:spacing w:val="0"/>
                <w:lang w:val="de-DE"/>
              </w:rPr>
              <w:t>6</w:t>
            </w:r>
            <w:r w:rsidR="00D32FAC" w:rsidRPr="00242567">
              <w:rPr>
                <w:rStyle w:val="StyleDocoriginalNotBold1"/>
                <w:spacing w:val="0"/>
                <w:lang w:val="de-DE"/>
              </w:rPr>
              <w:t xml:space="preserve">. </w:t>
            </w:r>
            <w:r w:rsidR="00F93879">
              <w:rPr>
                <w:rStyle w:val="StyleDocoriginalNotBold1"/>
                <w:spacing w:val="0"/>
                <w:lang w:val="de-DE" w:eastAsia="ja-JP"/>
              </w:rPr>
              <w:t>August</w:t>
            </w:r>
            <w:bookmarkStart w:id="3" w:name="_GoBack"/>
            <w:bookmarkEnd w:id="3"/>
            <w:r w:rsidR="0024416D" w:rsidRPr="00242567">
              <w:rPr>
                <w:b w:val="0"/>
                <w:spacing w:val="0"/>
                <w:lang w:val="de-DE"/>
              </w:rPr>
              <w:t xml:space="preserve"> </w:t>
            </w:r>
            <w:r w:rsidR="001131D5" w:rsidRPr="00242567">
              <w:rPr>
                <w:b w:val="0"/>
                <w:spacing w:val="0"/>
                <w:lang w:val="de-DE"/>
              </w:rPr>
              <w:t>201</w:t>
            </w:r>
            <w:r w:rsidR="0042336E" w:rsidRPr="00242567">
              <w:rPr>
                <w:b w:val="0"/>
                <w:spacing w:val="0"/>
                <w:lang w:val="de-DE"/>
              </w:rPr>
              <w:t>4</w:t>
            </w:r>
          </w:p>
        </w:tc>
      </w:tr>
      <w:tr w:rsidR="00D32FAC" w:rsidRPr="00F93879" w:rsidTr="00FB0D37">
        <w:tc>
          <w:tcPr>
            <w:tcW w:w="10131" w:type="dxa"/>
            <w:gridSpan w:val="3"/>
          </w:tcPr>
          <w:p w:rsidR="00D32FAC" w:rsidRDefault="00D32FAC">
            <w:pPr>
              <w:pStyle w:val="upove"/>
              <w:rPr>
                <w:sz w:val="28"/>
                <w:lang w:val="de-DE"/>
              </w:rPr>
            </w:pPr>
            <w:r>
              <w:rPr>
                <w:snapToGrid w:val="0"/>
                <w:lang w:val="de-DE"/>
              </w:rPr>
              <w:t>INTERNATIONALER VERBAND ZUM SCHUTZ VON PFLANZENZÜCHTUNGEN</w:t>
            </w:r>
          </w:p>
        </w:tc>
      </w:tr>
      <w:tr w:rsidR="00D32FAC" w:rsidRPr="00997029" w:rsidTr="00FB0D37">
        <w:tc>
          <w:tcPr>
            <w:tcW w:w="10131" w:type="dxa"/>
            <w:gridSpan w:val="3"/>
          </w:tcPr>
          <w:p w:rsidR="00D32FAC" w:rsidRDefault="00D32FAC">
            <w:pPr>
              <w:pStyle w:val="Country"/>
              <w:rPr>
                <w:lang w:val="de-DE"/>
              </w:rPr>
            </w:pPr>
            <w:r>
              <w:rPr>
                <w:lang w:val="de-DE"/>
              </w:rPr>
              <w:t>Genf</w:t>
            </w:r>
          </w:p>
        </w:tc>
      </w:tr>
    </w:tbl>
    <w:p w:rsidR="00D32FAC" w:rsidRDefault="00D32FAC" w:rsidP="00D32FAC">
      <w:pPr>
        <w:pStyle w:val="Sessiontc"/>
        <w:rPr>
          <w:lang w:val="de-DE"/>
        </w:rPr>
      </w:pPr>
      <w:bookmarkStart w:id="4" w:name="_Toc374716168"/>
      <w:r>
        <w:rPr>
          <w:lang w:val="de-DE"/>
        </w:rPr>
        <w:t>verwaltungs- und rechtsausschuss</w:t>
      </w:r>
    </w:p>
    <w:p w:rsidR="00D32FAC" w:rsidRDefault="00242567" w:rsidP="00D32FAC">
      <w:pPr>
        <w:pStyle w:val="Sessiontcplacedate"/>
        <w:rPr>
          <w:lang w:val="de-DE"/>
        </w:rPr>
      </w:pPr>
      <w:r>
        <w:t>Siebzigste</w:t>
      </w:r>
      <w:r w:rsidR="00D32FAC">
        <w:rPr>
          <w:lang w:val="de-DE"/>
        </w:rPr>
        <w:t xml:space="preserve"> Tagung</w:t>
      </w:r>
      <w:r w:rsidR="00D32FAC">
        <w:rPr>
          <w:lang w:val="de-DE"/>
        </w:rPr>
        <w:br/>
        <w:t xml:space="preserve">Genf, </w:t>
      </w:r>
      <w:r>
        <w:rPr>
          <w:lang w:val="de-DE"/>
        </w:rPr>
        <w:t>13</w:t>
      </w:r>
      <w:r w:rsidR="00D32FAC">
        <w:rPr>
          <w:lang w:val="de-DE"/>
        </w:rPr>
        <w:t xml:space="preserve">. </w:t>
      </w:r>
      <w:r>
        <w:rPr>
          <w:lang w:val="de-DE"/>
        </w:rPr>
        <w:t>Oktober</w:t>
      </w:r>
      <w:r w:rsidR="00D32FAC">
        <w:rPr>
          <w:lang w:val="de-DE"/>
        </w:rPr>
        <w:t xml:space="preserve"> 2014</w:t>
      </w:r>
    </w:p>
    <w:p w:rsidR="00D32FAC" w:rsidRDefault="00D32FAC" w:rsidP="00D32FAC">
      <w:pPr>
        <w:pStyle w:val="Titleofdoc0"/>
        <w:rPr>
          <w:lang w:val="de-DE"/>
        </w:rPr>
      </w:pPr>
      <w:bookmarkStart w:id="5" w:name="TitleOfDoc"/>
      <w:bookmarkEnd w:id="5"/>
      <w:r>
        <w:rPr>
          <w:kern w:val="28"/>
          <w:lang w:val="de-DE"/>
        </w:rPr>
        <w:t>Molekulare verfahren</w:t>
      </w:r>
    </w:p>
    <w:p w:rsidR="00D32FAC" w:rsidRDefault="00D32FAC" w:rsidP="00D32FAC">
      <w:pPr>
        <w:pStyle w:val="preparedby1"/>
        <w:rPr>
          <w:lang w:val="de-DE"/>
        </w:rPr>
      </w:pPr>
      <w:bookmarkStart w:id="6" w:name="Prepared"/>
      <w:bookmarkEnd w:id="6"/>
      <w:r>
        <w:rPr>
          <w:lang w:val="de-DE"/>
        </w:rPr>
        <w:t>vom Verbandsbüro erstelltes Dokument</w:t>
      </w:r>
      <w:r>
        <w:rPr>
          <w:lang w:val="de-DE"/>
        </w:rPr>
        <w:br/>
      </w:r>
      <w:r>
        <w:rPr>
          <w:lang w:val="de-DE"/>
        </w:rPr>
        <w:br/>
      </w:r>
      <w:proofErr w:type="spellStart"/>
      <w:r>
        <w:rPr>
          <w:color w:val="A6A6A6" w:themeColor="background1" w:themeShade="A6"/>
          <w:lang w:val="de-DE"/>
        </w:rPr>
        <w:t>Haftungsausschluß</w:t>
      </w:r>
      <w:proofErr w:type="spellEnd"/>
      <w:r>
        <w:rPr>
          <w:color w:val="A6A6A6" w:themeColor="background1" w:themeShade="A6"/>
          <w:lang w:val="de-DE"/>
        </w:rPr>
        <w:t>: Dieses Dokument gibt nicht die Grundsätze oder eine Anleitung der UPOV wieder</w:t>
      </w:r>
    </w:p>
    <w:p w:rsidR="0042336E" w:rsidRPr="00D32FAC" w:rsidRDefault="004C03DD" w:rsidP="00435B47">
      <w:pPr>
        <w:rPr>
          <w:lang w:val="de-DE"/>
        </w:rPr>
      </w:pPr>
      <w:r w:rsidRPr="0042336E">
        <w:fldChar w:fldCharType="begin"/>
      </w:r>
      <w:r w:rsidR="0042336E" w:rsidRPr="00D32FAC">
        <w:rPr>
          <w:lang w:val="de-DE"/>
        </w:rPr>
        <w:instrText xml:space="preserve"> AUTONUM  </w:instrText>
      </w:r>
      <w:r w:rsidRPr="0042336E">
        <w:fldChar w:fldCharType="end"/>
      </w:r>
      <w:r w:rsidR="0042336E" w:rsidRPr="00D32FAC">
        <w:rPr>
          <w:lang w:val="de-DE"/>
        </w:rPr>
        <w:tab/>
      </w:r>
      <w:r w:rsidR="00435B47">
        <w:rPr>
          <w:lang w:val="de-DE"/>
        </w:rPr>
        <w:t xml:space="preserve">Zweck dieses </w:t>
      </w:r>
      <w:r w:rsidR="00D32FAC" w:rsidRPr="00D32FAC">
        <w:rPr>
          <w:lang w:val="de-DE"/>
        </w:rPr>
        <w:t>Dokument</w:t>
      </w:r>
      <w:r w:rsidR="00435B47">
        <w:rPr>
          <w:lang w:val="de-DE"/>
        </w:rPr>
        <w:t xml:space="preserve">s ist es, </w:t>
      </w:r>
      <w:r w:rsidR="00D32FAC" w:rsidRPr="00D32FAC">
        <w:rPr>
          <w:lang w:val="de-DE"/>
        </w:rPr>
        <w:t xml:space="preserve">über Entwicklungen </w:t>
      </w:r>
      <w:r w:rsidR="00435B47">
        <w:rPr>
          <w:lang w:val="de-DE"/>
        </w:rPr>
        <w:t xml:space="preserve">betreffend die </w:t>
      </w:r>
      <w:r w:rsidR="00D32FAC" w:rsidRPr="00D32FAC">
        <w:rPr>
          <w:lang w:val="de-DE"/>
        </w:rPr>
        <w:t xml:space="preserve">Erteilung von Informationen zur Lage in der UPOV bezüglich der Verwendung molekularer Verfahren für ein breiteres Publikum, einschließlich Züchtern und der Öffentlichkeit im </w:t>
      </w:r>
      <w:proofErr w:type="gramStart"/>
      <w:r w:rsidR="00D32FAC" w:rsidRPr="00D32FAC">
        <w:rPr>
          <w:lang w:val="de-DE"/>
        </w:rPr>
        <w:t>allgemeinen</w:t>
      </w:r>
      <w:proofErr w:type="gramEnd"/>
      <w:r w:rsidR="00435B47">
        <w:rPr>
          <w:lang w:val="de-DE"/>
        </w:rPr>
        <w:t>, zu berichten</w:t>
      </w:r>
      <w:r w:rsidR="0042336E" w:rsidRPr="00D32FAC">
        <w:rPr>
          <w:lang w:val="de-DE"/>
        </w:rPr>
        <w:t>.</w:t>
      </w:r>
      <w:bookmarkEnd w:id="4"/>
    </w:p>
    <w:p w:rsidR="0042336E" w:rsidRPr="00D32FAC" w:rsidRDefault="0042336E" w:rsidP="0042336E">
      <w:pPr>
        <w:rPr>
          <w:lang w:val="de-DE"/>
        </w:rPr>
      </w:pPr>
    </w:p>
    <w:p w:rsidR="00D32FAC" w:rsidRPr="00D32FAC" w:rsidRDefault="004C03DD" w:rsidP="00D32FAC">
      <w:pPr>
        <w:keepNext/>
        <w:rPr>
          <w:color w:val="000000"/>
          <w:lang w:val="de-DE"/>
        </w:rPr>
      </w:pPr>
      <w:r w:rsidRPr="0042336E">
        <w:fldChar w:fldCharType="begin"/>
      </w:r>
      <w:r w:rsidR="0042336E" w:rsidRPr="00D32FAC">
        <w:rPr>
          <w:lang w:val="de-DE"/>
        </w:rPr>
        <w:instrText xml:space="preserve"> AUTONUM  </w:instrText>
      </w:r>
      <w:r w:rsidRPr="0042336E">
        <w:fldChar w:fldCharType="end"/>
      </w:r>
      <w:r w:rsidR="0042336E" w:rsidRPr="00D32FAC">
        <w:rPr>
          <w:lang w:val="de-DE"/>
        </w:rPr>
        <w:tab/>
      </w:r>
      <w:r w:rsidR="00D32FAC" w:rsidRPr="00D32FAC">
        <w:rPr>
          <w:color w:val="000000"/>
          <w:lang w:val="de-DE"/>
        </w:rPr>
        <w:t>Folgende Abkürzungen werden in diesem Dokument verwendet:</w:t>
      </w:r>
    </w:p>
    <w:p w:rsidR="00D32FAC" w:rsidRPr="00D32FAC" w:rsidRDefault="00D32FAC" w:rsidP="00D32FAC">
      <w:pPr>
        <w:keepNext/>
        <w:rPr>
          <w:color w:val="000000"/>
          <w:lang w:val="de-DE"/>
        </w:rPr>
      </w:pPr>
    </w:p>
    <w:p w:rsidR="00D32FAC" w:rsidRPr="00D32FAC" w:rsidRDefault="00435B47" w:rsidP="00D32FAC">
      <w:pPr>
        <w:keepNext/>
        <w:ind w:left="567"/>
        <w:rPr>
          <w:color w:val="000000"/>
          <w:lang w:val="de-DE"/>
        </w:rPr>
      </w:pPr>
      <w:r>
        <w:rPr>
          <w:color w:val="000000"/>
          <w:lang w:val="de-DE"/>
        </w:rPr>
        <w:t>CAJ:</w:t>
      </w:r>
      <w:r>
        <w:rPr>
          <w:color w:val="000000"/>
          <w:lang w:val="de-DE"/>
        </w:rPr>
        <w:tab/>
      </w:r>
      <w:r>
        <w:rPr>
          <w:color w:val="000000"/>
          <w:lang w:val="de-DE"/>
        </w:rPr>
        <w:tab/>
      </w:r>
      <w:r w:rsidRPr="00435B47">
        <w:rPr>
          <w:color w:val="000000"/>
          <w:lang w:val="de-DE"/>
        </w:rPr>
        <w:t xml:space="preserve">Verwaltungs- und </w:t>
      </w:r>
      <w:proofErr w:type="spellStart"/>
      <w:r w:rsidRPr="00435B47">
        <w:rPr>
          <w:color w:val="000000"/>
          <w:lang w:val="de-DE"/>
        </w:rPr>
        <w:t>Rechtsausschuß</w:t>
      </w:r>
      <w:proofErr w:type="spellEnd"/>
    </w:p>
    <w:p w:rsidR="005718B2" w:rsidRPr="005C0BE6" w:rsidRDefault="00D32FAC" w:rsidP="00D32FAC">
      <w:pPr>
        <w:keepNext/>
        <w:ind w:left="567"/>
        <w:rPr>
          <w:snapToGrid w:val="0"/>
          <w:lang w:val="de-DE" w:eastAsia="ja-JP"/>
        </w:rPr>
      </w:pPr>
      <w:r w:rsidRPr="005C0BE6">
        <w:rPr>
          <w:color w:val="000000"/>
          <w:lang w:val="de-DE"/>
        </w:rPr>
        <w:t xml:space="preserve">TC: </w:t>
      </w:r>
      <w:r w:rsidR="00435B47">
        <w:rPr>
          <w:color w:val="000000"/>
          <w:lang w:val="de-DE"/>
        </w:rPr>
        <w:tab/>
      </w:r>
      <w:r w:rsidR="00435B47">
        <w:rPr>
          <w:color w:val="000000"/>
          <w:lang w:val="de-DE"/>
        </w:rPr>
        <w:tab/>
      </w:r>
      <w:r w:rsidRPr="005C0BE6">
        <w:rPr>
          <w:color w:val="000000"/>
          <w:lang w:val="de-DE"/>
        </w:rPr>
        <w:t xml:space="preserve">Technischer </w:t>
      </w:r>
      <w:proofErr w:type="spellStart"/>
      <w:r w:rsidRPr="005C0BE6">
        <w:rPr>
          <w:color w:val="000000"/>
          <w:lang w:val="de-DE"/>
        </w:rPr>
        <w:t>Ausschuß</w:t>
      </w:r>
      <w:proofErr w:type="spellEnd"/>
    </w:p>
    <w:p w:rsidR="005718B2" w:rsidRPr="005C0BE6" w:rsidRDefault="005718B2" w:rsidP="00392142">
      <w:pPr>
        <w:rPr>
          <w:snapToGrid w:val="0"/>
          <w:lang w:val="de-DE" w:eastAsia="ja-JP"/>
        </w:rPr>
      </w:pPr>
    </w:p>
    <w:p w:rsidR="0042336E" w:rsidRPr="00D32FAC" w:rsidRDefault="00D32FAC" w:rsidP="00435B47">
      <w:pPr>
        <w:keepNext/>
        <w:outlineLvl w:val="0"/>
        <w:rPr>
          <w:caps/>
          <w:spacing w:val="2"/>
          <w:lang w:val="de-DE"/>
        </w:rPr>
      </w:pPr>
      <w:r w:rsidRPr="00D32FAC">
        <w:rPr>
          <w:caps/>
          <w:spacing w:val="2"/>
          <w:lang w:val="de-DE"/>
        </w:rPr>
        <w:t xml:space="preserve">Erteilung von Informationen zur Lage in der UPOV bezüglich der Verwendung molekularer Verfahren für ein breiteres Publikum, </w:t>
      </w:r>
      <w:proofErr w:type="spellStart"/>
      <w:r w:rsidRPr="00D32FAC">
        <w:rPr>
          <w:caps/>
          <w:spacing w:val="2"/>
          <w:lang w:val="de-DE"/>
        </w:rPr>
        <w:t>einschließlich</w:t>
      </w:r>
      <w:proofErr w:type="spellEnd"/>
      <w:r w:rsidRPr="00D32FAC">
        <w:rPr>
          <w:caps/>
          <w:spacing w:val="2"/>
          <w:lang w:val="de-DE"/>
        </w:rPr>
        <w:t xml:space="preserve"> Züchtern und der Öffentlichkeit im allgemeinen</w:t>
      </w:r>
    </w:p>
    <w:p w:rsidR="0042336E" w:rsidRPr="00D32FAC" w:rsidRDefault="0042336E" w:rsidP="00392142">
      <w:pPr>
        <w:keepNext/>
        <w:rPr>
          <w:lang w:val="de-DE"/>
        </w:rPr>
      </w:pPr>
    </w:p>
    <w:p w:rsidR="0042336E" w:rsidRPr="00D32FAC" w:rsidRDefault="004C03DD" w:rsidP="00435B47">
      <w:pPr>
        <w:rPr>
          <w:lang w:val="de-DE"/>
        </w:rPr>
      </w:pPr>
      <w:r w:rsidRPr="0042336E">
        <w:fldChar w:fldCharType="begin"/>
      </w:r>
      <w:r w:rsidR="0042336E" w:rsidRPr="00D32FAC">
        <w:rPr>
          <w:lang w:val="de-DE"/>
        </w:rPr>
        <w:instrText xml:space="preserve"> AUTONUM  </w:instrText>
      </w:r>
      <w:r w:rsidRPr="0042336E">
        <w:fldChar w:fldCharType="end"/>
      </w:r>
      <w:r w:rsidR="0042336E" w:rsidRPr="00D32FAC">
        <w:rPr>
          <w:lang w:val="de-DE"/>
        </w:rPr>
        <w:tab/>
      </w:r>
      <w:r w:rsidR="00D32FAC" w:rsidRPr="00D32FAC">
        <w:rPr>
          <w:lang w:val="de-DE"/>
        </w:rPr>
        <w:t xml:space="preserve">Der TC war sich auf seiner neunundvierzigsten Tagung vom 18. bis </w:t>
      </w:r>
      <w:r w:rsidR="007511E3">
        <w:rPr>
          <w:lang w:val="de-DE"/>
        </w:rPr>
        <w:t xml:space="preserve">zum </w:t>
      </w:r>
      <w:r w:rsidR="00D32FAC" w:rsidRPr="00D32FAC">
        <w:rPr>
          <w:lang w:val="de-DE"/>
        </w:rPr>
        <w:t xml:space="preserve">20.März 2013 in Genf darin einig, </w:t>
      </w:r>
      <w:proofErr w:type="spellStart"/>
      <w:r w:rsidR="00D32FAC" w:rsidRPr="00D32FAC">
        <w:rPr>
          <w:lang w:val="de-DE"/>
        </w:rPr>
        <w:t>daß</w:t>
      </w:r>
      <w:proofErr w:type="spellEnd"/>
      <w:r w:rsidR="00D32FAC" w:rsidRPr="00D32FAC">
        <w:rPr>
          <w:lang w:val="de-DE"/>
        </w:rPr>
        <w:t xml:space="preserve"> es notwendig sei, einem breiteren Publikum, einschließlich Züchtern und der Öffentlichkeit im allgemeinen, geeignete Informationen über die Lage in der UPOV im Hinblick auf die Verwendung molekularer Verfahren zur Verfügung zu stellen.</w:t>
      </w:r>
      <w:r w:rsidR="00D32FAC">
        <w:rPr>
          <w:lang w:val="de-DE"/>
        </w:rPr>
        <w:t xml:space="preserve"> </w:t>
      </w:r>
      <w:r w:rsidR="00D32FAC" w:rsidRPr="00D32FAC">
        <w:rPr>
          <w:lang w:val="de-DE"/>
        </w:rPr>
        <w:t>Diese Informationen sollten die potentiellen Vorteile und Nachteile der Verfahren und die der Lage bei der UPOV zugrundeliegende Beziehung zwischen Genotyp und Phänotyp erklären (vergleiche Dokument TC/49/41 „Bericht über die Entschließungen“, Absatz 136</w:t>
      </w:r>
      <w:r w:rsidR="0042336E" w:rsidRPr="00D32FAC">
        <w:rPr>
          <w:lang w:val="de-DE"/>
        </w:rPr>
        <w:t>).</w:t>
      </w:r>
    </w:p>
    <w:p w:rsidR="0042336E" w:rsidRPr="00D32FAC" w:rsidRDefault="0042336E" w:rsidP="0042336E">
      <w:pPr>
        <w:rPr>
          <w:lang w:val="de-DE"/>
        </w:rPr>
      </w:pPr>
    </w:p>
    <w:p w:rsidR="007F7E40" w:rsidRPr="00D32FAC" w:rsidRDefault="004C03DD" w:rsidP="00D32FAC">
      <w:pPr>
        <w:rPr>
          <w:lang w:val="de-DE"/>
        </w:rPr>
      </w:pPr>
      <w:r w:rsidRPr="0042336E">
        <w:fldChar w:fldCharType="begin"/>
      </w:r>
      <w:r w:rsidR="0042336E" w:rsidRPr="00D32FAC">
        <w:rPr>
          <w:lang w:val="de-DE"/>
        </w:rPr>
        <w:instrText xml:space="preserve"> AUTONUM  </w:instrText>
      </w:r>
      <w:r w:rsidRPr="0042336E">
        <w:fldChar w:fldCharType="end"/>
      </w:r>
      <w:r w:rsidR="0042336E" w:rsidRPr="00D32FAC">
        <w:rPr>
          <w:lang w:val="de-DE"/>
        </w:rPr>
        <w:tab/>
      </w:r>
      <w:r w:rsidR="00D32FAC" w:rsidRPr="00D32FAC">
        <w:rPr>
          <w:lang w:val="de-DE"/>
        </w:rPr>
        <w:t xml:space="preserve">Der Beratende </w:t>
      </w:r>
      <w:proofErr w:type="spellStart"/>
      <w:r w:rsidR="00D32FAC" w:rsidRPr="00D32FAC">
        <w:rPr>
          <w:lang w:val="de-DE"/>
        </w:rPr>
        <w:t>Ausschuß</w:t>
      </w:r>
      <w:proofErr w:type="spellEnd"/>
      <w:r w:rsidR="00D32FAC" w:rsidRPr="00D32FAC">
        <w:rPr>
          <w:lang w:val="de-DE"/>
        </w:rPr>
        <w:t xml:space="preserve"> prüfte auf seiner sechsundachtzigsten Tagung vom 23. und 24. Oktober 2013 in Genf eine Reihe von Antworten auf häufig gestellt Fragen.</w:t>
      </w:r>
      <w:r w:rsidR="00D32FAC">
        <w:rPr>
          <w:lang w:val="de-DE"/>
        </w:rPr>
        <w:t xml:space="preserve"> </w:t>
      </w:r>
      <w:r w:rsidR="00D32FAC" w:rsidRPr="00D32FAC">
        <w:rPr>
          <w:lang w:val="de-DE"/>
        </w:rPr>
        <w:t>Eine der Fragen lautete: „</w:t>
      </w:r>
      <w:proofErr w:type="spellStart"/>
      <w:r w:rsidR="00D32FAC" w:rsidRPr="00D32FAC">
        <w:rPr>
          <w:lang w:val="de-DE"/>
        </w:rPr>
        <w:t>Läßt</w:t>
      </w:r>
      <w:proofErr w:type="spellEnd"/>
      <w:r w:rsidR="00D32FAC" w:rsidRPr="00D32FAC">
        <w:rPr>
          <w:lang w:val="de-DE"/>
        </w:rPr>
        <w:t xml:space="preserve"> die UPOV molekulare Verfahren (DNS-Profile) bei der DUS-Prüfung zu?“</w:t>
      </w:r>
      <w:r w:rsidR="00D32FAC">
        <w:rPr>
          <w:lang w:val="de-DE"/>
        </w:rPr>
        <w:t xml:space="preserve"> </w:t>
      </w:r>
      <w:r w:rsidR="00D32FAC" w:rsidRPr="00D32FAC">
        <w:rPr>
          <w:lang w:val="de-DE"/>
        </w:rPr>
        <w:t xml:space="preserve">Diesbezüglich vereinbarte der Beratende </w:t>
      </w:r>
      <w:proofErr w:type="spellStart"/>
      <w:r w:rsidR="00D32FAC" w:rsidRPr="00D32FAC">
        <w:rPr>
          <w:lang w:val="de-DE"/>
        </w:rPr>
        <w:t>Ausschuß</w:t>
      </w:r>
      <w:proofErr w:type="spellEnd"/>
      <w:r w:rsidR="00D32FAC" w:rsidRPr="00D32FAC">
        <w:rPr>
          <w:lang w:val="de-DE"/>
        </w:rPr>
        <w:t xml:space="preserve">, </w:t>
      </w:r>
      <w:proofErr w:type="spellStart"/>
      <w:r w:rsidR="00D32FAC" w:rsidRPr="00D32FAC">
        <w:rPr>
          <w:lang w:val="de-DE"/>
        </w:rPr>
        <w:t>daß</w:t>
      </w:r>
      <w:proofErr w:type="spellEnd"/>
      <w:r w:rsidR="00D32FAC" w:rsidRPr="00D32FAC">
        <w:rPr>
          <w:lang w:val="de-DE"/>
        </w:rPr>
        <w:t xml:space="preserve"> die Antwort über den Technischen </w:t>
      </w:r>
      <w:proofErr w:type="spellStart"/>
      <w:r w:rsidR="00D32FAC" w:rsidRPr="00D32FAC">
        <w:rPr>
          <w:lang w:val="de-DE"/>
        </w:rPr>
        <w:t>Ausschuß</w:t>
      </w:r>
      <w:proofErr w:type="spellEnd"/>
      <w:r w:rsidR="00D32FAC" w:rsidRPr="00D32FAC">
        <w:rPr>
          <w:lang w:val="de-DE"/>
        </w:rPr>
        <w:t xml:space="preserve"> ausgearbeitet werden sollte</w:t>
      </w:r>
      <w:r w:rsidR="0042336E" w:rsidRPr="00D32FAC">
        <w:rPr>
          <w:lang w:val="de-DE"/>
        </w:rPr>
        <w:t>.</w:t>
      </w:r>
    </w:p>
    <w:p w:rsidR="00C04569" w:rsidRPr="00D32FAC" w:rsidRDefault="00C04569" w:rsidP="0042336E">
      <w:pPr>
        <w:rPr>
          <w:lang w:val="de-DE" w:eastAsia="ja-JP"/>
        </w:rPr>
      </w:pPr>
    </w:p>
    <w:p w:rsidR="00D32FAC" w:rsidRPr="00D32FAC" w:rsidRDefault="004C03DD" w:rsidP="007511E3">
      <w:pPr>
        <w:rPr>
          <w:lang w:val="de-DE"/>
        </w:rPr>
      </w:pPr>
      <w:r w:rsidRPr="00A52651">
        <w:fldChar w:fldCharType="begin"/>
      </w:r>
      <w:r w:rsidR="00E5341B" w:rsidRPr="00D32FAC">
        <w:rPr>
          <w:lang w:val="de-DE"/>
        </w:rPr>
        <w:instrText xml:space="preserve"> AUTONUM  </w:instrText>
      </w:r>
      <w:r w:rsidRPr="00A52651">
        <w:fldChar w:fldCharType="end"/>
      </w:r>
      <w:r w:rsidR="00E5341B" w:rsidRPr="00D32FAC">
        <w:rPr>
          <w:lang w:val="de-DE"/>
        </w:rPr>
        <w:tab/>
      </w:r>
      <w:r w:rsidR="005C0BE6">
        <w:rPr>
          <w:lang w:val="de-DE"/>
        </w:rPr>
        <w:t xml:space="preserve">Der </w:t>
      </w:r>
      <w:r w:rsidR="00E5341B" w:rsidRPr="00D32FAC">
        <w:rPr>
          <w:lang w:val="de-DE"/>
        </w:rPr>
        <w:t>TC</w:t>
      </w:r>
      <w:r w:rsidR="005C0BE6" w:rsidRPr="005C0BE6">
        <w:rPr>
          <w:lang w:val="de-DE"/>
        </w:rPr>
        <w:t xml:space="preserve"> </w:t>
      </w:r>
      <w:r w:rsidR="005C0BE6" w:rsidRPr="00D32FAC">
        <w:rPr>
          <w:lang w:val="de-DE"/>
        </w:rPr>
        <w:t>vereinbarte</w:t>
      </w:r>
      <w:r w:rsidR="00E5341B" w:rsidRPr="00D32FAC">
        <w:rPr>
          <w:rFonts w:hint="eastAsia"/>
          <w:lang w:val="de-DE" w:eastAsia="ja-JP"/>
        </w:rPr>
        <w:t xml:space="preserve"> </w:t>
      </w:r>
      <w:r w:rsidR="005C0BE6">
        <w:rPr>
          <w:rFonts w:hint="eastAsia"/>
          <w:lang w:val="de-DE" w:eastAsia="ja-JP"/>
        </w:rPr>
        <w:t>auf seiner fünfzigsten Tagung</w:t>
      </w:r>
      <w:r w:rsidR="005C0BE6">
        <w:rPr>
          <w:lang w:val="de-DE" w:eastAsia="ja-JP"/>
        </w:rPr>
        <w:t xml:space="preserve"> von 7. bis zum 9. </w:t>
      </w:r>
      <w:r w:rsidR="00E5341B" w:rsidRPr="00D32FAC">
        <w:rPr>
          <w:rFonts w:hint="eastAsia"/>
          <w:lang w:val="de-DE" w:eastAsia="ja-JP"/>
        </w:rPr>
        <w:t>April</w:t>
      </w:r>
      <w:r w:rsidR="005C0BE6">
        <w:rPr>
          <w:lang w:val="de-DE" w:eastAsia="ja-JP"/>
        </w:rPr>
        <w:t xml:space="preserve"> </w:t>
      </w:r>
      <w:r w:rsidR="007511E3">
        <w:rPr>
          <w:lang w:val="de-DE" w:eastAsia="ja-JP"/>
        </w:rPr>
        <w:t xml:space="preserve">2014 </w:t>
      </w:r>
      <w:r w:rsidR="005C0BE6">
        <w:rPr>
          <w:lang w:val="de-DE" w:eastAsia="ja-JP"/>
        </w:rPr>
        <w:t>in Genf</w:t>
      </w:r>
      <w:r w:rsidR="00D32FAC" w:rsidRPr="00D32FAC">
        <w:rPr>
          <w:lang w:val="de-DE"/>
        </w:rPr>
        <w:t xml:space="preserve">, </w:t>
      </w:r>
      <w:proofErr w:type="spellStart"/>
      <w:r w:rsidR="00D32FAC" w:rsidRPr="00D32FAC">
        <w:rPr>
          <w:lang w:val="de-DE"/>
        </w:rPr>
        <w:t>daß</w:t>
      </w:r>
      <w:proofErr w:type="spellEnd"/>
      <w:r w:rsidR="00D32FAC" w:rsidRPr="00D32FAC">
        <w:rPr>
          <w:lang w:val="de-DE"/>
        </w:rPr>
        <w:t xml:space="preserve"> die folgende Erläuterung geeignete Informationen über die Lage in der UPOV im Hinblick auf die Verwendung molekularer Verfahren für Züchter und Personen mit Kenntnis der DUS-Prüfung enthalte</w:t>
      </w:r>
      <w:r w:rsidR="00435B47">
        <w:rPr>
          <w:lang w:val="de-DE"/>
        </w:rPr>
        <w:t xml:space="preserve"> (vergleiche Dokument TC/50/</w:t>
      </w:r>
      <w:r w:rsidR="007511E3">
        <w:rPr>
          <w:lang w:val="de-DE"/>
        </w:rPr>
        <w:t>3</w:t>
      </w:r>
      <w:r w:rsidR="00435B47">
        <w:rPr>
          <w:lang w:val="de-DE"/>
        </w:rPr>
        <w:t xml:space="preserve">6 </w:t>
      </w:r>
      <w:r w:rsidR="00435B47" w:rsidRPr="00D32FAC">
        <w:rPr>
          <w:lang w:val="de-DE"/>
        </w:rPr>
        <w:t>„Bericht über die Entschließungen“, Absatz</w:t>
      </w:r>
      <w:r w:rsidR="00435B47">
        <w:rPr>
          <w:lang w:val="de-DE"/>
        </w:rPr>
        <w:t xml:space="preserve"> 84)</w:t>
      </w:r>
      <w:r w:rsidR="00D32FAC" w:rsidRPr="00D32FAC">
        <w:rPr>
          <w:lang w:val="de-DE"/>
        </w:rPr>
        <w:t>:</w:t>
      </w:r>
    </w:p>
    <w:p w:rsidR="00D32FAC" w:rsidRPr="00D32FAC" w:rsidRDefault="00D32FAC" w:rsidP="00D32FAC">
      <w:pPr>
        <w:rPr>
          <w:lang w:val="de-DE"/>
        </w:rPr>
      </w:pPr>
    </w:p>
    <w:p w:rsidR="00D32FAC" w:rsidRPr="00D32FAC" w:rsidRDefault="00D32FAC" w:rsidP="00D32FAC">
      <w:pPr>
        <w:ind w:left="567"/>
        <w:rPr>
          <w:lang w:val="de-DE"/>
        </w:rPr>
      </w:pPr>
      <w:r w:rsidRPr="00D32FAC">
        <w:rPr>
          <w:lang w:val="de-DE"/>
        </w:rPr>
        <w:t>Frage: Erlaubt die UPOV die Verwendung molekularer Marker (DNS-Profile) bei der DUS-Prüfung?</w:t>
      </w:r>
    </w:p>
    <w:p w:rsidR="00D32FAC" w:rsidRPr="00D32FAC" w:rsidRDefault="00D32FAC" w:rsidP="00D32FAC">
      <w:pPr>
        <w:ind w:left="567"/>
        <w:rPr>
          <w:lang w:val="de-DE"/>
        </w:rPr>
      </w:pPr>
    </w:p>
    <w:p w:rsidR="00D32FAC" w:rsidRPr="00D32FAC" w:rsidRDefault="00D32FAC" w:rsidP="00D32FAC">
      <w:pPr>
        <w:ind w:left="567"/>
        <w:rPr>
          <w:lang w:val="de-DE"/>
        </w:rPr>
      </w:pPr>
      <w:r w:rsidRPr="00D32FAC">
        <w:rPr>
          <w:lang w:val="de-DE"/>
        </w:rPr>
        <w:t xml:space="preserve">Antwort: „Es ist wichtig anzumerken, </w:t>
      </w:r>
      <w:proofErr w:type="spellStart"/>
      <w:r w:rsidRPr="00D32FAC">
        <w:rPr>
          <w:lang w:val="de-DE"/>
        </w:rPr>
        <w:t>daß</w:t>
      </w:r>
      <w:proofErr w:type="spellEnd"/>
      <w:r w:rsidRPr="00D32FAC">
        <w:rPr>
          <w:lang w:val="de-DE"/>
        </w:rPr>
        <w:t xml:space="preserve"> in einigen Fällen Sorten ein unterschiedliches DNS-Profil haben, jedoch morphologisch identisch sein können, während in anderen Fällen Sorten, die einen großen phänotypischen Unterschied aufweisen, dasselbe DNS-Profil für eine bestimmte Serie von molekularen Markern haben können (z.</w:t>
      </w:r>
      <w:r>
        <w:rPr>
          <w:lang w:val="de-DE"/>
        </w:rPr>
        <w:t xml:space="preserve"> </w:t>
      </w:r>
      <w:r w:rsidRPr="00D32FAC">
        <w:rPr>
          <w:lang w:val="de-DE"/>
        </w:rPr>
        <w:t>B. einige Mutationen).</w:t>
      </w:r>
    </w:p>
    <w:p w:rsidR="00D32FAC" w:rsidRPr="00D32FAC" w:rsidRDefault="00D32FAC" w:rsidP="00D32FAC">
      <w:pPr>
        <w:ind w:left="567"/>
        <w:rPr>
          <w:lang w:val="de-DE"/>
        </w:rPr>
      </w:pPr>
    </w:p>
    <w:p w:rsidR="00D32FAC" w:rsidRPr="00D32FAC" w:rsidRDefault="00D32FAC" w:rsidP="001D180A">
      <w:pPr>
        <w:ind w:left="567"/>
        <w:rPr>
          <w:lang w:val="de-DE"/>
        </w:rPr>
      </w:pPr>
      <w:r w:rsidRPr="00D32FAC">
        <w:rPr>
          <w:lang w:val="de-DE"/>
        </w:rPr>
        <w:lastRenderedPageBreak/>
        <w:t xml:space="preserve">„In </w:t>
      </w:r>
      <w:proofErr w:type="spellStart"/>
      <w:r w:rsidRPr="00D32FAC">
        <w:rPr>
          <w:lang w:val="de-DE"/>
        </w:rPr>
        <w:t>bezug</w:t>
      </w:r>
      <w:proofErr w:type="spellEnd"/>
      <w:r w:rsidRPr="00D32FAC">
        <w:rPr>
          <w:lang w:val="de-DE"/>
        </w:rPr>
        <w:t xml:space="preserve"> auf die Verwendung molekularer Marker, die nicht mit phänotypischen Unterschieden in Bezug stehen, lautet die Besorgnis, </w:t>
      </w:r>
      <w:proofErr w:type="spellStart"/>
      <w:r w:rsidRPr="00D32FAC">
        <w:rPr>
          <w:lang w:val="de-DE"/>
        </w:rPr>
        <w:t>daß</w:t>
      </w:r>
      <w:proofErr w:type="spellEnd"/>
      <w:r w:rsidRPr="00D32FAC">
        <w:rPr>
          <w:lang w:val="de-DE"/>
        </w:rPr>
        <w:t xml:space="preserve"> es möglich sein könnte, eine unbegrenzte Anzahl Marker zu verwenden, um </w:t>
      </w:r>
      <w:r w:rsidR="001D180A">
        <w:rPr>
          <w:lang w:val="de-DE"/>
        </w:rPr>
        <w:t>auf genetischer Ebene</w:t>
      </w:r>
      <w:r w:rsidR="001D180A" w:rsidRPr="00D32FAC">
        <w:rPr>
          <w:lang w:val="de-DE"/>
        </w:rPr>
        <w:t xml:space="preserve"> </w:t>
      </w:r>
      <w:r w:rsidRPr="00D32FAC">
        <w:rPr>
          <w:lang w:val="de-DE"/>
        </w:rPr>
        <w:t>Unterschiede zwischen Sorten</w:t>
      </w:r>
      <w:r w:rsidR="0026005E">
        <w:rPr>
          <w:lang w:val="de-DE"/>
        </w:rPr>
        <w:t xml:space="preserve"> </w:t>
      </w:r>
      <w:r w:rsidRPr="00D32FAC">
        <w:rPr>
          <w:lang w:val="de-DE"/>
        </w:rPr>
        <w:t>zu finden</w:t>
      </w:r>
      <w:r w:rsidR="0026005E">
        <w:rPr>
          <w:lang w:val="de-DE"/>
        </w:rPr>
        <w:t>, die nicht in phänotypischen Merkmalen reflektiert sind</w:t>
      </w:r>
      <w:r w:rsidRPr="00D32FAC">
        <w:rPr>
          <w:lang w:val="de-DE"/>
        </w:rPr>
        <w:t>.</w:t>
      </w:r>
    </w:p>
    <w:p w:rsidR="00D32FAC" w:rsidRPr="00D32FAC" w:rsidRDefault="00D32FAC" w:rsidP="00D32FAC">
      <w:pPr>
        <w:ind w:left="567"/>
        <w:rPr>
          <w:lang w:val="de-DE"/>
        </w:rPr>
      </w:pPr>
    </w:p>
    <w:p w:rsidR="00D32FAC" w:rsidRPr="00D32FAC" w:rsidRDefault="00D32FAC" w:rsidP="00D32FAC">
      <w:pPr>
        <w:ind w:left="567"/>
        <w:rPr>
          <w:lang w:val="de-DE"/>
        </w:rPr>
      </w:pPr>
      <w:r w:rsidRPr="00D32FAC">
        <w:rPr>
          <w:lang w:val="de-DE"/>
        </w:rPr>
        <w:t xml:space="preserve">„Auf der obigen Grundlage vereinbarte die UPOV folgende Verwendungen molekularer Marker in </w:t>
      </w:r>
      <w:proofErr w:type="spellStart"/>
      <w:r w:rsidRPr="00D32FAC">
        <w:rPr>
          <w:lang w:val="de-DE"/>
        </w:rPr>
        <w:t>bezug</w:t>
      </w:r>
      <w:proofErr w:type="spellEnd"/>
      <w:r w:rsidRPr="00D32FAC">
        <w:rPr>
          <w:lang w:val="de-DE"/>
        </w:rPr>
        <w:t xml:space="preserve"> auf die DUS-Prüfung:</w:t>
      </w:r>
    </w:p>
    <w:p w:rsidR="00D32FAC" w:rsidRPr="00D32FAC" w:rsidRDefault="00D32FAC" w:rsidP="00D32FAC">
      <w:pPr>
        <w:ind w:left="567"/>
        <w:rPr>
          <w:lang w:val="de-DE"/>
        </w:rPr>
      </w:pPr>
    </w:p>
    <w:p w:rsidR="00D32FAC" w:rsidRPr="00D32FAC" w:rsidRDefault="00D32FAC" w:rsidP="00D32FAC">
      <w:pPr>
        <w:ind w:left="567"/>
        <w:rPr>
          <w:lang w:val="de-DE"/>
        </w:rPr>
      </w:pPr>
      <w:r w:rsidRPr="00D32FAC">
        <w:rPr>
          <w:lang w:val="de-DE"/>
        </w:rPr>
        <w:t>„a) Molekulare Marker können als eine Methode zur Prüfung von DUS-Merkmalen, die die Kriterien für die in der Allgemeinen Einführung dargelegten Merkmale erfüllen, verwendet werden, falls es eine zuverlässige Kopplung zwischen dem Marker und dem Merkmal gibt.</w:t>
      </w:r>
    </w:p>
    <w:p w:rsidR="00D32FAC" w:rsidRPr="00D32FAC" w:rsidRDefault="00D32FAC" w:rsidP="00D32FAC">
      <w:pPr>
        <w:ind w:left="567"/>
        <w:rPr>
          <w:lang w:val="de-DE"/>
        </w:rPr>
      </w:pPr>
    </w:p>
    <w:p w:rsidR="00D32FAC" w:rsidRPr="00D32FAC" w:rsidRDefault="00D32FAC" w:rsidP="00D32FAC">
      <w:pPr>
        <w:ind w:left="567"/>
        <w:rPr>
          <w:lang w:val="de-DE"/>
        </w:rPr>
      </w:pPr>
      <w:r w:rsidRPr="00D32FAC">
        <w:rPr>
          <w:lang w:val="de-DE"/>
        </w:rPr>
        <w:t xml:space="preserve">„b) Eine Kombination phänotypischer Unterschiede und molekularer Abstände kann angewandt werden, um die Auswahl der in der Anbauprüfung zu vergleichenden Sorten zu verbessern, wenn die molekularen Abstände ausreichend in Bezug zu den phänotypischen Unterschieden stehen und die Methode kein erhöhtes Risiko schafft, </w:t>
      </w:r>
      <w:proofErr w:type="spellStart"/>
      <w:r w:rsidRPr="00D32FAC">
        <w:rPr>
          <w:lang w:val="de-DE"/>
        </w:rPr>
        <w:t>daß</w:t>
      </w:r>
      <w:proofErr w:type="spellEnd"/>
      <w:r w:rsidRPr="00D32FAC">
        <w:rPr>
          <w:lang w:val="de-DE"/>
        </w:rPr>
        <w:t xml:space="preserve"> eine Sorte in der Sortensammlung, die mit den Kandidatensorten in der DUS-Anbauprüfung verglichen werden </w:t>
      </w:r>
      <w:proofErr w:type="spellStart"/>
      <w:r w:rsidRPr="00D32FAC">
        <w:rPr>
          <w:lang w:val="de-DE"/>
        </w:rPr>
        <w:t>muß</w:t>
      </w:r>
      <w:proofErr w:type="spellEnd"/>
      <w:r w:rsidRPr="00D32FAC">
        <w:rPr>
          <w:lang w:val="de-DE"/>
        </w:rPr>
        <w:t>, nicht ausgewählt wird.</w:t>
      </w:r>
    </w:p>
    <w:p w:rsidR="00D32FAC" w:rsidRPr="00D32FAC" w:rsidRDefault="00D32FAC" w:rsidP="00D32FAC">
      <w:pPr>
        <w:ind w:left="567"/>
        <w:rPr>
          <w:lang w:val="de-DE"/>
        </w:rPr>
      </w:pPr>
    </w:p>
    <w:p w:rsidR="00E5341B" w:rsidRPr="00D32FAC" w:rsidRDefault="00D32FAC" w:rsidP="00D32FAC">
      <w:pPr>
        <w:ind w:left="567"/>
        <w:rPr>
          <w:snapToGrid w:val="0"/>
          <w:lang w:val="de-DE"/>
        </w:rPr>
      </w:pPr>
      <w:r w:rsidRPr="00D32FAC">
        <w:rPr>
          <w:lang w:val="de-DE"/>
        </w:rPr>
        <w:t>„Die Lage in der UPOV wird in den Dokumenten TGP/15, ‚Anleitung zur Verwendung biochemischer und molekularer Marker bei der Prüfung der Unterscheidbarkeit, Homogenität und Beständigkeit (DUS)‘, und UPOV/INF/18, ‚Etwaige Verwendung molekularer Marker bei der Prüfung der Unterscheidbarkeit, der Homogenität und der Beständigkeit (DUS)‘, erläutert.“</w:t>
      </w:r>
    </w:p>
    <w:p w:rsidR="00E5341B" w:rsidRPr="00D32FAC" w:rsidRDefault="00E5341B" w:rsidP="00E5341B">
      <w:pPr>
        <w:rPr>
          <w:lang w:val="de-DE"/>
        </w:rPr>
      </w:pPr>
    </w:p>
    <w:p w:rsidR="00E5341B" w:rsidRPr="00D32FAC" w:rsidRDefault="004C03DD" w:rsidP="0026005E">
      <w:pPr>
        <w:rPr>
          <w:lang w:val="de-DE"/>
        </w:rPr>
      </w:pPr>
      <w:r w:rsidRPr="00A52651">
        <w:fldChar w:fldCharType="begin"/>
      </w:r>
      <w:r w:rsidR="00E5341B" w:rsidRPr="00D32FAC">
        <w:rPr>
          <w:lang w:val="de-DE"/>
        </w:rPr>
        <w:instrText xml:space="preserve"> AUTONUM  </w:instrText>
      </w:r>
      <w:r w:rsidRPr="00A52651">
        <w:fldChar w:fldCharType="end"/>
      </w:r>
      <w:r w:rsidR="00E5341B" w:rsidRPr="00D32FAC">
        <w:rPr>
          <w:lang w:val="de-DE"/>
        </w:rPr>
        <w:tab/>
      </w:r>
      <w:r w:rsidR="00D32FAC" w:rsidRPr="00D32FAC">
        <w:rPr>
          <w:lang w:val="de-DE"/>
        </w:rPr>
        <w:t xml:space="preserve">Hinsichtlich eines breiteren Publikums </w:t>
      </w:r>
      <w:r w:rsidR="0026005E" w:rsidRPr="00D32FAC">
        <w:rPr>
          <w:lang w:val="de-DE"/>
        </w:rPr>
        <w:t>vereinbart</w:t>
      </w:r>
      <w:r w:rsidR="0026005E">
        <w:rPr>
          <w:lang w:val="de-DE"/>
        </w:rPr>
        <w:t>e</w:t>
      </w:r>
      <w:r w:rsidR="00D32FAC" w:rsidRPr="00D32FAC">
        <w:rPr>
          <w:lang w:val="de-DE"/>
        </w:rPr>
        <w:t xml:space="preserve"> der TC, </w:t>
      </w:r>
      <w:proofErr w:type="spellStart"/>
      <w:r w:rsidR="00D32FAC" w:rsidRPr="00D32FAC">
        <w:rPr>
          <w:lang w:val="de-DE"/>
        </w:rPr>
        <w:t>daß</w:t>
      </w:r>
      <w:proofErr w:type="spellEnd"/>
      <w:r w:rsidR="00D32FAC" w:rsidRPr="00D32FAC">
        <w:rPr>
          <w:lang w:val="de-DE"/>
        </w:rPr>
        <w:t xml:space="preserve"> die Frage nicht angemessen formuliert sei und es deshalb nicht angebracht wäre, eine Antwort auf diese Frage auszuarbeiten</w:t>
      </w:r>
      <w:r w:rsidR="00E5341B" w:rsidRPr="00D32FAC">
        <w:rPr>
          <w:lang w:val="de-DE"/>
        </w:rPr>
        <w:t xml:space="preserve">. </w:t>
      </w:r>
      <w:r w:rsidR="00D32FAC" w:rsidRPr="00D32FAC">
        <w:rPr>
          <w:lang w:val="de-DE"/>
        </w:rPr>
        <w:t>Der TC vereinbart</w:t>
      </w:r>
      <w:r w:rsidR="0026005E">
        <w:rPr>
          <w:lang w:val="de-DE"/>
        </w:rPr>
        <w:t>e</w:t>
      </w:r>
      <w:r w:rsidR="00D32FAC" w:rsidRPr="00D32FAC">
        <w:rPr>
          <w:lang w:val="de-DE"/>
        </w:rPr>
        <w:t xml:space="preserve">, </w:t>
      </w:r>
      <w:proofErr w:type="spellStart"/>
      <w:r w:rsidR="00D32FAC" w:rsidRPr="00D32FAC">
        <w:rPr>
          <w:lang w:val="de-DE"/>
        </w:rPr>
        <w:t>daß</w:t>
      </w:r>
      <w:proofErr w:type="spellEnd"/>
      <w:r w:rsidR="00D32FAC" w:rsidRPr="00D32FAC">
        <w:rPr>
          <w:lang w:val="de-DE"/>
        </w:rPr>
        <w:t xml:space="preserve"> die Frage nach der Klärung der Aspekte von Interesse für ein breiteres Publikum neu formuliert werden sollte</w:t>
      </w:r>
      <w:r w:rsidR="00D32FAC" w:rsidRPr="00D32FAC">
        <w:rPr>
          <w:rFonts w:hint="eastAsia"/>
          <w:lang w:val="de-DE"/>
        </w:rPr>
        <w:t xml:space="preserve"> </w:t>
      </w:r>
      <w:r w:rsidR="005C0BE6">
        <w:rPr>
          <w:rFonts w:hint="eastAsia"/>
          <w:lang w:val="de-DE" w:eastAsia="ja-JP"/>
        </w:rPr>
        <w:t>(vergleiche Dokument</w:t>
      </w:r>
      <w:r w:rsidR="0009558E" w:rsidRPr="00D32FAC">
        <w:rPr>
          <w:rFonts w:hint="eastAsia"/>
          <w:lang w:val="de-DE" w:eastAsia="ja-JP"/>
        </w:rPr>
        <w:t xml:space="preserve"> TC/50/36 </w:t>
      </w:r>
      <w:r w:rsidR="005C0BE6" w:rsidRPr="00D32FAC">
        <w:rPr>
          <w:lang w:val="de-DE"/>
        </w:rPr>
        <w:t>„</w:t>
      </w:r>
      <w:r w:rsidR="005C0BE6">
        <w:rPr>
          <w:rFonts w:hint="eastAsia"/>
          <w:lang w:val="de-DE" w:eastAsia="ja-JP"/>
        </w:rPr>
        <w:t>Bericht über die Entschließungen</w:t>
      </w:r>
      <w:r w:rsidR="005C0BE6" w:rsidRPr="00D32FAC">
        <w:rPr>
          <w:lang w:val="de-DE"/>
        </w:rPr>
        <w:t>“</w:t>
      </w:r>
      <w:r w:rsidR="0009558E" w:rsidRPr="00D32FAC">
        <w:rPr>
          <w:rFonts w:hint="eastAsia"/>
          <w:lang w:val="de-DE" w:eastAsia="ja-JP"/>
        </w:rPr>
        <w:t xml:space="preserve">, </w:t>
      </w:r>
      <w:r w:rsidR="005C0BE6">
        <w:rPr>
          <w:rFonts w:hint="eastAsia"/>
          <w:lang w:val="de-DE" w:eastAsia="ja-JP"/>
        </w:rPr>
        <w:t>Absatz</w:t>
      </w:r>
      <w:r w:rsidR="0009558E" w:rsidRPr="00D32FAC">
        <w:rPr>
          <w:rFonts w:hint="eastAsia"/>
          <w:lang w:val="de-DE" w:eastAsia="ja-JP"/>
        </w:rPr>
        <w:t xml:space="preserve"> 85)</w:t>
      </w:r>
      <w:r w:rsidR="00E5341B" w:rsidRPr="00D32FAC">
        <w:rPr>
          <w:lang w:val="de-DE"/>
        </w:rPr>
        <w:t>.</w:t>
      </w:r>
    </w:p>
    <w:p w:rsidR="001D21BA" w:rsidRPr="00D32FAC" w:rsidRDefault="001D21BA" w:rsidP="0042336E">
      <w:pPr>
        <w:rPr>
          <w:lang w:val="de-DE" w:eastAsia="ja-JP"/>
        </w:rPr>
      </w:pPr>
    </w:p>
    <w:p w:rsidR="00E5341B" w:rsidRPr="005C0BE6" w:rsidRDefault="004C03DD" w:rsidP="005C0BE6">
      <w:pPr>
        <w:rPr>
          <w:lang w:val="de-DE" w:eastAsia="ja-JP"/>
        </w:rPr>
      </w:pPr>
      <w:r w:rsidRPr="00652577">
        <w:fldChar w:fldCharType="begin"/>
      </w:r>
      <w:r w:rsidR="00233C01" w:rsidRPr="005C0BE6">
        <w:rPr>
          <w:lang w:val="de-DE"/>
        </w:rPr>
        <w:instrText xml:space="preserve"> AUTONUM  </w:instrText>
      </w:r>
      <w:r w:rsidRPr="00652577">
        <w:fldChar w:fldCharType="end"/>
      </w:r>
      <w:r w:rsidR="00233C01" w:rsidRPr="005C0BE6">
        <w:rPr>
          <w:lang w:val="de-DE"/>
        </w:rPr>
        <w:tab/>
      </w:r>
      <w:r w:rsidR="005C0BE6" w:rsidRPr="005C0BE6">
        <w:rPr>
          <w:lang w:val="de-DE"/>
        </w:rPr>
        <w:t xml:space="preserve">Auf seiner </w:t>
      </w:r>
      <w:r w:rsidR="00D32FAC" w:rsidRPr="005C0BE6">
        <w:rPr>
          <w:lang w:val="de-DE" w:eastAsia="ja-JP"/>
        </w:rPr>
        <w:t xml:space="preserve">neunundsechzigsten Tagung am 10. April 2014 in Genf </w:t>
      </w:r>
      <w:r w:rsidR="005C0BE6" w:rsidRPr="005C0BE6">
        <w:rPr>
          <w:lang w:val="de-DE" w:eastAsia="ja-JP"/>
        </w:rPr>
        <w:t>nahm der</w:t>
      </w:r>
      <w:r w:rsidR="00233C01" w:rsidRPr="005C0BE6">
        <w:rPr>
          <w:rFonts w:hint="eastAsia"/>
          <w:lang w:val="de-DE" w:eastAsia="ja-JP"/>
        </w:rPr>
        <w:t xml:space="preserve"> CAJ </w:t>
      </w:r>
      <w:r w:rsidR="005C0BE6" w:rsidRPr="005C0BE6">
        <w:rPr>
          <w:lang w:val="de-DE" w:eastAsia="ja-JP"/>
        </w:rPr>
        <w:t>di</w:t>
      </w:r>
      <w:r w:rsidR="005C0BE6">
        <w:rPr>
          <w:lang w:val="de-DE" w:eastAsia="ja-JP"/>
        </w:rPr>
        <w:t>e vom T</w:t>
      </w:r>
      <w:r w:rsidR="00233C01" w:rsidRPr="005C0BE6">
        <w:rPr>
          <w:rFonts w:hint="eastAsia"/>
          <w:lang w:val="de-DE" w:eastAsia="ja-JP"/>
        </w:rPr>
        <w:t xml:space="preserve">C </w:t>
      </w:r>
      <w:r w:rsidR="005C0BE6" w:rsidRPr="005C0BE6">
        <w:rPr>
          <w:rFonts w:hint="eastAsia"/>
          <w:lang w:val="de-DE" w:eastAsia="ja-JP"/>
        </w:rPr>
        <w:t>auf seiner fünfzigsten Tagung</w:t>
      </w:r>
      <w:r w:rsidR="005C0BE6">
        <w:rPr>
          <w:lang w:val="de-DE" w:eastAsia="ja-JP"/>
        </w:rPr>
        <w:t xml:space="preserve"> vorgeschlagene Erläuterung zur Kenntnis</w:t>
      </w:r>
      <w:r w:rsidR="001D21BA" w:rsidRPr="005C0BE6">
        <w:rPr>
          <w:rFonts w:hint="eastAsia"/>
          <w:lang w:val="de-DE" w:eastAsia="ja-JP"/>
        </w:rPr>
        <w:t>.</w:t>
      </w:r>
    </w:p>
    <w:p w:rsidR="00E5341B" w:rsidRPr="005C0BE6" w:rsidRDefault="00E5341B" w:rsidP="00C04569">
      <w:pPr>
        <w:rPr>
          <w:lang w:val="de-DE" w:eastAsia="ja-JP"/>
        </w:rPr>
      </w:pPr>
    </w:p>
    <w:p w:rsidR="00146185" w:rsidRPr="005C0BE6" w:rsidRDefault="004C03DD" w:rsidP="0026005E">
      <w:pPr>
        <w:rPr>
          <w:rFonts w:cs="Arial"/>
          <w:sz w:val="19"/>
          <w:szCs w:val="19"/>
          <w:lang w:val="de-DE" w:eastAsia="ja-JP"/>
        </w:rPr>
      </w:pPr>
      <w:r>
        <w:fldChar w:fldCharType="begin"/>
      </w:r>
      <w:r w:rsidR="00146185" w:rsidRPr="005C0BE6">
        <w:rPr>
          <w:lang w:val="de-DE"/>
        </w:rPr>
        <w:instrText xml:space="preserve"> AUTONUM  </w:instrText>
      </w:r>
      <w:r>
        <w:fldChar w:fldCharType="end"/>
      </w:r>
      <w:r w:rsidR="00536B92" w:rsidRPr="005C0BE6">
        <w:rPr>
          <w:lang w:val="de-DE"/>
        </w:rPr>
        <w:tab/>
      </w:r>
      <w:r w:rsidR="0026005E" w:rsidRPr="0026005E">
        <w:rPr>
          <w:lang w:val="de-DE"/>
        </w:rPr>
        <w:t>Der Rat nahm auf seiner einunddreißigsten außerordentlichen Tagung am 11. April 2014 in Genf die vom TC auf seiner fünfzigsten Tagung vorgeschlagene Antwort auf die häufig gestellte Frage (vergleiche Dokumente Anlage des Dokuments C(</w:t>
      </w:r>
      <w:proofErr w:type="spellStart"/>
      <w:r w:rsidR="0026005E" w:rsidRPr="0026005E">
        <w:rPr>
          <w:lang w:val="de-DE"/>
        </w:rPr>
        <w:t>Extr</w:t>
      </w:r>
      <w:proofErr w:type="spellEnd"/>
      <w:r w:rsidR="0026005E" w:rsidRPr="0026005E">
        <w:rPr>
          <w:lang w:val="de-DE"/>
        </w:rPr>
        <w:t xml:space="preserve">.)/31/3 „Bericht der Präsidentin über die Arbeiten der siebenundachtzigsten Tagung des Beratenden Ausschusses; gegebenenfalls Annahme von Empfehlungen, die dieser </w:t>
      </w:r>
      <w:proofErr w:type="spellStart"/>
      <w:r w:rsidR="0026005E" w:rsidRPr="0026005E">
        <w:rPr>
          <w:lang w:val="de-DE"/>
        </w:rPr>
        <w:t>Ausschuß</w:t>
      </w:r>
      <w:proofErr w:type="spellEnd"/>
      <w:r w:rsidR="0026005E" w:rsidRPr="0026005E">
        <w:rPr>
          <w:lang w:val="de-DE"/>
        </w:rPr>
        <w:t xml:space="preserve"> ausgearbeitet hat“ und C(</w:t>
      </w:r>
      <w:proofErr w:type="spellStart"/>
      <w:r w:rsidR="0026005E" w:rsidRPr="0026005E">
        <w:rPr>
          <w:lang w:val="de-DE"/>
        </w:rPr>
        <w:t>Extr</w:t>
      </w:r>
      <w:proofErr w:type="spellEnd"/>
      <w:r w:rsidR="0026005E" w:rsidRPr="0026005E">
        <w:rPr>
          <w:lang w:val="de-DE"/>
        </w:rPr>
        <w:t>.)/31/5 „Bericht über die Entschließungen“, Absatz 15).</w:t>
      </w:r>
    </w:p>
    <w:p w:rsidR="00536B92" w:rsidRPr="005C0BE6" w:rsidRDefault="00536B92" w:rsidP="00146185">
      <w:pPr>
        <w:rPr>
          <w:rFonts w:cs="Arial"/>
          <w:sz w:val="19"/>
          <w:szCs w:val="19"/>
          <w:lang w:val="de-DE" w:eastAsia="ja-JP"/>
        </w:rPr>
      </w:pPr>
    </w:p>
    <w:p w:rsidR="005207BC" w:rsidRPr="005C0BE6" w:rsidRDefault="004C03DD" w:rsidP="005C0BE6">
      <w:pPr>
        <w:rPr>
          <w:lang w:val="de-DE" w:eastAsia="ja-JP"/>
        </w:rPr>
      </w:pPr>
      <w:r>
        <w:fldChar w:fldCharType="begin"/>
      </w:r>
      <w:r w:rsidR="005207BC" w:rsidRPr="005C0BE6">
        <w:rPr>
          <w:lang w:val="de-DE"/>
        </w:rPr>
        <w:instrText xml:space="preserve"> AUTONUM  </w:instrText>
      </w:r>
      <w:r>
        <w:fldChar w:fldCharType="end"/>
      </w:r>
      <w:r w:rsidR="005207BC" w:rsidRPr="005C0BE6">
        <w:rPr>
          <w:lang w:val="de-DE"/>
        </w:rPr>
        <w:tab/>
      </w:r>
      <w:r w:rsidR="005C0BE6" w:rsidRPr="005C0BE6">
        <w:rPr>
          <w:lang w:val="de-DE"/>
        </w:rPr>
        <w:t xml:space="preserve">Der Beratende </w:t>
      </w:r>
      <w:proofErr w:type="spellStart"/>
      <w:r w:rsidR="005C0BE6" w:rsidRPr="005C0BE6">
        <w:rPr>
          <w:lang w:val="de-DE"/>
        </w:rPr>
        <w:t>Ausschuß</w:t>
      </w:r>
      <w:proofErr w:type="spellEnd"/>
      <w:r w:rsidR="005C0BE6" w:rsidRPr="005C0BE6">
        <w:rPr>
          <w:lang w:val="de-DE"/>
        </w:rPr>
        <w:t xml:space="preserve"> ersuchte auf seiner siebenundachtzigsten</w:t>
      </w:r>
      <w:r w:rsidR="00E5341B" w:rsidRPr="005C0BE6">
        <w:rPr>
          <w:rFonts w:hint="eastAsia"/>
          <w:lang w:val="de-DE" w:eastAsia="ja-JP"/>
        </w:rPr>
        <w:t xml:space="preserve"> </w:t>
      </w:r>
      <w:r w:rsidR="005C0BE6" w:rsidRPr="005C0BE6">
        <w:rPr>
          <w:rFonts w:hint="eastAsia"/>
          <w:lang w:val="de-DE" w:eastAsia="ja-JP"/>
        </w:rPr>
        <w:t>Tagung</w:t>
      </w:r>
      <w:r w:rsidR="005C0BE6" w:rsidRPr="005C0BE6">
        <w:rPr>
          <w:lang w:val="de-DE" w:eastAsia="ja-JP"/>
        </w:rPr>
        <w:t xml:space="preserve"> am 11.</w:t>
      </w:r>
      <w:r w:rsidR="00E5341B" w:rsidRPr="005C0BE6">
        <w:rPr>
          <w:lang w:val="de-DE"/>
        </w:rPr>
        <w:t xml:space="preserve"> April 2014</w:t>
      </w:r>
      <w:r w:rsidR="005C0BE6" w:rsidRPr="005C0BE6">
        <w:rPr>
          <w:lang w:val="de-DE"/>
        </w:rPr>
        <w:t xml:space="preserve"> in Genf das Verbandsbüro, einen Entwurf für Frage und Antwort bezüglich der I</w:t>
      </w:r>
      <w:r w:rsidR="005207BC" w:rsidRPr="005C0BE6">
        <w:rPr>
          <w:lang w:val="de-DE"/>
        </w:rPr>
        <w:t>nformation</w:t>
      </w:r>
      <w:r w:rsidR="005C0BE6" w:rsidRPr="005C0BE6">
        <w:rPr>
          <w:lang w:val="de-DE"/>
        </w:rPr>
        <w:t xml:space="preserve">en über die Lage der </w:t>
      </w:r>
      <w:r w:rsidR="005207BC" w:rsidRPr="005C0BE6">
        <w:rPr>
          <w:lang w:val="de-DE"/>
        </w:rPr>
        <w:t xml:space="preserve">UPOV </w:t>
      </w:r>
      <w:r w:rsidR="005C0BE6" w:rsidRPr="005C0BE6">
        <w:rPr>
          <w:lang w:val="de-DE"/>
        </w:rPr>
        <w:t>hinsichtlich der Verwendung molekularer Verfahren für ein breiteres Publikum, einschließlich Züchtern und der Öffentlichkeit im allgemeinen</w:t>
      </w:r>
      <w:r w:rsidR="0026005E">
        <w:rPr>
          <w:lang w:val="de-DE"/>
        </w:rPr>
        <w:t>,</w:t>
      </w:r>
      <w:r w:rsidR="005C0BE6">
        <w:rPr>
          <w:lang w:val="de-DE"/>
        </w:rPr>
        <w:t xml:space="preserve"> aufgrund der Beiträge von den Verbandsmitgliedern</w:t>
      </w:r>
      <w:r w:rsidR="0026005E">
        <w:rPr>
          <w:lang w:val="de-DE"/>
        </w:rPr>
        <w:t xml:space="preserve"> auszuarbeiten</w:t>
      </w:r>
      <w:r w:rsidR="005207BC" w:rsidRPr="005C0BE6">
        <w:rPr>
          <w:rFonts w:hint="eastAsia"/>
          <w:lang w:val="de-DE" w:eastAsia="ja-JP"/>
        </w:rPr>
        <w:t>.</w:t>
      </w:r>
      <w:r w:rsidR="00652577" w:rsidRPr="005C0BE6">
        <w:rPr>
          <w:rFonts w:hint="eastAsia"/>
          <w:lang w:val="de-DE" w:eastAsia="ja-JP"/>
        </w:rPr>
        <w:t xml:space="preserve"> </w:t>
      </w:r>
      <w:r w:rsidR="005C0BE6">
        <w:rPr>
          <w:lang w:val="de-DE" w:eastAsia="ja-JP"/>
        </w:rPr>
        <w:t xml:space="preserve">Der </w:t>
      </w:r>
      <w:r w:rsidR="005C0BE6" w:rsidRPr="005C0BE6">
        <w:rPr>
          <w:lang w:val="de-DE"/>
        </w:rPr>
        <w:t xml:space="preserve">Entwurf für Frage und Antwort </w:t>
      </w:r>
      <w:r w:rsidR="005C0BE6">
        <w:rPr>
          <w:lang w:val="de-DE"/>
        </w:rPr>
        <w:t xml:space="preserve">wird vom </w:t>
      </w:r>
      <w:r w:rsidR="005C0BE6" w:rsidRPr="005C0BE6">
        <w:rPr>
          <w:rFonts w:hint="eastAsia"/>
          <w:lang w:val="de-DE" w:eastAsia="ja-JP"/>
        </w:rPr>
        <w:t>Beratende</w:t>
      </w:r>
      <w:r w:rsidR="005C0BE6">
        <w:rPr>
          <w:lang w:val="de-DE" w:eastAsia="ja-JP"/>
        </w:rPr>
        <w:t>n</w:t>
      </w:r>
      <w:r w:rsidR="005C0BE6" w:rsidRPr="005C0BE6">
        <w:rPr>
          <w:rFonts w:hint="eastAsia"/>
          <w:lang w:val="de-DE" w:eastAsia="ja-JP"/>
        </w:rPr>
        <w:t xml:space="preserve"> </w:t>
      </w:r>
      <w:proofErr w:type="spellStart"/>
      <w:r w:rsidR="005C0BE6" w:rsidRPr="005C0BE6">
        <w:rPr>
          <w:rFonts w:hint="eastAsia"/>
          <w:lang w:val="de-DE" w:eastAsia="ja-JP"/>
        </w:rPr>
        <w:t>Ausschuß</w:t>
      </w:r>
      <w:proofErr w:type="spellEnd"/>
      <w:r w:rsidR="00652577" w:rsidRPr="005C0BE6">
        <w:rPr>
          <w:rFonts w:hint="eastAsia"/>
          <w:lang w:val="de-DE" w:eastAsia="ja-JP"/>
        </w:rPr>
        <w:t xml:space="preserve"> </w:t>
      </w:r>
      <w:r w:rsidR="003D447C" w:rsidRPr="005C0BE6">
        <w:rPr>
          <w:lang w:val="de-DE" w:eastAsia="ja-JP"/>
        </w:rPr>
        <w:t>auf seiner achtundachtzigsten Tagung am 15. Oktober 2014</w:t>
      </w:r>
      <w:r w:rsidR="005C0BE6" w:rsidRPr="005C0BE6">
        <w:rPr>
          <w:lang w:val="de-DE" w:eastAsia="ja-JP"/>
        </w:rPr>
        <w:t xml:space="preserve"> </w:t>
      </w:r>
      <w:r w:rsidR="0026005E">
        <w:rPr>
          <w:lang w:val="de-DE" w:eastAsia="ja-JP"/>
        </w:rPr>
        <w:t xml:space="preserve">in Genf </w:t>
      </w:r>
      <w:r w:rsidR="005C0BE6" w:rsidRPr="005C0BE6">
        <w:rPr>
          <w:lang w:val="de-DE" w:eastAsia="ja-JP"/>
        </w:rPr>
        <w:t>geprüft werden</w:t>
      </w:r>
      <w:r w:rsidR="00652577" w:rsidRPr="005C0BE6">
        <w:rPr>
          <w:rFonts w:hint="eastAsia"/>
          <w:lang w:val="de-DE" w:eastAsia="ja-JP"/>
        </w:rPr>
        <w:t>.</w:t>
      </w:r>
    </w:p>
    <w:p w:rsidR="00146185" w:rsidRPr="005C0BE6" w:rsidRDefault="00146185" w:rsidP="00146185">
      <w:pPr>
        <w:rPr>
          <w:lang w:val="de-DE"/>
        </w:rPr>
      </w:pPr>
    </w:p>
    <w:p w:rsidR="001D21BA" w:rsidRPr="005C0BE6" w:rsidRDefault="004C03DD" w:rsidP="001D180A">
      <w:pPr>
        <w:tabs>
          <w:tab w:val="left" w:pos="5387"/>
          <w:tab w:val="left" w:pos="5954"/>
        </w:tabs>
        <w:ind w:left="4820"/>
        <w:rPr>
          <w:i/>
          <w:lang w:val="de-DE" w:eastAsia="ja-JP"/>
        </w:rPr>
      </w:pPr>
      <w:r w:rsidRPr="00292027">
        <w:rPr>
          <w:i/>
          <w:iCs/>
        </w:rPr>
        <w:fldChar w:fldCharType="begin"/>
      </w:r>
      <w:r w:rsidR="0042336E" w:rsidRPr="005C0BE6">
        <w:rPr>
          <w:i/>
          <w:iCs/>
          <w:lang w:val="de-DE"/>
        </w:rPr>
        <w:instrText xml:space="preserve"> AUTONUM  </w:instrText>
      </w:r>
      <w:r w:rsidRPr="00292027">
        <w:rPr>
          <w:i/>
          <w:iCs/>
        </w:rPr>
        <w:fldChar w:fldCharType="end"/>
      </w:r>
      <w:r w:rsidR="0042336E" w:rsidRPr="005C0BE6">
        <w:rPr>
          <w:i/>
          <w:iCs/>
          <w:lang w:val="de-DE"/>
        </w:rPr>
        <w:tab/>
      </w:r>
      <w:r w:rsidR="005C0BE6" w:rsidRPr="00AA44B2">
        <w:rPr>
          <w:i/>
          <w:iCs/>
          <w:lang w:val="de-DE"/>
        </w:rPr>
        <w:t>Der</w:t>
      </w:r>
      <w:r w:rsidR="00AF508B" w:rsidRPr="00AA44B2">
        <w:rPr>
          <w:i/>
          <w:iCs/>
          <w:lang w:val="de-DE"/>
        </w:rPr>
        <w:t xml:space="preserve"> CAJ</w:t>
      </w:r>
      <w:r w:rsidR="0042336E" w:rsidRPr="00AA44B2">
        <w:rPr>
          <w:i/>
          <w:iCs/>
          <w:lang w:val="de-DE"/>
        </w:rPr>
        <w:t xml:space="preserve"> </w:t>
      </w:r>
      <w:r w:rsidR="005C0BE6" w:rsidRPr="00AA44B2">
        <w:rPr>
          <w:i/>
          <w:iCs/>
          <w:lang w:val="de-DE"/>
        </w:rPr>
        <w:t xml:space="preserve">wird ersucht, zur Kenntnis zu nehmen, </w:t>
      </w:r>
      <w:proofErr w:type="spellStart"/>
      <w:r w:rsidR="005C0BE6" w:rsidRPr="00AA44B2">
        <w:rPr>
          <w:i/>
          <w:iCs/>
          <w:lang w:val="de-DE"/>
        </w:rPr>
        <w:t>daß</w:t>
      </w:r>
      <w:proofErr w:type="spellEnd"/>
      <w:r w:rsidR="005C0BE6" w:rsidRPr="00AA44B2">
        <w:rPr>
          <w:i/>
          <w:iCs/>
          <w:lang w:val="de-DE"/>
        </w:rPr>
        <w:t xml:space="preserve"> der</w:t>
      </w:r>
      <w:r w:rsidR="001D21BA" w:rsidRPr="00AA44B2">
        <w:rPr>
          <w:rFonts w:hint="eastAsia"/>
          <w:i/>
          <w:iCs/>
          <w:lang w:val="de-DE" w:eastAsia="ja-JP"/>
        </w:rPr>
        <w:t xml:space="preserve"> </w:t>
      </w:r>
      <w:r w:rsidR="005C0BE6" w:rsidRPr="00AA44B2">
        <w:rPr>
          <w:rFonts w:hint="eastAsia"/>
          <w:i/>
          <w:iCs/>
          <w:lang w:val="de-DE" w:eastAsia="ja-JP"/>
        </w:rPr>
        <w:t xml:space="preserve">Beratende </w:t>
      </w:r>
      <w:proofErr w:type="spellStart"/>
      <w:r w:rsidR="005C0BE6" w:rsidRPr="00AA44B2">
        <w:rPr>
          <w:rFonts w:hint="eastAsia"/>
          <w:i/>
          <w:iCs/>
          <w:lang w:val="de-DE" w:eastAsia="ja-JP"/>
        </w:rPr>
        <w:t>Ausschuß</w:t>
      </w:r>
      <w:proofErr w:type="spellEnd"/>
      <w:r w:rsidR="00262ED3" w:rsidRPr="00AA44B2">
        <w:rPr>
          <w:rFonts w:hint="eastAsia"/>
          <w:i/>
          <w:iCs/>
          <w:lang w:val="de-DE" w:eastAsia="ja-JP"/>
        </w:rPr>
        <w:t xml:space="preserve"> </w:t>
      </w:r>
      <w:r w:rsidR="005C0BE6" w:rsidRPr="00AA44B2">
        <w:rPr>
          <w:i/>
          <w:iCs/>
          <w:lang w:val="de-DE" w:eastAsia="ja-JP"/>
        </w:rPr>
        <w:t xml:space="preserve">das Verbandsbüro ersucht hat, </w:t>
      </w:r>
      <w:r w:rsidR="005C0BE6" w:rsidRPr="00AA44B2">
        <w:rPr>
          <w:i/>
          <w:iCs/>
          <w:lang w:val="de-DE"/>
        </w:rPr>
        <w:t>einen Entwurf für Frage und Antwort bezüglich der Informationen über die Lage der UPOV hinsichtlich der Verwendung molekularer Verfahren für ein breiteres Publikum, einschließlich der Öffentlichke</w:t>
      </w:r>
      <w:r w:rsidR="0026005E">
        <w:rPr>
          <w:i/>
          <w:iCs/>
          <w:lang w:val="de-DE"/>
        </w:rPr>
        <w:t xml:space="preserve">it </w:t>
      </w:r>
      <w:r w:rsidR="007511E3">
        <w:rPr>
          <w:i/>
          <w:iCs/>
          <w:lang w:val="de-DE"/>
        </w:rPr>
        <w:t xml:space="preserve">im </w:t>
      </w:r>
      <w:r w:rsidR="0026005E">
        <w:rPr>
          <w:i/>
          <w:iCs/>
          <w:lang w:val="de-DE"/>
        </w:rPr>
        <w:t>allgemein</w:t>
      </w:r>
      <w:r w:rsidR="007511E3">
        <w:rPr>
          <w:i/>
          <w:iCs/>
          <w:lang w:val="de-DE"/>
        </w:rPr>
        <w:t>en</w:t>
      </w:r>
      <w:r w:rsidR="0026005E">
        <w:rPr>
          <w:i/>
          <w:iCs/>
          <w:lang w:val="de-DE"/>
        </w:rPr>
        <w:t xml:space="preserve">, </w:t>
      </w:r>
      <w:r w:rsidR="00AA44B2" w:rsidRPr="00AA44B2">
        <w:rPr>
          <w:i/>
          <w:iCs/>
          <w:lang w:val="de-DE"/>
        </w:rPr>
        <w:t>aufgrund der Beiträge von den Verbandsmitgliedern auszuarbeiten</w:t>
      </w:r>
      <w:r w:rsidR="00262ED3" w:rsidRPr="005C0BE6">
        <w:rPr>
          <w:rFonts w:hint="eastAsia"/>
          <w:i/>
          <w:lang w:val="de-DE" w:eastAsia="ja-JP"/>
        </w:rPr>
        <w:t>.</w:t>
      </w:r>
    </w:p>
    <w:p w:rsidR="005207BC" w:rsidRPr="005C0BE6" w:rsidRDefault="005207BC" w:rsidP="00474443">
      <w:pPr>
        <w:tabs>
          <w:tab w:val="left" w:pos="5387"/>
          <w:tab w:val="left" w:pos="5670"/>
        </w:tabs>
        <w:ind w:left="4820"/>
        <w:rPr>
          <w:i/>
          <w:lang w:val="de-DE" w:eastAsia="ja-JP"/>
        </w:rPr>
      </w:pPr>
    </w:p>
    <w:p w:rsidR="005207BC" w:rsidRPr="005C0BE6" w:rsidRDefault="005207BC" w:rsidP="00474443">
      <w:pPr>
        <w:tabs>
          <w:tab w:val="left" w:pos="5387"/>
          <w:tab w:val="left" w:pos="5670"/>
        </w:tabs>
        <w:ind w:left="4820"/>
        <w:rPr>
          <w:i/>
          <w:lang w:val="de-DE" w:eastAsia="ja-JP"/>
        </w:rPr>
      </w:pPr>
    </w:p>
    <w:p w:rsidR="005207BC" w:rsidRPr="005207BC" w:rsidRDefault="005207BC" w:rsidP="003D447C">
      <w:pPr>
        <w:tabs>
          <w:tab w:val="left" w:pos="5387"/>
          <w:tab w:val="left" w:pos="5670"/>
        </w:tabs>
        <w:ind w:left="4820"/>
        <w:jc w:val="right"/>
        <w:rPr>
          <w:lang w:eastAsia="ja-JP"/>
        </w:rPr>
      </w:pPr>
      <w:r w:rsidRPr="005207BC">
        <w:rPr>
          <w:rFonts w:hint="eastAsia"/>
          <w:lang w:eastAsia="ja-JP"/>
        </w:rPr>
        <w:t>[</w:t>
      </w:r>
      <w:proofErr w:type="spellStart"/>
      <w:r w:rsidRPr="005207BC">
        <w:rPr>
          <w:rFonts w:hint="eastAsia"/>
          <w:lang w:eastAsia="ja-JP"/>
        </w:rPr>
        <w:t>End</w:t>
      </w:r>
      <w:r w:rsidR="003D447C">
        <w:rPr>
          <w:lang w:eastAsia="ja-JP"/>
        </w:rPr>
        <w:t>e</w:t>
      </w:r>
      <w:proofErr w:type="spellEnd"/>
      <w:r w:rsidRPr="005207BC">
        <w:rPr>
          <w:rFonts w:hint="eastAsia"/>
          <w:lang w:eastAsia="ja-JP"/>
        </w:rPr>
        <w:t xml:space="preserve"> </w:t>
      </w:r>
      <w:r w:rsidR="003D447C">
        <w:rPr>
          <w:lang w:eastAsia="ja-JP"/>
        </w:rPr>
        <w:t>des</w:t>
      </w:r>
      <w:r w:rsidRPr="005207BC">
        <w:rPr>
          <w:rFonts w:hint="eastAsia"/>
          <w:lang w:eastAsia="ja-JP"/>
        </w:rPr>
        <w:t xml:space="preserve"> </w:t>
      </w:r>
      <w:proofErr w:type="spellStart"/>
      <w:r w:rsidR="003D447C">
        <w:rPr>
          <w:lang w:eastAsia="ja-JP"/>
        </w:rPr>
        <w:t>D</w:t>
      </w:r>
      <w:r w:rsidRPr="005207BC">
        <w:rPr>
          <w:rFonts w:hint="eastAsia"/>
          <w:lang w:eastAsia="ja-JP"/>
        </w:rPr>
        <w:t>o</w:t>
      </w:r>
      <w:r w:rsidR="003D447C">
        <w:rPr>
          <w:lang w:eastAsia="ja-JP"/>
        </w:rPr>
        <w:t>k</w:t>
      </w:r>
      <w:r w:rsidRPr="005207BC">
        <w:rPr>
          <w:rFonts w:hint="eastAsia"/>
          <w:lang w:eastAsia="ja-JP"/>
        </w:rPr>
        <w:t>ument</w:t>
      </w:r>
      <w:r w:rsidR="003D447C">
        <w:rPr>
          <w:lang w:eastAsia="ja-JP"/>
        </w:rPr>
        <w:t>s</w:t>
      </w:r>
      <w:proofErr w:type="spellEnd"/>
      <w:r w:rsidRPr="005207BC">
        <w:rPr>
          <w:lang w:eastAsia="ja-JP"/>
        </w:rPr>
        <w:t>]</w:t>
      </w:r>
    </w:p>
    <w:sectPr w:rsidR="005207BC" w:rsidRPr="005207BC" w:rsidSect="005207B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965" w:rsidRDefault="00D11965">
      <w:r>
        <w:separator/>
      </w:r>
    </w:p>
    <w:p w:rsidR="00D11965" w:rsidRDefault="00D11965"/>
    <w:p w:rsidR="00D11965" w:rsidRDefault="00D11965"/>
  </w:endnote>
  <w:endnote w:type="continuationSeparator" w:id="0">
    <w:p w:rsidR="00D11965" w:rsidRDefault="00D11965">
      <w:r>
        <w:separator/>
      </w:r>
    </w:p>
    <w:p w:rsidR="00D11965" w:rsidRPr="00664515" w:rsidRDefault="00D11965">
      <w:pPr>
        <w:pStyle w:val="Footer"/>
        <w:spacing w:after="60"/>
        <w:rPr>
          <w:sz w:val="18"/>
          <w:lang w:val="fr-CH"/>
        </w:rPr>
      </w:pPr>
      <w:r w:rsidRPr="00664515">
        <w:rPr>
          <w:sz w:val="18"/>
          <w:lang w:val="fr-CH"/>
        </w:rPr>
        <w:t>[Suite de la note de la page précédente]</w:t>
      </w:r>
    </w:p>
    <w:p w:rsidR="00D11965" w:rsidRPr="00664515" w:rsidRDefault="00D11965">
      <w:pPr>
        <w:rPr>
          <w:lang w:val="fr-CH"/>
        </w:rPr>
      </w:pPr>
    </w:p>
    <w:p w:rsidR="00D11965" w:rsidRPr="00664515" w:rsidRDefault="00D11965">
      <w:pPr>
        <w:rPr>
          <w:lang w:val="fr-CH"/>
        </w:rPr>
      </w:pPr>
    </w:p>
  </w:endnote>
  <w:endnote w:type="continuationNotice" w:id="1">
    <w:p w:rsidR="00D11965" w:rsidRPr="00664515" w:rsidRDefault="00D11965">
      <w:pPr>
        <w:spacing w:before="60"/>
        <w:jc w:val="right"/>
        <w:rPr>
          <w:sz w:val="18"/>
          <w:lang w:val="fr-CH"/>
        </w:rPr>
      </w:pPr>
      <w:r w:rsidRPr="00664515">
        <w:rPr>
          <w:sz w:val="18"/>
          <w:lang w:val="fr-CH"/>
        </w:rPr>
        <w:t>[Suite de la note page suivante]</w:t>
      </w:r>
    </w:p>
    <w:p w:rsidR="00D11965" w:rsidRPr="00664515" w:rsidRDefault="00D11965">
      <w:pPr>
        <w:rPr>
          <w:lang w:val="fr-CH"/>
        </w:rPr>
      </w:pPr>
    </w:p>
    <w:p w:rsidR="00D11965" w:rsidRPr="00664515" w:rsidRDefault="00D11965">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965" w:rsidRDefault="00D11965" w:rsidP="009D690D">
      <w:pPr>
        <w:spacing w:before="120"/>
      </w:pPr>
      <w:r>
        <w:separator/>
      </w:r>
    </w:p>
  </w:footnote>
  <w:footnote w:type="continuationSeparator" w:id="0">
    <w:p w:rsidR="00D11965" w:rsidRDefault="00D11965" w:rsidP="00520297">
      <w:pPr>
        <w:spacing w:before="120"/>
        <w:jc w:val="left"/>
      </w:pPr>
      <w:r>
        <w:separator/>
      </w:r>
    </w:p>
  </w:footnote>
  <w:footnote w:type="continuationNotice" w:id="1">
    <w:p w:rsidR="00D11965" w:rsidRDefault="00D119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Pr="00997029" w:rsidRDefault="00853212" w:rsidP="00E23920">
    <w:pPr>
      <w:jc w:val="center"/>
      <w:rPr>
        <w:rStyle w:val="PageNumber"/>
        <w:lang w:eastAsia="ja-JP"/>
      </w:rPr>
    </w:pPr>
    <w:r>
      <w:rPr>
        <w:rStyle w:val="PageNumber"/>
      </w:rPr>
      <w:t>CAJ/</w:t>
    </w:r>
    <w:r>
      <w:rPr>
        <w:rStyle w:val="PageNumber"/>
        <w:rFonts w:hint="eastAsia"/>
        <w:lang w:eastAsia="ja-JP"/>
      </w:rPr>
      <w:t>70</w:t>
    </w:r>
    <w:r>
      <w:rPr>
        <w:rStyle w:val="PageNumber"/>
      </w:rPr>
      <w:t>/</w:t>
    </w:r>
    <w:r>
      <w:rPr>
        <w:rStyle w:val="PageNumber"/>
        <w:rFonts w:hint="eastAsia"/>
        <w:lang w:eastAsia="ja-JP"/>
      </w:rPr>
      <w:t>6</w:t>
    </w:r>
  </w:p>
  <w:p w:rsidR="00951A07" w:rsidRPr="00997029" w:rsidRDefault="00F0099A" w:rsidP="00E23920">
    <w:pPr>
      <w:jc w:val="center"/>
    </w:pPr>
    <w:proofErr w:type="spellStart"/>
    <w:r>
      <w:t>Seite</w:t>
    </w:r>
    <w:proofErr w:type="spellEnd"/>
    <w:r w:rsidR="00951A07" w:rsidRPr="00997029">
      <w:t xml:space="preserve"> </w:t>
    </w:r>
    <w:r w:rsidR="004C03DD" w:rsidRPr="00997029">
      <w:rPr>
        <w:rStyle w:val="PageNumber"/>
      </w:rPr>
      <w:fldChar w:fldCharType="begin"/>
    </w:r>
    <w:r w:rsidR="00951A07" w:rsidRPr="00997029">
      <w:rPr>
        <w:rStyle w:val="PageNumber"/>
      </w:rPr>
      <w:instrText xml:space="preserve"> PAGE </w:instrText>
    </w:r>
    <w:r w:rsidR="004C03DD" w:rsidRPr="00997029">
      <w:rPr>
        <w:rStyle w:val="PageNumber"/>
      </w:rPr>
      <w:fldChar w:fldCharType="separate"/>
    </w:r>
    <w:r w:rsidR="00EF63A2">
      <w:rPr>
        <w:rStyle w:val="PageNumber"/>
        <w:noProof/>
      </w:rPr>
      <w:t>2</w:t>
    </w:r>
    <w:r w:rsidR="004C03DD" w:rsidRPr="00997029">
      <w:rPr>
        <w:rStyle w:val="PageNumber"/>
      </w:rPr>
      <w:fldChar w:fldCharType="end"/>
    </w:r>
  </w:p>
  <w:p w:rsidR="00951A07" w:rsidRPr="00997029" w:rsidRDefault="00951A07"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0A17"/>
    <w:multiLevelType w:val="hybridMultilevel"/>
    <w:tmpl w:val="809453F4"/>
    <w:lvl w:ilvl="0" w:tplc="AF9A242E">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 w:id="1"/>
  </w:footnotePr>
  <w:endnotePr>
    <w:endnote w:id="-1"/>
    <w:endnote w:id="0"/>
    <w:endnote w:id="1"/>
  </w:endnotePr>
  <w:compat>
    <w:suppressSpBfAfterPgBrk/>
    <w:useFELayout/>
    <w:compatSetting w:name="compatibilityMode" w:uri="http://schemas.microsoft.com/office/word" w:val="12"/>
  </w:compat>
  <w:rsids>
    <w:rsidRoot w:val="005326C0"/>
    <w:rsid w:val="00001380"/>
    <w:rsid w:val="00001D48"/>
    <w:rsid w:val="00010CF3"/>
    <w:rsid w:val="00011E27"/>
    <w:rsid w:val="000148BC"/>
    <w:rsid w:val="00024AB8"/>
    <w:rsid w:val="00036028"/>
    <w:rsid w:val="000446B9"/>
    <w:rsid w:val="00047E21"/>
    <w:rsid w:val="00085505"/>
    <w:rsid w:val="0009558E"/>
    <w:rsid w:val="000C7021"/>
    <w:rsid w:val="000D492E"/>
    <w:rsid w:val="000D6BBC"/>
    <w:rsid w:val="000D7780"/>
    <w:rsid w:val="000F0A9B"/>
    <w:rsid w:val="000F1B08"/>
    <w:rsid w:val="00105929"/>
    <w:rsid w:val="00110481"/>
    <w:rsid w:val="001131D5"/>
    <w:rsid w:val="00141DB8"/>
    <w:rsid w:val="00146185"/>
    <w:rsid w:val="00163925"/>
    <w:rsid w:val="0017436E"/>
    <w:rsid w:val="0017474A"/>
    <w:rsid w:val="001758C6"/>
    <w:rsid w:val="00184441"/>
    <w:rsid w:val="001C3DF3"/>
    <w:rsid w:val="001D180A"/>
    <w:rsid w:val="001D21BA"/>
    <w:rsid w:val="001F1F2A"/>
    <w:rsid w:val="00203E78"/>
    <w:rsid w:val="00210DAA"/>
    <w:rsid w:val="0021332C"/>
    <w:rsid w:val="00213982"/>
    <w:rsid w:val="002330DA"/>
    <w:rsid w:val="00233C01"/>
    <w:rsid w:val="00237C7D"/>
    <w:rsid w:val="00242567"/>
    <w:rsid w:val="0024416D"/>
    <w:rsid w:val="0026005E"/>
    <w:rsid w:val="00262ED3"/>
    <w:rsid w:val="002700A0"/>
    <w:rsid w:val="00270135"/>
    <w:rsid w:val="0027309C"/>
    <w:rsid w:val="002800A0"/>
    <w:rsid w:val="00281060"/>
    <w:rsid w:val="00292027"/>
    <w:rsid w:val="0029439F"/>
    <w:rsid w:val="002A6E50"/>
    <w:rsid w:val="002C256A"/>
    <w:rsid w:val="002E5398"/>
    <w:rsid w:val="002E7BA1"/>
    <w:rsid w:val="002F325F"/>
    <w:rsid w:val="002F78FA"/>
    <w:rsid w:val="00305A7F"/>
    <w:rsid w:val="003125FF"/>
    <w:rsid w:val="003152FE"/>
    <w:rsid w:val="00327436"/>
    <w:rsid w:val="00341FDE"/>
    <w:rsid w:val="00344BD6"/>
    <w:rsid w:val="00351467"/>
    <w:rsid w:val="0035528D"/>
    <w:rsid w:val="003560C4"/>
    <w:rsid w:val="00361821"/>
    <w:rsid w:val="00377348"/>
    <w:rsid w:val="0038590D"/>
    <w:rsid w:val="00392142"/>
    <w:rsid w:val="003A17C8"/>
    <w:rsid w:val="003C563E"/>
    <w:rsid w:val="003D227C"/>
    <w:rsid w:val="003D2B4D"/>
    <w:rsid w:val="003D447C"/>
    <w:rsid w:val="003F6136"/>
    <w:rsid w:val="00421005"/>
    <w:rsid w:val="004230D9"/>
    <w:rsid w:val="0042336E"/>
    <w:rsid w:val="00427139"/>
    <w:rsid w:val="00435B47"/>
    <w:rsid w:val="00444A88"/>
    <w:rsid w:val="0045791A"/>
    <w:rsid w:val="00460F47"/>
    <w:rsid w:val="0046115D"/>
    <w:rsid w:val="00474443"/>
    <w:rsid w:val="00474DA4"/>
    <w:rsid w:val="00482F20"/>
    <w:rsid w:val="00484416"/>
    <w:rsid w:val="004C03DD"/>
    <w:rsid w:val="004D047D"/>
    <w:rsid w:val="004E36C9"/>
    <w:rsid w:val="004E7264"/>
    <w:rsid w:val="004F305A"/>
    <w:rsid w:val="00512164"/>
    <w:rsid w:val="00520297"/>
    <w:rsid w:val="005207BC"/>
    <w:rsid w:val="005326C0"/>
    <w:rsid w:val="005338F9"/>
    <w:rsid w:val="00536B92"/>
    <w:rsid w:val="0054281C"/>
    <w:rsid w:val="0055268D"/>
    <w:rsid w:val="005718B2"/>
    <w:rsid w:val="00572E44"/>
    <w:rsid w:val="00576BE4"/>
    <w:rsid w:val="005939E7"/>
    <w:rsid w:val="005A400A"/>
    <w:rsid w:val="005C0BE6"/>
    <w:rsid w:val="005F0425"/>
    <w:rsid w:val="00612379"/>
    <w:rsid w:val="0061555F"/>
    <w:rsid w:val="00641200"/>
    <w:rsid w:val="006421AE"/>
    <w:rsid w:val="00645735"/>
    <w:rsid w:val="00652577"/>
    <w:rsid w:val="00663ED8"/>
    <w:rsid w:val="00664515"/>
    <w:rsid w:val="00687EB4"/>
    <w:rsid w:val="006B17D2"/>
    <w:rsid w:val="006B4557"/>
    <w:rsid w:val="006B45FA"/>
    <w:rsid w:val="006C224E"/>
    <w:rsid w:val="006C4911"/>
    <w:rsid w:val="006C6A8F"/>
    <w:rsid w:val="006F11CE"/>
    <w:rsid w:val="00711A25"/>
    <w:rsid w:val="00714832"/>
    <w:rsid w:val="00732DEC"/>
    <w:rsid w:val="00735BD5"/>
    <w:rsid w:val="0075117E"/>
    <w:rsid w:val="007511E3"/>
    <w:rsid w:val="007556F6"/>
    <w:rsid w:val="00760EEF"/>
    <w:rsid w:val="00777EE5"/>
    <w:rsid w:val="00780453"/>
    <w:rsid w:val="0078279E"/>
    <w:rsid w:val="00784836"/>
    <w:rsid w:val="0079023E"/>
    <w:rsid w:val="007A42D1"/>
    <w:rsid w:val="007B6894"/>
    <w:rsid w:val="007C6639"/>
    <w:rsid w:val="007D0B9D"/>
    <w:rsid w:val="007D19B0"/>
    <w:rsid w:val="007E6E50"/>
    <w:rsid w:val="007F498F"/>
    <w:rsid w:val="007F7E40"/>
    <w:rsid w:val="0080679D"/>
    <w:rsid w:val="008108B0"/>
    <w:rsid w:val="00811B20"/>
    <w:rsid w:val="0082296E"/>
    <w:rsid w:val="00824099"/>
    <w:rsid w:val="0083091D"/>
    <w:rsid w:val="00836E88"/>
    <w:rsid w:val="00853212"/>
    <w:rsid w:val="00855DBD"/>
    <w:rsid w:val="00867AC1"/>
    <w:rsid w:val="008A395B"/>
    <w:rsid w:val="008A743F"/>
    <w:rsid w:val="008B51D0"/>
    <w:rsid w:val="008C0970"/>
    <w:rsid w:val="008D2CF7"/>
    <w:rsid w:val="008E69ED"/>
    <w:rsid w:val="008E793E"/>
    <w:rsid w:val="008F140B"/>
    <w:rsid w:val="00900C26"/>
    <w:rsid w:val="0090197F"/>
    <w:rsid w:val="00906DDC"/>
    <w:rsid w:val="009145E3"/>
    <w:rsid w:val="00934E09"/>
    <w:rsid w:val="00936253"/>
    <w:rsid w:val="00951A07"/>
    <w:rsid w:val="00970FED"/>
    <w:rsid w:val="00986B73"/>
    <w:rsid w:val="00997029"/>
    <w:rsid w:val="009A1510"/>
    <w:rsid w:val="009D0DE5"/>
    <w:rsid w:val="009D690D"/>
    <w:rsid w:val="009E65B6"/>
    <w:rsid w:val="009F0E5F"/>
    <w:rsid w:val="00A32423"/>
    <w:rsid w:val="00A34360"/>
    <w:rsid w:val="00A42AC3"/>
    <w:rsid w:val="00A430CF"/>
    <w:rsid w:val="00A4551F"/>
    <w:rsid w:val="00A54309"/>
    <w:rsid w:val="00A67009"/>
    <w:rsid w:val="00A95CB2"/>
    <w:rsid w:val="00AA2EF4"/>
    <w:rsid w:val="00AA44B2"/>
    <w:rsid w:val="00AB2B93"/>
    <w:rsid w:val="00AE0EF1"/>
    <w:rsid w:val="00AF508B"/>
    <w:rsid w:val="00B07301"/>
    <w:rsid w:val="00B224DE"/>
    <w:rsid w:val="00B30F5D"/>
    <w:rsid w:val="00B54406"/>
    <w:rsid w:val="00B65559"/>
    <w:rsid w:val="00B84BBD"/>
    <w:rsid w:val="00B924A3"/>
    <w:rsid w:val="00BA369F"/>
    <w:rsid w:val="00BA43FB"/>
    <w:rsid w:val="00BA53E3"/>
    <w:rsid w:val="00BA7739"/>
    <w:rsid w:val="00BB3070"/>
    <w:rsid w:val="00BC127D"/>
    <w:rsid w:val="00BC1FE6"/>
    <w:rsid w:val="00BD4C24"/>
    <w:rsid w:val="00BE2B3A"/>
    <w:rsid w:val="00BE66D7"/>
    <w:rsid w:val="00BE69DC"/>
    <w:rsid w:val="00C04569"/>
    <w:rsid w:val="00C061B6"/>
    <w:rsid w:val="00C21C88"/>
    <w:rsid w:val="00C21DBF"/>
    <w:rsid w:val="00C2446C"/>
    <w:rsid w:val="00C32D60"/>
    <w:rsid w:val="00C36AE5"/>
    <w:rsid w:val="00C41F17"/>
    <w:rsid w:val="00C54BF4"/>
    <w:rsid w:val="00C5791C"/>
    <w:rsid w:val="00C66290"/>
    <w:rsid w:val="00C72B7A"/>
    <w:rsid w:val="00C82839"/>
    <w:rsid w:val="00C91D04"/>
    <w:rsid w:val="00C973F2"/>
    <w:rsid w:val="00CA26FC"/>
    <w:rsid w:val="00CA341D"/>
    <w:rsid w:val="00CA774A"/>
    <w:rsid w:val="00CB4153"/>
    <w:rsid w:val="00CB5220"/>
    <w:rsid w:val="00CC11B0"/>
    <w:rsid w:val="00CC28D8"/>
    <w:rsid w:val="00CF53D2"/>
    <w:rsid w:val="00CF7E36"/>
    <w:rsid w:val="00D11965"/>
    <w:rsid w:val="00D233D8"/>
    <w:rsid w:val="00D24210"/>
    <w:rsid w:val="00D32FAC"/>
    <w:rsid w:val="00D3708D"/>
    <w:rsid w:val="00D40426"/>
    <w:rsid w:val="00D433C6"/>
    <w:rsid w:val="00D57C96"/>
    <w:rsid w:val="00D91203"/>
    <w:rsid w:val="00D95174"/>
    <w:rsid w:val="00D95A5C"/>
    <w:rsid w:val="00D95CC6"/>
    <w:rsid w:val="00DA6F36"/>
    <w:rsid w:val="00DC00EA"/>
    <w:rsid w:val="00DE3221"/>
    <w:rsid w:val="00DF67EC"/>
    <w:rsid w:val="00E23920"/>
    <w:rsid w:val="00E51A60"/>
    <w:rsid w:val="00E5341B"/>
    <w:rsid w:val="00E553D6"/>
    <w:rsid w:val="00E72D49"/>
    <w:rsid w:val="00E74D7D"/>
    <w:rsid w:val="00E7593C"/>
    <w:rsid w:val="00E7678A"/>
    <w:rsid w:val="00E935F1"/>
    <w:rsid w:val="00E94A81"/>
    <w:rsid w:val="00EA1FFB"/>
    <w:rsid w:val="00EB048E"/>
    <w:rsid w:val="00EB3EFA"/>
    <w:rsid w:val="00EE40BB"/>
    <w:rsid w:val="00EF2F89"/>
    <w:rsid w:val="00EF63A2"/>
    <w:rsid w:val="00F0099A"/>
    <w:rsid w:val="00F03AF7"/>
    <w:rsid w:val="00F0491B"/>
    <w:rsid w:val="00F04DEB"/>
    <w:rsid w:val="00F1237A"/>
    <w:rsid w:val="00F22CBD"/>
    <w:rsid w:val="00F37961"/>
    <w:rsid w:val="00F6334D"/>
    <w:rsid w:val="00F6761A"/>
    <w:rsid w:val="00F93879"/>
    <w:rsid w:val="00FA49AB"/>
    <w:rsid w:val="00FB0D37"/>
    <w:rsid w:val="00FB39A0"/>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42336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40BB"/>
    <w:pPr>
      <w:ind w:left="720"/>
      <w:contextualSpacing/>
    </w:pPr>
  </w:style>
  <w:style w:type="character" w:customStyle="1" w:styleId="Heading2Char">
    <w:name w:val="Heading 2 Char"/>
    <w:basedOn w:val="DefaultParagraphFont"/>
    <w:link w:val="Heading2"/>
    <w:rsid w:val="00C04569"/>
    <w:rPr>
      <w:rFonts w:ascii="Arial" w:hAnsi="Arial"/>
      <w:u w:val="single"/>
    </w:rPr>
  </w:style>
  <w:style w:type="character" w:styleId="CommentReference">
    <w:name w:val="annotation reference"/>
    <w:basedOn w:val="DefaultParagraphFont"/>
    <w:rsid w:val="00210DAA"/>
    <w:rPr>
      <w:sz w:val="16"/>
      <w:szCs w:val="16"/>
    </w:rPr>
  </w:style>
  <w:style w:type="paragraph" w:styleId="CommentText">
    <w:name w:val="annotation text"/>
    <w:basedOn w:val="Normal"/>
    <w:link w:val="CommentTextChar"/>
    <w:rsid w:val="00210DAA"/>
  </w:style>
  <w:style w:type="character" w:customStyle="1" w:styleId="CommentTextChar">
    <w:name w:val="Comment Text Char"/>
    <w:basedOn w:val="DefaultParagraphFont"/>
    <w:link w:val="CommentText"/>
    <w:rsid w:val="00210DAA"/>
    <w:rPr>
      <w:rFonts w:ascii="Arial" w:hAnsi="Arial"/>
    </w:rPr>
  </w:style>
  <w:style w:type="paragraph" w:styleId="CommentSubject">
    <w:name w:val="annotation subject"/>
    <w:basedOn w:val="CommentText"/>
    <w:next w:val="CommentText"/>
    <w:link w:val="CommentSubjectChar"/>
    <w:rsid w:val="00210DAA"/>
    <w:rPr>
      <w:b/>
      <w:bCs/>
    </w:rPr>
  </w:style>
  <w:style w:type="character" w:customStyle="1" w:styleId="CommentSubjectChar">
    <w:name w:val="Comment Subject Char"/>
    <w:basedOn w:val="CommentTextChar"/>
    <w:link w:val="CommentSubject"/>
    <w:rsid w:val="00210DAA"/>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42336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40BB"/>
    <w:pPr>
      <w:ind w:left="720"/>
      <w:contextualSpacing/>
    </w:pPr>
  </w:style>
  <w:style w:type="character" w:customStyle="1" w:styleId="Heading2Char">
    <w:name w:val="Heading 2 Char"/>
    <w:basedOn w:val="DefaultParagraphFont"/>
    <w:link w:val="Heading2"/>
    <w:rsid w:val="00C04569"/>
    <w:rPr>
      <w:rFonts w:ascii="Arial" w:hAnsi="Arial"/>
      <w:u w:val="single"/>
    </w:rPr>
  </w:style>
  <w:style w:type="character" w:styleId="CommentReference">
    <w:name w:val="annotation reference"/>
    <w:basedOn w:val="DefaultParagraphFont"/>
    <w:rsid w:val="00210DAA"/>
    <w:rPr>
      <w:sz w:val="16"/>
      <w:szCs w:val="16"/>
    </w:rPr>
  </w:style>
  <w:style w:type="paragraph" w:styleId="CommentText">
    <w:name w:val="annotation text"/>
    <w:basedOn w:val="Normal"/>
    <w:link w:val="CommentTextChar"/>
    <w:rsid w:val="00210DAA"/>
  </w:style>
  <w:style w:type="character" w:customStyle="1" w:styleId="CommentTextChar">
    <w:name w:val="Comment Text Char"/>
    <w:basedOn w:val="DefaultParagraphFont"/>
    <w:link w:val="CommentText"/>
    <w:rsid w:val="00210DAA"/>
    <w:rPr>
      <w:rFonts w:ascii="Arial" w:hAnsi="Arial"/>
    </w:rPr>
  </w:style>
  <w:style w:type="paragraph" w:styleId="CommentSubject">
    <w:name w:val="annotation subject"/>
    <w:basedOn w:val="CommentText"/>
    <w:next w:val="CommentText"/>
    <w:link w:val="CommentSubjectChar"/>
    <w:rsid w:val="00210DAA"/>
    <w:rPr>
      <w:b/>
      <w:bCs/>
    </w:rPr>
  </w:style>
  <w:style w:type="character" w:customStyle="1" w:styleId="CommentSubjectChar">
    <w:name w:val="Comment Subject Char"/>
    <w:basedOn w:val="CommentTextChar"/>
    <w:link w:val="CommentSubject"/>
    <w:rsid w:val="00210DA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71737">
      <w:bodyDiv w:val="1"/>
      <w:marLeft w:val="0"/>
      <w:marRight w:val="0"/>
      <w:marTop w:val="0"/>
      <w:marBottom w:val="0"/>
      <w:divBdr>
        <w:top w:val="none" w:sz="0" w:space="0" w:color="auto"/>
        <w:left w:val="none" w:sz="0" w:space="0" w:color="auto"/>
        <w:bottom w:val="none" w:sz="0" w:space="0" w:color="auto"/>
        <w:right w:val="none" w:sz="0" w:space="0" w:color="auto"/>
      </w:divBdr>
    </w:div>
    <w:div w:id="948048168">
      <w:bodyDiv w:val="1"/>
      <w:marLeft w:val="0"/>
      <w:marRight w:val="0"/>
      <w:marTop w:val="0"/>
      <w:marBottom w:val="0"/>
      <w:divBdr>
        <w:top w:val="none" w:sz="0" w:space="0" w:color="auto"/>
        <w:left w:val="none" w:sz="0" w:space="0" w:color="auto"/>
        <w:bottom w:val="none" w:sz="0" w:space="0" w:color="auto"/>
        <w:right w:val="none" w:sz="0" w:space="0" w:color="auto"/>
      </w:divBdr>
    </w:div>
    <w:div w:id="1779904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16B9-7CBB-4557-8FCA-4F91FAF3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1</TotalTime>
  <Pages>2</Pages>
  <Words>848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MAY Jessica</cp:lastModifiedBy>
  <cp:revision>9</cp:revision>
  <cp:lastPrinted>2014-08-28T14:16:00Z</cp:lastPrinted>
  <dcterms:created xsi:type="dcterms:W3CDTF">2014-08-20T14:15:00Z</dcterms:created>
  <dcterms:modified xsi:type="dcterms:W3CDTF">2014-08-28T14:16:00Z</dcterms:modified>
</cp:coreProperties>
</file>