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F153A" w:rsidRPr="00F24BA0" w:rsidTr="004A42A8">
        <w:trPr>
          <w:trHeight w:val="1760"/>
        </w:trPr>
        <w:tc>
          <w:tcPr>
            <w:tcW w:w="4243" w:type="dxa"/>
          </w:tcPr>
          <w:p w:rsidR="003F153A" w:rsidRPr="00F24BA0" w:rsidRDefault="003F153A" w:rsidP="003F153A">
            <w:pPr>
              <w:rPr>
                <w:lang w:val="de-DE" w:eastAsia="de-DE" w:bidi="de-DE"/>
              </w:rPr>
            </w:pPr>
          </w:p>
        </w:tc>
        <w:tc>
          <w:tcPr>
            <w:tcW w:w="1646" w:type="dxa"/>
            <w:vAlign w:val="center"/>
          </w:tcPr>
          <w:p w:rsidR="003F153A" w:rsidRPr="00F24BA0" w:rsidRDefault="003F153A" w:rsidP="003F153A">
            <w:pPr>
              <w:spacing w:before="720"/>
              <w:jc w:val="center"/>
              <w:rPr>
                <w:lang w:val="de-DE" w:eastAsia="de-DE" w:bidi="de-DE"/>
              </w:rPr>
            </w:pPr>
            <w:r w:rsidRPr="00F24BA0">
              <w:rPr>
                <w:noProof/>
              </w:rPr>
              <w:drawing>
                <wp:inline distT="0" distB="0" distL="0" distR="0" wp14:anchorId="1BCD6ABA" wp14:editId="3284119A">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F153A" w:rsidRPr="00F24BA0" w:rsidRDefault="003F153A" w:rsidP="003F153A">
            <w:pPr>
              <w:spacing w:after="120" w:line="340" w:lineRule="atLeast"/>
              <w:jc w:val="right"/>
              <w:rPr>
                <w:b/>
                <w:bCs/>
                <w:sz w:val="56"/>
                <w:lang w:val="de-DE" w:eastAsia="de-DE" w:bidi="de-DE"/>
              </w:rPr>
            </w:pPr>
            <w:r w:rsidRPr="00F24BA0">
              <w:rPr>
                <w:b/>
                <w:bCs/>
                <w:sz w:val="56"/>
                <w:lang w:val="de-DE" w:eastAsia="de-DE" w:bidi="de-DE"/>
              </w:rPr>
              <w:t>G</w:t>
            </w:r>
          </w:p>
          <w:p w:rsidR="003F153A" w:rsidRPr="00F24BA0" w:rsidRDefault="003F153A" w:rsidP="003F153A">
            <w:pPr>
              <w:spacing w:line="280" w:lineRule="exact"/>
              <w:ind w:left="1361"/>
              <w:jc w:val="left"/>
              <w:rPr>
                <w:b/>
                <w:bCs/>
                <w:spacing w:val="10"/>
                <w:lang w:val="de-DE" w:eastAsia="de-DE" w:bidi="de-DE"/>
              </w:rPr>
            </w:pPr>
            <w:r w:rsidRPr="00F24BA0">
              <w:rPr>
                <w:b/>
                <w:bCs/>
                <w:spacing w:val="10"/>
                <w:lang w:val="de-DE" w:eastAsia="de-DE" w:bidi="de-DE"/>
              </w:rPr>
              <w:t>CAJ/70/</w:t>
            </w:r>
            <w:bookmarkStart w:id="0" w:name="Code"/>
            <w:bookmarkEnd w:id="0"/>
            <w:r w:rsidRPr="00F24BA0">
              <w:rPr>
                <w:b/>
                <w:bCs/>
                <w:spacing w:val="10"/>
                <w:lang w:val="de-DE" w:eastAsia="de-DE" w:bidi="de-DE"/>
              </w:rPr>
              <w:t>5</w:t>
            </w:r>
          </w:p>
          <w:p w:rsidR="003F153A" w:rsidRPr="00F24BA0" w:rsidRDefault="003F153A" w:rsidP="003F153A">
            <w:pPr>
              <w:spacing w:line="280" w:lineRule="exact"/>
              <w:ind w:left="1361"/>
              <w:jc w:val="left"/>
              <w:rPr>
                <w:b/>
                <w:bCs/>
                <w:spacing w:val="10"/>
                <w:lang w:val="de-DE" w:eastAsia="de-DE" w:bidi="de-DE"/>
              </w:rPr>
            </w:pPr>
            <w:r w:rsidRPr="00F24BA0">
              <w:rPr>
                <w:b/>
                <w:lang w:val="de-DE" w:eastAsia="de-DE" w:bidi="de-DE"/>
              </w:rPr>
              <w:t>ORIGINAL:</w:t>
            </w:r>
            <w:r w:rsidRPr="00F24BA0">
              <w:rPr>
                <w:lang w:val="de-DE" w:eastAsia="de-DE" w:bidi="de-DE"/>
              </w:rPr>
              <w:t xml:space="preserve"> </w:t>
            </w:r>
            <w:bookmarkStart w:id="1" w:name="Original"/>
            <w:bookmarkEnd w:id="1"/>
            <w:r w:rsidRPr="00F24BA0">
              <w:rPr>
                <w:bCs/>
                <w:lang w:val="de-DE" w:eastAsia="de-DE" w:bidi="de-DE"/>
              </w:rPr>
              <w:t>englisch</w:t>
            </w:r>
          </w:p>
          <w:p w:rsidR="003F153A" w:rsidRPr="00F24BA0" w:rsidRDefault="003F153A" w:rsidP="003F153A">
            <w:pPr>
              <w:spacing w:line="280" w:lineRule="exact"/>
              <w:ind w:left="1361"/>
              <w:jc w:val="left"/>
              <w:rPr>
                <w:bCs/>
                <w:highlight w:val="cyan"/>
                <w:lang w:val="de-DE" w:eastAsia="de-DE" w:bidi="de-DE"/>
              </w:rPr>
            </w:pPr>
            <w:r w:rsidRPr="00F24BA0">
              <w:rPr>
                <w:b/>
                <w:bCs/>
                <w:spacing w:val="10"/>
                <w:lang w:val="de-DE" w:eastAsia="de-DE" w:bidi="de-DE"/>
              </w:rPr>
              <w:t>DATUM:</w:t>
            </w:r>
            <w:r w:rsidRPr="00F24BA0">
              <w:rPr>
                <w:bCs/>
                <w:lang w:val="de-DE" w:eastAsia="de-DE" w:bidi="de-DE"/>
              </w:rPr>
              <w:t xml:space="preserve"> </w:t>
            </w:r>
            <w:bookmarkStart w:id="2" w:name="Date"/>
            <w:bookmarkEnd w:id="2"/>
            <w:r w:rsidRPr="00F24BA0">
              <w:rPr>
                <w:lang w:val="de-DE" w:eastAsia="de-DE" w:bidi="de-DE"/>
              </w:rPr>
              <w:t>18. August 2014</w:t>
            </w:r>
          </w:p>
        </w:tc>
      </w:tr>
      <w:tr w:rsidR="003F153A" w:rsidRPr="00F24BA0" w:rsidTr="004A42A8">
        <w:tc>
          <w:tcPr>
            <w:tcW w:w="10131" w:type="dxa"/>
            <w:gridSpan w:val="3"/>
          </w:tcPr>
          <w:p w:rsidR="003F153A" w:rsidRPr="00F24BA0" w:rsidRDefault="003F153A" w:rsidP="003F153A">
            <w:pPr>
              <w:spacing w:before="60"/>
              <w:jc w:val="center"/>
              <w:rPr>
                <w:b/>
                <w:bCs/>
                <w:spacing w:val="8"/>
                <w:sz w:val="28"/>
                <w:lang w:val="de-DE" w:eastAsia="de-DE" w:bidi="de-DE"/>
              </w:rPr>
            </w:pPr>
            <w:r w:rsidRPr="00F24BA0">
              <w:rPr>
                <w:b/>
                <w:bCs/>
                <w:spacing w:val="8"/>
                <w:sz w:val="24"/>
                <w:lang w:val="de-DE" w:eastAsia="de-DE" w:bidi="de-DE"/>
              </w:rPr>
              <w:t xml:space="preserve">INTERNATIONALER VERBAND ZUM SCHUTZ VON PFLANZENZÜCHTUNGEN </w:t>
            </w:r>
          </w:p>
        </w:tc>
      </w:tr>
      <w:tr w:rsidR="003F153A" w:rsidRPr="00F24BA0" w:rsidTr="004A42A8">
        <w:tc>
          <w:tcPr>
            <w:tcW w:w="10131" w:type="dxa"/>
            <w:gridSpan w:val="3"/>
          </w:tcPr>
          <w:p w:rsidR="003F153A" w:rsidRPr="00F24BA0" w:rsidRDefault="003F153A" w:rsidP="003F153A">
            <w:pPr>
              <w:spacing w:before="60" w:after="480"/>
              <w:jc w:val="center"/>
              <w:rPr>
                <w:lang w:val="de-DE" w:eastAsia="de-DE" w:bidi="de-DE"/>
              </w:rPr>
            </w:pPr>
            <w:r w:rsidRPr="00F24BA0">
              <w:rPr>
                <w:lang w:val="de-DE" w:eastAsia="de-DE" w:bidi="de-DE"/>
              </w:rPr>
              <w:t>Genf</w:t>
            </w:r>
          </w:p>
        </w:tc>
      </w:tr>
    </w:tbl>
    <w:p w:rsidR="003F153A" w:rsidRPr="00F24BA0" w:rsidRDefault="003F153A" w:rsidP="003F153A">
      <w:pPr>
        <w:spacing w:before="240"/>
        <w:jc w:val="center"/>
        <w:rPr>
          <w:b/>
          <w:bCs/>
          <w:caps/>
          <w:kern w:val="28"/>
          <w:sz w:val="24"/>
          <w:lang w:val="de-DE" w:eastAsia="de-DE" w:bidi="de-DE"/>
        </w:rPr>
      </w:pPr>
      <w:r w:rsidRPr="00F24BA0">
        <w:rPr>
          <w:b/>
          <w:bCs/>
          <w:caps/>
          <w:kern w:val="28"/>
          <w:sz w:val="24"/>
          <w:lang w:val="de-DE" w:eastAsia="de-DE" w:bidi="de-DE"/>
        </w:rPr>
        <w:t>VERWALTUNGS- UND RECHTSAUSSCHUSS</w:t>
      </w:r>
    </w:p>
    <w:p w:rsidR="003F153A" w:rsidRPr="00F24BA0" w:rsidRDefault="003F153A" w:rsidP="003F153A">
      <w:pPr>
        <w:spacing w:before="240"/>
        <w:jc w:val="center"/>
        <w:rPr>
          <w:b/>
          <w:bCs/>
          <w:kern w:val="28"/>
          <w:sz w:val="24"/>
          <w:lang w:val="de-DE" w:eastAsia="de-DE" w:bidi="de-DE"/>
        </w:rPr>
      </w:pPr>
      <w:r w:rsidRPr="00F24BA0">
        <w:rPr>
          <w:b/>
          <w:bCs/>
          <w:kern w:val="28"/>
          <w:sz w:val="24"/>
          <w:lang w:val="de-DE" w:eastAsia="de-DE" w:bidi="de-DE"/>
        </w:rPr>
        <w:t>Siebzigste Tagung</w:t>
      </w:r>
      <w:r w:rsidRPr="00F24BA0">
        <w:rPr>
          <w:b/>
          <w:bCs/>
          <w:kern w:val="28"/>
          <w:sz w:val="24"/>
          <w:lang w:val="de-DE" w:eastAsia="de-DE" w:bidi="de-DE"/>
        </w:rPr>
        <w:br/>
        <w:t>Genf, 13. Oktober 2014</w:t>
      </w:r>
    </w:p>
    <w:p w:rsidR="003F153A" w:rsidRPr="00F24BA0" w:rsidRDefault="003F153A" w:rsidP="003F153A">
      <w:pPr>
        <w:spacing w:before="600"/>
        <w:jc w:val="center"/>
        <w:rPr>
          <w:caps/>
          <w:lang w:val="de-DE" w:eastAsia="de-DE" w:bidi="de-DE"/>
        </w:rPr>
      </w:pPr>
      <w:bookmarkStart w:id="3" w:name="TitleOfDoc"/>
      <w:bookmarkEnd w:id="3"/>
      <w:r w:rsidRPr="00F24BA0">
        <w:rPr>
          <w:caps/>
          <w:lang w:val="de-DE" w:eastAsia="de-DE" w:bidi="de-DE"/>
        </w:rPr>
        <w:t>Anleitung über die laufenden Verpfli</w:t>
      </w:r>
      <w:r w:rsidR="00E22FDC" w:rsidRPr="00F24BA0">
        <w:rPr>
          <w:caps/>
          <w:lang w:val="de-DE" w:eastAsia="de-DE" w:bidi="de-DE"/>
        </w:rPr>
        <w:t>chtungen der Verbandsmitglieder</w:t>
      </w:r>
      <w:r w:rsidR="00E22FDC" w:rsidRPr="00F24BA0">
        <w:rPr>
          <w:caps/>
          <w:lang w:val="de-DE" w:eastAsia="de-DE" w:bidi="de-DE"/>
        </w:rPr>
        <w:br/>
      </w:r>
      <w:r w:rsidRPr="00F24BA0">
        <w:rPr>
          <w:caps/>
          <w:lang w:val="de-DE" w:eastAsia="de-DE" w:bidi="de-DE"/>
        </w:rPr>
        <w:t>und die damit verbundenen Notifizierun</w:t>
      </w:r>
      <w:r w:rsidR="00E22FDC" w:rsidRPr="00F24BA0">
        <w:rPr>
          <w:caps/>
          <w:lang w:val="de-DE" w:eastAsia="de-DE" w:bidi="de-DE"/>
        </w:rPr>
        <w:t>gen und über die Bereitstellung</w:t>
      </w:r>
      <w:r w:rsidR="00E22FDC" w:rsidRPr="00F24BA0">
        <w:rPr>
          <w:caps/>
          <w:lang w:val="de-DE" w:eastAsia="de-DE" w:bidi="de-DE"/>
        </w:rPr>
        <w:br/>
      </w:r>
      <w:r w:rsidRPr="00F24BA0">
        <w:rPr>
          <w:caps/>
          <w:lang w:val="de-DE" w:eastAsia="de-DE" w:bidi="de-DE"/>
        </w:rPr>
        <w:t>von Information zur Verbesserung der Zusammenarbeit</w:t>
      </w:r>
      <w:r w:rsidRPr="00F24BA0">
        <w:rPr>
          <w:caps/>
          <w:lang w:val="de-DE" w:eastAsia="de-DE" w:bidi="de-DE"/>
        </w:rPr>
        <w:br/>
        <w:t xml:space="preserve">(Überarbeitung) </w:t>
      </w:r>
    </w:p>
    <w:p w:rsidR="003F153A" w:rsidRPr="00F24BA0" w:rsidRDefault="00E22FDC" w:rsidP="0084271A">
      <w:pPr>
        <w:spacing w:before="240" w:after="600"/>
        <w:jc w:val="center"/>
        <w:rPr>
          <w:i/>
          <w:lang w:val="de-DE" w:eastAsia="de-DE" w:bidi="de-DE"/>
        </w:rPr>
      </w:pPr>
      <w:bookmarkStart w:id="4" w:name="Prepared"/>
      <w:bookmarkEnd w:id="4"/>
      <w:r w:rsidRPr="00F24BA0">
        <w:rPr>
          <w:i/>
          <w:lang w:val="de-DE" w:eastAsia="de-DE" w:bidi="de-DE"/>
        </w:rPr>
        <w:t xml:space="preserve">Vom </w:t>
      </w:r>
      <w:r w:rsidR="003F153A" w:rsidRPr="00F24BA0">
        <w:rPr>
          <w:i/>
          <w:lang w:val="de-DE" w:eastAsia="de-DE" w:bidi="de-DE"/>
        </w:rPr>
        <w:t>Verbandsbüro erstelltes Dokument</w:t>
      </w:r>
      <w:r w:rsidR="003F153A" w:rsidRPr="00F24BA0">
        <w:rPr>
          <w:i/>
          <w:lang w:val="de-DE" w:eastAsia="de-DE" w:bidi="de-DE"/>
        </w:rPr>
        <w:br/>
      </w:r>
      <w:r w:rsidR="003F153A" w:rsidRPr="00F24BA0">
        <w:rPr>
          <w:i/>
          <w:lang w:val="de-DE" w:eastAsia="de-DE" w:bidi="de-DE"/>
        </w:rPr>
        <w:br/>
      </w:r>
      <w:r w:rsidR="003F153A" w:rsidRPr="00F24BA0">
        <w:rPr>
          <w:i/>
          <w:color w:val="A6A6A6" w:themeColor="background1" w:themeShade="A6"/>
          <w:lang w:val="de-DE" w:eastAsia="de-DE" w:bidi="de-DE"/>
        </w:rPr>
        <w:t>Haftungsausschluß:  dieses Dokument gibt nicht die Grundsätze ode</w:t>
      </w:r>
      <w:r w:rsidR="0084271A" w:rsidRPr="00F24BA0">
        <w:rPr>
          <w:i/>
          <w:color w:val="A6A6A6" w:themeColor="background1" w:themeShade="A6"/>
          <w:lang w:val="de-DE" w:eastAsia="de-DE" w:bidi="de-DE"/>
        </w:rPr>
        <w:t>r eine Anleitung der UPOV wieder</w:t>
      </w: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Zweck dieses Dokuments ist es, den CAJ zu ersuchen, Vorschläge zu prüfen betreffend:</w:t>
      </w:r>
    </w:p>
    <w:p w:rsidR="003F153A" w:rsidRPr="00F24BA0" w:rsidRDefault="003F153A" w:rsidP="003F153A">
      <w:pPr>
        <w:rPr>
          <w:lang w:val="de-DE" w:eastAsia="de-DE" w:bidi="de-DE"/>
        </w:rPr>
      </w:pPr>
    </w:p>
    <w:p w:rsidR="003F153A" w:rsidRPr="00F24BA0" w:rsidRDefault="003F153A" w:rsidP="003F153A">
      <w:pPr>
        <w:ind w:firstLine="567"/>
        <w:rPr>
          <w:lang w:val="de-DE" w:eastAsia="de-DE" w:bidi="de-DE"/>
        </w:rPr>
      </w:pPr>
      <w:r w:rsidRPr="00F24BA0">
        <w:rPr>
          <w:lang w:val="de-DE" w:eastAsia="de-DE" w:bidi="de-DE"/>
        </w:rPr>
        <w:t>a)</w:t>
      </w:r>
      <w:r w:rsidR="007010F9" w:rsidRPr="00F24BA0">
        <w:rPr>
          <w:lang w:val="de-DE" w:eastAsia="de-DE" w:bidi="de-DE"/>
        </w:rPr>
        <w:tab/>
      </w:r>
      <w:r w:rsidRPr="00F24BA0">
        <w:rPr>
          <w:lang w:val="de-DE" w:eastAsia="de-DE" w:bidi="de-DE"/>
        </w:rPr>
        <w:t>die Ausarbeitung von Dokument UPOV/INF/15 „Anleitung über die laufenden Verpflichtungen der Verbandsmitglieder und die damit verbundenen Notifizierungen und über die Erteilung von Auskünften zur Erleichterung der Zusammenarbeit“ zu einem Übersichtsdokument, das wichtige Aspekte für die Durchführung eines Sortenschutzsystems ausweisen und Links zu detailliertem Informationsmaterial bereitstellen würde; und</w:t>
      </w:r>
    </w:p>
    <w:p w:rsidR="003F153A" w:rsidRPr="00F24BA0" w:rsidRDefault="003F153A" w:rsidP="003F153A">
      <w:pPr>
        <w:ind w:firstLine="567"/>
        <w:rPr>
          <w:lang w:val="de-DE" w:eastAsia="de-DE" w:bidi="de-DE"/>
        </w:rPr>
      </w:pPr>
    </w:p>
    <w:p w:rsidR="003F153A" w:rsidRPr="00F24BA0" w:rsidRDefault="003F153A" w:rsidP="003F153A">
      <w:pPr>
        <w:ind w:firstLine="567"/>
        <w:rPr>
          <w:rFonts w:cs="Arial"/>
          <w:lang w:val="de-DE" w:eastAsia="de-DE" w:bidi="de-DE"/>
        </w:rPr>
      </w:pPr>
      <w:r w:rsidRPr="00F24BA0">
        <w:rPr>
          <w:lang w:val="de-DE" w:eastAsia="de-DE" w:bidi="de-DE"/>
        </w:rPr>
        <w:t>b)</w:t>
      </w:r>
      <w:r w:rsidR="007010F9" w:rsidRPr="00F24BA0">
        <w:rPr>
          <w:lang w:val="de-DE" w:eastAsia="de-DE" w:bidi="de-DE"/>
        </w:rPr>
        <w:tab/>
      </w:r>
      <w:r w:rsidRPr="00F24BA0">
        <w:rPr>
          <w:lang w:val="de-DE" w:eastAsia="de-DE" w:bidi="de-DE"/>
        </w:rPr>
        <w:t>die Aufnahme einer Anleitung in Dokument UPOV/INF/15 zu: Antragszeitraum; Zuchtformelinformationen; elektronische Antragsstellung; vertrauliche Behandlung des Materials des Antragstellers in Fällen, in denen die Prüfungszentren Sorten derselben Art züchten; und Häufigkeit der Einreichung von Daten und Vollständigkeit der Datenbanken.</w:t>
      </w:r>
    </w:p>
    <w:p w:rsidR="003F153A" w:rsidRPr="00F24BA0" w:rsidRDefault="003F153A" w:rsidP="003F153A">
      <w:pPr>
        <w:rPr>
          <w:lang w:val="de-DE" w:eastAsia="de-DE" w:bidi="de-DE"/>
        </w:rPr>
      </w:pPr>
    </w:p>
    <w:p w:rsidR="007010F9" w:rsidRPr="00F24BA0" w:rsidRDefault="007010F9" w:rsidP="003F153A">
      <w:pPr>
        <w:rPr>
          <w:lang w:val="de-DE" w:eastAsia="de-DE" w:bidi="de-DE"/>
        </w:rPr>
      </w:pPr>
    </w:p>
    <w:p w:rsidR="003F153A" w:rsidRPr="00F24BA0" w:rsidRDefault="003F153A" w:rsidP="003F153A">
      <w:pPr>
        <w:rPr>
          <w:color w:val="000000" w:themeColor="text1"/>
          <w:lang w:val="de-DE" w:eastAsia="de-DE" w:bidi="de-DE"/>
        </w:rPr>
      </w:pPr>
      <w:r w:rsidRPr="00F24BA0">
        <w:rPr>
          <w:u w:val="single"/>
          <w:lang w:val="de-DE" w:eastAsia="de-DE" w:bidi="de-DE"/>
        </w:rPr>
        <w:t>Inhalt</w:t>
      </w:r>
    </w:p>
    <w:p w:rsidR="003F153A" w:rsidRPr="00F24BA0" w:rsidRDefault="003F153A" w:rsidP="003F153A">
      <w:pPr>
        <w:rPr>
          <w:color w:val="000000" w:themeColor="text1"/>
          <w:lang w:val="de-DE" w:eastAsia="de-DE" w:bidi="de-DE"/>
        </w:rPr>
      </w:pPr>
    </w:p>
    <w:p w:rsidR="00F24BA0" w:rsidRPr="00F24BA0" w:rsidRDefault="003F153A">
      <w:pPr>
        <w:pStyle w:val="TOC1"/>
        <w:rPr>
          <w:rFonts w:asciiTheme="minorHAnsi" w:eastAsiaTheme="minorEastAsia" w:hAnsiTheme="minorHAnsi" w:cstheme="minorBidi"/>
          <w:caps w:val="0"/>
          <w:sz w:val="22"/>
          <w:szCs w:val="22"/>
          <w:lang w:val="de-DE"/>
        </w:rPr>
      </w:pPr>
      <w:r w:rsidRPr="00F24BA0">
        <w:rPr>
          <w:caps w:val="0"/>
          <w:color w:val="000000" w:themeColor="text1"/>
          <w:lang w:val="de-DE" w:eastAsia="de-DE" w:bidi="de-DE"/>
        </w:rPr>
        <w:fldChar w:fldCharType="begin"/>
      </w:r>
      <w:r w:rsidRPr="00F24BA0">
        <w:rPr>
          <w:color w:val="000000" w:themeColor="text1"/>
          <w:lang w:val="de-DE" w:eastAsia="de-DE" w:bidi="de-DE"/>
        </w:rPr>
        <w:instrText xml:space="preserve"> TOC \o "1-2" \h \z \u </w:instrText>
      </w:r>
      <w:r w:rsidRPr="00F24BA0">
        <w:rPr>
          <w:caps w:val="0"/>
          <w:color w:val="000000" w:themeColor="text1"/>
          <w:lang w:val="de-DE" w:eastAsia="de-DE" w:bidi="de-DE"/>
        </w:rPr>
        <w:fldChar w:fldCharType="separate"/>
      </w:r>
      <w:hyperlink w:anchor="_Toc398282731" w:history="1">
        <w:r w:rsidR="00F24BA0" w:rsidRPr="00F24BA0">
          <w:rPr>
            <w:rStyle w:val="Hyperlink"/>
            <w:lang w:val="de-DE" w:eastAsia="de-DE" w:bidi="de-DE"/>
          </w:rPr>
          <w:t>I.</w:t>
        </w:r>
        <w:r w:rsidR="00F24BA0" w:rsidRPr="00F24BA0">
          <w:rPr>
            <w:rFonts w:asciiTheme="minorHAnsi" w:eastAsiaTheme="minorEastAsia" w:hAnsiTheme="minorHAnsi" w:cstheme="minorBidi"/>
            <w:caps w:val="0"/>
            <w:sz w:val="22"/>
            <w:szCs w:val="22"/>
            <w:lang w:val="de-DE"/>
          </w:rPr>
          <w:tab/>
        </w:r>
        <w:r w:rsidR="00F24BA0" w:rsidRPr="00F24BA0">
          <w:rPr>
            <w:rStyle w:val="Hyperlink"/>
            <w:lang w:val="de-DE" w:eastAsia="de-DE" w:bidi="de-DE"/>
          </w:rPr>
          <w:t>HINTERGRUND</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_Toc398282731 \h </w:instrText>
        </w:r>
        <w:r w:rsidR="00F24BA0" w:rsidRPr="00F24BA0">
          <w:rPr>
            <w:webHidden/>
            <w:lang w:val="de-DE"/>
          </w:rPr>
        </w:r>
        <w:r w:rsidR="00F24BA0" w:rsidRPr="00F24BA0">
          <w:rPr>
            <w:webHidden/>
            <w:lang w:val="de-DE"/>
          </w:rPr>
          <w:fldChar w:fldCharType="separate"/>
        </w:r>
        <w:r w:rsidR="00F24BA0" w:rsidRPr="00F24BA0">
          <w:rPr>
            <w:webHidden/>
            <w:lang w:val="de-DE"/>
          </w:rPr>
          <w:t>2</w:t>
        </w:r>
        <w:r w:rsidR="00F24BA0" w:rsidRPr="00F24BA0">
          <w:rPr>
            <w:webHidden/>
            <w:lang w:val="de-DE"/>
          </w:rPr>
          <w:fldChar w:fldCharType="end"/>
        </w:r>
      </w:hyperlink>
    </w:p>
    <w:p w:rsidR="00F24BA0" w:rsidRPr="00F24BA0" w:rsidRDefault="005E0768">
      <w:pPr>
        <w:pStyle w:val="TOC1"/>
        <w:rPr>
          <w:rFonts w:asciiTheme="minorHAnsi" w:eastAsiaTheme="minorEastAsia" w:hAnsiTheme="minorHAnsi" w:cstheme="minorBidi"/>
          <w:caps w:val="0"/>
          <w:sz w:val="22"/>
          <w:szCs w:val="22"/>
          <w:lang w:val="de-DE"/>
        </w:rPr>
      </w:pPr>
      <w:hyperlink w:anchor="_Toc398282732" w:history="1">
        <w:r w:rsidR="00F24BA0" w:rsidRPr="00F24BA0">
          <w:rPr>
            <w:rStyle w:val="Hyperlink"/>
            <w:lang w:val="de-DE" w:eastAsia="de-DE" w:bidi="de-DE"/>
          </w:rPr>
          <w:t>II.</w:t>
        </w:r>
        <w:r w:rsidR="00F24BA0" w:rsidRPr="00F24BA0">
          <w:rPr>
            <w:rFonts w:asciiTheme="minorHAnsi" w:eastAsiaTheme="minorEastAsia" w:hAnsiTheme="minorHAnsi" w:cstheme="minorBidi"/>
            <w:caps w:val="0"/>
            <w:sz w:val="22"/>
            <w:szCs w:val="22"/>
            <w:lang w:val="de-DE"/>
          </w:rPr>
          <w:tab/>
        </w:r>
        <w:r w:rsidR="00F24BA0" w:rsidRPr="00F24BA0">
          <w:rPr>
            <w:rStyle w:val="Hyperlink"/>
            <w:lang w:val="de-DE" w:eastAsia="de-DE" w:bidi="de-DE"/>
          </w:rPr>
          <w:t>DACHDOKUMENT UPOV/INF/15 „Anleitung über die laufenden Verpflichtungen der Verbandsmitglieder und die damit verbundenen Notifizierungen und über die Bereitstellung von Information zur Verbesserung der Zusammenarbeit“</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_Toc398282732 \h </w:instrText>
        </w:r>
        <w:r w:rsidR="00F24BA0" w:rsidRPr="00F24BA0">
          <w:rPr>
            <w:webHidden/>
            <w:lang w:val="de-DE"/>
          </w:rPr>
        </w:r>
        <w:r w:rsidR="00F24BA0" w:rsidRPr="00F24BA0">
          <w:rPr>
            <w:webHidden/>
            <w:lang w:val="de-DE"/>
          </w:rPr>
          <w:fldChar w:fldCharType="separate"/>
        </w:r>
        <w:r w:rsidR="00F24BA0" w:rsidRPr="00F24BA0">
          <w:rPr>
            <w:webHidden/>
            <w:lang w:val="de-DE"/>
          </w:rPr>
          <w:t>2</w:t>
        </w:r>
        <w:r w:rsidR="00F24BA0" w:rsidRPr="00F24BA0">
          <w:rPr>
            <w:webHidden/>
            <w:lang w:val="de-DE"/>
          </w:rPr>
          <w:fldChar w:fldCharType="end"/>
        </w:r>
      </w:hyperlink>
    </w:p>
    <w:p w:rsidR="00F24BA0" w:rsidRPr="00F24BA0" w:rsidRDefault="005E0768">
      <w:pPr>
        <w:pStyle w:val="TOC1"/>
        <w:rPr>
          <w:rFonts w:asciiTheme="minorHAnsi" w:eastAsiaTheme="minorEastAsia" w:hAnsiTheme="minorHAnsi" w:cstheme="minorBidi"/>
          <w:caps w:val="0"/>
          <w:sz w:val="22"/>
          <w:szCs w:val="22"/>
          <w:lang w:val="de-DE"/>
        </w:rPr>
      </w:pPr>
      <w:hyperlink w:anchor="_Toc398282733" w:history="1">
        <w:r w:rsidR="00F24BA0" w:rsidRPr="00F24BA0">
          <w:rPr>
            <w:rStyle w:val="Hyperlink"/>
            <w:lang w:val="de-DE" w:eastAsia="de-DE" w:bidi="de-DE"/>
          </w:rPr>
          <w:t>III.</w:t>
        </w:r>
        <w:r w:rsidR="00F24BA0" w:rsidRPr="00F24BA0">
          <w:rPr>
            <w:rFonts w:asciiTheme="minorHAnsi" w:eastAsiaTheme="minorEastAsia" w:hAnsiTheme="minorHAnsi" w:cstheme="minorBidi"/>
            <w:caps w:val="0"/>
            <w:sz w:val="22"/>
            <w:szCs w:val="22"/>
            <w:lang w:val="de-DE"/>
          </w:rPr>
          <w:tab/>
        </w:r>
        <w:r w:rsidR="00F24BA0" w:rsidRPr="00F24BA0">
          <w:rPr>
            <w:rStyle w:val="Hyperlink"/>
            <w:lang w:val="de-DE" w:eastAsia="de-DE" w:bidi="de-DE"/>
          </w:rPr>
          <w:t>Einzelne Angelegenheiten, die der CAJ auf seiner neunundsechzigsten Tagung zur Ausarbeitung weiterer Anleitung in Dokument UPOV/INF/15 vereinbarte</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_Toc398282733 \h </w:instrText>
        </w:r>
        <w:r w:rsidR="00F24BA0" w:rsidRPr="00F24BA0">
          <w:rPr>
            <w:webHidden/>
            <w:lang w:val="de-DE"/>
          </w:rPr>
        </w:r>
        <w:r w:rsidR="00F24BA0" w:rsidRPr="00F24BA0">
          <w:rPr>
            <w:webHidden/>
            <w:lang w:val="de-DE"/>
          </w:rPr>
          <w:fldChar w:fldCharType="separate"/>
        </w:r>
        <w:r w:rsidR="00F24BA0" w:rsidRPr="00F24BA0">
          <w:rPr>
            <w:webHidden/>
            <w:lang w:val="de-DE"/>
          </w:rPr>
          <w:t>3</w:t>
        </w:r>
        <w:r w:rsidR="00F24BA0" w:rsidRPr="00F24BA0">
          <w:rPr>
            <w:webHidden/>
            <w:lang w:val="de-DE"/>
          </w:rPr>
          <w:fldChar w:fldCharType="end"/>
        </w:r>
      </w:hyperlink>
    </w:p>
    <w:p w:rsidR="00F24BA0" w:rsidRPr="00F24BA0" w:rsidRDefault="005E0768">
      <w:pPr>
        <w:pStyle w:val="TOC2"/>
        <w:rPr>
          <w:rFonts w:asciiTheme="minorHAnsi" w:eastAsiaTheme="minorEastAsia" w:hAnsiTheme="minorHAnsi" w:cstheme="minorBidi"/>
          <w:sz w:val="22"/>
          <w:szCs w:val="22"/>
          <w:lang w:val="de-DE"/>
        </w:rPr>
      </w:pPr>
      <w:hyperlink w:anchor="_Toc398282734" w:history="1">
        <w:r w:rsidR="00F24BA0" w:rsidRPr="00F24BA0">
          <w:rPr>
            <w:rStyle w:val="Hyperlink"/>
            <w:lang w:val="de-DE" w:eastAsia="de-DE" w:bidi="de-DE"/>
          </w:rPr>
          <w:t>Antragszeitraum</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_Toc398282734 \h </w:instrText>
        </w:r>
        <w:r w:rsidR="00F24BA0" w:rsidRPr="00F24BA0">
          <w:rPr>
            <w:webHidden/>
            <w:lang w:val="de-DE"/>
          </w:rPr>
        </w:r>
        <w:r w:rsidR="00F24BA0" w:rsidRPr="00F24BA0">
          <w:rPr>
            <w:webHidden/>
            <w:lang w:val="de-DE"/>
          </w:rPr>
          <w:fldChar w:fldCharType="separate"/>
        </w:r>
        <w:r w:rsidR="00F24BA0" w:rsidRPr="00F24BA0">
          <w:rPr>
            <w:webHidden/>
            <w:lang w:val="de-DE"/>
          </w:rPr>
          <w:t>3</w:t>
        </w:r>
        <w:r w:rsidR="00F24BA0" w:rsidRPr="00F24BA0">
          <w:rPr>
            <w:webHidden/>
            <w:lang w:val="de-DE"/>
          </w:rPr>
          <w:fldChar w:fldCharType="end"/>
        </w:r>
      </w:hyperlink>
    </w:p>
    <w:p w:rsidR="00F24BA0" w:rsidRPr="00F24BA0" w:rsidRDefault="005E0768">
      <w:pPr>
        <w:pStyle w:val="TOC2"/>
        <w:rPr>
          <w:rFonts w:asciiTheme="minorHAnsi" w:eastAsiaTheme="minorEastAsia" w:hAnsiTheme="minorHAnsi" w:cstheme="minorBidi"/>
          <w:sz w:val="22"/>
          <w:szCs w:val="22"/>
          <w:lang w:val="de-DE"/>
        </w:rPr>
      </w:pPr>
      <w:hyperlink w:anchor="_Toc398282735" w:history="1">
        <w:r w:rsidR="00F24BA0" w:rsidRPr="00F24BA0">
          <w:rPr>
            <w:rStyle w:val="Hyperlink"/>
            <w:lang w:val="de-DE" w:eastAsia="de-DE" w:bidi="de-DE"/>
          </w:rPr>
          <w:t>Zuchtformelinformationen</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_Toc398282735 \h </w:instrText>
        </w:r>
        <w:r w:rsidR="00F24BA0" w:rsidRPr="00F24BA0">
          <w:rPr>
            <w:webHidden/>
            <w:lang w:val="de-DE"/>
          </w:rPr>
        </w:r>
        <w:r w:rsidR="00F24BA0" w:rsidRPr="00F24BA0">
          <w:rPr>
            <w:webHidden/>
            <w:lang w:val="de-DE"/>
          </w:rPr>
          <w:fldChar w:fldCharType="separate"/>
        </w:r>
        <w:r w:rsidR="00F24BA0" w:rsidRPr="00F24BA0">
          <w:rPr>
            <w:webHidden/>
            <w:lang w:val="de-DE"/>
          </w:rPr>
          <w:t>3</w:t>
        </w:r>
        <w:r w:rsidR="00F24BA0" w:rsidRPr="00F24BA0">
          <w:rPr>
            <w:webHidden/>
            <w:lang w:val="de-DE"/>
          </w:rPr>
          <w:fldChar w:fldCharType="end"/>
        </w:r>
      </w:hyperlink>
    </w:p>
    <w:p w:rsidR="00F24BA0" w:rsidRPr="00F24BA0" w:rsidRDefault="005E0768">
      <w:pPr>
        <w:pStyle w:val="TOC2"/>
        <w:rPr>
          <w:rFonts w:asciiTheme="minorHAnsi" w:eastAsiaTheme="minorEastAsia" w:hAnsiTheme="minorHAnsi" w:cstheme="minorBidi"/>
          <w:sz w:val="22"/>
          <w:szCs w:val="22"/>
          <w:lang w:val="de-DE"/>
        </w:rPr>
      </w:pPr>
      <w:hyperlink w:anchor="_Toc398282736" w:history="1">
        <w:r w:rsidR="00F24BA0" w:rsidRPr="00F24BA0">
          <w:rPr>
            <w:rStyle w:val="Hyperlink"/>
            <w:lang w:val="de-DE" w:eastAsia="de-DE" w:bidi="de-DE"/>
          </w:rPr>
          <w:t>Elektronische Antragstellung</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_Toc398282736 \h </w:instrText>
        </w:r>
        <w:r w:rsidR="00F24BA0" w:rsidRPr="00F24BA0">
          <w:rPr>
            <w:webHidden/>
            <w:lang w:val="de-DE"/>
          </w:rPr>
        </w:r>
        <w:r w:rsidR="00F24BA0" w:rsidRPr="00F24BA0">
          <w:rPr>
            <w:webHidden/>
            <w:lang w:val="de-DE"/>
          </w:rPr>
          <w:fldChar w:fldCharType="separate"/>
        </w:r>
        <w:r w:rsidR="00F24BA0" w:rsidRPr="00F24BA0">
          <w:rPr>
            <w:webHidden/>
            <w:lang w:val="de-DE"/>
          </w:rPr>
          <w:t>3</w:t>
        </w:r>
        <w:r w:rsidR="00F24BA0" w:rsidRPr="00F24BA0">
          <w:rPr>
            <w:webHidden/>
            <w:lang w:val="de-DE"/>
          </w:rPr>
          <w:fldChar w:fldCharType="end"/>
        </w:r>
      </w:hyperlink>
    </w:p>
    <w:p w:rsidR="00F24BA0" w:rsidRPr="00F24BA0" w:rsidRDefault="005E0768">
      <w:pPr>
        <w:pStyle w:val="TOC2"/>
        <w:rPr>
          <w:rFonts w:asciiTheme="minorHAnsi" w:eastAsiaTheme="minorEastAsia" w:hAnsiTheme="minorHAnsi" w:cstheme="minorBidi"/>
          <w:sz w:val="22"/>
          <w:szCs w:val="22"/>
          <w:lang w:val="de-DE"/>
        </w:rPr>
      </w:pPr>
      <w:hyperlink w:anchor="_Toc398282737" w:history="1">
        <w:r w:rsidR="00F24BA0" w:rsidRPr="00F24BA0">
          <w:rPr>
            <w:rStyle w:val="Hyperlink"/>
            <w:lang w:val="de-DE" w:eastAsia="de-DE" w:bidi="de-DE"/>
          </w:rPr>
          <w:t>Vertrauliche Behandlung des Materials des Antragstellers in Fällen, in denen Prüfungszentren Sorten derselben Art züchten</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_Toc398282737 \h </w:instrText>
        </w:r>
        <w:r w:rsidR="00F24BA0" w:rsidRPr="00F24BA0">
          <w:rPr>
            <w:webHidden/>
            <w:lang w:val="de-DE"/>
          </w:rPr>
        </w:r>
        <w:r w:rsidR="00F24BA0" w:rsidRPr="00F24BA0">
          <w:rPr>
            <w:webHidden/>
            <w:lang w:val="de-DE"/>
          </w:rPr>
          <w:fldChar w:fldCharType="separate"/>
        </w:r>
        <w:r w:rsidR="00F24BA0" w:rsidRPr="00F24BA0">
          <w:rPr>
            <w:webHidden/>
            <w:lang w:val="de-DE"/>
          </w:rPr>
          <w:t>4</w:t>
        </w:r>
        <w:r w:rsidR="00F24BA0" w:rsidRPr="00F24BA0">
          <w:rPr>
            <w:webHidden/>
            <w:lang w:val="de-DE"/>
          </w:rPr>
          <w:fldChar w:fldCharType="end"/>
        </w:r>
      </w:hyperlink>
    </w:p>
    <w:p w:rsidR="00F24BA0" w:rsidRPr="00F24BA0" w:rsidRDefault="005E0768">
      <w:pPr>
        <w:pStyle w:val="TOC2"/>
        <w:rPr>
          <w:rFonts w:asciiTheme="minorHAnsi" w:eastAsiaTheme="minorEastAsia" w:hAnsiTheme="minorHAnsi" w:cstheme="minorBidi"/>
          <w:sz w:val="22"/>
          <w:szCs w:val="22"/>
          <w:lang w:val="de-DE"/>
        </w:rPr>
      </w:pPr>
      <w:hyperlink w:anchor="_Toc398282738" w:history="1">
        <w:r w:rsidR="00F24BA0" w:rsidRPr="00F24BA0">
          <w:rPr>
            <w:rStyle w:val="Hyperlink"/>
            <w:lang w:val="de-DE" w:eastAsia="de-DE" w:bidi="de-DE"/>
          </w:rPr>
          <w:t>Häufigkeit der Einreichung von Daten und Vollständigkeit der Datenbanken</w:t>
        </w:r>
        <w:r w:rsidR="00F24BA0" w:rsidRPr="00F24BA0">
          <w:rPr>
            <w:webHidden/>
            <w:lang w:val="de-DE"/>
          </w:rPr>
          <w:tab/>
        </w:r>
        <w:r w:rsidR="00F24BA0" w:rsidRPr="00F24BA0">
          <w:rPr>
            <w:webHidden/>
            <w:lang w:val="de-DE"/>
          </w:rPr>
          <w:fldChar w:fldCharType="begin"/>
        </w:r>
        <w:r w:rsidR="00F24BA0" w:rsidRPr="00F24BA0">
          <w:rPr>
            <w:webHidden/>
            <w:lang w:val="de-DE"/>
          </w:rPr>
          <w:instrText xml:space="preserve"> PAGEREF _Toc398282738 \h </w:instrText>
        </w:r>
        <w:r w:rsidR="00F24BA0" w:rsidRPr="00F24BA0">
          <w:rPr>
            <w:webHidden/>
            <w:lang w:val="de-DE"/>
          </w:rPr>
        </w:r>
        <w:r w:rsidR="00F24BA0" w:rsidRPr="00F24BA0">
          <w:rPr>
            <w:webHidden/>
            <w:lang w:val="de-DE"/>
          </w:rPr>
          <w:fldChar w:fldCharType="separate"/>
        </w:r>
        <w:r w:rsidR="00F24BA0" w:rsidRPr="00F24BA0">
          <w:rPr>
            <w:webHidden/>
            <w:lang w:val="de-DE"/>
          </w:rPr>
          <w:t>4</w:t>
        </w:r>
        <w:r w:rsidR="00F24BA0" w:rsidRPr="00F24BA0">
          <w:rPr>
            <w:webHidden/>
            <w:lang w:val="de-DE"/>
          </w:rPr>
          <w:fldChar w:fldCharType="end"/>
        </w:r>
      </w:hyperlink>
    </w:p>
    <w:p w:rsidR="00667F31" w:rsidRPr="00F24BA0" w:rsidRDefault="003F153A" w:rsidP="003F153A">
      <w:pPr>
        <w:tabs>
          <w:tab w:val="right" w:leader="dot" w:pos="9639"/>
        </w:tabs>
        <w:spacing w:before="120"/>
        <w:ind w:left="284" w:right="284" w:hanging="284"/>
        <w:jc w:val="left"/>
        <w:rPr>
          <w:caps/>
          <w:noProof/>
          <w:color w:val="000000" w:themeColor="text1"/>
          <w:lang w:val="de-DE" w:eastAsia="de-DE" w:bidi="de-DE"/>
        </w:rPr>
      </w:pPr>
      <w:r w:rsidRPr="00F24BA0">
        <w:rPr>
          <w:caps/>
          <w:noProof/>
          <w:color w:val="000000" w:themeColor="text1"/>
          <w:lang w:val="de-DE" w:eastAsia="de-DE" w:bidi="de-DE"/>
        </w:rPr>
        <w:fldChar w:fldCharType="end"/>
      </w:r>
    </w:p>
    <w:p w:rsidR="003F153A" w:rsidRPr="00F24BA0" w:rsidRDefault="00667F31" w:rsidP="00667F31">
      <w:pPr>
        <w:spacing w:after="720"/>
        <w:ind w:left="284" w:right="851" w:hanging="284"/>
        <w:rPr>
          <w:lang w:val="de-DE"/>
        </w:rPr>
      </w:pPr>
      <w:r w:rsidRPr="00F24BA0">
        <w:rPr>
          <w:noProof/>
          <w:lang w:val="de-DE" w:eastAsia="de-DE" w:bidi="de-DE"/>
        </w:rPr>
        <w:t xml:space="preserve">ANLAGE: </w:t>
      </w:r>
      <w:r w:rsidRPr="00F24BA0">
        <w:rPr>
          <w:lang w:val="de-DE"/>
        </w:rPr>
        <w:t>MODULE 1 UND 2 VON DL305 „PRÜFUNG VON ANTRÄGEN AUF ERTEILUNG VON ZÜCHTERRECHTEN“ UND DL-305A „VERWALTUNG VON ZÜCHTERRECHTEN“</w:t>
      </w:r>
    </w:p>
    <w:p w:rsidR="003F153A" w:rsidRPr="00F24BA0" w:rsidRDefault="003F153A" w:rsidP="003F153A">
      <w:pPr>
        <w:keepNext/>
        <w:jc w:val="left"/>
        <w:outlineLvl w:val="0"/>
        <w:rPr>
          <w:caps/>
          <w:szCs w:val="24"/>
          <w:lang w:val="de-DE" w:eastAsia="de-DE" w:bidi="de-DE"/>
        </w:rPr>
      </w:pPr>
      <w:bookmarkStart w:id="5" w:name="_Toc395701741"/>
      <w:bookmarkStart w:id="6" w:name="_Toc398282731"/>
      <w:r w:rsidRPr="00F24BA0">
        <w:rPr>
          <w:caps/>
          <w:szCs w:val="24"/>
          <w:lang w:val="de-DE" w:eastAsia="de-DE" w:bidi="de-DE"/>
        </w:rPr>
        <w:lastRenderedPageBreak/>
        <w:t>I.</w:t>
      </w:r>
      <w:r w:rsidRPr="00F24BA0">
        <w:rPr>
          <w:caps/>
          <w:szCs w:val="24"/>
          <w:lang w:val="de-DE" w:eastAsia="de-DE" w:bidi="de-DE"/>
        </w:rPr>
        <w:tab/>
        <w:t>HINTERGRUND</w:t>
      </w:r>
      <w:bookmarkEnd w:id="5"/>
      <w:bookmarkEnd w:id="6"/>
    </w:p>
    <w:p w:rsidR="003F153A" w:rsidRPr="00F24BA0" w:rsidRDefault="003F153A" w:rsidP="003F153A">
      <w:pPr>
        <w:rPr>
          <w:lang w:val="de-DE" w:eastAsia="de-DE" w:bidi="de-DE"/>
        </w:rPr>
      </w:pPr>
    </w:p>
    <w:p w:rsidR="003F153A" w:rsidRPr="00F24BA0" w:rsidRDefault="003F153A" w:rsidP="003F153A">
      <w:pPr>
        <w:rPr>
          <w:snapToGrid w:val="0"/>
          <w:highlight w:val="cyan"/>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Der CAJ prüfte auf seiner neunundsechzigsten Tagung am 10. April 2014 in Genf das Dokument CAJ/69/10 „Vom Internationalen Saatgutverband (ISF) aufgeworfene Angelegenheiten“ und vereinbarte die Ausarbeitung von Dokument UPOV/INF/15 „Anleitung über die laufenden Verpflichtungen der Verbandsmitglieder und die damit verbundenen Notifizierungen und über die Erteilung von Auskünften zur Erleichterung der Zusammenarbeit“ zu einem Dachdokument, das Kernelemente für die Durchführung eines Sortenschutzsystems ausweisen und Links zu ausführlichen Informationsmaterialien bereitstellen würde. Ferner vereinbarte der CAJ auf seiner neunundsechzigsten Tagung, den Titel von Dokument UPOV/INF/15 entsprechend zu ändern und einschlägige Elemente von Modul 1 „Das Züchterrechtsamt“ und Modul 2 „Verwaltung von Anträgen“ des UPOV-Fernlehrgangsprogramms „Prüfung von Anträgen auf Erteilung von Züchterrechten“ (DL305) sowie die vom CAJ vereinbarten Elemente in bezug auf die in Dokument CAJ/69/10 „Vom Internationalen Saatgutverband (ISF) aufgeworfene Angelegenheiten“ dargelegten Angelegenheiten aufzunehmen (vergleiche Dokumente CAJ/69/12 „Bericht über die Entschließungen“, Absatz 92 und CAJ/69/10, Absatz 32.  Der CAJ vereinbarte auf seiner neunundsechzigsten Tagung in bezug auf die nächsten Schritte, daß das Verbandsbüro einschlägige Dokumente zu den Angelegenheiten betreffend jeden der Punkte ausarbeiten werde, die der CAJ vereinbart hatte, um weitere Anleitung auszuarbeiten, und diese Fragen dem CAJ auf dessen siebzigster Tagung zur we</w:t>
      </w:r>
      <w:r w:rsidR="003C12F5" w:rsidRPr="00F24BA0">
        <w:rPr>
          <w:lang w:val="de-DE" w:eastAsia="de-DE" w:bidi="de-DE"/>
        </w:rPr>
        <w:t xml:space="preserve">iteren Prüfung vorlegen werde. </w:t>
      </w:r>
      <w:r w:rsidRPr="00F24BA0">
        <w:rPr>
          <w:lang w:val="de-DE" w:eastAsia="de-DE" w:bidi="de-DE"/>
        </w:rPr>
        <w:t xml:space="preserve">Der CAJ werde dann über die entsprechenden Gremien entscheiden, </w:t>
      </w:r>
      <w:r w:rsidR="003C12F5" w:rsidRPr="00F24BA0">
        <w:rPr>
          <w:lang w:val="de-DE" w:eastAsia="de-DE" w:bidi="de-DE"/>
        </w:rPr>
        <w:t xml:space="preserve">die diese Fragen prüfen könnten </w:t>
      </w:r>
      <w:r w:rsidRPr="00F24BA0">
        <w:rPr>
          <w:lang w:val="de-DE" w:eastAsia="de-DE" w:bidi="de-DE"/>
        </w:rPr>
        <w:t>(vergleiche Dokument CAJ/69/12 „Bericht über die Entschließungen“, Absatz 93).</w:t>
      </w:r>
    </w:p>
    <w:p w:rsidR="003F153A" w:rsidRPr="00F24BA0" w:rsidRDefault="003F153A" w:rsidP="003F153A">
      <w:pPr>
        <w:rPr>
          <w:lang w:val="de-DE" w:eastAsia="de-DE" w:bidi="de-DE"/>
        </w:rPr>
      </w:pPr>
    </w:p>
    <w:p w:rsidR="003F153A" w:rsidRPr="00F24BA0" w:rsidRDefault="003F153A" w:rsidP="003F153A">
      <w:pPr>
        <w:rPr>
          <w:lang w:val="de-DE" w:eastAsia="de-DE" w:bidi="de-DE"/>
        </w:rPr>
      </w:pPr>
    </w:p>
    <w:p w:rsidR="003F153A" w:rsidRPr="00F24BA0" w:rsidRDefault="003F153A" w:rsidP="003F153A">
      <w:pPr>
        <w:rPr>
          <w:lang w:val="de-DE" w:eastAsia="de-DE" w:bidi="de-DE"/>
        </w:rPr>
      </w:pPr>
    </w:p>
    <w:p w:rsidR="003F153A" w:rsidRPr="00F24BA0" w:rsidRDefault="003F153A" w:rsidP="00667F31">
      <w:pPr>
        <w:keepNext/>
        <w:ind w:left="567" w:hanging="567"/>
        <w:jc w:val="left"/>
        <w:outlineLvl w:val="0"/>
        <w:rPr>
          <w:caps/>
          <w:szCs w:val="24"/>
          <w:lang w:val="de-DE" w:eastAsia="de-DE" w:bidi="de-DE"/>
        </w:rPr>
      </w:pPr>
      <w:bookmarkStart w:id="7" w:name="_Toc381102838"/>
      <w:bookmarkStart w:id="8" w:name="_Toc381102868"/>
      <w:bookmarkStart w:id="9" w:name="_Toc381359976"/>
      <w:bookmarkStart w:id="10" w:name="_Toc395701742"/>
      <w:bookmarkStart w:id="11" w:name="_Toc398282732"/>
      <w:r w:rsidRPr="00F24BA0">
        <w:rPr>
          <w:caps/>
          <w:szCs w:val="24"/>
          <w:lang w:val="de-DE" w:eastAsia="de-DE" w:bidi="de-DE"/>
        </w:rPr>
        <w:t>II.</w:t>
      </w:r>
      <w:r w:rsidRPr="00F24BA0">
        <w:rPr>
          <w:caps/>
          <w:szCs w:val="24"/>
          <w:lang w:val="de-DE" w:eastAsia="de-DE" w:bidi="de-DE"/>
        </w:rPr>
        <w:tab/>
        <w:t>DACHDOKUMENT UPOV/INF/15 „Anleitung über die laufenden Verpflichtungen der Verbandsmitglieder und die damit verbundenen Notifizierungen und über die Bereitstellung von Information zur Verbesserung der Zusammenarbeit“</w:t>
      </w:r>
      <w:bookmarkEnd w:id="7"/>
      <w:bookmarkEnd w:id="8"/>
      <w:bookmarkEnd w:id="9"/>
      <w:bookmarkEnd w:id="10"/>
      <w:bookmarkEnd w:id="11"/>
    </w:p>
    <w:p w:rsidR="003F153A" w:rsidRPr="00F24BA0" w:rsidRDefault="003F153A" w:rsidP="003F153A">
      <w:pPr>
        <w:keepNext/>
        <w:jc w:val="left"/>
        <w:outlineLvl w:val="0"/>
        <w:rPr>
          <w:caps/>
          <w:szCs w:val="24"/>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Dokument UPOV/INF/15 erteilt derzeit Verbandsmitgliedern Anleitung über die laufenden Verpflichtungen und die damit verbundenen Notifizierungen und über die Bereitstellung von Information zur Verbesserung der Z</w:t>
      </w:r>
      <w:r w:rsidR="003C12F5" w:rsidRPr="00F24BA0">
        <w:rPr>
          <w:lang w:val="de-DE" w:eastAsia="de-DE" w:bidi="de-DE"/>
        </w:rPr>
        <w:t xml:space="preserve">usammenarbeit. </w:t>
      </w:r>
      <w:r w:rsidRPr="00F24BA0">
        <w:rPr>
          <w:lang w:val="de-DE" w:eastAsia="de-DE" w:bidi="de-DE"/>
        </w:rPr>
        <w:t>Bei ihrer Ernennung erhalten die Vertreter im Rat eine Kopie von Dokument UPOV/INF/15.</w:t>
      </w:r>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 xml:space="preserve">Der Beratende Ausschuß ersuchte auf seiner sechsundachtzigsten Tagung, Dokument UPOV/INF/15 als ein Dachdokument auszuarbeiten, das folgendes bereitstellen sollte: </w:t>
      </w:r>
    </w:p>
    <w:p w:rsidR="003F153A" w:rsidRPr="00F24BA0" w:rsidRDefault="003F153A" w:rsidP="003F153A">
      <w:pPr>
        <w:rPr>
          <w:lang w:val="de-DE" w:eastAsia="de-DE" w:bidi="de-DE"/>
        </w:rPr>
      </w:pPr>
    </w:p>
    <w:p w:rsidR="003F153A" w:rsidRPr="00F24BA0" w:rsidRDefault="003F153A" w:rsidP="003F153A">
      <w:pPr>
        <w:ind w:firstLine="567"/>
        <w:rPr>
          <w:lang w:val="de-DE" w:eastAsia="de-DE" w:bidi="de-DE"/>
        </w:rPr>
      </w:pPr>
      <w:r w:rsidRPr="00F24BA0">
        <w:rPr>
          <w:lang w:val="de-DE" w:eastAsia="de-DE" w:bidi="de-DE"/>
        </w:rPr>
        <w:t>i)</w:t>
      </w:r>
      <w:r w:rsidRPr="00F24BA0">
        <w:rPr>
          <w:lang w:val="de-DE" w:eastAsia="de-DE" w:bidi="de-DE"/>
        </w:rPr>
        <w:tab/>
        <w:t xml:space="preserve">einen Überblick über Kernelemente für die Durchführung eines Sortenschutzsystems; und </w:t>
      </w:r>
    </w:p>
    <w:p w:rsidR="003F153A" w:rsidRPr="00F24BA0" w:rsidRDefault="003F153A" w:rsidP="003F153A">
      <w:pPr>
        <w:rPr>
          <w:lang w:val="de-DE" w:eastAsia="de-DE" w:bidi="de-DE"/>
        </w:rPr>
      </w:pPr>
    </w:p>
    <w:p w:rsidR="003F153A" w:rsidRPr="00F24BA0" w:rsidRDefault="003F153A" w:rsidP="003F153A">
      <w:pPr>
        <w:ind w:firstLine="567"/>
        <w:rPr>
          <w:lang w:val="de-DE" w:eastAsia="de-DE" w:bidi="de-DE"/>
        </w:rPr>
      </w:pPr>
      <w:r w:rsidRPr="00F24BA0">
        <w:rPr>
          <w:lang w:val="de-DE" w:eastAsia="de-DE" w:bidi="de-DE"/>
        </w:rPr>
        <w:t>ii)</w:t>
      </w:r>
      <w:r w:rsidRPr="00F24BA0">
        <w:rPr>
          <w:lang w:val="de-DE" w:eastAsia="de-DE" w:bidi="de-DE"/>
        </w:rPr>
        <w:tab/>
        <w:t>einen Link zu einsch</w:t>
      </w:r>
      <w:r w:rsidR="009878B3" w:rsidRPr="00F24BA0">
        <w:rPr>
          <w:lang w:val="de-DE" w:eastAsia="de-DE" w:bidi="de-DE"/>
        </w:rPr>
        <w:t>lägiger ausführlicher Anleitung</w:t>
      </w:r>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lang w:val="de-DE" w:eastAsia="de-DE" w:bidi="de-DE"/>
        </w:rPr>
        <w:t>(vergleiche Dokument C/47/15 Rev. „Bericht des Präsidenten über die Arbeiten der sechsundachtzigsten Tagung des Beratenden Ausschusses; gegebenenfalls Annahme von Empfehlungen, die dieser Ausschuß ausgearbeitet hat“, Absätze 62 bis 66).</w:t>
      </w:r>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 xml:space="preserve">Der CAJ prüfte auf seiner neunundsechzigsten Tagung am 10. April 2014 in Genf das Dokument CAJ/69/10 „Vom Internationalen Saatgutverband (ISF) aufgeworfene Fragen“ und vereinbarte die Ausarbeitung von Dokument UPOV/INF/15 „Anleitung über die laufenden Verpflichtungen der Verbandsmitglieder und die damit verbundenen Notifizierungen und über die Erteilung von Auskünften zur Erleichterung der Zusammenarbeit“ zu einem Dachdokument, das Kernelemente für die Durchführung eines Sortenschutzsystems ausweisen und Links zu ausführlichen Informationsmaterialien bereitstellen würde. </w:t>
      </w:r>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 xml:space="preserve">Ferner vereinbarte der CAJ auf seiner neunundsechzigsten Tagung, den Titel von Dokument UPOV/INF/15 entsprechend zu ändern und einschlägige Elemente von Modul 1 „Das Züchterrechtsamt“ und Modul 2 „Verwaltung von Anträgen“ des UPOV-Fernlehrgangsprogramms „Prüfung von Anträgen auf Erteilung von Züchterrechten“ (DL-305) sowie die vom CAJ vereinbarten Elemente in bezug auf die in Dokument CAJ/69/10 behandelten Fragen aufzunehmen (vergleiche Dokumente CAJ/69/12 „Bericht über die Entschließungen“, Absatz 92 und CAJ/69/10, Absatz 32 und Abschnitt III dieses Dokuments „Einzelne Angelegenheiten, die der CAJ auf seiner neunundsechzigsten Tagung zur Ausarbeitung weiterer Anleitung in Dokument UPOV/INF/15 vereinbarte“.  Der Beratende Ausschuß vereinbarte die Aufteilung des Lehrgangs DL-305 in zwei getrennte </w:t>
      </w:r>
      <w:r w:rsidR="003C12F5" w:rsidRPr="00F24BA0">
        <w:rPr>
          <w:lang w:val="de-DE" w:eastAsia="de-DE" w:bidi="de-DE"/>
        </w:rPr>
        <w:t>Lehrgänge (DL-305A und DL305B).</w:t>
      </w:r>
      <w:r w:rsidRPr="00F24BA0">
        <w:rPr>
          <w:lang w:val="de-DE" w:eastAsia="de-DE" w:bidi="de-DE"/>
        </w:rPr>
        <w:t xml:space="preserve"> </w:t>
      </w:r>
      <w:r w:rsidR="009878B3" w:rsidRPr="00F24BA0">
        <w:rPr>
          <w:lang w:val="de-DE" w:eastAsia="de-DE" w:bidi="de-DE"/>
        </w:rPr>
        <w:t xml:space="preserve">Die </w:t>
      </w:r>
      <w:r w:rsidRPr="00F24BA0">
        <w:rPr>
          <w:lang w:val="de-DE" w:eastAsia="de-DE" w:bidi="de-DE"/>
        </w:rPr>
        <w:t>Module 1 und 2 sind in DL-305A „Verwaltung von Züchterrechten“ enthalten.</w:t>
      </w:r>
    </w:p>
    <w:p w:rsidR="003F153A" w:rsidRPr="00F24BA0" w:rsidRDefault="003F153A" w:rsidP="003F153A">
      <w:pPr>
        <w:rPr>
          <w:rFonts w:cs="Arial"/>
          <w:lang w:val="de-DE" w:eastAsia="de-DE" w:bidi="de-DE"/>
        </w:rPr>
      </w:pPr>
    </w:p>
    <w:p w:rsidR="003F153A" w:rsidRPr="00F24BA0" w:rsidRDefault="003F153A" w:rsidP="00667F31">
      <w:pPr>
        <w:keepNext/>
        <w:rPr>
          <w:kern w:val="28"/>
          <w:lang w:val="de-DE" w:eastAsia="de-DE" w:bidi="de-DE"/>
        </w:rPr>
      </w:pPr>
      <w:r w:rsidRPr="00F24BA0">
        <w:rPr>
          <w:rFonts w:cs="Arial"/>
          <w:lang w:val="de-DE" w:eastAsia="de-DE" w:bidi="de-DE"/>
        </w:rPr>
        <w:lastRenderedPageBreak/>
        <w:fldChar w:fldCharType="begin"/>
      </w:r>
      <w:r w:rsidRPr="00F24BA0">
        <w:rPr>
          <w:rFonts w:cs="Arial"/>
          <w:lang w:val="de-DE" w:eastAsia="de-DE" w:bidi="de-DE"/>
        </w:rPr>
        <w:instrText xml:space="preserve"> AUTONUM  </w:instrText>
      </w:r>
      <w:r w:rsidRPr="00F24BA0">
        <w:rPr>
          <w:rFonts w:cs="Arial"/>
          <w:lang w:val="de-DE" w:eastAsia="de-DE" w:bidi="de-DE"/>
        </w:rPr>
        <w:fldChar w:fldCharType="end"/>
      </w:r>
      <w:r w:rsidRPr="00F24BA0">
        <w:rPr>
          <w:lang w:val="de-DE" w:eastAsia="de-DE" w:bidi="de-DE"/>
        </w:rPr>
        <w:tab/>
        <w:t>Auf oben dargelegter Grundlage wurde Dokument UPOV/INF/15/3 Draft 1 ausgearbeitet mit folgenden Vorschlägen zur Prüfung durch den CAJ auf seiner siebzigsten Tagung:</w:t>
      </w:r>
    </w:p>
    <w:p w:rsidR="003F153A" w:rsidRPr="00F24BA0" w:rsidRDefault="003F153A" w:rsidP="003F153A">
      <w:pPr>
        <w:rPr>
          <w:lang w:val="de-DE" w:eastAsia="de-DE" w:bidi="de-DE"/>
        </w:rPr>
      </w:pPr>
    </w:p>
    <w:p w:rsidR="003F153A" w:rsidRPr="00F24BA0" w:rsidRDefault="003F153A" w:rsidP="003F153A">
      <w:pPr>
        <w:ind w:firstLine="567"/>
        <w:rPr>
          <w:lang w:val="de-DE" w:eastAsia="de-DE" w:bidi="de-DE"/>
        </w:rPr>
      </w:pPr>
      <w:r w:rsidRPr="00F24BA0">
        <w:rPr>
          <w:lang w:val="de-DE" w:eastAsia="de-DE" w:bidi="de-DE"/>
        </w:rPr>
        <w:t>a)</w:t>
      </w:r>
      <w:r w:rsidRPr="00F24BA0">
        <w:rPr>
          <w:lang w:val="de-DE" w:eastAsia="de-DE" w:bidi="de-DE"/>
        </w:rPr>
        <w:tab/>
        <w:t xml:space="preserve">Änderung des Titels von „Anleitung über die laufenden Verpflichtungen der Verbandsmitglieder und die damit verbundenen Notifizierungen und über die Bereitstellung von Information zur Verbesserung der Zusammenarbeit“ in „Anleitung für Mitglieder der UPOV“; </w:t>
      </w:r>
    </w:p>
    <w:p w:rsidR="003F153A" w:rsidRPr="00F24BA0" w:rsidRDefault="003F153A" w:rsidP="003F153A">
      <w:pPr>
        <w:ind w:firstLine="567"/>
        <w:rPr>
          <w:lang w:val="de-DE" w:eastAsia="de-DE" w:bidi="de-DE"/>
        </w:rPr>
      </w:pPr>
    </w:p>
    <w:p w:rsidR="003F153A" w:rsidRPr="00F24BA0" w:rsidRDefault="00667F31" w:rsidP="003F153A">
      <w:pPr>
        <w:ind w:firstLine="567"/>
        <w:rPr>
          <w:lang w:val="de-DE" w:eastAsia="de-DE" w:bidi="de-DE"/>
        </w:rPr>
      </w:pPr>
      <w:r w:rsidRPr="00F24BA0">
        <w:rPr>
          <w:lang w:val="de-DE" w:eastAsia="de-DE" w:bidi="de-DE"/>
        </w:rPr>
        <w:t>b)</w:t>
      </w:r>
      <w:r w:rsidRPr="00F24BA0">
        <w:rPr>
          <w:lang w:val="de-DE" w:eastAsia="de-DE" w:bidi="de-DE"/>
        </w:rPr>
        <w:tab/>
      </w:r>
      <w:r w:rsidR="003F153A" w:rsidRPr="00F24BA0">
        <w:rPr>
          <w:lang w:val="de-DE" w:eastAsia="de-DE" w:bidi="de-DE"/>
        </w:rPr>
        <w:t xml:space="preserve">Änderungen im Vorwort, um den Zweck der Ausarbeitung von Dokument UPOV/INF/15 zu einem Dachdokument klarzustellen, das folgendes liefern würde: </w:t>
      </w:r>
    </w:p>
    <w:p w:rsidR="003F153A" w:rsidRPr="00F24BA0" w:rsidRDefault="003F153A" w:rsidP="003F153A">
      <w:pPr>
        <w:rPr>
          <w:lang w:val="de-DE" w:eastAsia="de-DE" w:bidi="de-DE"/>
        </w:rPr>
      </w:pPr>
    </w:p>
    <w:p w:rsidR="003F153A" w:rsidRPr="00F24BA0" w:rsidRDefault="003F153A" w:rsidP="003F153A">
      <w:pPr>
        <w:ind w:left="567" w:firstLine="567"/>
        <w:rPr>
          <w:spacing w:val="-2"/>
          <w:lang w:val="de-DE" w:eastAsia="de-DE" w:bidi="de-DE"/>
        </w:rPr>
      </w:pPr>
      <w:r w:rsidRPr="00F24BA0">
        <w:rPr>
          <w:spacing w:val="-2"/>
          <w:lang w:val="de-DE" w:eastAsia="de-DE" w:bidi="de-DE"/>
        </w:rPr>
        <w:t>i)</w:t>
      </w:r>
      <w:r w:rsidRPr="00F24BA0">
        <w:rPr>
          <w:spacing w:val="-2"/>
          <w:lang w:val="de-DE" w:eastAsia="de-DE" w:bidi="de-DE"/>
        </w:rPr>
        <w:tab/>
        <w:t xml:space="preserve">einen Überblick über Kernelemente für die Durchführung eines Sortenschutzsystems; und </w:t>
      </w:r>
    </w:p>
    <w:p w:rsidR="003F153A" w:rsidRPr="00F24BA0" w:rsidRDefault="003F153A" w:rsidP="003F153A">
      <w:pPr>
        <w:rPr>
          <w:sz w:val="18"/>
          <w:lang w:val="de-DE" w:eastAsia="de-DE" w:bidi="de-DE"/>
        </w:rPr>
      </w:pPr>
    </w:p>
    <w:p w:rsidR="003F153A" w:rsidRPr="00F24BA0" w:rsidRDefault="003F153A" w:rsidP="003F153A">
      <w:pPr>
        <w:ind w:left="567" w:firstLine="567"/>
        <w:rPr>
          <w:kern w:val="28"/>
          <w:lang w:val="de-DE" w:eastAsia="de-DE" w:bidi="de-DE"/>
        </w:rPr>
      </w:pPr>
      <w:r w:rsidRPr="00F24BA0">
        <w:rPr>
          <w:lang w:val="de-DE" w:eastAsia="de-DE" w:bidi="de-DE"/>
        </w:rPr>
        <w:t>ii)</w:t>
      </w:r>
      <w:r w:rsidRPr="00F24BA0">
        <w:rPr>
          <w:lang w:val="de-DE" w:eastAsia="de-DE" w:bidi="de-DE"/>
        </w:rPr>
        <w:tab/>
        <w:t>einen Link zu einschlägiger ausführlicher Anleitung; und</w:t>
      </w:r>
    </w:p>
    <w:p w:rsidR="003F153A" w:rsidRPr="00F24BA0" w:rsidRDefault="003F153A" w:rsidP="003F153A">
      <w:pPr>
        <w:keepNext/>
        <w:ind w:firstLine="567"/>
        <w:rPr>
          <w:lang w:val="de-DE" w:eastAsia="de-DE" w:bidi="de-DE"/>
        </w:rPr>
      </w:pPr>
    </w:p>
    <w:p w:rsidR="003F153A" w:rsidRPr="00F24BA0" w:rsidRDefault="00667F31" w:rsidP="003F153A">
      <w:pPr>
        <w:keepNext/>
        <w:ind w:firstLine="567"/>
        <w:rPr>
          <w:lang w:val="de-DE" w:eastAsia="de-DE" w:bidi="de-DE"/>
        </w:rPr>
      </w:pPr>
      <w:r w:rsidRPr="00F24BA0">
        <w:rPr>
          <w:lang w:val="de-DE" w:eastAsia="de-DE" w:bidi="de-DE"/>
        </w:rPr>
        <w:t>c)</w:t>
      </w:r>
      <w:r w:rsidRPr="00F24BA0">
        <w:rPr>
          <w:lang w:val="de-DE" w:eastAsia="de-DE" w:bidi="de-DE"/>
        </w:rPr>
        <w:tab/>
      </w:r>
      <w:r w:rsidR="003F153A" w:rsidRPr="00F24BA0">
        <w:rPr>
          <w:lang w:val="de-DE" w:eastAsia="de-DE" w:bidi="de-DE"/>
        </w:rPr>
        <w:t>Aufnahme einschlägiger Elemente von Modul 1 „Das Züchterrechtsamt“ und Modul 2 „Verwaltung von Anträgen“ des UPOV-Fernlehrgangsprogramms „Prüfung von Anträgen auf Erteilung von Züchterrechten“ (DL-305) und DL</w:t>
      </w:r>
      <w:r w:rsidR="003F153A" w:rsidRPr="00F24BA0">
        <w:rPr>
          <w:lang w:val="de-DE" w:eastAsia="de-DE" w:bidi="de-DE"/>
        </w:rPr>
        <w:noBreakHyphen/>
        <w:t>305A „Verwaltung von Züchterrechten“ (Module 1 und 2 von DL</w:t>
      </w:r>
      <w:r w:rsidR="003F153A" w:rsidRPr="00F24BA0">
        <w:rPr>
          <w:lang w:val="de-DE" w:eastAsia="de-DE" w:bidi="de-DE"/>
        </w:rPr>
        <w:noBreakHyphen/>
        <w:t>305 und DL-305A sind in der Anlage dieses Dokuments wiedergegeben).</w:t>
      </w:r>
    </w:p>
    <w:p w:rsidR="003F153A" w:rsidRPr="00F24BA0" w:rsidRDefault="003F153A" w:rsidP="003F153A">
      <w:pPr>
        <w:rPr>
          <w:kern w:val="28"/>
          <w:lang w:val="de-DE" w:eastAsia="de-DE" w:bidi="de-DE"/>
        </w:rPr>
      </w:pPr>
    </w:p>
    <w:p w:rsidR="003F153A" w:rsidRPr="00F24BA0" w:rsidRDefault="003F153A" w:rsidP="003F153A">
      <w:pPr>
        <w:rPr>
          <w:kern w:val="28"/>
          <w:lang w:val="de-DE" w:eastAsia="de-DE" w:bidi="de-DE"/>
        </w:rPr>
      </w:pPr>
    </w:p>
    <w:p w:rsidR="003F153A" w:rsidRPr="00F24BA0" w:rsidRDefault="003F153A" w:rsidP="00667F31">
      <w:pPr>
        <w:rPr>
          <w:lang w:val="de-DE" w:eastAsia="de-DE" w:bidi="de-DE"/>
        </w:rPr>
      </w:pPr>
    </w:p>
    <w:p w:rsidR="003F153A" w:rsidRPr="00F24BA0" w:rsidRDefault="003F153A" w:rsidP="00667F31">
      <w:pPr>
        <w:keepNext/>
        <w:ind w:left="567" w:hanging="567"/>
        <w:jc w:val="left"/>
        <w:outlineLvl w:val="0"/>
        <w:rPr>
          <w:caps/>
          <w:szCs w:val="24"/>
          <w:lang w:val="de-DE" w:eastAsia="de-DE" w:bidi="de-DE"/>
        </w:rPr>
      </w:pPr>
      <w:bookmarkStart w:id="12" w:name="_Toc395701743"/>
      <w:bookmarkStart w:id="13" w:name="_Toc398282733"/>
      <w:bookmarkStart w:id="14" w:name="_Toc379530097"/>
      <w:bookmarkStart w:id="15" w:name="_Toc381102829"/>
      <w:bookmarkStart w:id="16" w:name="_Toc381102857"/>
      <w:bookmarkStart w:id="17" w:name="_Toc381359965"/>
      <w:r w:rsidRPr="00F24BA0">
        <w:rPr>
          <w:caps/>
          <w:szCs w:val="24"/>
          <w:lang w:val="de-DE" w:eastAsia="de-DE" w:bidi="de-DE"/>
        </w:rPr>
        <w:t>III.</w:t>
      </w:r>
      <w:r w:rsidRPr="00F24BA0">
        <w:rPr>
          <w:caps/>
          <w:szCs w:val="24"/>
          <w:lang w:val="de-DE" w:eastAsia="de-DE" w:bidi="de-DE"/>
        </w:rPr>
        <w:tab/>
        <w:t>Einzelne Angelegenheiten, die der CAJ auf seiner neunundsechzigsten Tagung zur Ausarbeitung weiterer Anleitung in Dokument UPOV/INF/15 vereinbarte</w:t>
      </w:r>
      <w:bookmarkEnd w:id="12"/>
      <w:bookmarkEnd w:id="13"/>
      <w:r w:rsidRPr="00F24BA0">
        <w:rPr>
          <w:caps/>
          <w:szCs w:val="24"/>
          <w:lang w:val="de-DE" w:eastAsia="de-DE" w:bidi="de-DE"/>
        </w:rPr>
        <w:t xml:space="preserve"> </w:t>
      </w:r>
      <w:bookmarkEnd w:id="14"/>
      <w:bookmarkEnd w:id="15"/>
      <w:bookmarkEnd w:id="16"/>
      <w:bookmarkEnd w:id="17"/>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 xml:space="preserve">Der CAJ vereinbarte auf seiner neunundsechzigsten Tagung, </w:t>
      </w:r>
      <w:r w:rsidR="009878B3" w:rsidRPr="00F24BA0">
        <w:rPr>
          <w:lang w:val="de-DE" w:eastAsia="de-DE" w:bidi="de-DE"/>
        </w:rPr>
        <w:t xml:space="preserve">die </w:t>
      </w:r>
      <w:r w:rsidRPr="00F24BA0">
        <w:rPr>
          <w:lang w:val="de-DE" w:eastAsia="de-DE" w:bidi="de-DE"/>
        </w:rPr>
        <w:t>vom CAJ in Bezug auf die in Dokument CAJ/69/10 „Vom Internationalen Saatgutverband (ISF) aufgeworfene Angelegenheiten“ vereinbarte</w:t>
      </w:r>
      <w:r w:rsidR="009878B3" w:rsidRPr="00F24BA0">
        <w:rPr>
          <w:lang w:val="de-DE" w:eastAsia="de-DE" w:bidi="de-DE"/>
        </w:rPr>
        <w:t>n</w:t>
      </w:r>
      <w:r w:rsidRPr="00F24BA0">
        <w:rPr>
          <w:lang w:val="de-DE" w:eastAsia="de-DE" w:bidi="de-DE"/>
        </w:rPr>
        <w:t xml:space="preserve"> maßgebliche</w:t>
      </w:r>
      <w:r w:rsidR="009878B3" w:rsidRPr="00F24BA0">
        <w:rPr>
          <w:lang w:val="de-DE" w:eastAsia="de-DE" w:bidi="de-DE"/>
        </w:rPr>
        <w:t>n</w:t>
      </w:r>
      <w:r w:rsidRPr="00F24BA0">
        <w:rPr>
          <w:lang w:val="de-DE" w:eastAsia="de-DE" w:bidi="de-DE"/>
        </w:rPr>
        <w:t xml:space="preserve"> Elemente in Dokument UPOV/INF/15 aufzunehmen (vergleiche Dokument CAJ/69/10, Absätze 32 und CAJ/69/12 „Bericht über die Entschließungen“,</w:t>
      </w:r>
      <w:r w:rsidR="00DC5345" w:rsidRPr="00F24BA0">
        <w:rPr>
          <w:lang w:val="de-DE" w:eastAsia="de-DE" w:bidi="de-DE"/>
        </w:rPr>
        <w:t xml:space="preserve"> Absätze 80, 81, 83, 88, 90 und </w:t>
      </w:r>
      <w:r w:rsidRPr="00F24BA0">
        <w:rPr>
          <w:lang w:val="de-DE" w:eastAsia="de-DE" w:bidi="de-DE"/>
        </w:rPr>
        <w:t>92).</w:t>
      </w:r>
    </w:p>
    <w:p w:rsidR="003F153A" w:rsidRPr="00F24BA0" w:rsidRDefault="003F153A" w:rsidP="003F153A">
      <w:pPr>
        <w:rPr>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Auf dieser Grundlage werden, wie angegeben, folgende Angelegenheiten in Dokument UPOV/INF/15/3 Draft 1 dargelegt.</w:t>
      </w:r>
    </w:p>
    <w:p w:rsidR="003F153A" w:rsidRPr="00F24BA0" w:rsidRDefault="003F153A" w:rsidP="003F153A">
      <w:pPr>
        <w:rPr>
          <w:lang w:val="de-DE" w:eastAsia="de-DE" w:bidi="de-DE"/>
        </w:rPr>
      </w:pPr>
    </w:p>
    <w:p w:rsidR="00667F31" w:rsidRPr="00F24BA0" w:rsidRDefault="00667F31" w:rsidP="003F153A">
      <w:pPr>
        <w:rPr>
          <w:lang w:val="de-DE" w:eastAsia="de-DE" w:bidi="de-DE"/>
        </w:rPr>
      </w:pPr>
    </w:p>
    <w:p w:rsidR="003F153A" w:rsidRPr="00F24BA0" w:rsidRDefault="003F153A" w:rsidP="003F153A">
      <w:pPr>
        <w:keepNext/>
        <w:outlineLvl w:val="1"/>
        <w:rPr>
          <w:u w:val="single"/>
          <w:lang w:val="de-DE" w:eastAsia="de-DE" w:bidi="de-DE"/>
        </w:rPr>
      </w:pPr>
      <w:bookmarkStart w:id="18" w:name="_Toc381102830"/>
      <w:bookmarkStart w:id="19" w:name="_Toc381102858"/>
      <w:bookmarkStart w:id="20" w:name="_Toc381359966"/>
      <w:bookmarkStart w:id="21" w:name="_Toc395701744"/>
      <w:bookmarkStart w:id="22" w:name="_Toc398282734"/>
      <w:r w:rsidRPr="00F24BA0">
        <w:rPr>
          <w:u w:val="single"/>
          <w:lang w:val="de-DE" w:eastAsia="de-DE" w:bidi="de-DE"/>
        </w:rPr>
        <w:t>Antragszeitraum</w:t>
      </w:r>
      <w:bookmarkEnd w:id="18"/>
      <w:bookmarkEnd w:id="19"/>
      <w:bookmarkEnd w:id="20"/>
      <w:bookmarkEnd w:id="21"/>
      <w:bookmarkEnd w:id="22"/>
    </w:p>
    <w:p w:rsidR="003F153A" w:rsidRPr="00F24BA0" w:rsidRDefault="003F153A" w:rsidP="003F153A">
      <w:pPr>
        <w:keepNext/>
        <w:rPr>
          <w:snapToGrid w:val="0"/>
          <w:lang w:val="de-DE" w:eastAsia="de-DE" w:bidi="de-DE"/>
        </w:rPr>
      </w:pPr>
    </w:p>
    <w:p w:rsidR="003F153A" w:rsidRPr="00F24BA0" w:rsidRDefault="003F153A" w:rsidP="003F153A">
      <w:pPr>
        <w:rPr>
          <w:lang w:val="de-DE" w:eastAsia="de-DE" w:bidi="de-DE"/>
        </w:rPr>
      </w:pPr>
      <w:r w:rsidRPr="00F24BA0">
        <w:rPr>
          <w:iCs/>
          <w:lang w:val="de-DE" w:eastAsia="de-DE" w:bidi="de-DE"/>
        </w:rPr>
        <w:fldChar w:fldCharType="begin"/>
      </w:r>
      <w:r w:rsidRPr="00F24BA0">
        <w:rPr>
          <w:iCs/>
          <w:lang w:val="de-DE" w:eastAsia="de-DE" w:bidi="de-DE"/>
        </w:rPr>
        <w:instrText xml:space="preserve"> AUTONUM  </w:instrText>
      </w:r>
      <w:r w:rsidRPr="00F24BA0">
        <w:rPr>
          <w:iCs/>
          <w:lang w:val="de-DE" w:eastAsia="de-DE" w:bidi="de-DE"/>
        </w:rPr>
        <w:fldChar w:fldCharType="end"/>
      </w:r>
      <w:r w:rsidRPr="00F24BA0">
        <w:rPr>
          <w:lang w:val="de-DE" w:eastAsia="de-DE" w:bidi="de-DE"/>
        </w:rPr>
        <w:tab/>
        <w:t>Der CAJ billigte auf seiner neunundsechzigsten Tagung die Ausarbeitung einer Anleitung in Dokument UPOV/INF/15 zum Zeitraum für die Einreichung von Anträgen (vergleiche Dokument CAJ/69/12 „Bericht über die Entschließungen“, Absatz 80).</w:t>
      </w:r>
    </w:p>
    <w:p w:rsidR="003F153A" w:rsidRPr="00F24BA0" w:rsidRDefault="003F153A" w:rsidP="003F153A">
      <w:pPr>
        <w:rPr>
          <w:lang w:val="de-DE" w:eastAsia="de-DE" w:bidi="de-DE"/>
        </w:rPr>
      </w:pPr>
    </w:p>
    <w:p w:rsidR="003F153A" w:rsidRPr="00F24BA0" w:rsidRDefault="003F153A" w:rsidP="003F153A">
      <w:pPr>
        <w:rPr>
          <w:snapToGrid w:val="0"/>
          <w:lang w:val="de-DE" w:eastAsia="de-DE" w:bidi="de-DE"/>
        </w:rPr>
      </w:pPr>
      <w:r w:rsidRPr="00F24BA0">
        <w:rPr>
          <w:iCs/>
          <w:lang w:val="de-DE" w:eastAsia="de-DE" w:bidi="de-DE"/>
        </w:rPr>
        <w:fldChar w:fldCharType="begin"/>
      </w:r>
      <w:r w:rsidRPr="00F24BA0">
        <w:rPr>
          <w:iCs/>
          <w:lang w:val="de-DE" w:eastAsia="de-DE" w:bidi="de-DE"/>
        </w:rPr>
        <w:instrText xml:space="preserve"> AUTONUM  </w:instrText>
      </w:r>
      <w:r w:rsidRPr="00F24BA0">
        <w:rPr>
          <w:iCs/>
          <w:lang w:val="de-DE" w:eastAsia="de-DE" w:bidi="de-DE"/>
        </w:rPr>
        <w:fldChar w:fldCharType="end"/>
      </w:r>
      <w:r w:rsidRPr="00F24BA0">
        <w:rPr>
          <w:lang w:val="de-DE" w:eastAsia="de-DE" w:bidi="de-DE"/>
        </w:rPr>
        <w:tab/>
        <w:t>Eine vorgeschlagene Anleitung ist in Dokument UPOV/INF/15/3 Draft 1 als markierter Wortlaut in Absatz </w:t>
      </w:r>
      <w:r w:rsidRPr="00F24BA0">
        <w:rPr>
          <w:snapToGrid w:val="0"/>
          <w:lang w:val="de-DE" w:eastAsia="de-DE" w:bidi="de-DE"/>
        </w:rPr>
        <w:t>45</w:t>
      </w:r>
      <w:r w:rsidRPr="00F24BA0">
        <w:rPr>
          <w:lang w:val="de-DE" w:eastAsia="de-DE" w:bidi="de-DE"/>
        </w:rPr>
        <w:t xml:space="preserve"> dargelegt.</w:t>
      </w:r>
    </w:p>
    <w:p w:rsidR="003F153A" w:rsidRPr="00F24BA0" w:rsidRDefault="003F153A" w:rsidP="003F153A">
      <w:pPr>
        <w:rPr>
          <w:lang w:val="de-DE" w:eastAsia="de-DE" w:bidi="de-DE"/>
        </w:rPr>
      </w:pPr>
    </w:p>
    <w:p w:rsidR="003F153A" w:rsidRPr="00F24BA0" w:rsidRDefault="003F153A" w:rsidP="003F153A">
      <w:pPr>
        <w:rPr>
          <w:snapToGrid w:val="0"/>
          <w:lang w:val="de-DE" w:eastAsia="de-DE" w:bidi="de-DE"/>
        </w:rPr>
      </w:pPr>
    </w:p>
    <w:p w:rsidR="003F153A" w:rsidRPr="00F24BA0" w:rsidRDefault="003F153A" w:rsidP="003F153A">
      <w:pPr>
        <w:keepNext/>
        <w:outlineLvl w:val="1"/>
        <w:rPr>
          <w:u w:val="single"/>
          <w:lang w:val="de-DE" w:eastAsia="de-DE" w:bidi="de-DE"/>
        </w:rPr>
      </w:pPr>
      <w:bookmarkStart w:id="23" w:name="_Toc381102831"/>
      <w:bookmarkStart w:id="24" w:name="_Toc381102859"/>
      <w:bookmarkStart w:id="25" w:name="_Toc381359967"/>
      <w:bookmarkStart w:id="26" w:name="_Toc395701745"/>
      <w:bookmarkStart w:id="27" w:name="_Toc398282735"/>
      <w:r w:rsidRPr="00F24BA0">
        <w:rPr>
          <w:u w:val="single"/>
          <w:lang w:val="de-DE" w:eastAsia="de-DE" w:bidi="de-DE"/>
        </w:rPr>
        <w:t>Zuchtformelinformationen</w:t>
      </w:r>
      <w:bookmarkEnd w:id="23"/>
      <w:bookmarkEnd w:id="24"/>
      <w:bookmarkEnd w:id="25"/>
      <w:bookmarkEnd w:id="26"/>
      <w:bookmarkEnd w:id="27"/>
    </w:p>
    <w:p w:rsidR="003F153A" w:rsidRPr="00F24BA0" w:rsidRDefault="003F153A" w:rsidP="003F153A">
      <w:pPr>
        <w:keepNext/>
        <w:outlineLvl w:val="1"/>
        <w:rPr>
          <w:highlight w:val="yellow"/>
          <w:u w:val="single"/>
          <w:lang w:val="de-DE" w:eastAsia="de-DE" w:bidi="de-DE"/>
        </w:rPr>
      </w:pPr>
    </w:p>
    <w:p w:rsidR="003F153A" w:rsidRPr="00F24BA0" w:rsidRDefault="003F153A" w:rsidP="003F153A">
      <w:pPr>
        <w:rPr>
          <w:rFonts w:eastAsia="SimSun"/>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Der CAJ stimmte auf seiner neunundsechzigsten Tagung der Ausarbeitung weiterer Anleitung für Ersuchen um Zuchtformelinformationen zu (vergleiche Dokument CAJ/69/12 „Bericht über die Entschließungen“, Absatz 81)</w:t>
      </w:r>
      <w:bookmarkStart w:id="28" w:name="_Toc381102832"/>
      <w:bookmarkStart w:id="29" w:name="_Toc381102860"/>
      <w:bookmarkStart w:id="30" w:name="_Toc381359968"/>
      <w:r w:rsidRPr="00F24BA0">
        <w:rPr>
          <w:lang w:val="de-DE" w:eastAsia="de-DE" w:bidi="de-DE"/>
        </w:rPr>
        <w:t>.</w:t>
      </w:r>
    </w:p>
    <w:p w:rsidR="003F153A" w:rsidRPr="00F24BA0" w:rsidRDefault="003F153A" w:rsidP="003F153A">
      <w:pPr>
        <w:keepNext/>
        <w:outlineLvl w:val="2"/>
        <w:rPr>
          <w:i/>
          <w:lang w:val="de-DE" w:eastAsia="de-DE" w:bidi="de-DE"/>
        </w:rPr>
      </w:pP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Eine vorgeschlagene Anleitung ist in Dokument UPOV/INF/15/3 Draft 1 als markierter Wortlaut in den Absätzen </w:t>
      </w:r>
      <w:r w:rsidRPr="00F24BA0">
        <w:rPr>
          <w:snapToGrid w:val="0"/>
          <w:lang w:val="de-DE" w:eastAsia="de-DE" w:bidi="de-DE"/>
        </w:rPr>
        <w:t>36</w:t>
      </w:r>
      <w:r w:rsidRPr="00F24BA0">
        <w:rPr>
          <w:lang w:val="de-DE" w:eastAsia="de-DE" w:bidi="de-DE"/>
        </w:rPr>
        <w:t xml:space="preserve"> und </w:t>
      </w:r>
      <w:r w:rsidRPr="00F24BA0">
        <w:rPr>
          <w:snapToGrid w:val="0"/>
          <w:lang w:val="de-DE" w:eastAsia="de-DE" w:bidi="de-DE"/>
        </w:rPr>
        <w:t>6</w:t>
      </w:r>
      <w:r w:rsidRPr="00F24BA0">
        <w:rPr>
          <w:lang w:val="de-DE" w:eastAsia="de-DE" w:bidi="de-DE"/>
        </w:rPr>
        <w:t>4 dargelegt.</w:t>
      </w:r>
    </w:p>
    <w:p w:rsidR="003F153A" w:rsidRPr="00F24BA0" w:rsidRDefault="003F153A" w:rsidP="0027491A">
      <w:pPr>
        <w:rPr>
          <w:lang w:val="de-DE" w:eastAsia="de-DE" w:bidi="de-DE"/>
        </w:rPr>
      </w:pPr>
    </w:p>
    <w:p w:rsidR="003F153A" w:rsidRPr="00F24BA0" w:rsidRDefault="003F153A" w:rsidP="00DC5345">
      <w:pPr>
        <w:rPr>
          <w:lang w:val="de-DE" w:eastAsia="de-DE" w:bidi="de-DE"/>
        </w:rPr>
      </w:pPr>
    </w:p>
    <w:p w:rsidR="003F153A" w:rsidRPr="00F24BA0" w:rsidRDefault="003F153A" w:rsidP="003F153A">
      <w:pPr>
        <w:keepNext/>
        <w:outlineLvl w:val="1"/>
        <w:rPr>
          <w:u w:val="single"/>
          <w:lang w:val="de-DE" w:eastAsia="de-DE" w:bidi="de-DE"/>
        </w:rPr>
      </w:pPr>
      <w:bookmarkStart w:id="31" w:name="_Toc395701746"/>
      <w:bookmarkStart w:id="32" w:name="_Toc398282736"/>
      <w:r w:rsidRPr="00F24BA0">
        <w:rPr>
          <w:u w:val="single"/>
          <w:lang w:val="de-DE" w:eastAsia="de-DE" w:bidi="de-DE"/>
        </w:rPr>
        <w:t>Elektronische Antragstellung</w:t>
      </w:r>
      <w:bookmarkEnd w:id="28"/>
      <w:bookmarkEnd w:id="29"/>
      <w:bookmarkEnd w:id="30"/>
      <w:bookmarkEnd w:id="31"/>
      <w:bookmarkEnd w:id="32"/>
    </w:p>
    <w:p w:rsidR="003F153A" w:rsidRPr="00F24BA0" w:rsidRDefault="003F153A" w:rsidP="003F153A">
      <w:pPr>
        <w:keepNext/>
        <w:rPr>
          <w:snapToGrid w:val="0"/>
          <w:u w:val="single"/>
          <w:lang w:val="de-DE" w:eastAsia="de-DE" w:bidi="de-DE"/>
        </w:rPr>
      </w:pPr>
    </w:p>
    <w:p w:rsidR="003F153A" w:rsidRPr="00F24BA0" w:rsidRDefault="003F153A" w:rsidP="003F153A">
      <w:pPr>
        <w:rPr>
          <w:bCs/>
          <w:snapToGrid w:val="0"/>
          <w:lang w:val="de-DE" w:eastAsia="de-DE" w:bidi="de-DE"/>
        </w:rPr>
      </w:pPr>
      <w:r w:rsidRPr="00F24BA0">
        <w:rPr>
          <w:iCs/>
          <w:lang w:val="de-DE" w:eastAsia="de-DE" w:bidi="de-DE"/>
        </w:rPr>
        <w:fldChar w:fldCharType="begin"/>
      </w:r>
      <w:r w:rsidRPr="00F24BA0">
        <w:rPr>
          <w:iCs/>
          <w:lang w:val="de-DE" w:eastAsia="de-DE" w:bidi="de-DE"/>
        </w:rPr>
        <w:instrText xml:space="preserve"> AUTONUM  </w:instrText>
      </w:r>
      <w:r w:rsidRPr="00F24BA0">
        <w:rPr>
          <w:iCs/>
          <w:lang w:val="de-DE" w:eastAsia="de-DE" w:bidi="de-DE"/>
        </w:rPr>
        <w:fldChar w:fldCharType="end"/>
      </w:r>
      <w:r w:rsidRPr="00F24BA0">
        <w:rPr>
          <w:lang w:val="de-DE" w:eastAsia="de-DE" w:bidi="de-DE"/>
        </w:rPr>
        <w:tab/>
        <w:t>Der CAJ nahm auf seiner neunundsechzigsten Tagung die bestehenden Initiativen betreffend die elektronische Einreichung von Anträgen, wie in Dokument CAJ/69/10, Absatz 9, dargelegt, zur Kenntnis (vergleiche Dokument CAJ/69/12 „Bericht über di</w:t>
      </w:r>
      <w:r w:rsidR="003C12F5" w:rsidRPr="00F24BA0">
        <w:rPr>
          <w:lang w:val="de-DE" w:eastAsia="de-DE" w:bidi="de-DE"/>
        </w:rPr>
        <w:t>e Entschließungen“, Absatz 82).</w:t>
      </w:r>
      <w:r w:rsidRPr="00F24BA0">
        <w:rPr>
          <w:lang w:val="de-DE" w:eastAsia="de-DE" w:bidi="de-DE"/>
        </w:rPr>
        <w:t xml:space="preserve"> Die jüngsten Entwicklungen betreffend den UPOV-Prototyp eines elektronischen Formblatts sind in Dokument CAJ/70/7 „Elektronische Antragssysteme“ dargelegt.</w:t>
      </w:r>
    </w:p>
    <w:p w:rsidR="003F153A" w:rsidRPr="00F24BA0" w:rsidRDefault="003F153A" w:rsidP="003F153A">
      <w:pPr>
        <w:rPr>
          <w:rFonts w:eastAsia="SimSun"/>
          <w:lang w:val="de-DE" w:eastAsia="de-DE" w:bidi="de-DE"/>
        </w:rPr>
      </w:pPr>
    </w:p>
    <w:p w:rsidR="003F153A" w:rsidRPr="00F24BA0" w:rsidRDefault="003F153A" w:rsidP="003F153A">
      <w:pPr>
        <w:rPr>
          <w:lang w:val="de-DE" w:eastAsia="de-DE" w:bidi="de-DE"/>
        </w:rPr>
      </w:pPr>
      <w:r w:rsidRPr="00F24BA0">
        <w:rPr>
          <w:rFonts w:eastAsia="SimSun"/>
          <w:lang w:val="de-DE" w:eastAsia="de-DE" w:bidi="de-DE"/>
        </w:rPr>
        <w:lastRenderedPageBreak/>
        <w:fldChar w:fldCharType="begin"/>
      </w:r>
      <w:r w:rsidRPr="00F24BA0">
        <w:rPr>
          <w:rFonts w:eastAsia="SimSun"/>
          <w:lang w:val="de-DE" w:eastAsia="de-DE" w:bidi="de-DE"/>
        </w:rPr>
        <w:instrText xml:space="preserve"> AUTONUM  </w:instrText>
      </w:r>
      <w:r w:rsidRPr="00F24BA0">
        <w:rPr>
          <w:rFonts w:eastAsia="SimSun"/>
          <w:lang w:val="de-DE" w:eastAsia="de-DE" w:bidi="de-DE"/>
        </w:rPr>
        <w:fldChar w:fldCharType="end"/>
      </w:r>
      <w:r w:rsidRPr="00F24BA0">
        <w:rPr>
          <w:lang w:val="de-DE" w:eastAsia="de-DE" w:bidi="de-DE"/>
        </w:rPr>
        <w:tab/>
        <w:t>Der CAJ stimmte auf seiner neunundsechzigsten Tagung der Ausarbeitung einer Anleitung in Dokument UPOV/INF/15 betreffend die Möglichkeit zu, Anträge elektronisch einzureichen (vergleiche Dokument CAJ/69/12 „Bericht über die Entschließungen“, Absatz 83).</w:t>
      </w:r>
    </w:p>
    <w:p w:rsidR="003F153A" w:rsidRPr="00F24BA0" w:rsidRDefault="003F153A" w:rsidP="003F153A">
      <w:pPr>
        <w:rPr>
          <w:lang w:val="de-DE" w:eastAsia="de-DE" w:bidi="de-DE"/>
        </w:rPr>
      </w:pPr>
    </w:p>
    <w:p w:rsidR="003F153A" w:rsidRPr="00F24BA0" w:rsidRDefault="003F153A" w:rsidP="003F153A">
      <w:pPr>
        <w:rPr>
          <w:snapToGrid w:val="0"/>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Die vorgeschlagene Anleitung betreffend die Möglichkeit, Anträge elektronisch einzureichen, ist in Dokument UPOV/INF/15/3 Draft 1, Absatz </w:t>
      </w:r>
      <w:r w:rsidRPr="00F24BA0">
        <w:rPr>
          <w:snapToGrid w:val="0"/>
          <w:lang w:val="de-DE" w:eastAsia="de-DE" w:bidi="de-DE"/>
        </w:rPr>
        <w:t>46</w:t>
      </w:r>
      <w:r w:rsidRPr="00F24BA0">
        <w:rPr>
          <w:lang w:val="de-DE" w:eastAsia="de-DE" w:bidi="de-DE"/>
        </w:rPr>
        <w:t xml:space="preserve"> dargelegt.</w:t>
      </w:r>
    </w:p>
    <w:p w:rsidR="003F153A" w:rsidRPr="00F24BA0" w:rsidRDefault="003F153A" w:rsidP="003F153A">
      <w:pPr>
        <w:rPr>
          <w:lang w:val="de-DE" w:eastAsia="de-DE" w:bidi="de-DE"/>
        </w:rPr>
      </w:pPr>
    </w:p>
    <w:p w:rsidR="00667F31" w:rsidRPr="00F24BA0" w:rsidRDefault="00667F31" w:rsidP="003F153A">
      <w:pPr>
        <w:rPr>
          <w:lang w:val="de-DE" w:eastAsia="de-DE" w:bidi="de-DE"/>
        </w:rPr>
      </w:pPr>
    </w:p>
    <w:p w:rsidR="003F153A" w:rsidRPr="00F24BA0" w:rsidRDefault="003F153A" w:rsidP="003F153A">
      <w:pPr>
        <w:keepNext/>
        <w:outlineLvl w:val="1"/>
        <w:rPr>
          <w:rFonts w:eastAsia="Arial"/>
          <w:u w:val="single"/>
          <w:lang w:val="de-DE" w:eastAsia="de-DE" w:bidi="de-DE"/>
        </w:rPr>
      </w:pPr>
      <w:bookmarkStart w:id="33" w:name="_Toc381359973"/>
      <w:bookmarkStart w:id="34" w:name="_Toc395701747"/>
      <w:bookmarkStart w:id="35" w:name="_Toc398282737"/>
      <w:r w:rsidRPr="00F24BA0">
        <w:rPr>
          <w:u w:val="single"/>
          <w:lang w:val="de-DE" w:eastAsia="de-DE" w:bidi="de-DE"/>
        </w:rPr>
        <w:t>Vertrauliche Behandlung des Materials des Antragstellers in Fällen, in denen Prüfungszentren Sorten derselben Art züchten</w:t>
      </w:r>
      <w:bookmarkEnd w:id="33"/>
      <w:bookmarkEnd w:id="34"/>
      <w:bookmarkEnd w:id="35"/>
    </w:p>
    <w:p w:rsidR="003F153A" w:rsidRPr="00F24BA0" w:rsidRDefault="003F153A" w:rsidP="003F153A">
      <w:pPr>
        <w:keepNext/>
        <w:rPr>
          <w:rFonts w:eastAsia="Arial"/>
          <w:lang w:val="de-DE" w:eastAsia="de-DE" w:bidi="de-DE"/>
        </w:rPr>
      </w:pPr>
    </w:p>
    <w:p w:rsidR="003F153A" w:rsidRPr="00F24BA0" w:rsidRDefault="003F153A" w:rsidP="003F153A">
      <w:pPr>
        <w:rPr>
          <w:snapToGrid w:val="0"/>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Der CAJ nahm auf seiner neunundsechzigsten Tagung die Erörterungen zur Kenntnis, die im CAJ über die „Empfehlungen zur Sicherung der Unabhängigkeit jener DUS-Prüfungszentren, die Züchtungstätigkeiten durchführen oder an solchen teilnehmen“ geführt wurden, wie in Dokument CAJ/69/10, Absatz 22, dargelegt (vergleiche Dokument CAJ/69/12 „Bericht über die Entschließungen“, Absatz 87).</w:t>
      </w:r>
    </w:p>
    <w:p w:rsidR="003F153A" w:rsidRPr="00F24BA0" w:rsidRDefault="003F153A" w:rsidP="003F153A">
      <w:pPr>
        <w:rPr>
          <w:snapToGrid w:val="0"/>
          <w:lang w:val="de-DE" w:eastAsia="de-DE" w:bidi="de-DE"/>
        </w:rPr>
      </w:pPr>
    </w:p>
    <w:p w:rsidR="003F153A" w:rsidRPr="00F24BA0" w:rsidRDefault="003F153A" w:rsidP="003F153A">
      <w:pPr>
        <w:rPr>
          <w:rFonts w:eastAsia="Arial"/>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Der CAJ stimmte auf seiner neunundsechzigsten Tagung der Ausarbeitung einer Anleitung in Dokument UPOV/INF/15 bezüglich der vertraulichen Behandlung des Materials des Antragstellers in Fällen zu, in denen DUS Prüfungszentren Züchtungstätigkeiten durchführen oder an solchen teilnehmen (vergleiche Dokument CAJ/69/12 „Bericht über die Entschließungen“, Absatz 88).</w:t>
      </w:r>
    </w:p>
    <w:p w:rsidR="003F153A" w:rsidRPr="00F24BA0" w:rsidRDefault="003F153A" w:rsidP="003F153A">
      <w:pPr>
        <w:rPr>
          <w:snapToGrid w:val="0"/>
          <w:lang w:val="de-DE" w:eastAsia="de-DE" w:bidi="de-DE"/>
        </w:rPr>
      </w:pPr>
    </w:p>
    <w:p w:rsidR="003F153A" w:rsidRPr="00F24BA0" w:rsidRDefault="003F153A" w:rsidP="003F153A">
      <w:pPr>
        <w:rPr>
          <w:snapToGrid w:val="0"/>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Die vorgeschlagene Anleitung ist in Dokument UPOV/INF/15/3 Draft 1 als markierter Wortlaut in Absatz </w:t>
      </w:r>
      <w:r w:rsidRPr="00F24BA0">
        <w:rPr>
          <w:snapToGrid w:val="0"/>
          <w:lang w:val="de-DE" w:eastAsia="de-DE" w:bidi="de-DE"/>
        </w:rPr>
        <w:t>62</w:t>
      </w:r>
      <w:r w:rsidRPr="00F24BA0">
        <w:rPr>
          <w:lang w:val="de-DE" w:eastAsia="de-DE" w:bidi="de-DE"/>
        </w:rPr>
        <w:t xml:space="preserve"> dargelegt.</w:t>
      </w:r>
    </w:p>
    <w:p w:rsidR="003F153A" w:rsidRPr="00F24BA0" w:rsidRDefault="003F153A" w:rsidP="003F153A">
      <w:pPr>
        <w:rPr>
          <w:lang w:val="de-DE" w:eastAsia="de-DE" w:bidi="de-DE"/>
        </w:rPr>
      </w:pPr>
    </w:p>
    <w:p w:rsidR="003F153A" w:rsidRPr="00F24BA0" w:rsidRDefault="003F153A" w:rsidP="003F153A">
      <w:pPr>
        <w:keepNext/>
        <w:outlineLvl w:val="2"/>
        <w:rPr>
          <w:i/>
          <w:lang w:val="de-DE" w:eastAsia="de-DE" w:bidi="de-DE"/>
        </w:rPr>
      </w:pPr>
      <w:bookmarkStart w:id="36" w:name="_Toc381102836"/>
      <w:bookmarkStart w:id="37" w:name="_Toc381102864"/>
      <w:bookmarkStart w:id="38" w:name="_Toc381359974"/>
    </w:p>
    <w:p w:rsidR="003F153A" w:rsidRPr="00F24BA0" w:rsidRDefault="003F153A" w:rsidP="003F153A">
      <w:pPr>
        <w:keepNext/>
        <w:outlineLvl w:val="1"/>
        <w:rPr>
          <w:u w:val="single"/>
          <w:lang w:val="de-DE" w:eastAsia="de-DE" w:bidi="de-DE"/>
        </w:rPr>
      </w:pPr>
      <w:bookmarkStart w:id="39" w:name="_Toc395701748"/>
      <w:bookmarkStart w:id="40" w:name="_Toc398282738"/>
      <w:r w:rsidRPr="00F24BA0">
        <w:rPr>
          <w:u w:val="single"/>
          <w:lang w:val="de-DE" w:eastAsia="de-DE" w:bidi="de-DE"/>
        </w:rPr>
        <w:t>Häufigkeit der Einreichung von Daten und Vollständigkeit der Datenbanken</w:t>
      </w:r>
      <w:bookmarkEnd w:id="36"/>
      <w:bookmarkEnd w:id="37"/>
      <w:bookmarkEnd w:id="38"/>
      <w:bookmarkEnd w:id="39"/>
      <w:bookmarkEnd w:id="40"/>
    </w:p>
    <w:p w:rsidR="003F153A" w:rsidRPr="00F24BA0" w:rsidRDefault="003F153A" w:rsidP="003F153A">
      <w:pPr>
        <w:rPr>
          <w:snapToGrid w:val="0"/>
          <w:lang w:val="de-DE" w:eastAsia="de-DE" w:bidi="de-DE"/>
        </w:rPr>
      </w:pPr>
    </w:p>
    <w:p w:rsidR="003F153A" w:rsidRPr="00F24BA0" w:rsidRDefault="003F153A" w:rsidP="003F153A">
      <w:pPr>
        <w:spacing w:after="240"/>
        <w:rPr>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Der CAJ nahm auf seiner neunundsechzigsten Tagung zur Kenntnis, daß Dokument CAJ/69/6, „UPOV-Informationsdatenbanken“, einschlägige Angaben zur regelmäßigen Bereitstellung von Informationen für die PLUTO Datenbank für Pflanzensorten enthalte und daß Dokument CAJ/69/6 die Antworten einer Befragung der Verbandsmitglieder über ihre Nutzung der Datenbank für Pflanzensorten für Sortenschutzzwecke sowie über ihre Nutzung elektronischer Systeme für die Einreichung von Anträgen enthalte (vergleiche Dokument CAJ/69/12 „Bericht über die Entschließungen“, Absatz 89).</w:t>
      </w:r>
    </w:p>
    <w:p w:rsidR="003F153A" w:rsidRPr="00F24BA0" w:rsidRDefault="003F153A" w:rsidP="003F153A">
      <w:pPr>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Der CAJ stimmte auf seiner neunundsechzigsten Tagung der Ausarbeitung einer Anleitung betreffend die Häufigkeit der Einreichung von Daten und die Vollständigkeit der Datenbanken in Verbindung mit der Aktualisierung des Dokuments UPOV/INF/5, „UPOV Musteramtsblatt für Sortenschutz“, zu, wie in Dokument CAJ/69/10, Absatz 26 und in Dokument UPOV/INF/15 dargelegt (vergleiche Dokument CAJ/69/12 „Bericht über die Entschließungen“, Absatz 90).</w:t>
      </w:r>
    </w:p>
    <w:p w:rsidR="003F153A" w:rsidRPr="00F24BA0" w:rsidRDefault="003F153A" w:rsidP="003F153A">
      <w:pPr>
        <w:rPr>
          <w:lang w:val="de-DE" w:eastAsia="de-DE" w:bidi="de-DE"/>
        </w:rPr>
      </w:pPr>
    </w:p>
    <w:p w:rsidR="003F153A" w:rsidRPr="00F24BA0" w:rsidRDefault="003F153A" w:rsidP="003F153A">
      <w:pPr>
        <w:rPr>
          <w:kern w:val="28"/>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t>Die jüngsten Entwicklungen betreffend die Aktualisierung von Dokument UPOV/INF/5 sind in Dokument CAJ/70/3 „Überarbeitung von Dokument UPOV/INF/5 ‘UPOV Musteramtsblatt für Sortenschutz’” dargelegt.</w:t>
      </w:r>
    </w:p>
    <w:p w:rsidR="003F153A" w:rsidRPr="00F24BA0" w:rsidRDefault="003F153A" w:rsidP="003F153A">
      <w:pPr>
        <w:rPr>
          <w:kern w:val="28"/>
          <w:lang w:val="de-DE" w:eastAsia="de-DE" w:bidi="de-DE"/>
        </w:rPr>
      </w:pPr>
    </w:p>
    <w:p w:rsidR="003F153A" w:rsidRPr="00F24BA0" w:rsidRDefault="003F153A" w:rsidP="003F153A">
      <w:pPr>
        <w:ind w:right="9"/>
        <w:rPr>
          <w:lang w:val="de-DE" w:eastAsia="de-DE" w:bidi="de-DE"/>
        </w:rPr>
      </w:pPr>
      <w:r w:rsidRPr="00F24BA0">
        <w:rPr>
          <w:lang w:val="de-DE" w:eastAsia="de-DE" w:bidi="de-DE"/>
        </w:rPr>
        <w:fldChar w:fldCharType="begin"/>
      </w:r>
      <w:r w:rsidRPr="00F24BA0">
        <w:rPr>
          <w:lang w:val="de-DE" w:eastAsia="de-DE" w:bidi="de-DE"/>
        </w:rPr>
        <w:instrText xml:space="preserve"> AUTONUM  </w:instrText>
      </w:r>
      <w:r w:rsidRPr="00F24BA0">
        <w:rPr>
          <w:lang w:val="de-DE" w:eastAsia="de-DE" w:bidi="de-DE"/>
        </w:rPr>
        <w:fldChar w:fldCharType="end"/>
      </w:r>
      <w:r w:rsidRPr="00F24BA0">
        <w:rPr>
          <w:lang w:val="de-DE" w:eastAsia="de-DE" w:bidi="de-DE"/>
        </w:rPr>
        <w:tab/>
      </w:r>
      <w:r w:rsidR="009878B3" w:rsidRPr="00F24BA0">
        <w:rPr>
          <w:lang w:val="de-DE" w:eastAsia="de-DE" w:bidi="de-DE"/>
        </w:rPr>
        <w:t>Der</w:t>
      </w:r>
      <w:r w:rsidRPr="00F24BA0">
        <w:rPr>
          <w:lang w:val="de-DE" w:eastAsia="de-DE" w:bidi="de-DE"/>
        </w:rPr>
        <w:t xml:space="preserve"> CAJ sollte zur Kenntnis nehmen, daß der geänderte Abschnitt 4 „Häufigkeit der Einreichung von Daten“</w:t>
      </w:r>
      <w:r w:rsidRPr="00F24BA0">
        <w:rPr>
          <w:color w:val="000000"/>
          <w:lang w:val="de-DE" w:eastAsia="de-DE" w:bidi="de-DE"/>
        </w:rPr>
        <w:t xml:space="preserve"> des Programms der UPOV-Datenbank für Pflanzensorten (PLUTO), </w:t>
      </w:r>
      <w:r w:rsidRPr="00F24BA0">
        <w:rPr>
          <w:lang w:val="de-DE" w:eastAsia="de-DE" w:bidi="de-DE"/>
        </w:rPr>
        <w:t>das vom CAJ auf seiner achtundsechzigsten Tagung am 21. Oktober 2013 in Genf vereinbart wurde, die Grundlage für die vorgeschlagene Anleitung in Dok</w:t>
      </w:r>
      <w:r w:rsidRPr="00F24BA0">
        <w:rPr>
          <w:color w:val="000000" w:themeColor="text1"/>
          <w:spacing w:val="-2"/>
          <w:lang w:val="de-DE" w:eastAsia="de-DE" w:bidi="de-DE"/>
        </w:rPr>
        <w:t xml:space="preserve">ument </w:t>
      </w:r>
      <w:r w:rsidRPr="00F24BA0">
        <w:rPr>
          <w:lang w:val="de-DE" w:eastAsia="de-DE" w:bidi="de-DE"/>
        </w:rPr>
        <w:t xml:space="preserve">UPOV/INF/15/3  Draft 1, Absatz </w:t>
      </w:r>
      <w:r w:rsidRPr="00F24BA0">
        <w:rPr>
          <w:snapToGrid w:val="0"/>
          <w:lang w:val="de-DE" w:eastAsia="de-DE" w:bidi="de-DE"/>
        </w:rPr>
        <w:t>25</w:t>
      </w:r>
      <w:r w:rsidRPr="00F24BA0">
        <w:rPr>
          <w:color w:val="000000"/>
          <w:lang w:val="de-DE" w:eastAsia="de-DE" w:bidi="de-DE"/>
        </w:rPr>
        <w:t xml:space="preserve"> </w:t>
      </w:r>
      <w:r w:rsidRPr="00F24BA0">
        <w:rPr>
          <w:lang w:val="de-DE" w:eastAsia="de-DE" w:bidi="de-DE"/>
        </w:rPr>
        <w:t>ist (vergleiche Dokument CAJ/68/11 „Bericht”, Absatz 27).</w:t>
      </w:r>
    </w:p>
    <w:p w:rsidR="003F153A" w:rsidRPr="00F24BA0" w:rsidRDefault="003F153A" w:rsidP="003F153A">
      <w:pPr>
        <w:rPr>
          <w:snapToGrid w:val="0"/>
          <w:lang w:val="de-DE" w:eastAsia="de-DE" w:bidi="de-DE"/>
        </w:rPr>
      </w:pPr>
    </w:p>
    <w:p w:rsidR="003F153A" w:rsidRPr="00F24BA0" w:rsidRDefault="003F153A" w:rsidP="003F153A">
      <w:pPr>
        <w:rPr>
          <w:snapToGrid w:val="0"/>
          <w:lang w:val="de-DE" w:eastAsia="de-DE" w:bidi="de-DE"/>
        </w:rPr>
      </w:pPr>
      <w:r w:rsidRPr="00F24BA0">
        <w:rPr>
          <w:snapToGrid w:val="0"/>
          <w:lang w:val="de-DE" w:eastAsia="de-DE" w:bidi="de-DE"/>
        </w:rPr>
        <w:fldChar w:fldCharType="begin"/>
      </w:r>
      <w:r w:rsidRPr="00F24BA0">
        <w:rPr>
          <w:snapToGrid w:val="0"/>
          <w:lang w:val="de-DE" w:eastAsia="de-DE" w:bidi="de-DE"/>
        </w:rPr>
        <w:instrText xml:space="preserve"> AUTONUM  </w:instrText>
      </w:r>
      <w:r w:rsidRPr="00F24BA0">
        <w:rPr>
          <w:snapToGrid w:val="0"/>
          <w:lang w:val="de-DE" w:eastAsia="de-DE" w:bidi="de-DE"/>
        </w:rPr>
        <w:fldChar w:fldCharType="end"/>
      </w:r>
      <w:r w:rsidRPr="00F24BA0">
        <w:rPr>
          <w:lang w:val="de-DE" w:eastAsia="de-DE" w:bidi="de-DE"/>
        </w:rPr>
        <w:tab/>
        <w:t>Die vorgeschlagene Anleitung zur Häufigkeit der Einreichung von Daten und Vollständigkeit von Datenbanken ist in Dokument UPOV/INF/15/3 Draft 1</w:t>
      </w:r>
      <w:r w:rsidR="005E0768">
        <w:rPr>
          <w:lang w:val="de-DE" w:eastAsia="de-DE" w:bidi="de-DE"/>
        </w:rPr>
        <w:t xml:space="preserve"> als markierter Wortlaut in den Absä</w:t>
      </w:r>
      <w:r w:rsidRPr="00F24BA0">
        <w:rPr>
          <w:lang w:val="de-DE" w:eastAsia="de-DE" w:bidi="de-DE"/>
        </w:rPr>
        <w:t>tz</w:t>
      </w:r>
      <w:r w:rsidR="005E0768">
        <w:rPr>
          <w:lang w:val="de-DE" w:eastAsia="de-DE" w:bidi="de-DE"/>
        </w:rPr>
        <w:t>en</w:t>
      </w:r>
      <w:r w:rsidRPr="00F24BA0">
        <w:rPr>
          <w:lang w:val="de-DE" w:eastAsia="de-DE" w:bidi="de-DE"/>
        </w:rPr>
        <w:t> </w:t>
      </w:r>
      <w:r w:rsidR="005E0768">
        <w:rPr>
          <w:lang w:val="de-DE" w:eastAsia="de-DE" w:bidi="de-DE"/>
        </w:rPr>
        <w:t xml:space="preserve">25 und </w:t>
      </w:r>
      <w:r w:rsidRPr="00F24BA0">
        <w:rPr>
          <w:snapToGrid w:val="0"/>
          <w:lang w:val="de-DE" w:eastAsia="de-DE" w:bidi="de-DE"/>
        </w:rPr>
        <w:t>46</w:t>
      </w:r>
      <w:r w:rsidRPr="00F24BA0">
        <w:rPr>
          <w:lang w:val="de-DE" w:eastAsia="de-DE" w:bidi="de-DE"/>
        </w:rPr>
        <w:t xml:space="preserve"> dargelegt.</w:t>
      </w:r>
    </w:p>
    <w:p w:rsidR="003F153A" w:rsidRPr="00F24BA0" w:rsidRDefault="003F153A" w:rsidP="003F153A">
      <w:pPr>
        <w:tabs>
          <w:tab w:val="left" w:pos="5387"/>
        </w:tabs>
        <w:ind w:left="4820"/>
        <w:rPr>
          <w:i/>
          <w:snapToGrid w:val="0"/>
          <w:lang w:val="de-DE" w:eastAsia="de-DE" w:bidi="de-DE"/>
        </w:rPr>
      </w:pPr>
    </w:p>
    <w:p w:rsidR="003F153A" w:rsidRPr="00F24BA0" w:rsidRDefault="003F153A" w:rsidP="003F153A">
      <w:pPr>
        <w:tabs>
          <w:tab w:val="left" w:pos="5387"/>
        </w:tabs>
        <w:ind w:left="4820"/>
        <w:rPr>
          <w:rFonts w:eastAsia="SimSun"/>
          <w:i/>
          <w:lang w:val="de-DE" w:eastAsia="de-DE" w:bidi="de-DE"/>
        </w:rPr>
      </w:pPr>
      <w:r w:rsidRPr="00F24BA0">
        <w:rPr>
          <w:i/>
          <w:iCs/>
          <w:lang w:val="de-DE" w:eastAsia="de-DE" w:bidi="de-DE"/>
        </w:rPr>
        <w:fldChar w:fldCharType="begin"/>
      </w:r>
      <w:r w:rsidRPr="00F24BA0">
        <w:rPr>
          <w:i/>
          <w:iCs/>
          <w:lang w:val="de-DE" w:eastAsia="de-DE" w:bidi="de-DE"/>
        </w:rPr>
        <w:instrText xml:space="preserve"> AUTONUM  </w:instrText>
      </w:r>
      <w:r w:rsidRPr="00F24BA0">
        <w:rPr>
          <w:i/>
          <w:iCs/>
          <w:lang w:val="de-DE" w:eastAsia="de-DE" w:bidi="de-DE"/>
        </w:rPr>
        <w:fldChar w:fldCharType="end"/>
      </w:r>
      <w:r w:rsidRPr="00F24BA0">
        <w:rPr>
          <w:i/>
          <w:lang w:val="de-DE" w:eastAsia="de-DE" w:bidi="de-DE"/>
        </w:rPr>
        <w:tab/>
        <w:t>Der CAJ wird ersucht, Dokument UPOV/INF/15/3 Draft 1 zu prüfen.</w:t>
      </w:r>
    </w:p>
    <w:p w:rsidR="0045667D" w:rsidRPr="00F24BA0" w:rsidRDefault="0045667D" w:rsidP="0045667D">
      <w:pPr>
        <w:pStyle w:val="DecisionParagraphs"/>
        <w:rPr>
          <w:rFonts w:eastAsia="SimSun"/>
          <w:lang w:val="de-DE"/>
        </w:rPr>
      </w:pPr>
    </w:p>
    <w:p w:rsidR="0045667D" w:rsidRPr="00F24BA0" w:rsidRDefault="0045667D" w:rsidP="00B34841">
      <w:pPr>
        <w:pStyle w:val="DecisionParagraphs"/>
        <w:rPr>
          <w:rFonts w:eastAsia="SimSun"/>
          <w:lang w:val="de-DE"/>
        </w:rPr>
      </w:pPr>
      <w:bookmarkStart w:id="41" w:name="_GoBack"/>
      <w:bookmarkEnd w:id="41"/>
    </w:p>
    <w:p w:rsidR="00B34841" w:rsidRPr="00F24BA0" w:rsidRDefault="00B34841" w:rsidP="00B34841">
      <w:pPr>
        <w:pStyle w:val="DecisionParagraphs"/>
        <w:ind w:left="0"/>
        <w:rPr>
          <w:i w:val="0"/>
          <w:lang w:val="de-DE"/>
        </w:rPr>
      </w:pPr>
    </w:p>
    <w:p w:rsidR="004E5B9C" w:rsidRPr="00F24BA0" w:rsidRDefault="008E19FC" w:rsidP="004E5B9C">
      <w:pPr>
        <w:pStyle w:val="DecisionParagraphs"/>
        <w:jc w:val="right"/>
        <w:rPr>
          <w:i w:val="0"/>
          <w:lang w:val="de-DE"/>
        </w:rPr>
        <w:sectPr w:rsidR="004E5B9C" w:rsidRPr="00F24BA0" w:rsidSect="00906DDC">
          <w:headerReference w:type="default" r:id="rId10"/>
          <w:pgSz w:w="11907" w:h="16840" w:code="9"/>
          <w:pgMar w:top="510" w:right="1134" w:bottom="1134" w:left="1134" w:header="510" w:footer="680" w:gutter="0"/>
          <w:cols w:space="720"/>
          <w:titlePg/>
        </w:sectPr>
      </w:pPr>
      <w:r w:rsidRPr="00F24BA0">
        <w:rPr>
          <w:i w:val="0"/>
          <w:lang w:val="de-DE"/>
        </w:rPr>
        <w:t>[</w:t>
      </w:r>
      <w:r w:rsidR="003F153A" w:rsidRPr="00F24BA0">
        <w:rPr>
          <w:i w:val="0"/>
          <w:lang w:val="de-DE"/>
        </w:rPr>
        <w:t>Anlage folgt</w:t>
      </w:r>
      <w:r w:rsidRPr="00F24BA0">
        <w:rPr>
          <w:i w:val="0"/>
          <w:lang w:val="de-DE"/>
        </w:rPr>
        <w:t>]</w:t>
      </w:r>
      <w:r w:rsidR="003955A0" w:rsidRPr="00F24BA0">
        <w:rPr>
          <w:i w:val="0"/>
          <w:lang w:val="de-DE"/>
        </w:rPr>
        <w:t xml:space="preserve"> </w:t>
      </w:r>
    </w:p>
    <w:p w:rsidR="004E5B9C" w:rsidRPr="00F24BA0" w:rsidRDefault="004E5B9C" w:rsidP="004E5B9C">
      <w:pPr>
        <w:jc w:val="center"/>
        <w:rPr>
          <w:lang w:val="de-DE"/>
        </w:rPr>
      </w:pPr>
      <w:r w:rsidRPr="00F24BA0">
        <w:rPr>
          <w:lang w:val="de-DE"/>
        </w:rPr>
        <w:lastRenderedPageBreak/>
        <w:t>CAJ/70/5</w:t>
      </w:r>
    </w:p>
    <w:p w:rsidR="004E5B9C" w:rsidRPr="00F24BA0" w:rsidRDefault="004E5B9C" w:rsidP="004E5B9C">
      <w:pPr>
        <w:jc w:val="center"/>
        <w:rPr>
          <w:lang w:val="de-DE"/>
        </w:rPr>
      </w:pPr>
    </w:p>
    <w:p w:rsidR="007A5673" w:rsidRPr="00F24BA0" w:rsidRDefault="004E5B9C" w:rsidP="00E22FDC">
      <w:pPr>
        <w:jc w:val="center"/>
        <w:rPr>
          <w:lang w:val="de-DE"/>
        </w:rPr>
      </w:pPr>
      <w:bookmarkStart w:id="42" w:name="_Toc395697260"/>
      <w:bookmarkStart w:id="43" w:name="_Toc395701749"/>
      <w:r w:rsidRPr="00F24BA0">
        <w:rPr>
          <w:lang w:val="de-DE"/>
        </w:rPr>
        <w:t>AN</w:t>
      </w:r>
      <w:bookmarkEnd w:id="42"/>
      <w:r w:rsidR="003F153A" w:rsidRPr="00F24BA0">
        <w:rPr>
          <w:lang w:val="de-DE"/>
        </w:rPr>
        <w:t>LAGE</w:t>
      </w:r>
    </w:p>
    <w:p w:rsidR="007A5673" w:rsidRPr="00F24BA0" w:rsidRDefault="007A5673" w:rsidP="00B34029">
      <w:pPr>
        <w:pStyle w:val="Heading1"/>
        <w:rPr>
          <w:lang w:val="de-DE"/>
        </w:rPr>
      </w:pPr>
    </w:p>
    <w:p w:rsidR="00E22FDC" w:rsidRPr="00F24BA0" w:rsidRDefault="00E22FDC" w:rsidP="00E22FDC">
      <w:pPr>
        <w:rPr>
          <w:lang w:val="de-DE"/>
        </w:rPr>
      </w:pPr>
    </w:p>
    <w:bookmarkEnd w:id="43"/>
    <w:p w:rsidR="003F153A" w:rsidRPr="00F24BA0" w:rsidRDefault="003F153A" w:rsidP="00E22FDC">
      <w:pPr>
        <w:jc w:val="center"/>
        <w:rPr>
          <w:lang w:val="de-DE"/>
        </w:rPr>
      </w:pPr>
      <w:r w:rsidRPr="00F24BA0">
        <w:rPr>
          <w:lang w:val="de-DE"/>
        </w:rPr>
        <w:t>MODULE 1 UND 2 VON DL305 „PRÜFUNG VON ANTRÄGEN AUF ERTEILUNG VON ZÜCHTERRECHTEN“ UND DL-305A „VERWALTUNG VON ZÜCHTERRECHTEN“</w:t>
      </w:r>
    </w:p>
    <w:p w:rsidR="004E5B9C" w:rsidRPr="00F24BA0" w:rsidRDefault="004E5B9C" w:rsidP="004E5B9C">
      <w:pPr>
        <w:rPr>
          <w:lang w:val="de-DE"/>
        </w:rPr>
      </w:pPr>
    </w:p>
    <w:p w:rsidR="004E5B9C" w:rsidRPr="00F24BA0" w:rsidRDefault="004E5B9C" w:rsidP="00B34029">
      <w:pPr>
        <w:pStyle w:val="Heading1"/>
        <w:rPr>
          <w:lang w:val="de-DE"/>
        </w:rPr>
      </w:pPr>
    </w:p>
    <w:p w:rsidR="004E5B9C" w:rsidRPr="00F24BA0" w:rsidRDefault="004E5B9C" w:rsidP="00B34029">
      <w:pPr>
        <w:pStyle w:val="Heading1"/>
        <w:rPr>
          <w:lang w:val="de-DE"/>
        </w:rPr>
      </w:pPr>
    </w:p>
    <w:p w:rsidR="006B304B" w:rsidRPr="00F24BA0" w:rsidRDefault="006B304B" w:rsidP="006B304B">
      <w:pPr>
        <w:rPr>
          <w:lang w:val="de-DE"/>
        </w:rPr>
      </w:pPr>
      <w:r w:rsidRPr="00F24BA0">
        <w:rPr>
          <w:lang w:val="de-DE"/>
        </w:rPr>
        <w:t>MODUL 1: DAS ZÜCHTERRECHTSAMT</w:t>
      </w:r>
    </w:p>
    <w:p w:rsidR="006B304B" w:rsidRPr="00F24BA0" w:rsidRDefault="006B304B" w:rsidP="006B304B">
      <w:pPr>
        <w:rPr>
          <w:lang w:val="de-DE"/>
        </w:rPr>
      </w:pPr>
    </w:p>
    <w:p w:rsidR="006B304B" w:rsidRPr="00F24BA0" w:rsidRDefault="006B304B" w:rsidP="006B304B">
      <w:pPr>
        <w:rPr>
          <w:u w:val="single"/>
          <w:lang w:val="de-DE"/>
        </w:rPr>
      </w:pPr>
      <w:r w:rsidRPr="00F24BA0">
        <w:rPr>
          <w:u w:val="single"/>
          <w:lang w:val="de-DE"/>
        </w:rPr>
        <w:t>Ziel</w:t>
      </w:r>
    </w:p>
    <w:p w:rsidR="006B304B" w:rsidRPr="00F24BA0" w:rsidRDefault="006B304B" w:rsidP="006B304B">
      <w:pPr>
        <w:rPr>
          <w:i/>
          <w:lang w:val="de-DE"/>
        </w:rPr>
      </w:pPr>
    </w:p>
    <w:p w:rsidR="006B304B" w:rsidRPr="00F24BA0" w:rsidRDefault="006B304B" w:rsidP="006B304B">
      <w:pPr>
        <w:rPr>
          <w:i/>
          <w:lang w:val="de-DE"/>
        </w:rPr>
      </w:pPr>
      <w:r w:rsidRPr="00F24BA0">
        <w:rPr>
          <w:i/>
          <w:lang w:val="de-DE"/>
        </w:rPr>
        <w:t>Ziel dieses Moduls ist es, einen Überblick über den Aufbau und die Funktionen eines Züchterrechtsamtes zu vermitteln.</w:t>
      </w:r>
    </w:p>
    <w:p w:rsidR="006B304B" w:rsidRPr="00F24BA0" w:rsidRDefault="006B304B" w:rsidP="006B304B">
      <w:pPr>
        <w:rPr>
          <w:u w:val="single"/>
          <w:lang w:val="de-DE"/>
        </w:rPr>
      </w:pPr>
    </w:p>
    <w:p w:rsidR="006B304B" w:rsidRPr="00F24BA0" w:rsidRDefault="006B304B" w:rsidP="006B304B">
      <w:pPr>
        <w:rPr>
          <w:u w:val="single"/>
          <w:lang w:val="de-DE"/>
        </w:rPr>
      </w:pPr>
    </w:p>
    <w:p w:rsidR="006B304B" w:rsidRPr="00F24BA0" w:rsidRDefault="006B304B" w:rsidP="006B304B">
      <w:pPr>
        <w:rPr>
          <w:u w:val="single"/>
          <w:lang w:val="de-DE"/>
        </w:rPr>
      </w:pPr>
      <w:r w:rsidRPr="00F24BA0">
        <w:rPr>
          <w:u w:val="single"/>
          <w:lang w:val="de-DE"/>
        </w:rPr>
        <w:br w:type="page"/>
      </w:r>
    </w:p>
    <w:p w:rsidR="006B304B" w:rsidRPr="00F24BA0" w:rsidRDefault="006B304B" w:rsidP="00E22FDC">
      <w:pPr>
        <w:keepNext/>
        <w:rPr>
          <w:lang w:val="de-DE"/>
        </w:rPr>
      </w:pPr>
      <w:bookmarkStart w:id="44" w:name="_Toc379270996"/>
      <w:bookmarkStart w:id="45" w:name="_Toc381436195"/>
      <w:bookmarkStart w:id="46" w:name="_Toc381447289"/>
      <w:bookmarkStart w:id="47" w:name="_Toc381598690"/>
      <w:bookmarkStart w:id="48" w:name="_Toc382491244"/>
      <w:r w:rsidRPr="00F24BA0">
        <w:rPr>
          <w:lang w:val="de-DE"/>
        </w:rPr>
        <w:lastRenderedPageBreak/>
        <w:t>EINFÜHRUNG</w:t>
      </w:r>
      <w:bookmarkEnd w:id="44"/>
      <w:bookmarkEnd w:id="45"/>
      <w:bookmarkEnd w:id="46"/>
      <w:bookmarkEnd w:id="47"/>
      <w:bookmarkEnd w:id="48"/>
    </w:p>
    <w:p w:rsidR="006B304B" w:rsidRPr="00F24BA0" w:rsidRDefault="006B304B" w:rsidP="00E22FDC">
      <w:pPr>
        <w:keepNext/>
        <w:rPr>
          <w:lang w:val="de-DE"/>
        </w:rPr>
      </w:pPr>
    </w:p>
    <w:p w:rsidR="006B304B" w:rsidRPr="00F24BA0" w:rsidRDefault="006B304B" w:rsidP="006B304B">
      <w:pPr>
        <w:rPr>
          <w:lang w:val="de-DE"/>
        </w:rPr>
      </w:pPr>
      <w:r w:rsidRPr="00F24BA0">
        <w:rPr>
          <w:lang w:val="de-DE"/>
        </w:rPr>
        <w:t>Anträge auf Erteilung von Züchterrechten unterliegen der Prüfung durch die Behörde im Hoheitsgebiet des betreffenden UPOV-Mitglieds. Laut Artikel 30 der Akte von 1991 und Artikel 7 der Akte von 1978 des UPOV-Übereinkommens unterhalten die UPOV-Mitglieder eine Behörde, die mit der Aufgabe der Erteilung des Züchterrechts beauftragt ist. Die UPOV-Mitglieder sollten zudem sicherstellen, daß die Öffentlichkeit über Anträge und Erteilungen von Züchterrechten sowie über vorgeschlagene und genehmigte Sortenbezeichnungen unterrichtet wird.</w:t>
      </w:r>
    </w:p>
    <w:p w:rsidR="006B304B" w:rsidRPr="00F24BA0" w:rsidRDefault="006B304B" w:rsidP="006B304B">
      <w:pPr>
        <w:rPr>
          <w:lang w:val="de-DE"/>
        </w:rPr>
      </w:pPr>
    </w:p>
    <w:p w:rsidR="006B304B" w:rsidRPr="00F24BA0" w:rsidRDefault="006B304B" w:rsidP="00DC5345">
      <w:pPr>
        <w:ind w:left="1276" w:right="1275"/>
        <w:rPr>
          <w:lang w:val="de-DE"/>
        </w:rPr>
      </w:pPr>
      <w:r w:rsidRPr="00F24BA0">
        <w:rPr>
          <w:lang w:val="de-DE"/>
        </w:rPr>
        <w:t>„</w:t>
      </w:r>
      <w:r w:rsidRPr="00F24BA0">
        <w:rPr>
          <w:b/>
          <w:lang w:val="de-DE"/>
        </w:rPr>
        <w:t>Artikel 30</w:t>
      </w:r>
      <w:r w:rsidRPr="00F24BA0">
        <w:rPr>
          <w:b/>
          <w:bCs/>
          <w:lang w:val="de-DE"/>
        </w:rPr>
        <w:t xml:space="preserve"> </w:t>
      </w:r>
      <w:r w:rsidRPr="00F24BA0">
        <w:rPr>
          <w:b/>
          <w:lang w:val="de-DE"/>
        </w:rPr>
        <w:t>Anwendung des Übereinkommens</w:t>
      </w:r>
      <w:r w:rsidRPr="00F24BA0">
        <w:rPr>
          <w:b/>
          <w:bCs/>
          <w:lang w:val="de-DE"/>
        </w:rPr>
        <w:t xml:space="preserve"> </w:t>
      </w:r>
      <w:r w:rsidRPr="00F24BA0">
        <w:rPr>
          <w:bCs/>
          <w:lang w:val="de-DE"/>
        </w:rPr>
        <w:t>(</w:t>
      </w:r>
      <w:r w:rsidRPr="00F24BA0">
        <w:rPr>
          <w:lang w:val="de-DE"/>
        </w:rPr>
        <w:t>1) Jede Vertragspartei trifft alle für die Anwendung dieses Übereinkommens notwendigen Maßnahmen, insbesondere […] ii) unterhält sie eine Behörde für die Erteilung von Züchterrechten oder beauftragt die bereits von einer anderen Vertragspartei unterhaltene Behörde mit der genannten Aufgabe und iii) stellt sie sicher, daß die Öffentlichkeit durch die periodische Veröffentlichung von Mitteilungen über die Anträge auf und Erteilung von Züchterrechten sowie die vorgeschlagenen und genehmigten Sortenbezeichnungen unterrichtet wird.“</w:t>
      </w:r>
    </w:p>
    <w:p w:rsidR="006B304B" w:rsidRPr="00F24BA0" w:rsidRDefault="006B304B" w:rsidP="006B304B">
      <w:pPr>
        <w:rPr>
          <w:lang w:val="de-DE"/>
        </w:rPr>
      </w:pPr>
    </w:p>
    <w:p w:rsidR="006B304B" w:rsidRPr="00F24BA0" w:rsidRDefault="006B304B" w:rsidP="006B304B">
      <w:pPr>
        <w:rPr>
          <w:lang w:val="de-DE"/>
        </w:rPr>
      </w:pPr>
      <w:r w:rsidRPr="00F24BA0">
        <w:rPr>
          <w:lang w:val="de-DE"/>
        </w:rPr>
        <w:t>Das Züchterrechtsamt variiert je nachdem in Größe und Aufbau, wie jedes UPOV-Mitglied die Umsetzung des UPOV-Übereinkommens und insbesondere die Prüfung der Anträge auf Erteilung von Züchterrechten vorsieht.</w:t>
      </w:r>
    </w:p>
    <w:p w:rsidR="006B304B" w:rsidRPr="00F24BA0" w:rsidRDefault="006B304B" w:rsidP="006B304B">
      <w:pPr>
        <w:rPr>
          <w:lang w:val="de-DE"/>
        </w:rPr>
      </w:pPr>
    </w:p>
    <w:p w:rsidR="006B304B" w:rsidRPr="00F24BA0" w:rsidRDefault="006B304B" w:rsidP="006B304B">
      <w:pPr>
        <w:rPr>
          <w:lang w:val="de-DE"/>
        </w:rPr>
      </w:pPr>
      <w:r w:rsidRPr="00F24BA0">
        <w:rPr>
          <w:lang w:val="de-DE"/>
        </w:rPr>
        <w:t>Die Prüfung der Anträge auf Erteilung von Züchterrechten wird in Artikel 12 d</w:t>
      </w:r>
      <w:r w:rsidR="00DC5345" w:rsidRPr="00F24BA0">
        <w:rPr>
          <w:lang w:val="de-DE"/>
        </w:rPr>
        <w:t>er Akte von 1991 und in Artikel </w:t>
      </w:r>
      <w:r w:rsidRPr="00F24BA0">
        <w:rPr>
          <w:lang w:val="de-DE"/>
        </w:rPr>
        <w:t>7 der Akte von 1978 vorgeschrieben. Jede Entscheidung, ein Züchterrecht zu erteilen, setzt eine Prüfung auf Einhaltung der Schutzvoraussetzungen vor, wie in den Artikeln 5 bis 9 der Akte von 1991 und Artikel 6 der Akte von 1978 dargelegt, d. h. die Voraussetzungen der Neuheit, der Unterscheidbarkeit, der Homogenität und der Beständigkeit (DUS), einer geeigneten Sortenbezeichnung und der anwendbaren Förmlichkeiten.</w:t>
      </w:r>
    </w:p>
    <w:p w:rsidR="006B304B" w:rsidRPr="00F24BA0" w:rsidRDefault="006B304B" w:rsidP="006B304B">
      <w:pPr>
        <w:rPr>
          <w:lang w:val="de-DE"/>
        </w:rPr>
      </w:pPr>
    </w:p>
    <w:p w:rsidR="006B304B" w:rsidRPr="00F24BA0" w:rsidRDefault="006B304B" w:rsidP="00DC5345">
      <w:pPr>
        <w:ind w:left="1276" w:right="1275"/>
        <w:rPr>
          <w:rFonts w:cs="Arial"/>
          <w:lang w:val="de-DE"/>
        </w:rPr>
      </w:pPr>
      <w:r w:rsidRPr="00F24BA0">
        <w:rPr>
          <w:lang w:val="de-DE"/>
        </w:rPr>
        <w:t>„</w:t>
      </w:r>
      <w:r w:rsidRPr="00F24BA0">
        <w:rPr>
          <w:b/>
          <w:lang w:val="de-DE"/>
        </w:rPr>
        <w:t>Artikel 12</w:t>
      </w:r>
      <w:r w:rsidRPr="00F24BA0">
        <w:rPr>
          <w:rFonts w:cs="Arial"/>
          <w:b/>
          <w:lang w:val="de-DE"/>
        </w:rPr>
        <w:t xml:space="preserve"> </w:t>
      </w:r>
      <w:r w:rsidRPr="00F24BA0">
        <w:rPr>
          <w:b/>
          <w:lang w:val="de-DE"/>
        </w:rPr>
        <w:t>Prüfung des Antrags</w:t>
      </w:r>
      <w:r w:rsidRPr="00F24BA0">
        <w:rPr>
          <w:rFonts w:cs="Arial"/>
          <w:b/>
          <w:lang w:val="de-DE"/>
        </w:rPr>
        <w:t xml:space="preserve"> </w:t>
      </w:r>
      <w:r w:rsidRPr="00F24BA0">
        <w:rPr>
          <w:lang w:val="de-DE"/>
        </w:rPr>
        <w:t>Die Entscheidung, ein Züchterrecht zu erteilen, bedarf einer Prüfung auf das Vorliegen der Voraussetzungen nach den Artikeln 5 bis 9. Bei der Prüfung kann die Behörde die Sorte anbauen oder die sonstigen erforderlichen Untersuchungen anstellen, den Anbau oder die Untersuchungen durchführen lassen oder Ergebnisse bereits durchgeführter Anbauprüfungen oder sonstiger Untersuchungen berücksichtigen. Für die Prüfung kann die Behörde von dem Züchter alle erforderlichen Auskünfte und Unterlagen sowie das erforderliche Material verlangen.“</w:t>
      </w:r>
    </w:p>
    <w:p w:rsidR="006B304B" w:rsidRPr="00F24BA0" w:rsidRDefault="006B304B" w:rsidP="006B304B">
      <w:pPr>
        <w:tabs>
          <w:tab w:val="left" w:pos="7371"/>
        </w:tabs>
        <w:ind w:left="1701" w:right="1702"/>
        <w:rPr>
          <w:rFonts w:cs="Arial"/>
          <w:lang w:val="de-DE"/>
        </w:rPr>
      </w:pPr>
    </w:p>
    <w:p w:rsidR="006B304B" w:rsidRPr="00F24BA0" w:rsidRDefault="006B304B" w:rsidP="006B304B">
      <w:pPr>
        <w:autoSpaceDE w:val="0"/>
        <w:autoSpaceDN w:val="0"/>
        <w:adjustRightInd w:val="0"/>
        <w:rPr>
          <w:lang w:val="de-DE"/>
        </w:rPr>
      </w:pPr>
      <w:r w:rsidRPr="00F24BA0">
        <w:rPr>
          <w:lang w:val="de-DE"/>
        </w:rPr>
        <w:t>Die Züchterrechtsämter müssen angemessene Schritte unternehmen, um die berechtigten Interessen des Züchters bezüglich der Unterlagen, Auskünfte und des Materials, die als Teil des Antrags eingereicht werden, zu wahren.</w:t>
      </w:r>
    </w:p>
    <w:p w:rsidR="006B304B" w:rsidRPr="00F24BA0" w:rsidRDefault="006B304B" w:rsidP="00667F31">
      <w:pPr>
        <w:rPr>
          <w:lang w:val="de-DE"/>
        </w:rPr>
      </w:pPr>
    </w:p>
    <w:p w:rsidR="00667F31" w:rsidRPr="00F24BA0" w:rsidRDefault="00667F31" w:rsidP="00667F31">
      <w:pPr>
        <w:rPr>
          <w:lang w:val="de-DE"/>
        </w:rPr>
      </w:pPr>
      <w:r w:rsidRPr="00F24BA0">
        <w:rPr>
          <w:lang w:val="de-DE"/>
        </w:rPr>
        <w:t xml:space="preserve">Die UPOV entwickelte die „UPOV-Sammlung“ von Anleitungen und Informationsmaterial betreffend den Sortenschutz nach dem UPOV-Übereinkommen. Es ist jedoch daran zu erinnern, daß die einzigen verbindlichen Verpflichtungen für die Verbandsmitglieder diejenigen sind, die im Wortlaut des UPOV-Übereinkommens selbst enthalten sind, und das Material darf nicht in einer Weise ausgelegt werden, die in Widerspruch zu der für das jeweilige Verbandsmitglied geltenden Akte steht. </w:t>
      </w:r>
    </w:p>
    <w:p w:rsidR="00667F31" w:rsidRPr="00F24BA0" w:rsidRDefault="00667F31" w:rsidP="00667F31">
      <w:pPr>
        <w:rPr>
          <w:lang w:val="de-DE"/>
        </w:rPr>
      </w:pPr>
    </w:p>
    <w:p w:rsidR="00667F31" w:rsidRPr="00F24BA0" w:rsidRDefault="00667F31" w:rsidP="00667F31">
      <w:pPr>
        <w:rPr>
          <w:lang w:val="de-DE"/>
        </w:rPr>
      </w:pPr>
      <w:r w:rsidRPr="00F24BA0">
        <w:rPr>
          <w:lang w:val="de-DE"/>
        </w:rPr>
        <w:t xml:space="preserve">Eine aktuelle Liste des Inhalts und des Standes des Materials in der UPOV-Sammlung ist in dem auf der UPOV-Website veröffentlichten </w:t>
      </w:r>
      <w:hyperlink r:id="rId11" w:anchor="toc" w:history="1">
        <w:r w:rsidRPr="00F24BA0">
          <w:rPr>
            <w:color w:val="0000FF"/>
            <w:u w:val="single"/>
            <w:lang w:val="de-DE"/>
          </w:rPr>
          <w:t>Inhaltsverzeichnis</w:t>
        </w:r>
      </w:hyperlink>
      <w:r w:rsidRPr="00F24BA0">
        <w:rPr>
          <w:lang w:val="de-DE"/>
        </w:rPr>
        <w:t xml:space="preserve"> wiedergegeben und nachstehend veranschaulicht</w:t>
      </w:r>
      <w:r w:rsidRPr="00F24BA0">
        <w:rPr>
          <w:vertAlign w:val="superscript"/>
          <w:lang w:val="de-DE"/>
        </w:rPr>
        <w:footnoteReference w:id="2"/>
      </w:r>
      <w:r w:rsidRPr="00F24BA0">
        <w:rPr>
          <w:lang w:val="de-DE"/>
        </w:rPr>
        <w:t xml:space="preserve">. Verbandsmitglieder (zwei Sätze pro Mitglied) und Beobachterstaaten und –organisationen (ein Satz pro Staat / Organisation) erhalten Ordnersätze mit der „UPOV-Sammlung“. Mit den bereitgestellten Ordnern werden zunächst gedruckte Fassungen aller Dokumente der ,UPOV-Sammlung‘ ohne Prüfungsrichtlinien verteilt. Nach der erstmaligen Ausstattung der Ordner „UPOV-Sammlung“ mit einer gedruckten Serie der Dokumente werden keine weiteren gedruckten Dokumente mehr vom Verbandsbüro geliefert. Alle bezeichneten Personen in den UPOV-Organen erhalten bei jeder Aktualisierung der UPOV-Sammlung eine elektronische Mitteilung. Personen, die über eine gedruckte Fassung verfügen, können auf diesen Hinweis </w:t>
      </w:r>
      <w:r w:rsidRPr="00F24BA0">
        <w:rPr>
          <w:lang w:val="de-DE"/>
        </w:rPr>
        <w:lastRenderedPageBreak/>
        <w:t xml:space="preserve">hin frühere Fassungen des betreffenden Dokuments ersetzen. Andere Benutzer können sich </w:t>
      </w:r>
      <w:hyperlink r:id="rId12" w:history="1">
        <w:r w:rsidRPr="00F24BA0">
          <w:rPr>
            <w:color w:val="0000FF"/>
            <w:u w:val="single"/>
            <w:lang w:val="de-DE"/>
          </w:rPr>
          <w:t>anmelden</w:t>
        </w:r>
      </w:hyperlink>
      <w:r w:rsidRPr="00F24BA0">
        <w:rPr>
          <w:lang w:val="de-DE"/>
        </w:rPr>
        <w:t>, um bei jeder Aktualisierung der UPOV-Sammlung eine elektronische Mitteilung zu erhalten.</w:t>
      </w:r>
    </w:p>
    <w:p w:rsidR="00667F31" w:rsidRPr="00F24BA0" w:rsidRDefault="00667F31" w:rsidP="00667F31">
      <w:pPr>
        <w:rPr>
          <w:lang w:val="de-DE"/>
        </w:rPr>
      </w:pPr>
    </w:p>
    <w:p w:rsidR="006B304B" w:rsidRPr="00F24BA0" w:rsidRDefault="006B304B" w:rsidP="006B304B">
      <w:pPr>
        <w:rPr>
          <w:lang w:val="de-DE"/>
        </w:rPr>
      </w:pPr>
    </w:p>
    <w:p w:rsidR="006B304B" w:rsidRPr="00F24BA0" w:rsidRDefault="006B304B" w:rsidP="006B304B">
      <w:pPr>
        <w:keepNext/>
        <w:rPr>
          <w:u w:val="single"/>
          <w:lang w:val="de-DE"/>
        </w:rPr>
      </w:pPr>
      <w:r w:rsidRPr="00F24BA0">
        <w:rPr>
          <w:u w:val="single"/>
          <w:lang w:val="de-DE"/>
        </w:rPr>
        <w:t>Inhaltsverzeichnis</w:t>
      </w:r>
    </w:p>
    <w:p w:rsidR="00DC5345" w:rsidRPr="00F24BA0" w:rsidRDefault="00DC5345" w:rsidP="00DC5345">
      <w:pPr>
        <w:rPr>
          <w:lang w:val="de-DE"/>
        </w:rPr>
      </w:pPr>
    </w:p>
    <w:tbl>
      <w:tblPr>
        <w:tblW w:w="5000" w:type="pct"/>
        <w:tblCellSpacing w:w="7" w:type="dxa"/>
        <w:tblCellMar>
          <w:top w:w="57" w:type="dxa"/>
          <w:left w:w="57" w:type="dxa"/>
          <w:bottom w:w="28" w:type="dxa"/>
          <w:right w:w="57" w:type="dxa"/>
        </w:tblCellMar>
        <w:tblLook w:val="04A0" w:firstRow="1" w:lastRow="0" w:firstColumn="1" w:lastColumn="0" w:noHBand="0" w:noVBand="1"/>
      </w:tblPr>
      <w:tblGrid>
        <w:gridCol w:w="496"/>
        <w:gridCol w:w="9285"/>
      </w:tblGrid>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a)</w:t>
            </w:r>
          </w:p>
        </w:tc>
        <w:tc>
          <w:tcPr>
            <w:tcW w:w="4735" w:type="pct"/>
            <w:hideMark/>
          </w:tcPr>
          <w:p w:rsidR="00DC5345" w:rsidRPr="00F24BA0" w:rsidRDefault="00DC5345" w:rsidP="00DC5345">
            <w:pPr>
              <w:jc w:val="left"/>
              <w:rPr>
                <w:rFonts w:cs="Arial"/>
                <w:lang w:val="de-DE"/>
              </w:rPr>
            </w:pPr>
            <w:r w:rsidRPr="00F24BA0">
              <w:rPr>
                <w:rFonts w:cs="Arial"/>
                <w:lang w:val="de-DE"/>
              </w:rPr>
              <w:t>UPOV-Übereinkommen</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b) </w:t>
            </w:r>
          </w:p>
        </w:tc>
        <w:tc>
          <w:tcPr>
            <w:tcW w:w="4735" w:type="pct"/>
            <w:hideMark/>
          </w:tcPr>
          <w:p w:rsidR="00DC5345" w:rsidRPr="00F24BA0" w:rsidRDefault="00DC5345" w:rsidP="00DC5345">
            <w:pPr>
              <w:jc w:val="left"/>
              <w:rPr>
                <w:rFonts w:cs="Arial"/>
                <w:lang w:val="de-DE"/>
              </w:rPr>
            </w:pPr>
            <w:r w:rsidRPr="00F24BA0">
              <w:rPr>
                <w:rFonts w:cs="Arial"/>
                <w:lang w:val="de-DE"/>
              </w:rPr>
              <w:t>UPOV/INF Dokumentenserie</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c) </w:t>
            </w:r>
          </w:p>
        </w:tc>
        <w:tc>
          <w:tcPr>
            <w:tcW w:w="4735" w:type="pct"/>
            <w:hideMark/>
          </w:tcPr>
          <w:p w:rsidR="00DC5345" w:rsidRPr="00F24BA0" w:rsidRDefault="00DC5345" w:rsidP="00DC5345">
            <w:pPr>
              <w:jc w:val="left"/>
              <w:rPr>
                <w:rFonts w:cs="Arial"/>
                <w:lang w:val="de-DE"/>
              </w:rPr>
            </w:pPr>
            <w:r w:rsidRPr="00F24BA0">
              <w:rPr>
                <w:rFonts w:cs="Arial"/>
                <w:lang w:val="de-DE"/>
              </w:rPr>
              <w:t>Erläuterungen zum UPOV-Übereinkommen</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d) </w:t>
            </w:r>
          </w:p>
        </w:tc>
        <w:tc>
          <w:tcPr>
            <w:tcW w:w="4735" w:type="pct"/>
            <w:hideMark/>
          </w:tcPr>
          <w:p w:rsidR="00DC5345" w:rsidRPr="00F24BA0" w:rsidRDefault="00DC5345" w:rsidP="00DC5345">
            <w:pPr>
              <w:jc w:val="left"/>
              <w:rPr>
                <w:rFonts w:cs="Arial"/>
                <w:lang w:val="de-DE"/>
              </w:rPr>
            </w:pPr>
            <w:r w:rsidRPr="00F24BA0">
              <w:rPr>
                <w:rFonts w:cs="Arial"/>
                <w:lang w:val="de-DE"/>
              </w:rPr>
              <w:t>Allgemeine Einführung zur Prüfung auf Unterscheidbarkeit, Homogenität und Beständigkeit und zur Erarbeitung harmonisierter Beschreibungen von neuen Pflanzensorten (Dokument TG/1/3)</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e) </w:t>
            </w:r>
          </w:p>
        </w:tc>
        <w:tc>
          <w:tcPr>
            <w:tcW w:w="4735" w:type="pct"/>
            <w:hideMark/>
          </w:tcPr>
          <w:p w:rsidR="00DC5345" w:rsidRPr="00F24BA0" w:rsidRDefault="00DC5345" w:rsidP="00DC5345">
            <w:pPr>
              <w:jc w:val="left"/>
              <w:rPr>
                <w:rFonts w:cs="Arial"/>
                <w:lang w:val="de-DE"/>
              </w:rPr>
            </w:pPr>
            <w:r w:rsidRPr="00F24BA0">
              <w:rPr>
                <w:rFonts w:cs="Arial"/>
                <w:lang w:val="de-DE"/>
              </w:rPr>
              <w:t>TGP-Dokumente</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f) </w:t>
            </w:r>
          </w:p>
        </w:tc>
        <w:tc>
          <w:tcPr>
            <w:tcW w:w="4735" w:type="pct"/>
            <w:hideMark/>
          </w:tcPr>
          <w:p w:rsidR="00DC5345" w:rsidRPr="00F24BA0" w:rsidRDefault="00DC5345" w:rsidP="00DC5345">
            <w:pPr>
              <w:jc w:val="left"/>
              <w:rPr>
                <w:rFonts w:cs="Arial"/>
                <w:lang w:val="de-DE"/>
              </w:rPr>
            </w:pPr>
            <w:r w:rsidRPr="00F24BA0">
              <w:rPr>
                <w:rFonts w:cs="Arial"/>
                <w:lang w:val="de-DE"/>
              </w:rPr>
              <w:t>Prüfungsrichtlinien</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g) </w:t>
            </w:r>
          </w:p>
        </w:tc>
        <w:tc>
          <w:tcPr>
            <w:tcW w:w="4735" w:type="pct"/>
            <w:hideMark/>
          </w:tcPr>
          <w:p w:rsidR="00DC5345" w:rsidRPr="00F24BA0" w:rsidRDefault="00DC5345" w:rsidP="00DC5345">
            <w:pPr>
              <w:jc w:val="left"/>
              <w:rPr>
                <w:rFonts w:cs="Arial"/>
                <w:lang w:val="de-DE"/>
              </w:rPr>
            </w:pPr>
            <w:r w:rsidRPr="00F24BA0">
              <w:rPr>
                <w:rFonts w:cs="Arial"/>
                <w:lang w:val="de-DE"/>
              </w:rPr>
              <w:t>UPOV-Sammlung der Gesetze und Verträge (UPOV Lex)</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h) </w:t>
            </w:r>
          </w:p>
        </w:tc>
        <w:tc>
          <w:tcPr>
            <w:tcW w:w="4735" w:type="pct"/>
            <w:hideMark/>
          </w:tcPr>
          <w:p w:rsidR="00DC5345" w:rsidRPr="00F24BA0" w:rsidRDefault="00DC5345" w:rsidP="00DC5345">
            <w:pPr>
              <w:jc w:val="left"/>
              <w:rPr>
                <w:rFonts w:cs="Arial"/>
                <w:lang w:val="de-DE"/>
              </w:rPr>
            </w:pPr>
            <w:r w:rsidRPr="00F24BA0">
              <w:rPr>
                <w:rFonts w:cs="Arial"/>
                <w:lang w:val="de-DE"/>
              </w:rPr>
              <w:t>Liste der UPOV-Mitglieder</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i) </w:t>
            </w:r>
          </w:p>
        </w:tc>
        <w:tc>
          <w:tcPr>
            <w:tcW w:w="4735" w:type="pct"/>
            <w:hideMark/>
          </w:tcPr>
          <w:p w:rsidR="00DC5345" w:rsidRPr="00F24BA0" w:rsidRDefault="00DC5345" w:rsidP="00DC5345">
            <w:pPr>
              <w:jc w:val="left"/>
              <w:rPr>
                <w:rFonts w:cs="Arial"/>
                <w:lang w:val="de-DE"/>
              </w:rPr>
            </w:pPr>
            <w:r w:rsidRPr="00F24BA0">
              <w:rPr>
                <w:rFonts w:cs="Arial"/>
                <w:lang w:val="de-DE"/>
              </w:rPr>
              <w:t>Anschriften der Sortenschutzämter</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j) </w:t>
            </w:r>
          </w:p>
        </w:tc>
        <w:tc>
          <w:tcPr>
            <w:tcW w:w="4735" w:type="pct"/>
            <w:hideMark/>
          </w:tcPr>
          <w:p w:rsidR="00DC5345" w:rsidRPr="00F24BA0" w:rsidRDefault="00DC5345" w:rsidP="00DC5345">
            <w:pPr>
              <w:jc w:val="left"/>
              <w:rPr>
                <w:rFonts w:cs="Arial"/>
                <w:lang w:val="de-DE"/>
              </w:rPr>
            </w:pPr>
            <w:r w:rsidRPr="00F24BA0">
              <w:rPr>
                <w:rFonts w:cs="Arial"/>
                <w:lang w:val="de-DE"/>
              </w:rPr>
              <w:t>UPOV-Organigramm</w:t>
            </w:r>
          </w:p>
        </w:tc>
      </w:tr>
      <w:tr w:rsidR="00DC5345" w:rsidRPr="00F24BA0" w:rsidTr="00DC5345">
        <w:trPr>
          <w:cantSplit/>
          <w:tblCellSpacing w:w="7" w:type="dxa"/>
        </w:trPr>
        <w:tc>
          <w:tcPr>
            <w:tcW w:w="243" w:type="pct"/>
            <w:hideMark/>
          </w:tcPr>
          <w:p w:rsidR="00DC5345" w:rsidRPr="00F24BA0" w:rsidRDefault="00DC5345" w:rsidP="00DC5345">
            <w:pPr>
              <w:pStyle w:val="NormalWeb"/>
              <w:spacing w:before="0" w:beforeAutospacing="0" w:after="0" w:afterAutospacing="0"/>
              <w:rPr>
                <w:rFonts w:ascii="Arial" w:hAnsi="Arial" w:cs="Arial"/>
                <w:sz w:val="20"/>
                <w:szCs w:val="20"/>
                <w:lang w:val="de-DE"/>
              </w:rPr>
            </w:pPr>
            <w:r w:rsidRPr="00F24BA0">
              <w:rPr>
                <w:rFonts w:ascii="Arial" w:hAnsi="Arial" w:cs="Arial"/>
                <w:sz w:val="20"/>
                <w:szCs w:val="20"/>
                <w:lang w:val="de-DE"/>
              </w:rPr>
              <w:t>k)</w:t>
            </w:r>
          </w:p>
        </w:tc>
        <w:tc>
          <w:tcPr>
            <w:tcW w:w="4735" w:type="pct"/>
            <w:hideMark/>
          </w:tcPr>
          <w:p w:rsidR="00DC5345" w:rsidRPr="00F24BA0" w:rsidRDefault="00DC5345" w:rsidP="00DC5345">
            <w:pPr>
              <w:jc w:val="left"/>
              <w:rPr>
                <w:rFonts w:cs="Arial"/>
                <w:lang w:val="de-DE"/>
              </w:rPr>
            </w:pPr>
            <w:r w:rsidRPr="00F24BA0">
              <w:rPr>
                <w:rFonts w:cs="Arial"/>
                <w:lang w:val="de-DE"/>
              </w:rPr>
              <w:t xml:space="preserve">Datenbanken und Information </w:t>
            </w:r>
          </w:p>
          <w:p w:rsidR="00DC5345" w:rsidRPr="00F24BA0" w:rsidRDefault="00DC5345" w:rsidP="00DC5345">
            <w:pPr>
              <w:numPr>
                <w:ilvl w:val="0"/>
                <w:numId w:val="9"/>
              </w:numPr>
              <w:ind w:left="714" w:hanging="357"/>
              <w:jc w:val="left"/>
              <w:rPr>
                <w:rFonts w:cs="Arial"/>
                <w:lang w:val="de-DE"/>
              </w:rPr>
            </w:pPr>
            <w:r w:rsidRPr="00F24BA0">
              <w:rPr>
                <w:rFonts w:cs="Arial"/>
                <w:lang w:val="de-DE"/>
              </w:rPr>
              <w:t xml:space="preserve">Liste der in den Verbandsmitgliedern schutzfähigen Taxa </w:t>
            </w:r>
          </w:p>
          <w:p w:rsidR="00DC5345" w:rsidRPr="00F24BA0" w:rsidRDefault="00DC5345" w:rsidP="00DC5345">
            <w:pPr>
              <w:numPr>
                <w:ilvl w:val="0"/>
                <w:numId w:val="9"/>
              </w:numPr>
              <w:jc w:val="left"/>
              <w:rPr>
                <w:rFonts w:cs="Arial"/>
                <w:lang w:val="de-DE"/>
              </w:rPr>
            </w:pPr>
            <w:r w:rsidRPr="00F24BA0">
              <w:rPr>
                <w:rFonts w:cs="Arial"/>
                <w:lang w:val="de-DE"/>
              </w:rPr>
              <w:t xml:space="preserve">Zusammenarbeit bei der Prüfung </w:t>
            </w:r>
          </w:p>
          <w:p w:rsidR="00DC5345" w:rsidRPr="00F24BA0" w:rsidRDefault="00DC5345" w:rsidP="00DC5345">
            <w:pPr>
              <w:numPr>
                <w:ilvl w:val="0"/>
                <w:numId w:val="9"/>
              </w:numPr>
              <w:jc w:val="left"/>
              <w:rPr>
                <w:rFonts w:cs="Arial"/>
                <w:lang w:val="de-DE"/>
              </w:rPr>
            </w:pPr>
            <w:r w:rsidRPr="00F24BA0">
              <w:rPr>
                <w:rFonts w:cs="Arial"/>
                <w:lang w:val="de-DE"/>
              </w:rPr>
              <w:t xml:space="preserve">Liste der Gattungen und Arten, für die die Behörden über praktische Erfahrung bei der Prüfung der Unterscheidbarkeit, Homogenität und Beständigkeit verfüge </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l) </w:t>
            </w:r>
          </w:p>
        </w:tc>
        <w:tc>
          <w:tcPr>
            <w:tcW w:w="4735" w:type="pct"/>
            <w:hideMark/>
          </w:tcPr>
          <w:p w:rsidR="00DC5345" w:rsidRPr="00F24BA0" w:rsidRDefault="00DC5345" w:rsidP="00DC5345">
            <w:pPr>
              <w:jc w:val="left"/>
              <w:rPr>
                <w:rFonts w:cs="Arial"/>
                <w:lang w:val="de-DE"/>
              </w:rPr>
            </w:pPr>
            <w:r w:rsidRPr="00F24BA0">
              <w:rPr>
                <w:rFonts w:cs="Arial"/>
                <w:lang w:val="de-DE"/>
              </w:rPr>
              <w:t>Datenbank für Pflanzensorten</w:t>
            </w:r>
          </w:p>
        </w:tc>
      </w:tr>
      <w:tr w:rsidR="00DC5345" w:rsidRPr="00F24BA0" w:rsidTr="00DC5345">
        <w:trPr>
          <w:cantSplit/>
          <w:tblCellSpacing w:w="7" w:type="dxa"/>
        </w:trPr>
        <w:tc>
          <w:tcPr>
            <w:tcW w:w="243" w:type="pct"/>
            <w:hideMark/>
          </w:tcPr>
          <w:p w:rsidR="00DC5345" w:rsidRPr="00F24BA0" w:rsidRDefault="00DC5345" w:rsidP="00DC5345">
            <w:pPr>
              <w:jc w:val="left"/>
              <w:rPr>
                <w:rFonts w:cs="Arial"/>
                <w:lang w:val="de-DE"/>
              </w:rPr>
            </w:pPr>
            <w:r w:rsidRPr="00F24BA0">
              <w:rPr>
                <w:rFonts w:cs="Arial"/>
                <w:lang w:val="de-DE"/>
              </w:rPr>
              <w:t xml:space="preserve">m) </w:t>
            </w:r>
          </w:p>
        </w:tc>
        <w:tc>
          <w:tcPr>
            <w:tcW w:w="4735" w:type="pct"/>
            <w:hideMark/>
          </w:tcPr>
          <w:p w:rsidR="00DC5345" w:rsidRPr="00F24BA0" w:rsidRDefault="00DC5345" w:rsidP="00DC5345">
            <w:pPr>
              <w:jc w:val="left"/>
              <w:rPr>
                <w:rFonts w:cs="Arial"/>
                <w:lang w:val="de-DE"/>
              </w:rPr>
            </w:pPr>
            <w:r w:rsidRPr="00F24BA0">
              <w:rPr>
                <w:rFonts w:cs="Arial"/>
                <w:lang w:val="de-DE"/>
              </w:rPr>
              <w:t>GENIE-Datenbank</w:t>
            </w:r>
          </w:p>
        </w:tc>
      </w:tr>
    </w:tbl>
    <w:p w:rsidR="006B304B" w:rsidRPr="00F24BA0" w:rsidRDefault="006B304B" w:rsidP="00DC5345">
      <w:pPr>
        <w:keepNext/>
        <w:ind w:left="1170" w:hanging="603"/>
        <w:rPr>
          <w:lang w:val="de-DE"/>
        </w:rPr>
      </w:pPr>
    </w:p>
    <w:p w:rsidR="006B304B" w:rsidRPr="00F24BA0" w:rsidRDefault="006B304B" w:rsidP="006B304B">
      <w:pPr>
        <w:rPr>
          <w:lang w:val="de-DE"/>
        </w:rPr>
      </w:pPr>
      <w:r w:rsidRPr="00F24BA0">
        <w:rPr>
          <w:lang w:val="de-DE"/>
        </w:rPr>
        <w:t>Während des gesamten Lehrgangs DL-305 werden für diejenigen Studierenden, die weitere Informationen über einschlägige Themen wünschen, Verweise auf das Material in der UPOV</w:t>
      </w:r>
      <w:r w:rsidRPr="00F24BA0">
        <w:rPr>
          <w:lang w:val="de-DE"/>
        </w:rPr>
        <w:noBreakHyphen/>
        <w:t>Sammlung angegeben.</w:t>
      </w:r>
    </w:p>
    <w:p w:rsidR="006B304B" w:rsidRPr="00F24BA0" w:rsidRDefault="006B304B" w:rsidP="006B304B">
      <w:pPr>
        <w:rPr>
          <w:b/>
          <w:bCs/>
          <w:kern w:val="36"/>
          <w:lang w:val="de-DE" w:eastAsia="nl-NL"/>
        </w:rPr>
      </w:pPr>
    </w:p>
    <w:p w:rsidR="006B304B" w:rsidRPr="00F24BA0" w:rsidRDefault="006B304B" w:rsidP="006B304B">
      <w:pPr>
        <w:rPr>
          <w:lang w:val="de-DE"/>
        </w:rPr>
      </w:pPr>
    </w:p>
    <w:p w:rsidR="00DC5345" w:rsidRPr="00F24BA0" w:rsidRDefault="00DC5345" w:rsidP="006B304B">
      <w:pPr>
        <w:rPr>
          <w:lang w:val="de-DE"/>
        </w:rPr>
      </w:pPr>
    </w:p>
    <w:p w:rsidR="006B304B" w:rsidRPr="00F24BA0" w:rsidRDefault="00E22FDC" w:rsidP="00E22FDC">
      <w:pPr>
        <w:rPr>
          <w:lang w:val="de-DE"/>
        </w:rPr>
      </w:pPr>
      <w:bookmarkStart w:id="49" w:name="_Toc379270997"/>
      <w:bookmarkStart w:id="50" w:name="_Toc381436196"/>
      <w:bookmarkStart w:id="51" w:name="_Toc381447290"/>
      <w:bookmarkStart w:id="52" w:name="_Toc381598691"/>
      <w:bookmarkStart w:id="53" w:name="_Toc382491245"/>
      <w:r w:rsidRPr="00F24BA0">
        <w:rPr>
          <w:lang w:val="de-DE"/>
        </w:rPr>
        <w:t>ERRICHTUNG EINES ZÜCHTERRECHTSAMTES</w:t>
      </w:r>
      <w:bookmarkEnd w:id="49"/>
      <w:bookmarkEnd w:id="50"/>
      <w:bookmarkEnd w:id="51"/>
      <w:bookmarkEnd w:id="52"/>
      <w:bookmarkEnd w:id="53"/>
    </w:p>
    <w:p w:rsidR="006B304B" w:rsidRPr="00F24BA0" w:rsidRDefault="006B304B" w:rsidP="006B304B">
      <w:pPr>
        <w:rPr>
          <w:lang w:val="de-DE"/>
        </w:rPr>
      </w:pPr>
    </w:p>
    <w:p w:rsidR="006B304B" w:rsidRPr="00F24BA0" w:rsidRDefault="006B304B" w:rsidP="006B304B">
      <w:pPr>
        <w:rPr>
          <w:lang w:val="de-DE"/>
        </w:rPr>
      </w:pPr>
      <w:r w:rsidRPr="00F24BA0">
        <w:rPr>
          <w:lang w:val="de-DE"/>
        </w:rPr>
        <w:t>Das Züchterrechtsamt wird häufig unter dem für Landwirtschaft oder für geistiges Eigentum zuständigen Ministerium errichtet. Landwirtschaftsministerien verfügen in der Regel über Erfahrung mit sortenbezogenen Systemen, wie Saatgutzertifizierung und Nationalen Sortenlisten. Das Züchterrechtsamt kann jedoch beispielsweise unter einem Ministerium errichtet werden, das für geistiges Eigentum zuständig ist.</w:t>
      </w:r>
    </w:p>
    <w:p w:rsidR="006B304B" w:rsidRPr="00F24BA0" w:rsidRDefault="006B304B" w:rsidP="006B304B">
      <w:pPr>
        <w:rPr>
          <w:lang w:val="de-DE"/>
        </w:rPr>
      </w:pPr>
    </w:p>
    <w:p w:rsidR="006B304B" w:rsidRPr="00F24BA0" w:rsidRDefault="006B304B" w:rsidP="006B304B">
      <w:pPr>
        <w:rPr>
          <w:lang w:val="de-DE"/>
        </w:rPr>
      </w:pPr>
      <w:r w:rsidRPr="00F24BA0">
        <w:rPr>
          <w:lang w:val="de-DE"/>
        </w:rPr>
        <w:t>Ein UPOV-Mitglied kann sich auch dafür entscheiden, ein von einem anderen UPOV-Mitglied, beispielsweise einer regionalen oder supranationalen zwischenstaatlichen Organisation, unterhaltenes Züchterrechtsamt mit der Aufgabe der Erteilung von Züchterrechten zu betrauen.</w:t>
      </w:r>
    </w:p>
    <w:p w:rsidR="006B304B" w:rsidRPr="00F24BA0" w:rsidRDefault="006B304B" w:rsidP="006B304B">
      <w:pPr>
        <w:rPr>
          <w:lang w:val="de-DE"/>
        </w:rPr>
      </w:pPr>
    </w:p>
    <w:p w:rsidR="00DC5345" w:rsidRPr="00F24BA0" w:rsidRDefault="00DC5345" w:rsidP="006B304B">
      <w:pPr>
        <w:rPr>
          <w:lang w:val="de-DE"/>
        </w:rPr>
      </w:pPr>
    </w:p>
    <w:p w:rsidR="006B304B" w:rsidRPr="00F24BA0" w:rsidRDefault="006B304B" w:rsidP="006B304B">
      <w:pPr>
        <w:rPr>
          <w:lang w:val="de-DE"/>
        </w:rPr>
      </w:pPr>
    </w:p>
    <w:p w:rsidR="006B304B" w:rsidRPr="00F24BA0" w:rsidRDefault="00E22FDC" w:rsidP="00E22FDC">
      <w:pPr>
        <w:rPr>
          <w:lang w:val="de-DE"/>
        </w:rPr>
      </w:pPr>
      <w:bookmarkStart w:id="54" w:name="_Toc379270998"/>
      <w:bookmarkStart w:id="55" w:name="_Toc381436197"/>
      <w:bookmarkStart w:id="56" w:name="_Toc381447291"/>
      <w:bookmarkStart w:id="57" w:name="_Toc381598692"/>
      <w:bookmarkStart w:id="58" w:name="_Toc382491246"/>
      <w:r w:rsidRPr="00F24BA0">
        <w:rPr>
          <w:lang w:val="de-DE"/>
        </w:rPr>
        <w:t>FUNKTIONEN UND AUFBAU EINES ZÜCHTERRECHTSAMTES</w:t>
      </w:r>
      <w:bookmarkEnd w:id="54"/>
      <w:bookmarkEnd w:id="55"/>
      <w:bookmarkEnd w:id="56"/>
      <w:bookmarkEnd w:id="57"/>
      <w:bookmarkEnd w:id="58"/>
    </w:p>
    <w:p w:rsidR="006B304B" w:rsidRPr="00F24BA0" w:rsidRDefault="006B304B" w:rsidP="006B304B">
      <w:pPr>
        <w:rPr>
          <w:lang w:val="de-DE"/>
        </w:rPr>
      </w:pPr>
    </w:p>
    <w:p w:rsidR="006B304B" w:rsidRPr="00F24BA0" w:rsidRDefault="006B304B" w:rsidP="006B304B">
      <w:pPr>
        <w:rPr>
          <w:lang w:val="de-DE"/>
        </w:rPr>
      </w:pPr>
      <w:r w:rsidRPr="00F24BA0">
        <w:rPr>
          <w:lang w:val="de-DE"/>
        </w:rPr>
        <w:t>Das UPOV-Übereinkommen bestimmt die Tätigkeiten, die vom Züchterrechtsamt zu unternehmen sind, legt jedoch nicht ein bestimmtes Modell fest. Deshalb können die UPOV-Mitglieder das Züchterrechtsamt in Einklang mit ihrer eigenen Situation organisieren.</w:t>
      </w:r>
    </w:p>
    <w:p w:rsidR="006B304B" w:rsidRPr="00F24BA0" w:rsidRDefault="006B304B" w:rsidP="006B304B">
      <w:pPr>
        <w:rPr>
          <w:lang w:val="de-DE"/>
        </w:rPr>
      </w:pPr>
    </w:p>
    <w:p w:rsidR="006B304B" w:rsidRPr="00F24BA0" w:rsidRDefault="006B304B" w:rsidP="00DC5345">
      <w:pPr>
        <w:keepNext/>
        <w:rPr>
          <w:lang w:val="de-DE"/>
        </w:rPr>
      </w:pPr>
      <w:r w:rsidRPr="00F24BA0">
        <w:rPr>
          <w:lang w:val="de-DE"/>
        </w:rPr>
        <w:lastRenderedPageBreak/>
        <w:t>Folgendes Ablaufdiagramm veranschaulicht den grundlegenden Aufgabenablauf in einem typischen Züchterrechtsamt. Modul 2: „Verwaltung der Anträge“ erteilt weitere Informationen über die im Ablaufdiagramm aufgeführten Aufgaben.</w:t>
      </w:r>
    </w:p>
    <w:p w:rsidR="006B304B" w:rsidRPr="00F24BA0" w:rsidRDefault="006B304B" w:rsidP="00DC5345">
      <w:pPr>
        <w:keepNext/>
        <w:rPr>
          <w:lang w:val="de-DE"/>
        </w:rPr>
      </w:pPr>
    </w:p>
    <w:p w:rsidR="006B304B" w:rsidRPr="00F24BA0" w:rsidRDefault="006B304B" w:rsidP="006B304B">
      <w:pPr>
        <w:keepNext/>
        <w:rPr>
          <w:lang w:val="de-DE"/>
        </w:rPr>
      </w:pPr>
      <w:r w:rsidRPr="00F24BA0">
        <w:rPr>
          <w:lang w:val="de-DE"/>
        </w:rPr>
        <w:t>Ablaufdiagramm 1</w:t>
      </w:r>
      <w:r w:rsidRPr="00F24BA0">
        <w:rPr>
          <w:vertAlign w:val="superscript"/>
          <w:lang w:val="de-DE"/>
        </w:rPr>
        <w:footnoteReference w:id="3"/>
      </w:r>
      <w:r w:rsidRPr="00F24BA0">
        <w:rPr>
          <w:lang w:val="de-DE"/>
        </w:rPr>
        <w:t>: Grundlegende Aufgaben des Züchterrechtsamtes</w:t>
      </w:r>
    </w:p>
    <w:p w:rsidR="006B304B" w:rsidRPr="00F24BA0" w:rsidRDefault="006B304B" w:rsidP="006B304B">
      <w:pPr>
        <w:keepNext/>
        <w:rPr>
          <w:lang w:val="de-DE"/>
        </w:rPr>
      </w:pPr>
    </w:p>
    <w:p w:rsidR="006B304B" w:rsidRPr="00F24BA0" w:rsidRDefault="006B304B" w:rsidP="006B304B">
      <w:pPr>
        <w:rPr>
          <w:lang w:val="de-DE"/>
        </w:rPr>
      </w:pPr>
      <w:r w:rsidRPr="00F24BA0">
        <w:rPr>
          <w:noProof/>
          <w:sz w:val="16"/>
          <w:szCs w:val="16"/>
        </w:rPr>
        <w:drawing>
          <wp:inline distT="0" distB="0" distL="0" distR="0" wp14:anchorId="0FA404FC" wp14:editId="225FE854">
            <wp:extent cx="5761355" cy="5445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DE_xxx.jpg"/>
                    <pic:cNvPicPr/>
                  </pic:nvPicPr>
                  <pic:blipFill>
                    <a:blip r:embed="rId13">
                      <a:extLst>
                        <a:ext uri="{28A0092B-C50C-407E-A947-70E740481C1C}">
                          <a14:useLocalDpi xmlns:a14="http://schemas.microsoft.com/office/drawing/2010/main" val="0"/>
                        </a:ext>
                      </a:extLst>
                    </a:blip>
                    <a:stretch>
                      <a:fillRect/>
                    </a:stretch>
                  </pic:blipFill>
                  <pic:spPr>
                    <a:xfrm>
                      <a:off x="0" y="0"/>
                      <a:ext cx="5761355" cy="5445760"/>
                    </a:xfrm>
                    <a:prstGeom prst="rect">
                      <a:avLst/>
                    </a:prstGeom>
                  </pic:spPr>
                </pic:pic>
              </a:graphicData>
            </a:graphic>
          </wp:inline>
        </w:drawing>
      </w:r>
    </w:p>
    <w:p w:rsidR="006B304B" w:rsidRPr="00F24BA0" w:rsidRDefault="006B304B" w:rsidP="006B304B">
      <w:pPr>
        <w:rPr>
          <w:lang w:val="de-DE"/>
        </w:rPr>
      </w:pPr>
    </w:p>
    <w:p w:rsidR="006B304B" w:rsidRPr="00F24BA0" w:rsidRDefault="006B304B" w:rsidP="006B304B">
      <w:pPr>
        <w:rPr>
          <w:lang w:val="de-DE"/>
        </w:rPr>
      </w:pPr>
    </w:p>
    <w:p w:rsidR="004E5B9C" w:rsidRPr="00F24BA0" w:rsidRDefault="004E5B9C" w:rsidP="004E5B9C">
      <w:pPr>
        <w:jc w:val="right"/>
        <w:rPr>
          <w:lang w:val="de-DE"/>
        </w:rPr>
      </w:pPr>
    </w:p>
    <w:p w:rsidR="004E5B9C" w:rsidRPr="00F24BA0" w:rsidRDefault="004E5B9C" w:rsidP="004E5B9C">
      <w:pPr>
        <w:jc w:val="right"/>
        <w:rPr>
          <w:lang w:val="de-DE"/>
        </w:rPr>
      </w:pPr>
    </w:p>
    <w:p w:rsidR="004E5B9C" w:rsidRPr="00F24BA0" w:rsidRDefault="004E5B9C" w:rsidP="004E5B9C">
      <w:pPr>
        <w:jc w:val="left"/>
        <w:rPr>
          <w:lang w:val="de-DE"/>
        </w:rPr>
      </w:pPr>
      <w:r w:rsidRPr="00F24BA0">
        <w:rPr>
          <w:lang w:val="de-DE"/>
        </w:rPr>
        <w:br w:type="page"/>
      </w:r>
    </w:p>
    <w:p w:rsidR="004E5B9C" w:rsidRPr="00F24BA0" w:rsidRDefault="004E5B9C" w:rsidP="004E5B9C">
      <w:pPr>
        <w:jc w:val="right"/>
        <w:rPr>
          <w:lang w:val="de-DE"/>
        </w:rPr>
      </w:pPr>
    </w:p>
    <w:p w:rsidR="00D269FE" w:rsidRPr="00F24BA0" w:rsidRDefault="00D269FE" w:rsidP="00D269FE">
      <w:pPr>
        <w:rPr>
          <w:lang w:val="de-DE"/>
        </w:rPr>
      </w:pPr>
      <w:r w:rsidRPr="00F24BA0">
        <w:rPr>
          <w:lang w:val="de-DE"/>
        </w:rPr>
        <w:t>MODUL 2: VERWALTUNG DER ANTRÄGE</w:t>
      </w:r>
    </w:p>
    <w:p w:rsidR="00D269FE" w:rsidRPr="00F24BA0" w:rsidRDefault="00D269FE" w:rsidP="00D269FE">
      <w:pPr>
        <w:rPr>
          <w:lang w:val="de-DE"/>
        </w:rPr>
      </w:pPr>
    </w:p>
    <w:p w:rsidR="00D269FE" w:rsidRPr="00F24BA0" w:rsidRDefault="00D269FE" w:rsidP="00D269FE">
      <w:pPr>
        <w:rPr>
          <w:u w:val="single"/>
          <w:lang w:val="de-DE"/>
        </w:rPr>
      </w:pPr>
      <w:r w:rsidRPr="00F24BA0">
        <w:rPr>
          <w:u w:val="single"/>
          <w:lang w:val="de-DE"/>
        </w:rPr>
        <w:t>Ziel</w:t>
      </w:r>
    </w:p>
    <w:p w:rsidR="00D269FE" w:rsidRPr="00F24BA0" w:rsidRDefault="00D269FE" w:rsidP="00D269FE">
      <w:pPr>
        <w:rPr>
          <w:lang w:val="de-DE"/>
        </w:rPr>
      </w:pPr>
    </w:p>
    <w:p w:rsidR="00D269FE" w:rsidRPr="00F24BA0" w:rsidRDefault="00D269FE" w:rsidP="00D269FE">
      <w:pPr>
        <w:rPr>
          <w:i/>
          <w:lang w:val="de-DE"/>
        </w:rPr>
      </w:pPr>
      <w:r w:rsidRPr="00F24BA0">
        <w:rPr>
          <w:i/>
          <w:lang w:val="de-DE"/>
        </w:rPr>
        <w:t>Ziel dieses Moduls ist es, die grundlegenden Aufgaben des Züchterrechtsamtes bei der Verwaltung von Anträgen auf Erteilung von Züchterrechten zu erläutern. Das Modul erläutert die grundlegenden Aufgaben im Züchterrechtsamt, wie im Flußdiagramm in Modul 1, „Das Züchterrechtsamt“, dargestellt.</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r w:rsidRPr="00F24BA0">
        <w:rPr>
          <w:lang w:val="de-DE"/>
        </w:rPr>
        <w:br w:type="page"/>
      </w:r>
    </w:p>
    <w:p w:rsidR="00D269FE" w:rsidRPr="00F24BA0" w:rsidRDefault="00D269FE" w:rsidP="007010F9">
      <w:pPr>
        <w:rPr>
          <w:lang w:val="de-DE"/>
        </w:rPr>
      </w:pPr>
      <w:bookmarkStart w:id="59" w:name="_Toc382813436"/>
      <w:bookmarkStart w:id="60" w:name="_Toc378597572"/>
      <w:bookmarkStart w:id="61" w:name="_Toc379273711"/>
      <w:bookmarkStart w:id="62" w:name="_Toc381527914"/>
      <w:bookmarkStart w:id="63" w:name="_Toc381538488"/>
      <w:bookmarkStart w:id="64" w:name="_Toc381539703"/>
      <w:bookmarkStart w:id="65" w:name="_Toc381598713"/>
      <w:r w:rsidRPr="00F24BA0">
        <w:rPr>
          <w:caps/>
          <w:lang w:val="de-DE"/>
        </w:rPr>
        <w:lastRenderedPageBreak/>
        <w:t>ANTRAG AUF ERTEILUNG VON ZÜCHTERRECHTEN</w:t>
      </w:r>
      <w:bookmarkEnd w:id="59"/>
      <w:r w:rsidR="00E86274" w:rsidRPr="00F24BA0">
        <w:rPr>
          <w:caps/>
          <w:lang w:val="de-DE"/>
        </w:rPr>
        <w:t xml:space="preserve"> </w:t>
      </w:r>
      <w:r w:rsidR="00E86274" w:rsidRPr="00F24BA0">
        <w:rPr>
          <w:lang w:val="de-DE"/>
        </w:rPr>
        <w:t>(VERGLEICHE HINWEIS A IM FLUSSDIAGRAMM IN MODUL 1)</w:t>
      </w:r>
      <w:bookmarkEnd w:id="60"/>
      <w:bookmarkEnd w:id="61"/>
      <w:bookmarkEnd w:id="62"/>
      <w:bookmarkEnd w:id="63"/>
      <w:bookmarkEnd w:id="64"/>
      <w:bookmarkEnd w:id="65"/>
    </w:p>
    <w:p w:rsidR="00D269FE" w:rsidRPr="00F24BA0" w:rsidRDefault="00D269FE" w:rsidP="00D269FE">
      <w:pPr>
        <w:rPr>
          <w:lang w:val="de-DE"/>
        </w:rPr>
      </w:pPr>
    </w:p>
    <w:p w:rsidR="00D269FE" w:rsidRPr="00F24BA0" w:rsidRDefault="00D269FE" w:rsidP="007010F9">
      <w:pPr>
        <w:rPr>
          <w:u w:val="single"/>
          <w:lang w:val="de-DE"/>
        </w:rPr>
      </w:pPr>
      <w:bookmarkStart w:id="66" w:name="_Toc379273712"/>
      <w:bookmarkStart w:id="67" w:name="_Toc381527915"/>
      <w:bookmarkStart w:id="68" w:name="_Toc381538489"/>
      <w:bookmarkStart w:id="69" w:name="_Toc381539704"/>
      <w:bookmarkStart w:id="70" w:name="_Toc381598714"/>
      <w:bookmarkStart w:id="71" w:name="_Toc382813437"/>
      <w:r w:rsidRPr="00F24BA0">
        <w:rPr>
          <w:u w:val="single"/>
          <w:lang w:val="de-DE"/>
        </w:rPr>
        <w:t>Einführung</w:t>
      </w:r>
      <w:bookmarkEnd w:id="66"/>
      <w:bookmarkEnd w:id="67"/>
      <w:bookmarkEnd w:id="68"/>
      <w:bookmarkEnd w:id="69"/>
      <w:bookmarkEnd w:id="70"/>
      <w:bookmarkEnd w:id="71"/>
    </w:p>
    <w:p w:rsidR="00D269FE" w:rsidRPr="00F24BA0" w:rsidRDefault="00D269FE" w:rsidP="00D269FE">
      <w:pPr>
        <w:rPr>
          <w:lang w:val="de-DE"/>
        </w:rPr>
      </w:pPr>
    </w:p>
    <w:p w:rsidR="00D269FE" w:rsidRPr="00F24BA0" w:rsidRDefault="00D269FE" w:rsidP="00D269FE">
      <w:pPr>
        <w:rPr>
          <w:lang w:val="de-DE"/>
        </w:rPr>
      </w:pPr>
      <w:r w:rsidRPr="00F24BA0">
        <w:rPr>
          <w:lang w:val="de-DE"/>
        </w:rPr>
        <w:t>Bevor das Züchterrechtsamt Anträge auf Erteilung von Züchterrechten entgegennimmt, muß es entsprechende Formblätter ausarbeiten und bereit sein, ein Datum und eine Frist für die Einreichung zuzuweisen.</w:t>
      </w:r>
    </w:p>
    <w:p w:rsidR="00D269FE" w:rsidRPr="00F24BA0" w:rsidRDefault="00D269FE" w:rsidP="00D269FE">
      <w:pPr>
        <w:rPr>
          <w:lang w:val="de-DE"/>
        </w:rPr>
      </w:pPr>
    </w:p>
    <w:p w:rsidR="00D269FE" w:rsidRPr="00F24BA0" w:rsidRDefault="00D269FE" w:rsidP="00D269FE">
      <w:pPr>
        <w:rPr>
          <w:lang w:val="de-DE"/>
        </w:rPr>
      </w:pPr>
      <w:r w:rsidRPr="00F24BA0">
        <w:rPr>
          <w:lang w:val="de-DE"/>
        </w:rPr>
        <w:t>In einigen UPOV-Mitgliedern lassen die Rechtsvorschriften die Einreichung des Antrags nur in Papierform zu. Andere erlauben die Benutzung elektronischer Antragsformblätter zur Ersetzung oder Ergänzung von Papierexemplaren, was die Nutzung von Datenbanken und das Informationsmanagement erleichtert. Damit die UPOV-Mitglieder Anträge in elektronischem Format entgegennehmen können, benötigen sie möglicherweise ein Zusatzsystem, beispielsweise für die Erkennung digitaler Unterschriften, die elektronische Zahlung und Sicherheitsangelegenheiten.</w:t>
      </w:r>
    </w:p>
    <w:p w:rsidR="00D269FE" w:rsidRPr="00F24BA0" w:rsidRDefault="00D269FE" w:rsidP="00D269FE">
      <w:pPr>
        <w:rPr>
          <w:lang w:val="de-DE"/>
        </w:rPr>
      </w:pPr>
    </w:p>
    <w:p w:rsidR="00D269FE" w:rsidRPr="00F24BA0" w:rsidRDefault="00D269FE" w:rsidP="00D269FE">
      <w:pPr>
        <w:rPr>
          <w:lang w:val="de-DE"/>
        </w:rPr>
      </w:pPr>
      <w:r w:rsidRPr="00F24BA0">
        <w:rPr>
          <w:lang w:val="de-DE"/>
        </w:rPr>
        <w:t>Schutzanträge müssen vom Züchterrechtsamt verwaltet werden, und ihre Verwaltung kann die Nutzung spezifischer Anwendungssoftware bedingen. Die gemeinsame Nutzung von Anwendungssoftware durch UPOV</w:t>
      </w:r>
      <w:r w:rsidRPr="00F24BA0">
        <w:rPr>
          <w:lang w:val="de-DE"/>
        </w:rPr>
        <w:noBreakHyphen/>
        <w:t xml:space="preserve">Mitglieder stellt ein wichtiges Mittel zur Unterstützung der Verwaltung von Anträgen und zur Sortenprüfung bereit. Informationen über die gemeinsame Nutzung von Software durch UPOV-Mitglieder sind in Dokument UPOV/INF/16, „Austauschbare Software“, enthalten (verfügbar unter </w:t>
      </w:r>
      <w:hyperlink r:id="rId14" w:history="1">
        <w:r w:rsidRPr="00F24BA0">
          <w:rPr>
            <w:color w:val="0000FF"/>
            <w:u w:val="single"/>
            <w:lang w:val="de-DE"/>
          </w:rPr>
          <w:t>http://www.upov.int/information_documents/de/</w:t>
        </w:r>
      </w:hyperlink>
      <w:r w:rsidRPr="00F24BA0">
        <w:rPr>
          <w:lang w:val="de-DE"/>
        </w:rPr>
        <w:t>).</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7010F9">
      <w:pPr>
        <w:rPr>
          <w:u w:val="single"/>
          <w:lang w:val="de-DE"/>
        </w:rPr>
      </w:pPr>
      <w:bookmarkStart w:id="72" w:name="_Toc378597573"/>
      <w:bookmarkStart w:id="73" w:name="_Toc379273713"/>
      <w:bookmarkStart w:id="74" w:name="_Toc381527916"/>
      <w:bookmarkStart w:id="75" w:name="_Toc381538490"/>
      <w:bookmarkStart w:id="76" w:name="_Toc381539705"/>
      <w:bookmarkStart w:id="77" w:name="_Toc381598715"/>
      <w:bookmarkStart w:id="78" w:name="_Toc382813438"/>
      <w:r w:rsidRPr="00F24BA0">
        <w:rPr>
          <w:u w:val="single"/>
          <w:lang w:val="de-DE"/>
        </w:rPr>
        <w:t>Erarbeitung von Formblättern</w:t>
      </w:r>
      <w:bookmarkEnd w:id="72"/>
      <w:bookmarkEnd w:id="73"/>
      <w:bookmarkEnd w:id="74"/>
      <w:bookmarkEnd w:id="75"/>
      <w:bookmarkEnd w:id="76"/>
      <w:bookmarkEnd w:id="77"/>
      <w:bookmarkEnd w:id="78"/>
    </w:p>
    <w:p w:rsidR="00D269FE" w:rsidRPr="00F24BA0" w:rsidRDefault="00D269FE" w:rsidP="00D269FE">
      <w:pPr>
        <w:rPr>
          <w:b/>
          <w:lang w:val="de-DE"/>
        </w:rPr>
      </w:pPr>
    </w:p>
    <w:p w:rsidR="00D269FE" w:rsidRPr="00F24BA0" w:rsidRDefault="00D269FE" w:rsidP="00D269FE">
      <w:pPr>
        <w:rPr>
          <w:lang w:val="de-DE"/>
        </w:rPr>
      </w:pPr>
      <w:r w:rsidRPr="00F24BA0">
        <w:rPr>
          <w:lang w:val="de-DE"/>
        </w:rPr>
        <w:t>Um die Umsetzung der Verfahren für die Einreichung von Sortenschutzanträgen zu erleichtern, arbeitete die UPOV Musterformblätter aus, die von den einzelnen Züchterrechtsämtern in ihrem jeweiligen nationalen oder regionalen Kontext benutzt werden können.</w:t>
      </w:r>
    </w:p>
    <w:p w:rsidR="00D269FE" w:rsidRPr="00F24BA0" w:rsidRDefault="00D269FE" w:rsidP="00D269FE">
      <w:pPr>
        <w:spacing w:line="360" w:lineRule="auto"/>
        <w:rPr>
          <w:lang w:val="de-DE"/>
        </w:rPr>
      </w:pPr>
    </w:p>
    <w:p w:rsidR="00D269FE" w:rsidRPr="00F24BA0" w:rsidRDefault="00D269FE" w:rsidP="007010F9">
      <w:pPr>
        <w:keepNext/>
        <w:rPr>
          <w:i/>
          <w:lang w:val="de-DE"/>
        </w:rPr>
      </w:pPr>
      <w:bookmarkStart w:id="79" w:name="_Toc378597574"/>
      <w:bookmarkStart w:id="80" w:name="_Toc379273714"/>
      <w:bookmarkStart w:id="81" w:name="_Toc381527917"/>
      <w:bookmarkStart w:id="82" w:name="_Toc381538491"/>
      <w:bookmarkStart w:id="83" w:name="_Toc381539706"/>
      <w:bookmarkStart w:id="84" w:name="_Toc381598716"/>
      <w:bookmarkStart w:id="85" w:name="_Toc382813439"/>
      <w:r w:rsidRPr="00F24BA0">
        <w:rPr>
          <w:i/>
          <w:lang w:val="de-DE"/>
        </w:rPr>
        <w:t>UPOV-Musterantragsformblatt</w:t>
      </w:r>
      <w:bookmarkEnd w:id="79"/>
      <w:bookmarkEnd w:id="80"/>
      <w:bookmarkEnd w:id="81"/>
      <w:bookmarkEnd w:id="82"/>
      <w:bookmarkEnd w:id="83"/>
      <w:bookmarkEnd w:id="84"/>
      <w:bookmarkEnd w:id="85"/>
    </w:p>
    <w:p w:rsidR="00D269FE" w:rsidRPr="00F24BA0" w:rsidRDefault="00D269FE" w:rsidP="007010F9">
      <w:pPr>
        <w:keepNext/>
        <w:rPr>
          <w:u w:val="single"/>
          <w:lang w:val="de-DE"/>
        </w:rPr>
      </w:pPr>
    </w:p>
    <w:p w:rsidR="00D269FE" w:rsidRPr="00F24BA0" w:rsidRDefault="00D269FE" w:rsidP="00D269FE">
      <w:pPr>
        <w:rPr>
          <w:lang w:val="de-DE"/>
        </w:rPr>
      </w:pPr>
      <w:r w:rsidRPr="00F24BA0">
        <w:rPr>
          <w:lang w:val="de-DE"/>
        </w:rPr>
        <w:t>Dokument TGP/5, „Erfahrung und Zusammenarbeit bei der DUS-Prüfung“, enthält das „UPOV-Musterformblatt für die Anmeldung einer Sorte zur Erteilung des Sortenschutzes“ (</w:t>
      </w:r>
      <w:hyperlink r:id="rId15" w:history="1">
        <w:r w:rsidRPr="00F24BA0">
          <w:rPr>
            <w:rFonts w:cs="Arial"/>
            <w:lang w:val="de-DE"/>
          </w:rPr>
          <w:t>TGP/5, Abschnitt 2</w:t>
        </w:r>
      </w:hyperlink>
      <w:r w:rsidRPr="00F24BA0">
        <w:rPr>
          <w:lang w:val="de-DE"/>
        </w:rPr>
        <w:t>). Das UPOV</w:t>
      </w:r>
      <w:r w:rsidRPr="00F24BA0">
        <w:rPr>
          <w:lang w:val="de-DE"/>
        </w:rPr>
        <w:noBreakHyphen/>
        <w:t xml:space="preserve">Musterformblatt weist den im Auszug auf der folgenden Seite wiedergegebenen Aufbau auf (verfügbar unter: </w:t>
      </w:r>
      <w:hyperlink r:id="rId16" w:history="1">
        <w:r w:rsidRPr="00F24BA0">
          <w:rPr>
            <w:color w:val="0000FF"/>
            <w:u w:val="single"/>
            <w:lang w:val="de-DE"/>
          </w:rPr>
          <w:t>http://www.upov.int/tgp/de/</w:t>
        </w:r>
      </w:hyperlink>
      <w:r w:rsidRPr="00F24BA0">
        <w:rPr>
          <w:lang w:val="de-DE"/>
        </w:rPr>
        <w:t>).</w:t>
      </w:r>
    </w:p>
    <w:p w:rsidR="00D269FE" w:rsidRPr="00F24BA0" w:rsidRDefault="00D269FE" w:rsidP="00D269FE">
      <w:pPr>
        <w:rPr>
          <w:lang w:val="de-DE"/>
        </w:rPr>
      </w:pPr>
    </w:p>
    <w:p w:rsidR="00D269FE" w:rsidRPr="00F24BA0" w:rsidRDefault="00D269FE" w:rsidP="00D269FE">
      <w:pPr>
        <w:autoSpaceDE w:val="0"/>
        <w:autoSpaceDN w:val="0"/>
        <w:adjustRightInd w:val="0"/>
        <w:rPr>
          <w:lang w:val="de-DE"/>
        </w:rPr>
      </w:pPr>
      <w:r w:rsidRPr="00F24BA0">
        <w:rPr>
          <w:lang w:val="de-DE"/>
        </w:rPr>
        <w:t xml:space="preserve">Bei der Umwandlung des UPOV-Musterformblatts in das Formblatt eines Züchterrechtsamtes und der Ausarbeitung von Erläuterungen für das Ausfüllen dieses Formblattes sind Inhalt und Terminologie des geltenden Rechts des UPOV-Mitglieds zu berücksichtigen. Um sicherzustellen, daß das UPOV-Musterformblatt seinen Zweck erfüllt, ist es wichtig, den allgemeinen Aufbau, den Inhalt und die </w:t>
      </w:r>
      <w:r w:rsidR="00F24BA0" w:rsidRPr="00F24BA0">
        <w:rPr>
          <w:lang w:val="de-DE"/>
        </w:rPr>
        <w:t>Nummerierung</w:t>
      </w:r>
      <w:r w:rsidRPr="00F24BA0">
        <w:rPr>
          <w:lang w:val="de-DE"/>
        </w:rPr>
        <w:t xml:space="preserve"> der einzelnen Teile in den Formblättern des Züchterrechtsamtes beizubehalten.</w:t>
      </w:r>
    </w:p>
    <w:p w:rsidR="00D269FE" w:rsidRPr="00F24BA0" w:rsidRDefault="00D269FE" w:rsidP="00D269FE">
      <w:pPr>
        <w:autoSpaceDE w:val="0"/>
        <w:autoSpaceDN w:val="0"/>
        <w:adjustRightInd w:val="0"/>
        <w:rPr>
          <w:lang w:val="de-DE"/>
        </w:rPr>
      </w:pPr>
    </w:p>
    <w:p w:rsidR="00D269FE" w:rsidRPr="00F24BA0" w:rsidRDefault="00D269FE" w:rsidP="00D269FE">
      <w:pPr>
        <w:autoSpaceDE w:val="0"/>
        <w:autoSpaceDN w:val="0"/>
        <w:adjustRightInd w:val="0"/>
        <w:rPr>
          <w:lang w:val="de-DE"/>
        </w:rPr>
      </w:pPr>
      <w:r w:rsidRPr="00F24BA0">
        <w:rPr>
          <w:lang w:val="de-DE"/>
        </w:rPr>
        <w:t>Für jedes Feld im UPOV-Musterformblatt wurde ein UPOV-Standardverweis angegeben, beispielsweise für Punkt 1.(a), „Name des(r) Anmelder(s)“ lautet der UPOV-Standardverweis „UPOV A1: 1(a)(i)“. Zur Erleichterung der Harmonisierung und zur Unterstützung der Anmelder kann ein Züchterrechtsamt diesen UPOV</w:t>
      </w:r>
      <w:r w:rsidRPr="00F24BA0">
        <w:rPr>
          <w:lang w:val="de-DE"/>
        </w:rPr>
        <w:noBreakHyphen/>
        <w:t>Standardverweis in das entsprechende Feld seines eigenen Formblatts einfügen. Es ist Sache jedes Züchterrechtsamtes zu entscheiden, ob das Feld in seinem eigenen Formblatt dem Feld im UPOV</w:t>
      </w:r>
      <w:r w:rsidRPr="00F24BA0">
        <w:rPr>
          <w:lang w:val="de-DE"/>
        </w:rPr>
        <w:noBreakHyphen/>
        <w:t>Musterantragsformblatt genau genug entspricht, um den UPOV-Standardverweis einfügen zu können.</w:t>
      </w:r>
    </w:p>
    <w:p w:rsidR="00D269FE" w:rsidRPr="00F24BA0" w:rsidRDefault="00D269FE" w:rsidP="00D269FE">
      <w:pPr>
        <w:autoSpaceDE w:val="0"/>
        <w:autoSpaceDN w:val="0"/>
        <w:adjustRightInd w:val="0"/>
        <w:rPr>
          <w:lang w:val="de-DE"/>
        </w:rPr>
      </w:pPr>
    </w:p>
    <w:p w:rsidR="00D269FE" w:rsidRPr="00F24BA0" w:rsidRDefault="00D269FE" w:rsidP="00D269FE">
      <w:pPr>
        <w:autoSpaceDE w:val="0"/>
        <w:autoSpaceDN w:val="0"/>
        <w:adjustRightInd w:val="0"/>
        <w:rPr>
          <w:lang w:val="de-DE"/>
        </w:rPr>
      </w:pPr>
      <w:r w:rsidRPr="00F24BA0">
        <w:rPr>
          <w:lang w:val="de-DE"/>
        </w:rPr>
        <w:t xml:space="preserve">Dokument </w:t>
      </w:r>
      <w:hyperlink r:id="rId17" w:history="1">
        <w:r w:rsidRPr="00F24BA0">
          <w:rPr>
            <w:rFonts w:cs="Arial"/>
            <w:lang w:val="de-DE"/>
          </w:rPr>
          <w:t xml:space="preserve">TGP/5, Abschnitt 2, erteilt weitere Informationen über die einzelnen Punkte des </w:t>
        </w:r>
      </w:hyperlink>
      <w:r w:rsidRPr="00F24BA0">
        <w:rPr>
          <w:lang w:val="de-DE"/>
        </w:rPr>
        <w:t>UPOV</w:t>
      </w:r>
      <w:r w:rsidRPr="00F24BA0">
        <w:rPr>
          <w:lang w:val="de-DE"/>
        </w:rPr>
        <w:noBreakHyphen/>
        <w:t>Musterformblatts.</w:t>
      </w:r>
    </w:p>
    <w:p w:rsidR="00D269FE" w:rsidRPr="00F24BA0" w:rsidRDefault="00D269FE" w:rsidP="00D269FE">
      <w:pPr>
        <w:jc w:val="left"/>
        <w:rPr>
          <w:lang w:val="de-DE"/>
        </w:rPr>
      </w:pPr>
    </w:p>
    <w:p w:rsidR="00D269FE" w:rsidRPr="00F24BA0" w:rsidRDefault="00D269FE" w:rsidP="00D269FE">
      <w:pPr>
        <w:jc w:val="left"/>
        <w:rPr>
          <w:lang w:val="de-DE"/>
        </w:rPr>
      </w:pPr>
      <w:r w:rsidRPr="00F24BA0">
        <w:rPr>
          <w:lang w:val="de-DE"/>
        </w:rPr>
        <w:br w:type="page"/>
      </w:r>
    </w:p>
    <w:p w:rsidR="00D269FE" w:rsidRPr="00F24BA0" w:rsidRDefault="00D269FE" w:rsidP="007010F9">
      <w:pPr>
        <w:jc w:val="center"/>
        <w:rPr>
          <w:lang w:val="de-DE"/>
        </w:rPr>
      </w:pPr>
      <w:r w:rsidRPr="00F24BA0">
        <w:rPr>
          <w:lang w:val="de-DE"/>
        </w:rPr>
        <w:lastRenderedPageBreak/>
        <w:t>UPOV-MUSTERFORMBLATT FÜR DIE ANMELDUNG EINER SORTE</w:t>
      </w:r>
      <w:r w:rsidRPr="00F24BA0">
        <w:rPr>
          <w:lang w:val="de-DE"/>
        </w:rPr>
        <w:br/>
        <w:t>ZUR ERTEILUNG DES SORTENSCHUTZES</w:t>
      </w:r>
    </w:p>
    <w:p w:rsidR="00D269FE" w:rsidRPr="00F24BA0" w:rsidRDefault="00D269FE" w:rsidP="00D269FE">
      <w:pPr>
        <w:jc w:val="center"/>
        <w:rPr>
          <w:lang w:val="de-DE"/>
        </w:rPr>
      </w:pPr>
    </w:p>
    <w:tbl>
      <w:tblPr>
        <w:tblW w:w="10843" w:type="dxa"/>
        <w:jc w:val="center"/>
        <w:tblInd w:w="185" w:type="dxa"/>
        <w:tblLayout w:type="fixed"/>
        <w:tblCellMar>
          <w:left w:w="57" w:type="dxa"/>
          <w:right w:w="57" w:type="dxa"/>
        </w:tblCellMar>
        <w:tblLook w:val="0000" w:firstRow="0" w:lastRow="0" w:firstColumn="0" w:lastColumn="0" w:noHBand="0" w:noVBand="0"/>
      </w:tblPr>
      <w:tblGrid>
        <w:gridCol w:w="3755"/>
        <w:gridCol w:w="1186"/>
        <w:gridCol w:w="2216"/>
        <w:gridCol w:w="2336"/>
        <w:gridCol w:w="170"/>
        <w:gridCol w:w="12"/>
        <w:gridCol w:w="1168"/>
      </w:tblGrid>
      <w:tr w:rsidR="00D269FE" w:rsidRPr="00F24BA0" w:rsidTr="008F2B12">
        <w:trPr>
          <w:cantSplit/>
          <w:jc w:val="center"/>
        </w:trPr>
        <w:tc>
          <w:tcPr>
            <w:tcW w:w="3755" w:type="dxa"/>
            <w:vAlign w:val="center"/>
          </w:tcPr>
          <w:p w:rsidR="00D269FE" w:rsidRPr="00F24BA0" w:rsidRDefault="00D269FE" w:rsidP="00D269FE">
            <w:pPr>
              <w:spacing w:line="240" w:lineRule="atLeast"/>
              <w:rPr>
                <w:sz w:val="14"/>
                <w:szCs w:val="16"/>
                <w:lang w:val="de-DE"/>
              </w:rPr>
            </w:pPr>
            <w:r w:rsidRPr="00F24BA0">
              <w:rPr>
                <w:sz w:val="14"/>
                <w:szCs w:val="16"/>
                <w:lang w:val="de-DE"/>
              </w:rPr>
              <w:t>(Behörde, bei der die Anmeldung eingereicht wird)</w:t>
            </w:r>
          </w:p>
        </w:tc>
        <w:tc>
          <w:tcPr>
            <w:tcW w:w="3402" w:type="dxa"/>
            <w:gridSpan w:val="2"/>
            <w:vAlign w:val="center"/>
          </w:tcPr>
          <w:p w:rsidR="00D269FE" w:rsidRPr="00F24BA0" w:rsidRDefault="00D269FE" w:rsidP="00D269FE">
            <w:pPr>
              <w:spacing w:line="240" w:lineRule="atLeast"/>
              <w:jc w:val="center"/>
              <w:rPr>
                <w:sz w:val="14"/>
                <w:szCs w:val="16"/>
                <w:lang w:val="de-DE"/>
              </w:rPr>
            </w:pPr>
            <w:r w:rsidRPr="00F24BA0">
              <w:rPr>
                <w:sz w:val="14"/>
                <w:szCs w:val="16"/>
                <w:lang w:val="de-DE"/>
              </w:rPr>
              <w:t>HINWEIS:  Zuerst Erläuterungen lesen</w:t>
            </w:r>
          </w:p>
        </w:tc>
        <w:tc>
          <w:tcPr>
            <w:tcW w:w="3686" w:type="dxa"/>
            <w:gridSpan w:val="4"/>
            <w:vAlign w:val="center"/>
          </w:tcPr>
          <w:p w:rsidR="00D269FE" w:rsidRPr="00F24BA0" w:rsidRDefault="00D269FE" w:rsidP="00D269FE">
            <w:pPr>
              <w:spacing w:line="240" w:lineRule="atLeast"/>
              <w:jc w:val="right"/>
              <w:rPr>
                <w:sz w:val="14"/>
                <w:szCs w:val="16"/>
                <w:lang w:val="de-DE"/>
              </w:rPr>
            </w:pPr>
            <w:r w:rsidRPr="00F24BA0">
              <w:rPr>
                <w:sz w:val="14"/>
                <w:szCs w:val="16"/>
                <w:lang w:val="de-DE"/>
              </w:rPr>
              <w:t>(Aktenzeichen)</w:t>
            </w:r>
          </w:p>
          <w:p w:rsidR="00D269FE" w:rsidRPr="00F24BA0" w:rsidRDefault="00D269FE" w:rsidP="00D269FE">
            <w:pPr>
              <w:jc w:val="right"/>
              <w:rPr>
                <w:sz w:val="14"/>
                <w:szCs w:val="16"/>
                <w:lang w:val="de-DE"/>
              </w:rPr>
            </w:pPr>
            <w:r w:rsidRPr="00F24BA0">
              <w:rPr>
                <w:sz w:val="14"/>
                <w:szCs w:val="16"/>
                <w:lang w:val="de-DE"/>
              </w:rPr>
              <w:t>(Datum des Eingangs)</w:t>
            </w: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val="restart"/>
          </w:tcPr>
          <w:p w:rsidR="00D269FE" w:rsidRPr="00F24BA0" w:rsidRDefault="00D269FE" w:rsidP="00D269FE">
            <w:pPr>
              <w:spacing w:before="40"/>
              <w:rPr>
                <w:color w:val="000000"/>
                <w:sz w:val="14"/>
                <w:lang w:val="de-DE"/>
              </w:rPr>
            </w:pPr>
            <w:r w:rsidRPr="00F24BA0">
              <w:rPr>
                <w:sz w:val="14"/>
                <w:lang w:val="de-DE"/>
              </w:rPr>
              <w:t>1.(a)</w:t>
            </w:r>
            <w:r w:rsidRPr="00F24BA0">
              <w:rPr>
                <w:sz w:val="14"/>
                <w:lang w:val="de-DE"/>
              </w:rPr>
              <w:tab/>
              <w:t xml:space="preserve"> Anmelder:</w:t>
            </w:r>
          </w:p>
          <w:p w:rsidR="00D269FE" w:rsidRPr="00F24BA0" w:rsidRDefault="00D269FE" w:rsidP="00D269FE">
            <w:pPr>
              <w:tabs>
                <w:tab w:val="left" w:pos="199"/>
                <w:tab w:val="left" w:pos="1334"/>
                <w:tab w:val="right" w:pos="4607"/>
              </w:tabs>
              <w:spacing w:before="120"/>
              <w:rPr>
                <w:snapToGrid w:val="0"/>
                <w:sz w:val="14"/>
                <w:szCs w:val="22"/>
                <w:lang w:val="de-DE"/>
              </w:rPr>
            </w:pPr>
            <w:r w:rsidRPr="00F24BA0">
              <w:rPr>
                <w:color w:val="000000"/>
                <w:sz w:val="14"/>
                <w:lang w:val="de-DE"/>
              </w:rPr>
              <w:tab/>
              <w:t>N</w:t>
            </w:r>
            <w:r w:rsidRPr="00F24BA0">
              <w:rPr>
                <w:sz w:val="14"/>
                <w:lang w:val="de-DE"/>
              </w:rPr>
              <w:t>ame(n)</w:t>
            </w:r>
            <w:r w:rsidRPr="00F24BA0">
              <w:rPr>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1(a)(i)</w:t>
            </w:r>
          </w:p>
          <w:p w:rsidR="00D269FE" w:rsidRPr="00F24BA0" w:rsidRDefault="00D269FE" w:rsidP="00D269FE">
            <w:pPr>
              <w:tabs>
                <w:tab w:val="left" w:pos="199"/>
                <w:tab w:val="left" w:pos="1334"/>
                <w:tab w:val="right" w:pos="4607"/>
              </w:tabs>
              <w:rPr>
                <w:snapToGrid w:val="0"/>
                <w:sz w:val="14"/>
                <w:szCs w:val="12"/>
                <w:lang w:val="de-DE"/>
              </w:rPr>
            </w:pPr>
            <w:r w:rsidRPr="00F24BA0">
              <w:rPr>
                <w:sz w:val="14"/>
                <w:lang w:val="de-DE"/>
              </w:rPr>
              <w:tab/>
              <w:t>Anschrift(en)</w:t>
            </w:r>
            <w:r w:rsidRPr="00F24BA0">
              <w:rPr>
                <w:sz w:val="14"/>
                <w:lang w:val="de-DE"/>
              </w:rPr>
              <w:tab/>
            </w:r>
            <w:r w:rsidRPr="00F24BA0">
              <w:rPr>
                <w:sz w:val="14"/>
                <w:u w:val="single"/>
                <w:lang w:val="de-DE"/>
              </w:rPr>
              <w:t xml:space="preserve">  </w:t>
            </w:r>
            <w:r w:rsidRPr="00F24BA0">
              <w:rPr>
                <w:sz w:val="14"/>
                <w:u w:val="single"/>
                <w:lang w:val="de-DE"/>
              </w:rPr>
              <w:tab/>
            </w:r>
            <w:r w:rsidRPr="00F24BA0">
              <w:rPr>
                <w:sz w:val="14"/>
                <w:u w:val="single"/>
                <w:lang w:val="de-DE"/>
              </w:rPr>
              <w:br/>
            </w:r>
            <w:r w:rsidRPr="00F24BA0">
              <w:rPr>
                <w:sz w:val="14"/>
                <w:lang w:val="de-DE"/>
              </w:rPr>
              <w:tab/>
              <w:t xml:space="preserve">  </w:t>
            </w:r>
            <w:r w:rsidRPr="00F24BA0">
              <w:rPr>
                <w:snapToGrid w:val="0"/>
                <w:sz w:val="14"/>
                <w:szCs w:val="22"/>
                <w:lang w:val="de-DE"/>
              </w:rPr>
              <w:t xml:space="preserve"> </w:t>
            </w:r>
            <w:r w:rsidRPr="00F24BA0">
              <w:rPr>
                <w:i/>
                <w:snapToGrid w:val="0"/>
                <w:sz w:val="14"/>
                <w:szCs w:val="16"/>
                <w:lang w:val="de-DE"/>
              </w:rPr>
              <w:t>UPOV-A1: 1(a)(ii)</w:t>
            </w:r>
          </w:p>
          <w:p w:rsidR="00D269FE" w:rsidRPr="00F24BA0" w:rsidRDefault="00D269FE" w:rsidP="00D269FE">
            <w:pPr>
              <w:tabs>
                <w:tab w:val="left" w:pos="199"/>
                <w:tab w:val="left" w:pos="1334"/>
                <w:tab w:val="right" w:pos="4607"/>
              </w:tabs>
              <w:rPr>
                <w:sz w:val="14"/>
                <w:szCs w:val="12"/>
                <w:u w:val="single"/>
                <w:lang w:val="de-DE"/>
              </w:rPr>
            </w:pPr>
            <w:r w:rsidRPr="00F24BA0">
              <w:rPr>
                <w:snapToGrid w:val="0"/>
                <w:sz w:val="14"/>
                <w:szCs w:val="12"/>
                <w:lang w:val="de-DE"/>
              </w:rPr>
              <w:tab/>
            </w:r>
            <w:r w:rsidRPr="00F24BA0">
              <w:rPr>
                <w:sz w:val="14"/>
                <w:szCs w:val="12"/>
                <w:lang w:val="de-DE"/>
              </w:rPr>
              <w:tab/>
            </w:r>
            <w:r w:rsidRPr="00F24BA0">
              <w:rPr>
                <w:sz w:val="14"/>
                <w:szCs w:val="12"/>
                <w:u w:val="single"/>
                <w:lang w:val="de-DE"/>
              </w:rPr>
              <w:tab/>
            </w:r>
          </w:p>
          <w:p w:rsidR="00D269FE" w:rsidRPr="00F24BA0" w:rsidRDefault="00D269FE" w:rsidP="00D269FE">
            <w:pPr>
              <w:tabs>
                <w:tab w:val="left" w:pos="1334"/>
                <w:tab w:val="right" w:pos="4607"/>
              </w:tabs>
              <w:spacing w:before="120"/>
              <w:rPr>
                <w:sz w:val="14"/>
                <w:u w:val="single"/>
                <w:lang w:val="de-DE"/>
              </w:rPr>
            </w:pPr>
            <w:r w:rsidRPr="00F24BA0">
              <w:rPr>
                <w:sz w:val="14"/>
                <w:lang w:val="de-DE"/>
              </w:rPr>
              <w:tab/>
            </w:r>
            <w:r w:rsidRPr="00F24BA0">
              <w:rPr>
                <w:sz w:val="14"/>
                <w:u w:val="single"/>
                <w:lang w:val="de-DE"/>
              </w:rPr>
              <w:tab/>
            </w:r>
          </w:p>
          <w:p w:rsidR="00D269FE" w:rsidRPr="00F24BA0" w:rsidRDefault="00D269FE" w:rsidP="00D269FE">
            <w:pPr>
              <w:tabs>
                <w:tab w:val="left" w:pos="199"/>
                <w:tab w:val="left" w:pos="1901"/>
                <w:tab w:val="right" w:pos="4607"/>
              </w:tabs>
              <w:spacing w:before="120"/>
              <w:rPr>
                <w:sz w:val="14"/>
                <w:lang w:val="de-DE"/>
              </w:rPr>
            </w:pPr>
            <w:r w:rsidRPr="00F24BA0">
              <w:rPr>
                <w:color w:val="000000"/>
                <w:sz w:val="14"/>
                <w:lang w:val="de-DE"/>
              </w:rPr>
              <w:tab/>
              <w:t>Telefonnummer(n)</w:t>
            </w:r>
            <w:r w:rsidRPr="00F24BA0">
              <w:rPr>
                <w:color w:val="000000"/>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1(a)(iii)</w:t>
            </w:r>
          </w:p>
          <w:p w:rsidR="00D269FE" w:rsidRPr="00F24BA0" w:rsidRDefault="00D269FE" w:rsidP="00D269FE">
            <w:pPr>
              <w:tabs>
                <w:tab w:val="left" w:pos="199"/>
                <w:tab w:val="left" w:pos="1901"/>
                <w:tab w:val="right" w:pos="4607"/>
              </w:tabs>
              <w:rPr>
                <w:sz w:val="14"/>
                <w:u w:val="single"/>
                <w:lang w:val="de-DE"/>
              </w:rPr>
            </w:pPr>
            <w:r w:rsidRPr="00F24BA0">
              <w:rPr>
                <w:color w:val="000000"/>
                <w:sz w:val="14"/>
                <w:lang w:val="de-DE"/>
              </w:rPr>
              <w:tab/>
              <w:t>Faxnummer(n)</w:t>
            </w:r>
            <w:r w:rsidRPr="00F24BA0">
              <w:rPr>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22"/>
                <w:lang w:val="de-DE"/>
              </w:rPr>
              <w:t xml:space="preserve"> </w:t>
            </w:r>
            <w:r w:rsidRPr="00F24BA0">
              <w:rPr>
                <w:i/>
                <w:snapToGrid w:val="0"/>
                <w:sz w:val="14"/>
                <w:szCs w:val="16"/>
                <w:lang w:val="de-DE"/>
              </w:rPr>
              <w:t>UPOV-A1: 1(a)(iv)</w:t>
            </w:r>
          </w:p>
          <w:p w:rsidR="00D269FE" w:rsidRPr="00F24BA0" w:rsidRDefault="00D269FE" w:rsidP="00D269FE">
            <w:pPr>
              <w:tabs>
                <w:tab w:val="left" w:pos="199"/>
                <w:tab w:val="left" w:pos="1901"/>
                <w:tab w:val="right" w:pos="4607"/>
              </w:tabs>
              <w:rPr>
                <w:sz w:val="14"/>
                <w:lang w:val="de-DE"/>
              </w:rPr>
            </w:pPr>
            <w:r w:rsidRPr="00F24BA0">
              <w:rPr>
                <w:color w:val="000000"/>
                <w:sz w:val="14"/>
                <w:lang w:val="de-DE"/>
              </w:rPr>
              <w:tab/>
              <w:t>E-Mail-Adresse(n)</w:t>
            </w:r>
            <w:r w:rsidRPr="00F24BA0">
              <w:rPr>
                <w:color w:val="000000"/>
                <w:sz w:val="14"/>
                <w:lang w:val="de-DE"/>
              </w:rPr>
              <w:tab/>
            </w:r>
            <w:r w:rsidRPr="00F24BA0">
              <w:rPr>
                <w:sz w:val="14"/>
                <w:u w:val="single"/>
                <w:lang w:val="de-DE"/>
              </w:rPr>
              <w:tab/>
            </w:r>
          </w:p>
          <w:p w:rsidR="00D269FE" w:rsidRPr="00F24BA0" w:rsidRDefault="00D269FE" w:rsidP="00D269FE">
            <w:pPr>
              <w:tabs>
                <w:tab w:val="left" w:pos="199"/>
                <w:tab w:val="left" w:pos="1334"/>
                <w:tab w:val="right" w:pos="4607"/>
              </w:tabs>
              <w:rPr>
                <w:i/>
                <w:sz w:val="14"/>
                <w:lang w:val="de-DE"/>
              </w:rPr>
            </w:pPr>
            <w:r w:rsidRPr="00F24BA0">
              <w:rPr>
                <w:snapToGrid w:val="0"/>
                <w:sz w:val="14"/>
                <w:szCs w:val="22"/>
                <w:lang w:val="de-DE"/>
              </w:rPr>
              <w:tab/>
              <w:t xml:space="preserve">   </w:t>
            </w:r>
            <w:r w:rsidRPr="00F24BA0">
              <w:rPr>
                <w:i/>
                <w:snapToGrid w:val="0"/>
                <w:sz w:val="14"/>
                <w:szCs w:val="16"/>
                <w:lang w:val="de-DE"/>
              </w:rPr>
              <w:t>UPOV-A1: 1(a)(v)</w:t>
            </w:r>
          </w:p>
          <w:p w:rsidR="00D269FE" w:rsidRPr="00F24BA0" w:rsidRDefault="00D269FE" w:rsidP="00D269FE">
            <w:pPr>
              <w:tabs>
                <w:tab w:val="left" w:pos="199"/>
                <w:tab w:val="left" w:pos="567"/>
                <w:tab w:val="right" w:pos="4607"/>
              </w:tabs>
              <w:rPr>
                <w:sz w:val="14"/>
                <w:u w:val="single"/>
                <w:lang w:val="de-DE"/>
              </w:rPr>
            </w:pPr>
            <w:r w:rsidRPr="00F24BA0">
              <w:rPr>
                <w:sz w:val="14"/>
                <w:lang w:val="de-DE"/>
              </w:rPr>
              <w:tab/>
              <w:t>(b)</w:t>
            </w:r>
            <w:r w:rsidRPr="00F24BA0">
              <w:rPr>
                <w:sz w:val="14"/>
                <w:lang w:val="de-DE"/>
              </w:rPr>
              <w:tab/>
              <w:t xml:space="preserve"> Staatsangehörigkeit(en): </w:t>
            </w:r>
            <w:r w:rsidRPr="00F24BA0">
              <w:rPr>
                <w:sz w:val="14"/>
                <w:u w:val="single"/>
                <w:lang w:val="de-DE"/>
              </w:rPr>
              <w:tab/>
            </w:r>
          </w:p>
          <w:p w:rsidR="00D269FE" w:rsidRPr="00F24BA0" w:rsidRDefault="00D269FE" w:rsidP="00D269FE">
            <w:pPr>
              <w:tabs>
                <w:tab w:val="left" w:pos="199"/>
                <w:tab w:val="left" w:pos="1334"/>
                <w:tab w:val="right" w:pos="4607"/>
              </w:tabs>
              <w:rPr>
                <w:i/>
                <w:sz w:val="14"/>
                <w:lang w:val="de-DE"/>
              </w:rPr>
            </w:pPr>
            <w:r w:rsidRPr="00F24BA0">
              <w:rPr>
                <w:snapToGrid w:val="0"/>
                <w:sz w:val="14"/>
                <w:szCs w:val="22"/>
                <w:lang w:val="de-DE"/>
              </w:rPr>
              <w:tab/>
              <w:t xml:space="preserve">   </w:t>
            </w:r>
            <w:r w:rsidRPr="00F24BA0">
              <w:rPr>
                <w:i/>
                <w:snapToGrid w:val="0"/>
                <w:sz w:val="14"/>
                <w:szCs w:val="16"/>
                <w:lang w:val="de-DE"/>
              </w:rPr>
              <w:t>UPOV-A1: 1(b)</w:t>
            </w:r>
          </w:p>
          <w:p w:rsidR="00D269FE" w:rsidRPr="00F24BA0" w:rsidRDefault="00D269FE" w:rsidP="00D269FE">
            <w:pPr>
              <w:tabs>
                <w:tab w:val="left" w:pos="199"/>
                <w:tab w:val="left" w:pos="567"/>
                <w:tab w:val="right" w:pos="4607"/>
              </w:tabs>
              <w:ind w:right="-85"/>
              <w:rPr>
                <w:sz w:val="14"/>
                <w:lang w:val="de-DE"/>
              </w:rPr>
            </w:pPr>
            <w:r w:rsidRPr="00F24BA0">
              <w:rPr>
                <w:sz w:val="14"/>
                <w:lang w:val="de-DE"/>
              </w:rPr>
              <w:tab/>
              <w:t>(c)</w:t>
            </w:r>
            <w:r w:rsidRPr="00F24BA0">
              <w:rPr>
                <w:sz w:val="14"/>
                <w:lang w:val="de-DE"/>
              </w:rPr>
              <w:tab/>
              <w:t xml:space="preserve"> Wohnsitz (Staat):</w:t>
            </w:r>
            <w:r w:rsidRPr="00F24BA0">
              <w:rPr>
                <w:sz w:val="14"/>
                <w:lang w:val="de-DE"/>
              </w:rPr>
              <w:tab/>
              <w:t>______________________</w:t>
            </w:r>
          </w:p>
          <w:p w:rsidR="00D269FE" w:rsidRPr="00F24BA0" w:rsidRDefault="00D269FE" w:rsidP="00D269FE">
            <w:pPr>
              <w:tabs>
                <w:tab w:val="left" w:pos="199"/>
                <w:tab w:val="left" w:pos="1334"/>
              </w:tabs>
              <w:rPr>
                <w:i/>
                <w:sz w:val="14"/>
                <w:lang w:val="de-DE"/>
              </w:rPr>
            </w:pPr>
            <w:r w:rsidRPr="00F24BA0">
              <w:rPr>
                <w:snapToGrid w:val="0"/>
                <w:sz w:val="14"/>
                <w:szCs w:val="22"/>
                <w:lang w:val="de-DE"/>
              </w:rPr>
              <w:tab/>
              <w:t xml:space="preserve">   </w:t>
            </w:r>
            <w:r w:rsidRPr="00F24BA0">
              <w:rPr>
                <w:i/>
                <w:snapToGrid w:val="0"/>
                <w:sz w:val="14"/>
                <w:szCs w:val="16"/>
                <w:lang w:val="de-DE"/>
              </w:rPr>
              <w:t>UPOV-A1: 1(c)</w:t>
            </w:r>
          </w:p>
          <w:p w:rsidR="00D269FE" w:rsidRPr="00F24BA0" w:rsidRDefault="00D269FE" w:rsidP="00D269FE">
            <w:pPr>
              <w:tabs>
                <w:tab w:val="left" w:pos="199"/>
                <w:tab w:val="left" w:pos="567"/>
                <w:tab w:val="left" w:pos="1900"/>
                <w:tab w:val="right" w:pos="4395"/>
              </w:tabs>
              <w:rPr>
                <w:sz w:val="14"/>
                <w:lang w:val="de-DE"/>
              </w:rPr>
            </w:pPr>
            <w:r w:rsidRPr="00F24BA0">
              <w:rPr>
                <w:sz w:val="14"/>
                <w:lang w:val="de-DE"/>
              </w:rPr>
              <w:tab/>
              <w:t>(d)</w:t>
            </w:r>
            <w:r w:rsidRPr="00F24BA0">
              <w:rPr>
                <w:sz w:val="14"/>
                <w:lang w:val="de-DE"/>
              </w:rPr>
              <w:tab/>
              <w:t xml:space="preserve"> Sitz für juristische Personen (Staat):</w:t>
            </w:r>
          </w:p>
          <w:p w:rsidR="00D269FE" w:rsidRPr="00F24BA0" w:rsidRDefault="00D269FE" w:rsidP="00D269FE">
            <w:pPr>
              <w:tabs>
                <w:tab w:val="left" w:pos="199"/>
                <w:tab w:val="left" w:pos="1334"/>
              </w:tabs>
              <w:rPr>
                <w:i/>
                <w:sz w:val="14"/>
                <w:lang w:val="de-DE"/>
              </w:rPr>
            </w:pPr>
            <w:r w:rsidRPr="00F24BA0">
              <w:rPr>
                <w:snapToGrid w:val="0"/>
                <w:sz w:val="14"/>
                <w:szCs w:val="22"/>
                <w:lang w:val="de-DE"/>
              </w:rPr>
              <w:tab/>
              <w:t xml:space="preserve">   </w:t>
            </w:r>
            <w:r w:rsidRPr="00F24BA0">
              <w:rPr>
                <w:i/>
                <w:snapToGrid w:val="0"/>
                <w:sz w:val="14"/>
                <w:szCs w:val="16"/>
                <w:lang w:val="de-DE"/>
              </w:rPr>
              <w:t>UPOV-A1: 1(d)</w:t>
            </w:r>
          </w:p>
          <w:p w:rsidR="00D269FE" w:rsidRPr="00F24BA0" w:rsidRDefault="00D269FE" w:rsidP="00D269FE">
            <w:pPr>
              <w:tabs>
                <w:tab w:val="left" w:pos="360"/>
                <w:tab w:val="left" w:pos="567"/>
                <w:tab w:val="left" w:pos="1900"/>
                <w:tab w:val="left" w:pos="4599"/>
              </w:tabs>
              <w:rPr>
                <w:sz w:val="14"/>
                <w:szCs w:val="12"/>
                <w:lang w:val="de-DE"/>
              </w:rPr>
            </w:pPr>
            <w:r w:rsidRPr="00F24BA0">
              <w:rPr>
                <w:sz w:val="14"/>
                <w:lang w:val="de-DE"/>
              </w:rPr>
              <w:tab/>
            </w:r>
            <w:r w:rsidRPr="00F24BA0">
              <w:rPr>
                <w:sz w:val="14"/>
                <w:szCs w:val="12"/>
                <w:u w:val="single"/>
                <w:lang w:val="de-DE"/>
              </w:rPr>
              <w:tab/>
            </w:r>
            <w:r w:rsidRPr="00F24BA0">
              <w:rPr>
                <w:sz w:val="14"/>
                <w:szCs w:val="12"/>
                <w:u w:val="single"/>
                <w:lang w:val="de-DE"/>
              </w:rPr>
              <w:tab/>
            </w:r>
            <w:r w:rsidRPr="00F24BA0">
              <w:rPr>
                <w:sz w:val="14"/>
                <w:szCs w:val="12"/>
                <w:u w:val="single"/>
                <w:lang w:val="de-DE"/>
              </w:rPr>
              <w:tab/>
            </w:r>
          </w:p>
          <w:p w:rsidR="00D269FE" w:rsidRPr="00F24BA0" w:rsidRDefault="00D269FE" w:rsidP="00D269FE">
            <w:pPr>
              <w:tabs>
                <w:tab w:val="left" w:pos="199"/>
                <w:tab w:val="left" w:pos="567"/>
                <w:tab w:val="left" w:pos="2042"/>
                <w:tab w:val="left" w:pos="2809"/>
              </w:tabs>
              <w:spacing w:before="40"/>
              <w:ind w:left="567" w:hanging="567"/>
              <w:rPr>
                <w:sz w:val="14"/>
                <w:lang w:val="de-DE"/>
              </w:rPr>
            </w:pPr>
            <w:r w:rsidRPr="00F24BA0">
              <w:rPr>
                <w:sz w:val="14"/>
                <w:lang w:val="de-DE"/>
              </w:rPr>
              <w:tab/>
              <w:t>(e)</w:t>
            </w:r>
            <w:r w:rsidRPr="00F24BA0">
              <w:rPr>
                <w:sz w:val="14"/>
                <w:lang w:val="de-DE"/>
              </w:rPr>
              <w:tab/>
              <w:t xml:space="preserve"> Ein Verfahrensvertreter/ </w:t>
            </w:r>
            <w:r w:rsidRPr="00F24BA0">
              <w:rPr>
                <w:sz w:val="14"/>
                <w:lang w:val="de-DE"/>
              </w:rPr>
              <w:noBreakHyphen/>
              <w:t xml:space="preserve">bevollmächtigter wird herangezogen:  </w:t>
            </w:r>
            <w:r w:rsidRPr="00F24BA0">
              <w:rPr>
                <w:sz w:val="14"/>
                <w:lang w:val="de-DE"/>
              </w:rPr>
              <w:tab/>
              <w:t>Ja □</w:t>
            </w:r>
            <w:r w:rsidRPr="00F24BA0">
              <w:rPr>
                <w:sz w:val="14"/>
                <w:lang w:val="de-DE"/>
              </w:rPr>
              <w:tab/>
              <w:t>Nein □</w:t>
            </w:r>
          </w:p>
          <w:p w:rsidR="00D269FE" w:rsidRPr="00F24BA0" w:rsidRDefault="00D269FE" w:rsidP="00D269FE">
            <w:pPr>
              <w:tabs>
                <w:tab w:val="left" w:pos="1276"/>
                <w:tab w:val="left" w:pos="1334"/>
              </w:tabs>
              <w:spacing w:after="40"/>
              <w:rPr>
                <w:i/>
                <w:sz w:val="14"/>
                <w:lang w:val="de-DE"/>
              </w:rPr>
            </w:pPr>
            <w:r w:rsidRPr="00F24BA0">
              <w:rPr>
                <w:snapToGrid w:val="0"/>
                <w:sz w:val="14"/>
                <w:szCs w:val="22"/>
                <w:lang w:val="de-DE"/>
              </w:rPr>
              <w:tab/>
            </w:r>
            <w:r w:rsidRPr="00F24BA0">
              <w:rPr>
                <w:sz w:val="14"/>
                <w:lang w:val="de-DE"/>
              </w:rPr>
              <w:tab/>
            </w:r>
            <w:r w:rsidRPr="00F24BA0">
              <w:rPr>
                <w:snapToGrid w:val="0"/>
                <w:sz w:val="14"/>
                <w:szCs w:val="22"/>
                <w:lang w:val="de-DE"/>
              </w:rPr>
              <w:t xml:space="preserve">   </w:t>
            </w:r>
            <w:r w:rsidRPr="00F24BA0">
              <w:rPr>
                <w:i/>
                <w:snapToGrid w:val="0"/>
                <w:sz w:val="14"/>
                <w:szCs w:val="16"/>
                <w:lang w:val="de-DE"/>
              </w:rPr>
              <w:t>UPOV-A1: 1(e)(i)</w:t>
            </w:r>
            <w:r w:rsidRPr="00F24BA0">
              <w:rPr>
                <w:i/>
                <w:sz w:val="14"/>
                <w:lang w:val="de-DE"/>
              </w:rPr>
              <w:t xml:space="preserve">     </w:t>
            </w:r>
            <w:r w:rsidRPr="00F24BA0">
              <w:rPr>
                <w:i/>
                <w:snapToGrid w:val="0"/>
                <w:sz w:val="14"/>
                <w:szCs w:val="16"/>
                <w:lang w:val="de-DE"/>
              </w:rPr>
              <w:t>UPOV-A1: 1(e)(ii)</w:t>
            </w:r>
          </w:p>
        </w:tc>
        <w:tc>
          <w:tcPr>
            <w:tcW w:w="4552" w:type="dxa"/>
            <w:gridSpan w:val="2"/>
            <w:vMerge w:val="restart"/>
            <w:shd w:val="clear" w:color="auto" w:fill="auto"/>
          </w:tcPr>
          <w:p w:rsidR="00D269FE" w:rsidRPr="00F24BA0" w:rsidRDefault="00D269FE" w:rsidP="00D269FE">
            <w:pPr>
              <w:tabs>
                <w:tab w:val="left" w:pos="482"/>
              </w:tabs>
              <w:spacing w:before="40"/>
              <w:rPr>
                <w:sz w:val="14"/>
                <w:lang w:val="de-DE"/>
              </w:rPr>
            </w:pPr>
            <w:r w:rsidRPr="00F24BA0">
              <w:rPr>
                <w:sz w:val="14"/>
                <w:lang w:val="de-DE"/>
              </w:rPr>
              <w:t>2.(a)</w:t>
            </w:r>
            <w:r w:rsidRPr="00F24BA0">
              <w:rPr>
                <w:sz w:val="14"/>
                <w:lang w:val="de-DE"/>
              </w:rPr>
              <w:tab/>
              <w:t>Name und Anschrift, an die jeder Schrift-wechsel zu richten ist (sofern von 1.(a) verschieden):</w:t>
            </w:r>
          </w:p>
          <w:p w:rsidR="00D269FE" w:rsidRPr="00F24BA0" w:rsidRDefault="00D269FE" w:rsidP="00D269FE">
            <w:pPr>
              <w:tabs>
                <w:tab w:val="left" w:pos="199"/>
                <w:tab w:val="left" w:pos="1334"/>
                <w:tab w:val="right" w:pos="4310"/>
              </w:tabs>
              <w:spacing w:before="120"/>
              <w:rPr>
                <w:sz w:val="14"/>
                <w:u w:val="single"/>
                <w:lang w:val="de-DE"/>
              </w:rPr>
            </w:pPr>
            <w:r w:rsidRPr="00F24BA0">
              <w:rPr>
                <w:color w:val="000000"/>
                <w:sz w:val="14"/>
                <w:lang w:val="de-DE"/>
              </w:rPr>
              <w:tab/>
              <w:t>N</w:t>
            </w:r>
            <w:r w:rsidRPr="00F24BA0">
              <w:rPr>
                <w:sz w:val="14"/>
                <w:lang w:val="de-DE"/>
              </w:rPr>
              <w:t>ame</w:t>
            </w:r>
            <w:r w:rsidRPr="00F24BA0">
              <w:rPr>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2(a)(i)</w:t>
            </w:r>
          </w:p>
          <w:p w:rsidR="00D269FE" w:rsidRPr="00F24BA0" w:rsidRDefault="00D269FE" w:rsidP="00D269FE">
            <w:pPr>
              <w:tabs>
                <w:tab w:val="left" w:pos="199"/>
                <w:tab w:val="left" w:pos="1334"/>
                <w:tab w:val="right" w:pos="4310"/>
              </w:tabs>
              <w:rPr>
                <w:i/>
                <w:snapToGrid w:val="0"/>
                <w:sz w:val="14"/>
                <w:szCs w:val="16"/>
                <w:lang w:val="de-DE"/>
              </w:rPr>
            </w:pPr>
            <w:r w:rsidRPr="00F24BA0">
              <w:rPr>
                <w:sz w:val="14"/>
                <w:lang w:val="de-DE"/>
              </w:rPr>
              <w:tab/>
            </w:r>
            <w:r w:rsidRPr="00F24BA0">
              <w:rPr>
                <w:color w:val="000000"/>
                <w:sz w:val="14"/>
                <w:lang w:val="de-DE"/>
              </w:rPr>
              <w:t xml:space="preserve"> Anschrift</w:t>
            </w:r>
            <w:r w:rsidRPr="00F24BA0">
              <w:rPr>
                <w:sz w:val="14"/>
                <w:lang w:val="de-DE"/>
              </w:rPr>
              <w:t xml:space="preserve"> </w:t>
            </w:r>
            <w:r w:rsidRPr="00F24BA0">
              <w:rPr>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2(a)(ii)</w:t>
            </w:r>
          </w:p>
          <w:p w:rsidR="00D269FE" w:rsidRPr="00F24BA0" w:rsidRDefault="00D269FE" w:rsidP="00D269FE">
            <w:pPr>
              <w:tabs>
                <w:tab w:val="left" w:pos="199"/>
                <w:tab w:val="left" w:pos="1334"/>
                <w:tab w:val="right" w:pos="4310"/>
              </w:tabs>
              <w:rPr>
                <w:sz w:val="14"/>
                <w:szCs w:val="12"/>
                <w:lang w:val="de-DE"/>
              </w:rPr>
            </w:pPr>
            <w:r w:rsidRPr="00F24BA0">
              <w:rPr>
                <w:i/>
                <w:snapToGrid w:val="0"/>
                <w:sz w:val="14"/>
                <w:szCs w:val="12"/>
                <w:lang w:val="de-DE"/>
              </w:rPr>
              <w:tab/>
            </w:r>
            <w:r w:rsidRPr="00F24BA0">
              <w:rPr>
                <w:i/>
                <w:snapToGrid w:val="0"/>
                <w:sz w:val="14"/>
                <w:szCs w:val="12"/>
                <w:lang w:val="de-DE"/>
              </w:rPr>
              <w:tab/>
            </w:r>
            <w:r w:rsidRPr="00F24BA0">
              <w:rPr>
                <w:sz w:val="14"/>
                <w:szCs w:val="12"/>
                <w:u w:val="single"/>
                <w:lang w:val="de-DE"/>
              </w:rPr>
              <w:tab/>
            </w:r>
          </w:p>
          <w:p w:rsidR="00D269FE" w:rsidRPr="00F24BA0" w:rsidRDefault="00D269FE" w:rsidP="00D269FE">
            <w:pPr>
              <w:tabs>
                <w:tab w:val="left" w:pos="1334"/>
                <w:tab w:val="right" w:pos="4310"/>
              </w:tabs>
              <w:spacing w:before="120"/>
              <w:rPr>
                <w:sz w:val="14"/>
                <w:u w:val="single"/>
                <w:lang w:val="de-DE"/>
              </w:rPr>
            </w:pPr>
            <w:r w:rsidRPr="00F24BA0">
              <w:rPr>
                <w:sz w:val="14"/>
                <w:lang w:val="de-DE"/>
              </w:rPr>
              <w:tab/>
            </w:r>
            <w:r w:rsidRPr="00F24BA0">
              <w:rPr>
                <w:sz w:val="14"/>
                <w:u w:val="single"/>
                <w:lang w:val="de-DE"/>
              </w:rPr>
              <w:tab/>
            </w:r>
          </w:p>
          <w:p w:rsidR="00D269FE" w:rsidRPr="00F24BA0" w:rsidRDefault="00D269FE" w:rsidP="00D269FE">
            <w:pPr>
              <w:tabs>
                <w:tab w:val="left" w:pos="199"/>
                <w:tab w:val="left" w:pos="1334"/>
                <w:tab w:val="right" w:pos="4310"/>
              </w:tabs>
              <w:spacing w:before="120"/>
              <w:rPr>
                <w:sz w:val="14"/>
                <w:lang w:val="de-DE"/>
              </w:rPr>
            </w:pPr>
            <w:r w:rsidRPr="00F24BA0">
              <w:rPr>
                <w:color w:val="000000"/>
                <w:sz w:val="14"/>
                <w:lang w:val="de-DE"/>
              </w:rPr>
              <w:tab/>
              <w:t xml:space="preserve"> Telefonnummer(n)</w:t>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2(a)(iii)</w:t>
            </w:r>
          </w:p>
          <w:p w:rsidR="00D269FE" w:rsidRPr="00F24BA0" w:rsidRDefault="00D269FE" w:rsidP="00D269FE">
            <w:pPr>
              <w:tabs>
                <w:tab w:val="left" w:pos="199"/>
                <w:tab w:val="left" w:pos="1334"/>
                <w:tab w:val="right" w:pos="4310"/>
              </w:tabs>
              <w:rPr>
                <w:sz w:val="14"/>
                <w:u w:val="single"/>
                <w:lang w:val="de-DE"/>
              </w:rPr>
            </w:pPr>
            <w:r w:rsidRPr="00F24BA0">
              <w:rPr>
                <w:color w:val="000000"/>
                <w:sz w:val="14"/>
                <w:lang w:val="de-DE"/>
              </w:rPr>
              <w:tab/>
              <w:t xml:space="preserve"> Faxnummer(n)</w:t>
            </w:r>
            <w:r w:rsidRPr="00F24BA0">
              <w:rPr>
                <w:sz w:val="14"/>
                <w:u w:val="single"/>
                <w:lang w:val="de-DE"/>
              </w:rPr>
              <w:tab/>
            </w:r>
            <w:r w:rsidRPr="00F24BA0">
              <w:rPr>
                <w:sz w:val="14"/>
                <w:u w:val="single"/>
                <w:lang w:val="de-DE"/>
              </w:rPr>
              <w:br/>
            </w:r>
            <w:r w:rsidRPr="00F24BA0">
              <w:rPr>
                <w:snapToGrid w:val="0"/>
                <w:sz w:val="14"/>
                <w:szCs w:val="22"/>
                <w:lang w:val="de-DE"/>
              </w:rPr>
              <w:tab/>
              <w:t xml:space="preserve">   </w:t>
            </w:r>
            <w:r w:rsidRPr="00F24BA0">
              <w:rPr>
                <w:i/>
                <w:snapToGrid w:val="0"/>
                <w:sz w:val="14"/>
                <w:szCs w:val="16"/>
                <w:lang w:val="de-DE"/>
              </w:rPr>
              <w:t>UPOV-A1: 2(a)(iv)</w:t>
            </w:r>
          </w:p>
          <w:p w:rsidR="00D269FE" w:rsidRPr="00F24BA0" w:rsidRDefault="00D269FE" w:rsidP="00D269FE">
            <w:pPr>
              <w:tabs>
                <w:tab w:val="left" w:pos="199"/>
                <w:tab w:val="left" w:pos="1334"/>
                <w:tab w:val="right" w:pos="4310"/>
              </w:tabs>
              <w:rPr>
                <w:sz w:val="14"/>
                <w:u w:val="single"/>
                <w:lang w:val="de-DE"/>
              </w:rPr>
            </w:pPr>
            <w:r w:rsidRPr="00F24BA0">
              <w:rPr>
                <w:color w:val="000000"/>
                <w:sz w:val="14"/>
                <w:lang w:val="de-DE"/>
              </w:rPr>
              <w:tab/>
              <w:t xml:space="preserve"> E-Mail-Adresse(n)</w:t>
            </w:r>
            <w:r w:rsidRPr="00F24BA0">
              <w:rPr>
                <w:sz w:val="14"/>
                <w:u w:val="single"/>
                <w:lang w:val="de-DE"/>
              </w:rPr>
              <w:tab/>
            </w:r>
          </w:p>
          <w:p w:rsidR="00D269FE" w:rsidRPr="00F24BA0" w:rsidRDefault="00D269FE" w:rsidP="00D269FE">
            <w:pPr>
              <w:tabs>
                <w:tab w:val="left" w:pos="199"/>
                <w:tab w:val="left" w:pos="1334"/>
                <w:tab w:val="right" w:pos="4310"/>
              </w:tabs>
              <w:rPr>
                <w:sz w:val="14"/>
                <w:lang w:val="de-DE"/>
              </w:rPr>
            </w:pPr>
            <w:r w:rsidRPr="00F24BA0">
              <w:rPr>
                <w:snapToGrid w:val="0"/>
                <w:sz w:val="14"/>
                <w:szCs w:val="22"/>
                <w:lang w:val="de-DE"/>
              </w:rPr>
              <w:tab/>
              <w:t xml:space="preserve">   </w:t>
            </w:r>
            <w:r w:rsidRPr="00F24BA0">
              <w:rPr>
                <w:i/>
                <w:snapToGrid w:val="0"/>
                <w:sz w:val="14"/>
                <w:szCs w:val="16"/>
                <w:lang w:val="de-DE"/>
              </w:rPr>
              <w:t>UPOV-A1: 2(a)(v)</w:t>
            </w:r>
          </w:p>
          <w:p w:rsidR="00D269FE" w:rsidRPr="00F24BA0" w:rsidRDefault="00D269FE" w:rsidP="00D269FE">
            <w:pPr>
              <w:tabs>
                <w:tab w:val="left" w:pos="198"/>
                <w:tab w:val="left" w:pos="482"/>
              </w:tabs>
              <w:spacing w:before="120"/>
              <w:rPr>
                <w:sz w:val="14"/>
                <w:lang w:val="de-DE"/>
              </w:rPr>
            </w:pPr>
            <w:r w:rsidRPr="00F24BA0">
              <w:rPr>
                <w:sz w:val="14"/>
                <w:lang w:val="de-DE"/>
              </w:rPr>
              <w:tab/>
              <w:t>(b)</w:t>
            </w:r>
            <w:r w:rsidRPr="00F24BA0">
              <w:rPr>
                <w:sz w:val="14"/>
                <w:lang w:val="de-DE"/>
              </w:rPr>
              <w:tab/>
              <w:t xml:space="preserve"> Dies sind der Name und die Anschrift:</w:t>
            </w:r>
          </w:p>
          <w:p w:rsidR="00D269FE" w:rsidRPr="00F24BA0" w:rsidRDefault="00D269FE" w:rsidP="00D269FE">
            <w:pPr>
              <w:tabs>
                <w:tab w:val="left" w:pos="482"/>
                <w:tab w:val="left" w:pos="908"/>
              </w:tabs>
              <w:rPr>
                <w:sz w:val="14"/>
                <w:lang w:val="de-DE"/>
              </w:rPr>
            </w:pPr>
            <w:r w:rsidRPr="00F24BA0">
              <w:rPr>
                <w:sz w:val="14"/>
                <w:lang w:val="de-DE"/>
              </w:rPr>
              <w:tab/>
              <w:t>□</w:t>
            </w:r>
            <w:r w:rsidRPr="00F24BA0">
              <w:rPr>
                <w:sz w:val="14"/>
                <w:lang w:val="de-DE"/>
              </w:rPr>
              <w:tab/>
              <w:t>eines Anmelders</w:t>
            </w:r>
          </w:p>
          <w:p w:rsidR="00D269FE" w:rsidRPr="00F24BA0" w:rsidRDefault="00D269FE" w:rsidP="00D269FE">
            <w:pPr>
              <w:tabs>
                <w:tab w:val="left" w:pos="908"/>
                <w:tab w:val="left" w:pos="1334"/>
                <w:tab w:val="right" w:pos="4310"/>
              </w:tabs>
              <w:rPr>
                <w:sz w:val="14"/>
                <w:lang w:val="de-DE"/>
              </w:rPr>
            </w:pPr>
            <w:r w:rsidRPr="00F24BA0">
              <w:rPr>
                <w:snapToGrid w:val="0"/>
                <w:sz w:val="14"/>
                <w:szCs w:val="22"/>
                <w:lang w:val="de-DE"/>
              </w:rPr>
              <w:tab/>
              <w:t xml:space="preserve">   </w:t>
            </w:r>
            <w:r w:rsidRPr="00F24BA0">
              <w:rPr>
                <w:i/>
                <w:snapToGrid w:val="0"/>
                <w:sz w:val="14"/>
                <w:szCs w:val="16"/>
                <w:lang w:val="de-DE"/>
              </w:rPr>
              <w:t>UPOV-A1: 2(b)(i)</w:t>
            </w:r>
          </w:p>
          <w:p w:rsidR="00D269FE" w:rsidRPr="00F24BA0" w:rsidRDefault="00D269FE" w:rsidP="00D269FE">
            <w:pPr>
              <w:tabs>
                <w:tab w:val="left" w:pos="482"/>
                <w:tab w:val="left" w:pos="908"/>
              </w:tabs>
              <w:ind w:right="-85"/>
              <w:jc w:val="left"/>
              <w:rPr>
                <w:sz w:val="14"/>
                <w:lang w:val="de-DE"/>
              </w:rPr>
            </w:pPr>
            <w:r w:rsidRPr="00F24BA0">
              <w:rPr>
                <w:sz w:val="14"/>
                <w:lang w:val="de-DE"/>
              </w:rPr>
              <w:tab/>
              <w:t>□</w:t>
            </w:r>
            <w:r w:rsidRPr="00F24BA0">
              <w:rPr>
                <w:sz w:val="14"/>
                <w:lang w:val="de-DE"/>
              </w:rPr>
              <w:tab/>
              <w:t>des Verfahrensvertreters/</w:t>
            </w:r>
            <w:r w:rsidRPr="00F24BA0">
              <w:rPr>
                <w:sz w:val="14"/>
                <w:lang w:val="de-DE"/>
              </w:rPr>
              <w:tab/>
            </w:r>
            <w:r w:rsidRPr="00F24BA0">
              <w:rPr>
                <w:sz w:val="14"/>
                <w:lang w:val="de-DE"/>
              </w:rPr>
              <w:noBreakHyphen/>
              <w:t>bevollmächtigten</w:t>
            </w:r>
          </w:p>
          <w:p w:rsidR="00D269FE" w:rsidRPr="00F24BA0" w:rsidRDefault="00D269FE" w:rsidP="00D269FE">
            <w:pPr>
              <w:tabs>
                <w:tab w:val="left" w:pos="908"/>
                <w:tab w:val="left" w:pos="1334"/>
                <w:tab w:val="right" w:pos="4310"/>
              </w:tabs>
              <w:rPr>
                <w:sz w:val="14"/>
                <w:lang w:val="de-DE"/>
              </w:rPr>
            </w:pPr>
            <w:r w:rsidRPr="00F24BA0">
              <w:rPr>
                <w:snapToGrid w:val="0"/>
                <w:sz w:val="14"/>
                <w:szCs w:val="22"/>
                <w:lang w:val="de-DE"/>
              </w:rPr>
              <w:tab/>
              <w:t xml:space="preserve">   </w:t>
            </w:r>
            <w:r w:rsidRPr="00F24BA0">
              <w:rPr>
                <w:i/>
                <w:snapToGrid w:val="0"/>
                <w:sz w:val="14"/>
                <w:szCs w:val="16"/>
                <w:lang w:val="de-DE"/>
              </w:rPr>
              <w:t>UPOV-A1: 2(b)(ii)</w:t>
            </w:r>
          </w:p>
          <w:p w:rsidR="00D269FE" w:rsidRPr="00F24BA0" w:rsidRDefault="00D269FE" w:rsidP="00D269FE">
            <w:pPr>
              <w:tabs>
                <w:tab w:val="left" w:pos="482"/>
                <w:tab w:val="left" w:pos="908"/>
              </w:tabs>
              <w:spacing w:after="120"/>
              <w:rPr>
                <w:strike/>
                <w:sz w:val="14"/>
                <w:lang w:val="de-DE"/>
              </w:rPr>
            </w:pPr>
          </w:p>
        </w:tc>
        <w:tc>
          <w:tcPr>
            <w:tcW w:w="182" w:type="dxa"/>
            <w:gridSpan w:val="2"/>
            <w:vMerge w:val="restart"/>
            <w:tcBorders>
              <w:top w:val="nil"/>
              <w:right w:val="nil"/>
            </w:tcBorders>
          </w:tcPr>
          <w:p w:rsidR="00D269FE" w:rsidRPr="00F24BA0" w:rsidRDefault="00D269FE" w:rsidP="00D269FE">
            <w:pPr>
              <w:tabs>
                <w:tab w:val="left" w:pos="482"/>
              </w:tabs>
              <w:spacing w:before="40"/>
              <w:jc w:val="center"/>
              <w:rPr>
                <w:sz w:val="14"/>
                <w:lang w:val="de-DE"/>
              </w:rPr>
            </w:pPr>
          </w:p>
        </w:tc>
        <w:tc>
          <w:tcPr>
            <w:tcW w:w="1168" w:type="dxa"/>
            <w:tcBorders>
              <w:top w:val="nil"/>
              <w:left w:val="nil"/>
              <w:bottom w:val="single" w:sz="6" w:space="0" w:color="000000"/>
              <w:right w:val="nil"/>
            </w:tcBorders>
          </w:tcPr>
          <w:p w:rsidR="00D269FE" w:rsidRPr="00F24BA0" w:rsidRDefault="00D269FE" w:rsidP="00D269FE">
            <w:pPr>
              <w:tabs>
                <w:tab w:val="left" w:pos="482"/>
              </w:tabs>
              <w:spacing w:before="40"/>
              <w:ind w:left="-64"/>
              <w:jc w:val="center"/>
              <w:rPr>
                <w:sz w:val="14"/>
                <w:lang w:val="de-DE"/>
              </w:rPr>
            </w:pP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tcPr>
          <w:p w:rsidR="00D269FE" w:rsidRPr="00F24BA0" w:rsidRDefault="00D269FE" w:rsidP="00D269FE">
            <w:pPr>
              <w:spacing w:before="40"/>
              <w:rPr>
                <w:sz w:val="14"/>
                <w:lang w:val="de-DE"/>
              </w:rPr>
            </w:pPr>
          </w:p>
        </w:tc>
        <w:tc>
          <w:tcPr>
            <w:tcW w:w="4552" w:type="dxa"/>
            <w:gridSpan w:val="2"/>
            <w:vMerge/>
            <w:shd w:val="clear" w:color="auto" w:fill="auto"/>
          </w:tcPr>
          <w:p w:rsidR="00D269FE" w:rsidRPr="00F24BA0" w:rsidRDefault="00D269FE" w:rsidP="00D269FE">
            <w:pPr>
              <w:tabs>
                <w:tab w:val="left" w:pos="482"/>
              </w:tabs>
              <w:spacing w:before="40"/>
              <w:rPr>
                <w:sz w:val="14"/>
                <w:lang w:val="de-DE"/>
              </w:rPr>
            </w:pPr>
          </w:p>
        </w:tc>
        <w:tc>
          <w:tcPr>
            <w:tcW w:w="182" w:type="dxa"/>
            <w:gridSpan w:val="2"/>
            <w:vMerge/>
            <w:tcBorders>
              <w:bottom w:val="nil"/>
              <w:right w:val="single" w:sz="6" w:space="0" w:color="000000"/>
            </w:tcBorders>
          </w:tcPr>
          <w:p w:rsidR="00D269FE" w:rsidRPr="00F24BA0" w:rsidRDefault="00D269FE" w:rsidP="00D269FE">
            <w:pPr>
              <w:tabs>
                <w:tab w:val="left" w:pos="482"/>
              </w:tabs>
              <w:spacing w:before="40"/>
              <w:jc w:val="center"/>
              <w:rPr>
                <w:sz w:val="14"/>
                <w:lang w:val="de-DE"/>
              </w:rPr>
            </w:pPr>
          </w:p>
        </w:tc>
        <w:tc>
          <w:tcPr>
            <w:tcW w:w="1168" w:type="dxa"/>
            <w:tcBorders>
              <w:top w:val="single" w:sz="6" w:space="0" w:color="000000"/>
              <w:left w:val="single" w:sz="6" w:space="0" w:color="000000"/>
              <w:bottom w:val="single" w:sz="6" w:space="0" w:color="000000"/>
              <w:right w:val="single" w:sz="6" w:space="0" w:color="000000"/>
            </w:tcBorders>
          </w:tcPr>
          <w:p w:rsidR="00D269FE" w:rsidRPr="00F24BA0" w:rsidRDefault="00D269FE" w:rsidP="00D269FE">
            <w:pPr>
              <w:tabs>
                <w:tab w:val="left" w:pos="482"/>
              </w:tabs>
              <w:spacing w:before="120" w:after="120"/>
              <w:ind w:left="-62"/>
              <w:jc w:val="center"/>
              <w:rPr>
                <w:sz w:val="14"/>
                <w:lang w:val="de-DE"/>
              </w:rPr>
            </w:pPr>
            <w:r w:rsidRPr="00F24BA0">
              <w:rPr>
                <w:sz w:val="14"/>
                <w:lang w:val="de-DE"/>
              </w:rPr>
              <w:t>NUR ZUM AMTLICHEN</w:t>
            </w:r>
            <w:r w:rsidRPr="00F24BA0">
              <w:rPr>
                <w:sz w:val="14"/>
                <w:lang w:val="de-DE"/>
              </w:rPr>
              <w:br/>
              <w:t>GEBRAUCH</w:t>
            </w: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tcPr>
          <w:p w:rsidR="00D269FE" w:rsidRPr="00F24BA0" w:rsidRDefault="00D269FE" w:rsidP="00D269FE">
            <w:pPr>
              <w:spacing w:before="40"/>
              <w:rPr>
                <w:sz w:val="14"/>
                <w:lang w:val="de-DE"/>
              </w:rPr>
            </w:pPr>
          </w:p>
        </w:tc>
        <w:tc>
          <w:tcPr>
            <w:tcW w:w="4552" w:type="dxa"/>
            <w:gridSpan w:val="2"/>
            <w:vMerge/>
            <w:shd w:val="clear" w:color="auto" w:fill="auto"/>
          </w:tcPr>
          <w:p w:rsidR="00D269FE" w:rsidRPr="00F24BA0" w:rsidRDefault="00D269FE" w:rsidP="00D269FE">
            <w:pPr>
              <w:tabs>
                <w:tab w:val="left" w:pos="482"/>
              </w:tabs>
              <w:spacing w:before="40"/>
              <w:rPr>
                <w:sz w:val="14"/>
                <w:lang w:val="de-DE"/>
              </w:rPr>
            </w:pPr>
          </w:p>
        </w:tc>
        <w:tc>
          <w:tcPr>
            <w:tcW w:w="182" w:type="dxa"/>
            <w:gridSpan w:val="2"/>
            <w:vMerge/>
            <w:tcBorders>
              <w:top w:val="nil"/>
              <w:bottom w:val="nil"/>
              <w:right w:val="nil"/>
            </w:tcBorders>
          </w:tcPr>
          <w:p w:rsidR="00D269FE" w:rsidRPr="00F24BA0" w:rsidRDefault="00D269FE" w:rsidP="00D269FE">
            <w:pPr>
              <w:tabs>
                <w:tab w:val="left" w:pos="482"/>
              </w:tabs>
              <w:spacing w:before="40"/>
              <w:jc w:val="center"/>
              <w:rPr>
                <w:sz w:val="14"/>
                <w:lang w:val="de-DE"/>
              </w:rPr>
            </w:pPr>
          </w:p>
        </w:tc>
        <w:tc>
          <w:tcPr>
            <w:tcW w:w="1168" w:type="dxa"/>
            <w:tcBorders>
              <w:top w:val="single" w:sz="6" w:space="0" w:color="000000"/>
              <w:left w:val="nil"/>
              <w:bottom w:val="nil"/>
              <w:right w:val="nil"/>
            </w:tcBorders>
          </w:tcPr>
          <w:p w:rsidR="00D269FE" w:rsidRPr="00F24BA0" w:rsidRDefault="00D269FE" w:rsidP="00D269FE">
            <w:pPr>
              <w:tabs>
                <w:tab w:val="left" w:pos="482"/>
              </w:tabs>
              <w:spacing w:before="40"/>
              <w:ind w:left="-64"/>
              <w:jc w:val="center"/>
              <w:rPr>
                <w:sz w:val="14"/>
                <w:lang w:val="de-DE"/>
              </w:rPr>
            </w:pP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D269FE" w:rsidRPr="00F24BA0" w:rsidRDefault="00D269FE" w:rsidP="00D269FE">
            <w:pPr>
              <w:tabs>
                <w:tab w:val="left" w:pos="198"/>
                <w:tab w:val="left" w:pos="555"/>
                <w:tab w:val="left" w:pos="2268"/>
                <w:tab w:val="right" w:pos="9221"/>
              </w:tabs>
              <w:spacing w:before="40"/>
              <w:rPr>
                <w:sz w:val="14"/>
                <w:lang w:val="de-DE"/>
              </w:rPr>
            </w:pPr>
            <w:r w:rsidRPr="00F24BA0">
              <w:rPr>
                <w:sz w:val="14"/>
                <w:lang w:val="de-DE"/>
              </w:rPr>
              <w:t>3.</w:t>
            </w:r>
            <w:r w:rsidRPr="00F24BA0">
              <w:rPr>
                <w:sz w:val="14"/>
                <w:lang w:val="de-DE"/>
              </w:rPr>
              <w:tab/>
            </w:r>
            <w:r w:rsidRPr="00F24BA0">
              <w:rPr>
                <w:color w:val="000000"/>
                <w:sz w:val="14"/>
                <w:lang w:val="de-DE"/>
              </w:rPr>
              <w:t>(a)</w:t>
            </w:r>
            <w:r w:rsidRPr="00F24BA0">
              <w:rPr>
                <w:color w:val="000000"/>
                <w:sz w:val="14"/>
                <w:lang w:val="de-DE"/>
              </w:rPr>
              <w:tab/>
            </w:r>
            <w:r w:rsidRPr="00F24BA0">
              <w:rPr>
                <w:sz w:val="14"/>
                <w:lang w:val="de-DE"/>
              </w:rPr>
              <w:t xml:space="preserve"> Botanischer Name:</w:t>
            </w:r>
            <w:r w:rsidRPr="00F24BA0">
              <w:rPr>
                <w:sz w:val="14"/>
                <w:lang w:val="de-DE"/>
              </w:rPr>
              <w:tab/>
            </w:r>
            <w:r w:rsidRPr="00F24BA0">
              <w:rPr>
                <w:sz w:val="14"/>
                <w:u w:val="single"/>
                <w:lang w:val="de-DE"/>
              </w:rPr>
              <w:tab/>
            </w:r>
            <w:r w:rsidRPr="00F24BA0">
              <w:rPr>
                <w:sz w:val="14"/>
                <w:u w:val="single"/>
                <w:lang w:val="de-DE"/>
              </w:rPr>
              <w:br/>
            </w:r>
            <w:r w:rsidRPr="00F24BA0">
              <w:rPr>
                <w:snapToGrid w:val="0"/>
                <w:sz w:val="14"/>
                <w:szCs w:val="22"/>
                <w:lang w:val="de-DE"/>
              </w:rPr>
              <w:tab/>
            </w:r>
            <w:r w:rsidRPr="00F24BA0">
              <w:rPr>
                <w:snapToGrid w:val="0"/>
                <w:sz w:val="14"/>
                <w:szCs w:val="22"/>
                <w:lang w:val="de-DE"/>
              </w:rPr>
              <w:tab/>
              <w:t xml:space="preserve">   </w:t>
            </w:r>
            <w:r w:rsidRPr="00F24BA0">
              <w:rPr>
                <w:i/>
                <w:snapToGrid w:val="0"/>
                <w:sz w:val="14"/>
                <w:szCs w:val="16"/>
                <w:lang w:val="de-DE"/>
              </w:rPr>
              <w:t>UPOV-A1: 3(a)</w:t>
            </w:r>
          </w:p>
          <w:p w:rsidR="00D269FE" w:rsidRPr="00F24BA0" w:rsidRDefault="00D269FE" w:rsidP="00D269FE">
            <w:pPr>
              <w:tabs>
                <w:tab w:val="left" w:pos="198"/>
                <w:tab w:val="left" w:pos="567"/>
                <w:tab w:val="left" w:pos="2268"/>
                <w:tab w:val="right" w:pos="9221"/>
              </w:tabs>
              <w:rPr>
                <w:sz w:val="14"/>
                <w:lang w:val="de-DE"/>
              </w:rPr>
            </w:pPr>
            <w:r w:rsidRPr="00F24BA0">
              <w:rPr>
                <w:color w:val="000000"/>
                <w:sz w:val="14"/>
                <w:lang w:val="de-DE"/>
              </w:rPr>
              <w:tab/>
              <w:t>(b)</w:t>
            </w:r>
            <w:r w:rsidRPr="00F24BA0">
              <w:rPr>
                <w:color w:val="000000"/>
                <w:sz w:val="14"/>
                <w:lang w:val="de-DE"/>
              </w:rPr>
              <w:tab/>
            </w:r>
            <w:r w:rsidRPr="00F24BA0">
              <w:rPr>
                <w:sz w:val="14"/>
                <w:lang w:val="de-DE"/>
              </w:rPr>
              <w:t xml:space="preserve"> Landesüblicher Name:</w:t>
            </w:r>
            <w:r w:rsidRPr="00F24BA0">
              <w:rPr>
                <w:color w:val="000000"/>
                <w:sz w:val="14"/>
                <w:u w:val="single"/>
                <w:lang w:val="de-DE"/>
              </w:rPr>
              <w:tab/>
            </w:r>
            <w:r w:rsidRPr="00F24BA0">
              <w:rPr>
                <w:color w:val="000000"/>
                <w:sz w:val="14"/>
                <w:u w:val="single"/>
                <w:lang w:val="de-DE"/>
              </w:rPr>
              <w:br/>
            </w:r>
            <w:r w:rsidRPr="00F24BA0">
              <w:rPr>
                <w:snapToGrid w:val="0"/>
                <w:sz w:val="14"/>
                <w:szCs w:val="22"/>
                <w:lang w:val="de-DE"/>
              </w:rPr>
              <w:tab/>
            </w:r>
            <w:r w:rsidRPr="00F24BA0">
              <w:rPr>
                <w:snapToGrid w:val="0"/>
                <w:sz w:val="14"/>
                <w:szCs w:val="22"/>
                <w:lang w:val="de-DE"/>
              </w:rPr>
              <w:tab/>
              <w:t xml:space="preserve">   </w:t>
            </w:r>
            <w:r w:rsidRPr="00F24BA0">
              <w:rPr>
                <w:i/>
                <w:snapToGrid w:val="0"/>
                <w:sz w:val="14"/>
                <w:szCs w:val="16"/>
                <w:lang w:val="de-DE"/>
              </w:rPr>
              <w:t>UPOV-A1: 3(b)</w:t>
            </w:r>
          </w:p>
        </w:tc>
        <w:tc>
          <w:tcPr>
            <w:tcW w:w="170" w:type="dxa"/>
            <w:tcBorders>
              <w:top w:val="nil"/>
              <w:bottom w:val="nil"/>
              <w:right w:val="nil"/>
            </w:tcBorders>
          </w:tcPr>
          <w:p w:rsidR="00D269FE" w:rsidRPr="00F24BA0" w:rsidRDefault="00D269FE" w:rsidP="00D269FE">
            <w:pPr>
              <w:tabs>
                <w:tab w:val="left" w:pos="198"/>
                <w:tab w:val="left" w:pos="555"/>
                <w:tab w:val="left" w:pos="2268"/>
                <w:tab w:val="right" w:pos="8925"/>
              </w:tabs>
              <w:spacing w:before="40"/>
              <w:jc w:val="center"/>
              <w:rPr>
                <w:sz w:val="14"/>
                <w:lang w:val="de-DE"/>
              </w:rPr>
            </w:pPr>
          </w:p>
        </w:tc>
        <w:tc>
          <w:tcPr>
            <w:tcW w:w="1180" w:type="dxa"/>
            <w:gridSpan w:val="2"/>
            <w:tcBorders>
              <w:top w:val="nil"/>
              <w:left w:val="nil"/>
              <w:bottom w:val="nil"/>
              <w:right w:val="nil"/>
            </w:tcBorders>
          </w:tcPr>
          <w:p w:rsidR="00D269FE" w:rsidRPr="00F24BA0" w:rsidRDefault="00D269FE" w:rsidP="00D269FE">
            <w:pPr>
              <w:tabs>
                <w:tab w:val="left" w:pos="198"/>
                <w:tab w:val="left" w:pos="555"/>
                <w:tab w:val="left" w:pos="2268"/>
                <w:tab w:val="right" w:pos="8925"/>
              </w:tabs>
              <w:spacing w:before="40"/>
              <w:rPr>
                <w:sz w:val="14"/>
                <w:lang w:val="de-DE"/>
              </w:rPr>
            </w:pP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D269FE" w:rsidRPr="00F24BA0" w:rsidRDefault="00D269FE" w:rsidP="00D269FE">
            <w:pPr>
              <w:tabs>
                <w:tab w:val="left" w:pos="198"/>
                <w:tab w:val="left" w:pos="567"/>
                <w:tab w:val="right" w:pos="9221"/>
              </w:tabs>
              <w:spacing w:before="40"/>
              <w:rPr>
                <w:sz w:val="14"/>
                <w:lang w:val="de-DE"/>
              </w:rPr>
            </w:pPr>
            <w:r w:rsidRPr="00F24BA0">
              <w:rPr>
                <w:sz w:val="14"/>
                <w:lang w:val="de-DE"/>
              </w:rPr>
              <w:t>4.</w:t>
            </w:r>
            <w:r w:rsidRPr="00F24BA0">
              <w:rPr>
                <w:sz w:val="14"/>
                <w:lang w:val="de-DE"/>
              </w:rPr>
              <w:tab/>
              <w:t>(a)</w:t>
            </w:r>
            <w:r w:rsidRPr="00F24BA0">
              <w:rPr>
                <w:sz w:val="14"/>
                <w:lang w:val="de-DE"/>
              </w:rPr>
              <w:tab/>
              <w:t xml:space="preserve"> Vorgeschlagene Sortenbezeichnung (in Blockschrift):  </w:t>
            </w:r>
            <w:r w:rsidRPr="00F24BA0">
              <w:rPr>
                <w:sz w:val="14"/>
                <w:u w:val="single"/>
                <w:lang w:val="de-DE"/>
              </w:rPr>
              <w:tab/>
            </w:r>
            <w:r w:rsidRPr="00F24BA0">
              <w:rPr>
                <w:sz w:val="14"/>
                <w:u w:val="single"/>
                <w:lang w:val="de-DE"/>
              </w:rPr>
              <w:br/>
            </w:r>
            <w:r w:rsidRPr="00F24BA0">
              <w:rPr>
                <w:snapToGrid w:val="0"/>
                <w:sz w:val="14"/>
                <w:szCs w:val="22"/>
                <w:lang w:val="de-DE"/>
              </w:rPr>
              <w:tab/>
            </w:r>
            <w:r w:rsidRPr="00F24BA0">
              <w:rPr>
                <w:snapToGrid w:val="0"/>
                <w:sz w:val="14"/>
                <w:szCs w:val="22"/>
                <w:lang w:val="de-DE"/>
              </w:rPr>
              <w:tab/>
              <w:t xml:space="preserve">   </w:t>
            </w:r>
            <w:r w:rsidRPr="00F24BA0">
              <w:rPr>
                <w:i/>
                <w:snapToGrid w:val="0"/>
                <w:sz w:val="14"/>
                <w:szCs w:val="16"/>
                <w:lang w:val="de-DE"/>
              </w:rPr>
              <w:t>UPOV-A1: 4(a)</w:t>
            </w:r>
          </w:p>
          <w:p w:rsidR="00D269FE" w:rsidRPr="00F24BA0" w:rsidRDefault="00D269FE" w:rsidP="00D269FE">
            <w:pPr>
              <w:tabs>
                <w:tab w:val="left" w:pos="142"/>
                <w:tab w:val="left" w:pos="198"/>
                <w:tab w:val="left" w:pos="567"/>
                <w:tab w:val="right" w:pos="9221"/>
              </w:tabs>
              <w:ind w:left="57"/>
              <w:rPr>
                <w:sz w:val="14"/>
                <w:lang w:val="de-DE"/>
              </w:rPr>
            </w:pPr>
            <w:r w:rsidRPr="00F24BA0">
              <w:rPr>
                <w:sz w:val="14"/>
                <w:lang w:val="de-DE"/>
              </w:rPr>
              <w:tab/>
            </w:r>
            <w:r w:rsidRPr="00F24BA0">
              <w:rPr>
                <w:sz w:val="14"/>
                <w:lang w:val="de-DE"/>
              </w:rPr>
              <w:tab/>
              <w:t>(b)</w:t>
            </w:r>
            <w:r w:rsidRPr="00F24BA0">
              <w:rPr>
                <w:sz w:val="14"/>
                <w:lang w:val="de-DE"/>
              </w:rPr>
              <w:tab/>
              <w:t xml:space="preserve"> Anmeldebezeichnung: </w:t>
            </w:r>
            <w:r w:rsidRPr="00F24BA0">
              <w:rPr>
                <w:sz w:val="14"/>
                <w:u w:val="single"/>
                <w:lang w:val="de-DE"/>
              </w:rPr>
              <w:tab/>
            </w:r>
          </w:p>
          <w:p w:rsidR="00D269FE" w:rsidRPr="00F24BA0" w:rsidRDefault="00D269FE" w:rsidP="00D269FE">
            <w:pPr>
              <w:tabs>
                <w:tab w:val="left" w:pos="142"/>
                <w:tab w:val="left" w:pos="198"/>
                <w:tab w:val="left" w:pos="567"/>
                <w:tab w:val="right" w:pos="8931"/>
              </w:tabs>
              <w:ind w:left="57"/>
              <w:rPr>
                <w:sz w:val="14"/>
                <w:lang w:val="de-DE"/>
              </w:rPr>
            </w:pPr>
            <w:r w:rsidRPr="00F24BA0">
              <w:rPr>
                <w:snapToGrid w:val="0"/>
                <w:sz w:val="14"/>
                <w:szCs w:val="22"/>
                <w:lang w:val="de-DE"/>
              </w:rPr>
              <w:tab/>
            </w:r>
            <w:r w:rsidRPr="00F24BA0">
              <w:rPr>
                <w:snapToGrid w:val="0"/>
                <w:sz w:val="14"/>
                <w:szCs w:val="22"/>
                <w:lang w:val="de-DE"/>
              </w:rPr>
              <w:tab/>
            </w:r>
            <w:r w:rsidRPr="00F24BA0">
              <w:rPr>
                <w:snapToGrid w:val="0"/>
                <w:sz w:val="14"/>
                <w:szCs w:val="22"/>
                <w:lang w:val="de-DE"/>
              </w:rPr>
              <w:tab/>
              <w:t xml:space="preserve">   </w:t>
            </w:r>
            <w:r w:rsidRPr="00F24BA0">
              <w:rPr>
                <w:i/>
                <w:snapToGrid w:val="0"/>
                <w:sz w:val="14"/>
                <w:szCs w:val="16"/>
                <w:lang w:val="de-DE"/>
              </w:rPr>
              <w:t>UPOV-A1: 4(b)</w:t>
            </w:r>
            <w:r w:rsidRPr="00F24BA0">
              <w:rPr>
                <w:sz w:val="14"/>
                <w:lang w:val="de-DE"/>
              </w:rPr>
              <w:tab/>
              <w:t xml:space="preserve"> </w:t>
            </w:r>
          </w:p>
        </w:tc>
        <w:tc>
          <w:tcPr>
            <w:tcW w:w="170" w:type="dxa"/>
            <w:tcBorders>
              <w:top w:val="nil"/>
              <w:bottom w:val="nil"/>
              <w:right w:val="nil"/>
            </w:tcBorders>
          </w:tcPr>
          <w:p w:rsidR="00D269FE" w:rsidRPr="00F24BA0" w:rsidRDefault="00D269FE" w:rsidP="00D269FE">
            <w:pPr>
              <w:tabs>
                <w:tab w:val="left" w:pos="198"/>
                <w:tab w:val="left" w:pos="567"/>
                <w:tab w:val="right" w:pos="8931"/>
              </w:tabs>
              <w:spacing w:before="40"/>
              <w:jc w:val="center"/>
              <w:rPr>
                <w:sz w:val="14"/>
                <w:lang w:val="de-DE"/>
              </w:rPr>
            </w:pPr>
          </w:p>
        </w:tc>
        <w:tc>
          <w:tcPr>
            <w:tcW w:w="1180" w:type="dxa"/>
            <w:gridSpan w:val="2"/>
            <w:tcBorders>
              <w:top w:val="nil"/>
              <w:left w:val="nil"/>
              <w:bottom w:val="nil"/>
              <w:right w:val="nil"/>
            </w:tcBorders>
          </w:tcPr>
          <w:p w:rsidR="00D269FE" w:rsidRPr="00F24BA0" w:rsidRDefault="00D269FE" w:rsidP="00D269FE">
            <w:pPr>
              <w:tabs>
                <w:tab w:val="left" w:pos="198"/>
                <w:tab w:val="left" w:pos="567"/>
                <w:tab w:val="right" w:pos="8931"/>
              </w:tabs>
              <w:spacing w:before="40"/>
              <w:rPr>
                <w:sz w:val="14"/>
                <w:lang w:val="de-DE"/>
              </w:rPr>
            </w:pPr>
          </w:p>
        </w:tc>
      </w:tr>
      <w:tr w:rsidR="00D269FE" w:rsidRPr="00F24BA0" w:rsidTr="008F2B1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D269FE" w:rsidRPr="00F24BA0" w:rsidRDefault="00D269FE" w:rsidP="00D269FE">
            <w:pPr>
              <w:tabs>
                <w:tab w:val="left" w:pos="198"/>
                <w:tab w:val="left" w:pos="567"/>
                <w:tab w:val="left" w:pos="3686"/>
                <w:tab w:val="left" w:pos="6237"/>
              </w:tabs>
              <w:spacing w:before="40"/>
              <w:rPr>
                <w:sz w:val="14"/>
                <w:lang w:val="de-DE"/>
              </w:rPr>
            </w:pPr>
            <w:r w:rsidRPr="00F24BA0">
              <w:rPr>
                <w:sz w:val="14"/>
                <w:lang w:val="de-DE"/>
              </w:rPr>
              <w:t>5.</w:t>
            </w:r>
            <w:r w:rsidRPr="00F24BA0">
              <w:rPr>
                <w:sz w:val="14"/>
                <w:lang w:val="de-DE"/>
              </w:rPr>
              <w:tab/>
              <w:t>(a)</w:t>
            </w:r>
            <w:r w:rsidRPr="00F24BA0">
              <w:rPr>
                <w:sz w:val="14"/>
                <w:lang w:val="de-DE"/>
              </w:rPr>
              <w:tab/>
              <w:t xml:space="preserve"> Die Person(en), die die Sorte hervorbrachte(n) oder entdeckte(n) und entwickelte(n), ist (sind)</w:t>
            </w:r>
          </w:p>
          <w:p w:rsidR="00D269FE" w:rsidRPr="00F24BA0" w:rsidRDefault="00D269FE" w:rsidP="00D269FE">
            <w:pPr>
              <w:tabs>
                <w:tab w:val="left" w:pos="198"/>
                <w:tab w:val="left" w:pos="567"/>
                <w:tab w:val="left" w:pos="876"/>
                <w:tab w:val="left" w:pos="3035"/>
                <w:tab w:val="left" w:pos="3402"/>
                <w:tab w:val="left" w:pos="5580"/>
                <w:tab w:val="right" w:pos="9221"/>
              </w:tabs>
              <w:rPr>
                <w:sz w:val="14"/>
                <w:lang w:val="de-DE"/>
              </w:rPr>
            </w:pPr>
            <w:r w:rsidRPr="00F24BA0">
              <w:rPr>
                <w:sz w:val="14"/>
                <w:lang w:val="de-DE"/>
              </w:rPr>
              <w:tab/>
            </w:r>
            <w:r w:rsidRPr="00F24BA0">
              <w:rPr>
                <w:sz w:val="14"/>
                <w:lang w:val="de-DE"/>
              </w:rPr>
              <w:tab/>
              <w:t>□</w:t>
            </w:r>
            <w:r w:rsidRPr="00F24BA0">
              <w:rPr>
                <w:sz w:val="14"/>
                <w:lang w:val="de-DE"/>
              </w:rPr>
              <w:tab/>
              <w:t xml:space="preserve"> der (alle) Anmelder </w:t>
            </w:r>
            <w:r w:rsidRPr="00F24BA0">
              <w:rPr>
                <w:sz w:val="14"/>
                <w:lang w:val="de-DE"/>
              </w:rPr>
              <w:tab/>
              <w:t xml:space="preserve"> folgende Person(en):  ____________________________________</w:t>
            </w:r>
            <w:r w:rsidRPr="00F24BA0">
              <w:rPr>
                <w:sz w:val="14"/>
                <w:lang w:val="de-DE"/>
              </w:rPr>
              <w:br/>
            </w:r>
            <w:r w:rsidRPr="00F24BA0">
              <w:rPr>
                <w:snapToGrid w:val="0"/>
                <w:sz w:val="14"/>
                <w:szCs w:val="22"/>
                <w:lang w:val="de-DE"/>
              </w:rPr>
              <w:tab/>
            </w:r>
            <w:r w:rsidRPr="00F24BA0">
              <w:rPr>
                <w:snapToGrid w:val="0"/>
                <w:sz w:val="14"/>
                <w:szCs w:val="22"/>
                <w:lang w:val="de-DE"/>
              </w:rPr>
              <w:tab/>
            </w:r>
            <w:r w:rsidRPr="00F24BA0">
              <w:rPr>
                <w:snapToGrid w:val="0"/>
                <w:sz w:val="14"/>
                <w:szCs w:val="22"/>
                <w:lang w:val="de-DE"/>
              </w:rPr>
              <w:tab/>
            </w:r>
            <w:r w:rsidRPr="00F24BA0">
              <w:rPr>
                <w:snapToGrid w:val="0"/>
                <w:sz w:val="14"/>
                <w:lang w:val="de-DE"/>
              </w:rPr>
              <w:t xml:space="preserve">   </w:t>
            </w:r>
            <w:r w:rsidRPr="00F24BA0">
              <w:rPr>
                <w:i/>
                <w:snapToGrid w:val="0"/>
                <w:sz w:val="14"/>
                <w:szCs w:val="16"/>
                <w:lang w:val="de-DE"/>
              </w:rPr>
              <w:t>UPOV-A1: 5(a)(i)</w:t>
            </w:r>
            <w:r w:rsidRPr="00F24BA0">
              <w:rPr>
                <w:i/>
                <w:snapToGrid w:val="0"/>
                <w:sz w:val="14"/>
                <w:szCs w:val="16"/>
                <w:lang w:val="de-DE"/>
              </w:rPr>
              <w:tab/>
            </w:r>
            <w:r w:rsidRPr="00F24BA0">
              <w:rPr>
                <w:i/>
                <w:snapToGrid w:val="0"/>
                <w:sz w:val="14"/>
                <w:szCs w:val="16"/>
                <w:lang w:val="de-DE"/>
              </w:rPr>
              <w:tab/>
            </w:r>
            <w:r w:rsidRPr="00F24BA0">
              <w:rPr>
                <w:snapToGrid w:val="0"/>
                <w:sz w:val="14"/>
                <w:lang w:val="de-DE"/>
              </w:rPr>
              <w:t xml:space="preserve">   </w:t>
            </w:r>
            <w:r w:rsidRPr="00F24BA0">
              <w:rPr>
                <w:i/>
                <w:snapToGrid w:val="0"/>
                <w:sz w:val="14"/>
                <w:szCs w:val="16"/>
                <w:lang w:val="de-DE"/>
              </w:rPr>
              <w:t>UPOV-A1: 5(a)(ii)</w:t>
            </w:r>
            <w:r w:rsidRPr="00F24BA0">
              <w:rPr>
                <w:i/>
                <w:snapToGrid w:val="0"/>
                <w:sz w:val="14"/>
                <w:szCs w:val="16"/>
                <w:lang w:val="de-DE"/>
              </w:rPr>
              <w:tab/>
              <w:t xml:space="preserve">  UPOV-A1: 5(a)(iii)</w:t>
            </w:r>
          </w:p>
          <w:p w:rsidR="00D269FE" w:rsidRPr="00F24BA0" w:rsidRDefault="00D269FE" w:rsidP="00D269FE">
            <w:pPr>
              <w:tabs>
                <w:tab w:val="left" w:pos="198"/>
                <w:tab w:val="left" w:pos="251"/>
                <w:tab w:val="left" w:pos="567"/>
                <w:tab w:val="left" w:pos="851"/>
              </w:tabs>
              <w:ind w:left="567" w:hanging="567"/>
              <w:rPr>
                <w:sz w:val="14"/>
                <w:lang w:val="de-DE"/>
              </w:rPr>
            </w:pPr>
            <w:r w:rsidRPr="00F24BA0">
              <w:rPr>
                <w:sz w:val="14"/>
                <w:lang w:val="de-DE"/>
              </w:rPr>
              <w:tab/>
              <w:t>(b)</w:t>
            </w:r>
            <w:r w:rsidRPr="00F24BA0">
              <w:rPr>
                <w:sz w:val="14"/>
                <w:lang w:val="de-DE"/>
              </w:rPr>
              <w:tab/>
              <w:t xml:space="preserve"> Nach meinem/unserem Wissen gibt es keine andere(n) Person(en), die die Sorte hervorbrachte(n) oder </w:t>
            </w:r>
            <w:r w:rsidRPr="00F24BA0">
              <w:rPr>
                <w:sz w:val="14"/>
                <w:lang w:val="de-DE"/>
              </w:rPr>
              <w:tab/>
              <w:t>entdeckte(n) und entwickelte(n).</w:t>
            </w:r>
            <w:r w:rsidRPr="00F24BA0">
              <w:rPr>
                <w:sz w:val="14"/>
                <w:lang w:val="de-DE"/>
              </w:rPr>
              <w:br/>
            </w:r>
            <w:r w:rsidRPr="00F24BA0">
              <w:rPr>
                <w:sz w:val="14"/>
                <w:lang w:val="de-DE"/>
              </w:rPr>
              <w:tab/>
              <w:t xml:space="preserve">   </w:t>
            </w:r>
            <w:r w:rsidRPr="00F24BA0">
              <w:rPr>
                <w:i/>
                <w:snapToGrid w:val="0"/>
                <w:sz w:val="14"/>
                <w:szCs w:val="16"/>
                <w:lang w:val="de-DE"/>
              </w:rPr>
              <w:t>UPOV-A1: 5(b)</w:t>
            </w:r>
          </w:p>
          <w:p w:rsidR="00D269FE" w:rsidRPr="00F24BA0" w:rsidRDefault="00D269FE" w:rsidP="00D269FE">
            <w:pPr>
              <w:tabs>
                <w:tab w:val="left" w:pos="198"/>
                <w:tab w:val="left" w:pos="249"/>
              </w:tabs>
              <w:ind w:left="567" w:hanging="567"/>
              <w:rPr>
                <w:sz w:val="14"/>
                <w:lang w:val="de-DE"/>
              </w:rPr>
            </w:pPr>
            <w:r w:rsidRPr="00F24BA0">
              <w:rPr>
                <w:sz w:val="14"/>
                <w:lang w:val="de-DE"/>
              </w:rPr>
              <w:tab/>
              <w:t>(c)</w:t>
            </w:r>
            <w:r w:rsidRPr="00F24BA0">
              <w:rPr>
                <w:sz w:val="14"/>
                <w:lang w:val="de-DE"/>
              </w:rPr>
              <w:tab/>
              <w:t xml:space="preserve"> Die Sorte wurde von der(n) Person(en)</w:t>
            </w:r>
            <w:r w:rsidRPr="00F24BA0">
              <w:rPr>
                <w:sz w:val="14"/>
                <w:vertAlign w:val="superscript"/>
                <w:lang w:val="de-DE"/>
              </w:rPr>
              <w:t>2</w:t>
            </w:r>
            <w:r w:rsidRPr="00F24BA0">
              <w:rPr>
                <w:sz w:val="14"/>
                <w:lang w:val="de-DE"/>
              </w:rPr>
              <w:t xml:space="preserve">, die die Sorte hervorbrachte(n) oder entdeckte(n) und </w:t>
            </w:r>
            <w:r w:rsidRPr="00F24BA0">
              <w:rPr>
                <w:sz w:val="14"/>
                <w:lang w:val="de-DE"/>
              </w:rPr>
              <w:tab/>
              <w:t>entwickelte(n), auf den (die) Anmelder übertragen durch:</w:t>
            </w:r>
          </w:p>
          <w:p w:rsidR="00D269FE" w:rsidRPr="00F24BA0" w:rsidRDefault="00D269FE" w:rsidP="00D269FE">
            <w:pPr>
              <w:tabs>
                <w:tab w:val="left" w:pos="198"/>
                <w:tab w:val="left" w:pos="567"/>
                <w:tab w:val="left" w:pos="993"/>
                <w:tab w:val="right" w:pos="9221"/>
              </w:tabs>
              <w:ind w:left="908" w:hanging="908"/>
              <w:rPr>
                <w:sz w:val="14"/>
                <w:lang w:val="de-DE"/>
              </w:rPr>
            </w:pPr>
            <w:r w:rsidRPr="00F24BA0">
              <w:rPr>
                <w:sz w:val="14"/>
                <w:lang w:val="de-DE"/>
              </w:rPr>
              <w:tab/>
            </w:r>
            <w:r w:rsidRPr="00F24BA0">
              <w:rPr>
                <w:sz w:val="14"/>
                <w:lang w:val="de-DE"/>
              </w:rPr>
              <w:tab/>
              <w:t>□</w:t>
            </w:r>
            <w:r w:rsidRPr="00F24BA0">
              <w:rPr>
                <w:sz w:val="14"/>
                <w:lang w:val="de-DE"/>
              </w:rPr>
              <w:tab/>
              <w:t xml:space="preserve"> Vertrag  </w:t>
            </w:r>
            <w:r w:rsidRPr="00F24BA0">
              <w:rPr>
                <w:sz w:val="14"/>
                <w:u w:val="single"/>
                <w:lang w:val="de-DE"/>
              </w:rPr>
              <w:tab/>
            </w:r>
            <w:r w:rsidRPr="00F24BA0">
              <w:rPr>
                <w:sz w:val="14"/>
                <w:u w:val="single"/>
                <w:lang w:val="de-DE"/>
              </w:rPr>
              <w:br/>
            </w:r>
            <w:r w:rsidRPr="00F24BA0">
              <w:rPr>
                <w:sz w:val="14"/>
                <w:lang w:val="de-DE"/>
              </w:rPr>
              <w:t xml:space="preserve">   </w:t>
            </w:r>
            <w:r w:rsidRPr="00F24BA0">
              <w:rPr>
                <w:i/>
                <w:snapToGrid w:val="0"/>
                <w:sz w:val="14"/>
                <w:szCs w:val="16"/>
                <w:lang w:val="de-DE"/>
              </w:rPr>
              <w:t>UPOV-A1: 5(c)(i)</w:t>
            </w:r>
          </w:p>
          <w:p w:rsidR="00D269FE" w:rsidRPr="00F24BA0" w:rsidRDefault="00D269FE" w:rsidP="00D269FE">
            <w:pPr>
              <w:tabs>
                <w:tab w:val="left" w:pos="198"/>
                <w:tab w:val="left" w:pos="567"/>
                <w:tab w:val="left" w:pos="993"/>
                <w:tab w:val="right" w:pos="9221"/>
              </w:tabs>
              <w:ind w:left="908" w:hanging="908"/>
              <w:rPr>
                <w:sz w:val="14"/>
                <w:lang w:val="de-DE"/>
              </w:rPr>
            </w:pPr>
            <w:r w:rsidRPr="00F24BA0">
              <w:rPr>
                <w:sz w:val="14"/>
                <w:lang w:val="de-DE"/>
              </w:rPr>
              <w:tab/>
            </w:r>
            <w:r w:rsidRPr="00F24BA0">
              <w:rPr>
                <w:sz w:val="14"/>
                <w:lang w:val="de-DE"/>
              </w:rPr>
              <w:tab/>
              <w:t>□</w:t>
            </w:r>
            <w:r w:rsidRPr="00F24BA0">
              <w:rPr>
                <w:sz w:val="14"/>
                <w:lang w:val="de-DE"/>
              </w:rPr>
              <w:tab/>
              <w:t xml:space="preserve"> Erbfolge  </w:t>
            </w:r>
            <w:r w:rsidRPr="00F24BA0">
              <w:rPr>
                <w:sz w:val="14"/>
                <w:u w:val="single"/>
                <w:lang w:val="de-DE"/>
              </w:rPr>
              <w:tab/>
            </w:r>
            <w:r w:rsidRPr="00F24BA0">
              <w:rPr>
                <w:sz w:val="14"/>
                <w:u w:val="single"/>
                <w:lang w:val="de-DE"/>
              </w:rPr>
              <w:br/>
            </w:r>
            <w:r w:rsidRPr="00F24BA0">
              <w:rPr>
                <w:sz w:val="14"/>
                <w:lang w:val="de-DE"/>
              </w:rPr>
              <w:t xml:space="preserve">   </w:t>
            </w:r>
            <w:r w:rsidRPr="00F24BA0">
              <w:rPr>
                <w:i/>
                <w:snapToGrid w:val="0"/>
                <w:sz w:val="14"/>
                <w:szCs w:val="16"/>
                <w:lang w:val="de-DE"/>
              </w:rPr>
              <w:t>UPOV-A1: 5(c)(ii)</w:t>
            </w:r>
          </w:p>
          <w:p w:rsidR="00D269FE" w:rsidRPr="00F24BA0" w:rsidRDefault="00D269FE" w:rsidP="00D269FE">
            <w:pPr>
              <w:tabs>
                <w:tab w:val="left" w:pos="198"/>
                <w:tab w:val="left" w:pos="567"/>
                <w:tab w:val="left" w:pos="993"/>
                <w:tab w:val="left" w:pos="4500"/>
                <w:tab w:val="right" w:pos="9221"/>
              </w:tabs>
              <w:ind w:left="851" w:hanging="851"/>
              <w:rPr>
                <w:sz w:val="14"/>
                <w:u w:val="single"/>
                <w:lang w:val="de-DE"/>
              </w:rPr>
            </w:pPr>
            <w:r w:rsidRPr="00F24BA0">
              <w:rPr>
                <w:sz w:val="14"/>
                <w:lang w:val="de-DE"/>
              </w:rPr>
              <w:tab/>
            </w:r>
            <w:r w:rsidRPr="00F24BA0">
              <w:rPr>
                <w:sz w:val="14"/>
                <w:lang w:val="de-DE"/>
              </w:rPr>
              <w:tab/>
              <w:t>□</w:t>
            </w:r>
            <w:r w:rsidRPr="00F24BA0">
              <w:rPr>
                <w:sz w:val="14"/>
                <w:lang w:val="de-DE"/>
              </w:rPr>
              <w:tab/>
              <w:t xml:space="preserve"> auf andere Weise (bitte angeben)</w:t>
            </w:r>
            <w:r w:rsidRPr="00F24BA0">
              <w:rPr>
                <w:sz w:val="14"/>
                <w:u w:val="single"/>
                <w:lang w:val="de-DE"/>
              </w:rPr>
              <w:tab/>
            </w:r>
            <w:r w:rsidRPr="00F24BA0">
              <w:rPr>
                <w:sz w:val="14"/>
                <w:u w:val="single"/>
                <w:lang w:val="de-DE"/>
              </w:rPr>
              <w:tab/>
            </w:r>
            <w:r w:rsidRPr="00F24BA0">
              <w:rPr>
                <w:sz w:val="14"/>
                <w:u w:val="single"/>
                <w:lang w:val="de-DE"/>
              </w:rPr>
              <w:br/>
            </w:r>
            <w:r w:rsidRPr="00F24BA0">
              <w:rPr>
                <w:sz w:val="14"/>
                <w:lang w:val="de-DE"/>
              </w:rPr>
              <w:t xml:space="preserve">   </w:t>
            </w:r>
            <w:r w:rsidRPr="00F24BA0">
              <w:rPr>
                <w:i/>
                <w:snapToGrid w:val="0"/>
                <w:sz w:val="14"/>
                <w:szCs w:val="16"/>
                <w:lang w:val="de-DE"/>
              </w:rPr>
              <w:t>UPOV-A1: 5(c)(iii)</w:t>
            </w:r>
            <w:r w:rsidRPr="00F24BA0">
              <w:rPr>
                <w:i/>
                <w:snapToGrid w:val="0"/>
                <w:sz w:val="14"/>
                <w:szCs w:val="16"/>
                <w:lang w:val="de-DE"/>
              </w:rPr>
              <w:tab/>
              <w:t xml:space="preserve"> UPOV-A1: 5(c)(iv)</w:t>
            </w:r>
          </w:p>
          <w:p w:rsidR="00D269FE" w:rsidRPr="00F24BA0" w:rsidRDefault="00D269FE" w:rsidP="00D269FE">
            <w:pPr>
              <w:tabs>
                <w:tab w:val="left" w:pos="198"/>
                <w:tab w:val="left" w:pos="286"/>
                <w:tab w:val="left" w:pos="567"/>
                <w:tab w:val="left" w:pos="993"/>
                <w:tab w:val="right" w:pos="9253"/>
              </w:tabs>
              <w:spacing w:before="40" w:after="40"/>
              <w:ind w:left="851" w:hanging="851"/>
              <w:rPr>
                <w:sz w:val="14"/>
                <w:u w:val="single"/>
                <w:lang w:val="de-DE"/>
              </w:rPr>
            </w:pPr>
            <w:r w:rsidRPr="00F24BA0">
              <w:rPr>
                <w:sz w:val="14"/>
                <w:lang w:val="de-DE"/>
              </w:rPr>
              <w:tab/>
              <w:t>(d)</w:t>
            </w:r>
            <w:r w:rsidRPr="00F24BA0">
              <w:rPr>
                <w:sz w:val="14"/>
                <w:lang w:val="de-DE"/>
              </w:rPr>
              <w:tab/>
              <w:t xml:space="preserve"> Die Sorte wurde gezüchtet in (Staat(en)):  </w:t>
            </w:r>
            <w:r w:rsidRPr="00F24BA0">
              <w:rPr>
                <w:sz w:val="14"/>
                <w:u w:val="single"/>
                <w:lang w:val="de-DE"/>
              </w:rPr>
              <w:tab/>
            </w:r>
            <w:r w:rsidRPr="00F24BA0">
              <w:rPr>
                <w:sz w:val="14"/>
                <w:u w:val="single"/>
                <w:lang w:val="de-DE"/>
              </w:rPr>
              <w:br/>
            </w:r>
            <w:r w:rsidRPr="00F24BA0">
              <w:rPr>
                <w:sz w:val="14"/>
                <w:lang w:val="de-DE"/>
              </w:rPr>
              <w:t xml:space="preserve">   </w:t>
            </w:r>
            <w:r w:rsidRPr="00F24BA0">
              <w:rPr>
                <w:i/>
                <w:snapToGrid w:val="0"/>
                <w:sz w:val="14"/>
                <w:szCs w:val="16"/>
                <w:lang w:val="de-DE"/>
              </w:rPr>
              <w:t>UPOV-A1: 5(d)</w:t>
            </w:r>
          </w:p>
        </w:tc>
        <w:tc>
          <w:tcPr>
            <w:tcW w:w="170" w:type="dxa"/>
            <w:tcBorders>
              <w:top w:val="nil"/>
              <w:bottom w:val="nil"/>
              <w:right w:val="nil"/>
            </w:tcBorders>
          </w:tcPr>
          <w:p w:rsidR="00D269FE" w:rsidRPr="00F24BA0" w:rsidRDefault="00D269FE" w:rsidP="00D269FE">
            <w:pPr>
              <w:tabs>
                <w:tab w:val="left" w:pos="198"/>
                <w:tab w:val="left" w:pos="567"/>
                <w:tab w:val="left" w:pos="3686"/>
                <w:tab w:val="left" w:pos="6237"/>
              </w:tabs>
              <w:spacing w:before="40"/>
              <w:jc w:val="center"/>
              <w:rPr>
                <w:sz w:val="14"/>
                <w:lang w:val="de-DE"/>
              </w:rPr>
            </w:pPr>
          </w:p>
        </w:tc>
        <w:tc>
          <w:tcPr>
            <w:tcW w:w="1180" w:type="dxa"/>
            <w:gridSpan w:val="2"/>
            <w:tcBorders>
              <w:top w:val="nil"/>
              <w:left w:val="nil"/>
              <w:bottom w:val="nil"/>
              <w:right w:val="nil"/>
            </w:tcBorders>
          </w:tcPr>
          <w:p w:rsidR="00D269FE" w:rsidRPr="00F24BA0" w:rsidRDefault="00D269FE" w:rsidP="00D269FE">
            <w:pPr>
              <w:tabs>
                <w:tab w:val="left" w:pos="198"/>
                <w:tab w:val="left" w:pos="567"/>
                <w:tab w:val="left" w:pos="3686"/>
                <w:tab w:val="left" w:pos="6237"/>
              </w:tabs>
              <w:spacing w:before="40"/>
              <w:rPr>
                <w:sz w:val="14"/>
                <w:lang w:val="de-DE"/>
              </w:rPr>
            </w:pPr>
          </w:p>
        </w:tc>
      </w:tr>
    </w:tbl>
    <w:p w:rsidR="00D269FE" w:rsidRPr="00F24BA0" w:rsidRDefault="00D269FE" w:rsidP="00D269FE">
      <w:pPr>
        <w:jc w:val="left"/>
        <w:rPr>
          <w:lang w:val="de-DE"/>
        </w:rPr>
      </w:pPr>
      <w:r w:rsidRPr="00F24BA0">
        <w:rPr>
          <w:lang w:val="de-DE"/>
        </w:rPr>
        <w:br w:type="page"/>
      </w:r>
    </w:p>
    <w:p w:rsidR="00D269FE" w:rsidRPr="00F24BA0" w:rsidRDefault="00D269FE" w:rsidP="007010F9">
      <w:pPr>
        <w:rPr>
          <w:i/>
          <w:lang w:val="de-DE"/>
        </w:rPr>
      </w:pPr>
      <w:bookmarkStart w:id="86" w:name="_Toc378597575"/>
      <w:bookmarkStart w:id="87" w:name="_Toc379273715"/>
      <w:bookmarkStart w:id="88" w:name="_Toc381527918"/>
      <w:bookmarkStart w:id="89" w:name="_Toc381538492"/>
      <w:bookmarkStart w:id="90" w:name="_Toc381539707"/>
      <w:bookmarkStart w:id="91" w:name="_Toc381598717"/>
      <w:bookmarkStart w:id="92" w:name="_Toc382813440"/>
      <w:r w:rsidRPr="00F24BA0">
        <w:rPr>
          <w:i/>
          <w:lang w:val="de-DE"/>
        </w:rPr>
        <w:lastRenderedPageBreak/>
        <w:t>Technischer Fragebogen</w:t>
      </w:r>
      <w:bookmarkEnd w:id="86"/>
      <w:bookmarkEnd w:id="87"/>
      <w:bookmarkEnd w:id="88"/>
      <w:bookmarkEnd w:id="89"/>
      <w:bookmarkEnd w:id="90"/>
      <w:bookmarkEnd w:id="91"/>
      <w:bookmarkEnd w:id="92"/>
    </w:p>
    <w:p w:rsidR="00D269FE" w:rsidRPr="00F24BA0" w:rsidRDefault="00D269FE" w:rsidP="00D269FE">
      <w:pPr>
        <w:rPr>
          <w:lang w:val="de-DE"/>
        </w:rPr>
      </w:pPr>
    </w:p>
    <w:p w:rsidR="00D269FE" w:rsidRPr="00F24BA0" w:rsidRDefault="00D269FE" w:rsidP="00D269FE">
      <w:pPr>
        <w:rPr>
          <w:lang w:val="de-DE"/>
        </w:rPr>
      </w:pPr>
      <w:r w:rsidRPr="00F24BA0">
        <w:rPr>
          <w:lang w:val="de-DE"/>
        </w:rPr>
        <w:t xml:space="preserve">Zur Unterstützung des Prozesses der Sortenprüfung werden vom Züchter bestimmte Auskünfte verlangt, in der Regel mittels eines Technischen Fragebogens, der mit dem Antrag einzureichen ist. Der Technische Fragebogen verlangt Informationen über besondere Merkmale, die von Bedeutung für die Unterscheidung der Sorten sind, Informationen über das Züchtungsschema der Sorte und sonstige Informationen, die die Unterscheidung der Sorte erleichtern können. Ferner wird der Züchter ersucht, ähnliche Sorten und Merkmale auszuweisen, anhand derer die Kandidatensorte von diesen ähnlichen Sorten unterschieden werden kann. Wenn die UPOV „Prüfungsrichtlinien für die Durchführung der Prüfung auf Unterscheidbarkeit, Homogenität und Beständigkeit“ oder „Prüfungsrichtlinien“ für einzelne Arten oder sonstige Sortengruppierungen ausgearbeitet hat (vergleiche </w:t>
      </w:r>
      <w:hyperlink r:id="rId18" w:history="1">
        <w:r w:rsidRPr="00F24BA0">
          <w:rPr>
            <w:rFonts w:cs="Arial"/>
            <w:color w:val="0000FF"/>
            <w:u w:val="single"/>
            <w:lang w:val="de-DE"/>
          </w:rPr>
          <w:t>http://www.upov.int/test_guidelines/de/</w:t>
        </w:r>
      </w:hyperlink>
      <w:r w:rsidRPr="00F24BA0">
        <w:rPr>
          <w:lang w:val="de-DE"/>
        </w:rPr>
        <w:t>), enthalten die Prüfungsrichtlinien in Kapitel 10 einen Technischen Muster-Fragebogen.</w:t>
      </w:r>
    </w:p>
    <w:p w:rsidR="00D269FE" w:rsidRPr="00F24BA0" w:rsidRDefault="00D269FE" w:rsidP="00D269FE">
      <w:pPr>
        <w:spacing w:line="360" w:lineRule="auto"/>
        <w:rPr>
          <w:lang w:val="de-DE"/>
        </w:rPr>
      </w:pPr>
    </w:p>
    <w:p w:rsidR="00D269FE" w:rsidRPr="00F24BA0" w:rsidRDefault="00D269FE" w:rsidP="007010F9">
      <w:pPr>
        <w:rPr>
          <w:i/>
          <w:lang w:val="de-DE"/>
        </w:rPr>
      </w:pPr>
      <w:bookmarkStart w:id="93" w:name="_Toc378597576"/>
      <w:bookmarkStart w:id="94" w:name="_Toc379273716"/>
      <w:bookmarkStart w:id="95" w:name="_Toc381527919"/>
      <w:bookmarkStart w:id="96" w:name="_Toc381538493"/>
      <w:bookmarkStart w:id="97" w:name="_Toc381539708"/>
      <w:bookmarkStart w:id="98" w:name="_Toc381598718"/>
      <w:bookmarkStart w:id="99" w:name="_Toc382813441"/>
      <w:r w:rsidRPr="00F24BA0">
        <w:rPr>
          <w:i/>
          <w:lang w:val="de-DE"/>
        </w:rPr>
        <w:t>Sortenprobe</w:t>
      </w:r>
      <w:bookmarkEnd w:id="93"/>
      <w:bookmarkEnd w:id="94"/>
      <w:bookmarkEnd w:id="95"/>
      <w:bookmarkEnd w:id="96"/>
      <w:bookmarkEnd w:id="97"/>
      <w:bookmarkEnd w:id="98"/>
      <w:bookmarkEnd w:id="99"/>
    </w:p>
    <w:p w:rsidR="00D269FE" w:rsidRPr="00F24BA0" w:rsidRDefault="00D269FE" w:rsidP="00D269FE">
      <w:pPr>
        <w:keepNext/>
        <w:rPr>
          <w:lang w:val="de-DE"/>
        </w:rPr>
      </w:pPr>
    </w:p>
    <w:p w:rsidR="00D269FE" w:rsidRPr="00F24BA0" w:rsidRDefault="00D269FE" w:rsidP="00D269FE">
      <w:pPr>
        <w:rPr>
          <w:lang w:val="de-DE"/>
        </w:rPr>
      </w:pPr>
      <w:r w:rsidRPr="00F24BA0">
        <w:rPr>
          <w:lang w:val="de-DE"/>
        </w:rPr>
        <w:t>Dokument TGP/5, „Erfahrung und Zusammenarbeit bei der DUS-Prüfung“, Abschnitt 4, „UPOV-Musterformblatt für die Bezeichnung einer Sortenprobe“, stellt ein Muster bereit, das in Verbindung mit dem für die Prüfung der Kandidatensorten einzureichenden Pflanzenmaterial zu benutzen ist.</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7010F9">
      <w:pPr>
        <w:rPr>
          <w:u w:val="single"/>
          <w:lang w:val="de-DE"/>
        </w:rPr>
      </w:pPr>
      <w:bookmarkStart w:id="100" w:name="_Toc378597578"/>
      <w:bookmarkStart w:id="101" w:name="_Toc379273717"/>
      <w:bookmarkStart w:id="102" w:name="_Toc381527920"/>
      <w:bookmarkStart w:id="103" w:name="_Toc381538494"/>
      <w:bookmarkStart w:id="104" w:name="_Toc381539709"/>
      <w:bookmarkStart w:id="105" w:name="_Toc381598719"/>
      <w:bookmarkStart w:id="106" w:name="_Toc382813442"/>
      <w:r w:rsidRPr="00F24BA0">
        <w:rPr>
          <w:u w:val="single"/>
          <w:lang w:val="de-DE"/>
        </w:rPr>
        <w:t>Zuweisung des Datums für die Einreichung</w:t>
      </w:r>
      <w:bookmarkEnd w:id="100"/>
      <w:bookmarkEnd w:id="101"/>
      <w:bookmarkEnd w:id="102"/>
      <w:bookmarkEnd w:id="103"/>
      <w:bookmarkEnd w:id="104"/>
      <w:bookmarkEnd w:id="105"/>
      <w:bookmarkEnd w:id="106"/>
    </w:p>
    <w:p w:rsidR="00D269FE" w:rsidRPr="00F24BA0" w:rsidRDefault="00D269FE" w:rsidP="00D269FE">
      <w:pPr>
        <w:rPr>
          <w:lang w:val="de-DE"/>
        </w:rPr>
      </w:pPr>
    </w:p>
    <w:p w:rsidR="00D269FE" w:rsidRPr="00F24BA0" w:rsidRDefault="00D269FE" w:rsidP="00D269FE">
      <w:pPr>
        <w:rPr>
          <w:lang w:val="de-DE"/>
        </w:rPr>
      </w:pPr>
      <w:r w:rsidRPr="00F24BA0">
        <w:rPr>
          <w:lang w:val="de-DE"/>
        </w:rPr>
        <w:t>Den beim Züchterrechtsamt eingegangenen Anträgen muß ein Einreichungsdatum zugewiesen werden. Dieser Schritt ist wichtig für die Prüfung der Neuheit (vergleiche Modul 5, „Prüfung der Neuheit“) und der Unterscheidbarkeit (vergleiche Modul 7, „Prüfung der Unterscheidbarkeit“).</w:t>
      </w:r>
    </w:p>
    <w:p w:rsidR="00D269FE" w:rsidRPr="00F24BA0" w:rsidRDefault="00D269FE" w:rsidP="00D269FE">
      <w:pPr>
        <w:rPr>
          <w:lang w:val="de-DE"/>
        </w:rPr>
      </w:pPr>
    </w:p>
    <w:p w:rsidR="00D269FE" w:rsidRPr="00F24BA0" w:rsidRDefault="00D269FE" w:rsidP="00D269FE">
      <w:pPr>
        <w:rPr>
          <w:lang w:val="de-DE"/>
        </w:rPr>
      </w:pPr>
      <w:r w:rsidRPr="00F24BA0">
        <w:rPr>
          <w:szCs w:val="22"/>
          <w:lang w:val="de-DE"/>
        </w:rPr>
        <w:t xml:space="preserve">Das UPOV-Übereinkommen sieht ein Prioritätsrecht von 12 Monaten vor, das auf einem früheren Antrag auf Erteilung des Schutzes für dieselbe Sorte bei einem anderen UPOV-Mitglied basiert, wonach ein späterer Antrag so behandelt wird, als ob er am Einreichungsdatum des ersten Antrags eingereicht worden wäre. Das Prioritätsrecht zeitigt Auswirkungen auf die Prüfung der Voraussetzungen der Neuheit und der Unterscheidbarkeit und der vorgeschlagenen Sortenbezeichnungen (vergleiche Online-Fernlehrgang </w:t>
      </w:r>
      <w:r w:rsidRPr="00F24BA0">
        <w:rPr>
          <w:lang w:val="de-DE"/>
        </w:rPr>
        <w:t xml:space="preserve">DL-205, „Züchterrechte nach dem UPOV-Übereinkommen“, Modul 4, „Antrag auf Erteilung eines Züchterrechts“, und Dokument UPOV/EXN/PRI, „Erläuterungen zum Prioritätsrecht nach dem UPOV-Übereinkommen“, verfügbar unter: </w:t>
      </w:r>
      <w:hyperlink r:id="rId19" w:history="1">
        <w:r w:rsidRPr="00F24BA0">
          <w:rPr>
            <w:color w:val="0000FF"/>
            <w:u w:val="single"/>
            <w:lang w:val="de-DE"/>
          </w:rPr>
          <w:t>http://www.upov.int/explanatory_notes/de/</w:t>
        </w:r>
      </w:hyperlink>
      <w:r w:rsidRPr="00F24BA0">
        <w:rPr>
          <w:lang w:val="de-DE"/>
        </w:rPr>
        <w:t>).</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p>
    <w:p w:rsidR="00D269FE" w:rsidRPr="00F24BA0" w:rsidRDefault="00E22FDC" w:rsidP="007010F9">
      <w:pPr>
        <w:rPr>
          <w:lang w:val="de-DE"/>
        </w:rPr>
      </w:pPr>
      <w:bookmarkStart w:id="107" w:name="_Toc382813443"/>
      <w:bookmarkStart w:id="108" w:name="_Toc378597579"/>
      <w:bookmarkStart w:id="109" w:name="_Toc379273718"/>
      <w:bookmarkStart w:id="110" w:name="_Toc381527921"/>
      <w:bookmarkStart w:id="111" w:name="_Toc381538495"/>
      <w:bookmarkStart w:id="112" w:name="_Toc381539710"/>
      <w:bookmarkStart w:id="113" w:name="_Toc381598720"/>
      <w:r w:rsidRPr="00F24BA0">
        <w:rPr>
          <w:lang w:val="de-DE"/>
        </w:rPr>
        <w:t>ORDNUNGSGEMÄSS EINGEREICHTER ANTRAG</w:t>
      </w:r>
      <w:bookmarkEnd w:id="107"/>
    </w:p>
    <w:p w:rsidR="00D269FE" w:rsidRPr="00F24BA0" w:rsidRDefault="00D269FE" w:rsidP="00D269FE">
      <w:pPr>
        <w:rPr>
          <w:lang w:val="de-DE"/>
        </w:rPr>
      </w:pPr>
      <w:r w:rsidRPr="00F24BA0">
        <w:rPr>
          <w:lang w:val="de-DE"/>
        </w:rPr>
        <w:t>(vergleiche Hinweis b im Flußdiagramm in Modul 1)</w:t>
      </w:r>
      <w:bookmarkEnd w:id="108"/>
      <w:bookmarkEnd w:id="109"/>
      <w:bookmarkEnd w:id="110"/>
      <w:bookmarkEnd w:id="111"/>
      <w:bookmarkEnd w:id="112"/>
      <w:bookmarkEnd w:id="113"/>
    </w:p>
    <w:p w:rsidR="00D269FE" w:rsidRPr="00F24BA0" w:rsidRDefault="00D269FE" w:rsidP="00D269FE">
      <w:pPr>
        <w:rPr>
          <w:lang w:val="de-DE"/>
        </w:rPr>
      </w:pPr>
    </w:p>
    <w:p w:rsidR="00D269FE" w:rsidRPr="00F24BA0" w:rsidRDefault="00D269FE" w:rsidP="00D269FE">
      <w:pPr>
        <w:rPr>
          <w:lang w:val="de-DE"/>
        </w:rPr>
      </w:pPr>
      <w:r w:rsidRPr="00F24BA0">
        <w:rPr>
          <w:lang w:val="de-DE"/>
        </w:rPr>
        <w:t>Anträge müssen auf Einhaltung der anwendbaren Förmlichkeiten und Gebührenanforderungen überprüft werden, um als ordnungsgemäß eingereichte Anträge zu gelten. Damit ein Antrag ordnungsgemäß eingereicht wird, muß er von einer Person eingereicht werden, die zu einem Züchterrecht berechtigt ist (vergleiche Modul 3, „Anspruch auf ein Züchterrecht“).</w:t>
      </w:r>
    </w:p>
    <w:p w:rsidR="00D269FE" w:rsidRPr="00F24BA0" w:rsidRDefault="00D269FE" w:rsidP="00D269FE">
      <w:pPr>
        <w:rPr>
          <w:lang w:val="de-DE"/>
        </w:rPr>
      </w:pPr>
    </w:p>
    <w:p w:rsidR="00D269FE" w:rsidRPr="00F24BA0" w:rsidRDefault="00D269FE" w:rsidP="00D269FE">
      <w:pPr>
        <w:rPr>
          <w:lang w:val="de-DE"/>
        </w:rPr>
      </w:pPr>
      <w:r w:rsidRPr="00F24BA0">
        <w:rPr>
          <w:lang w:val="de-DE"/>
        </w:rPr>
        <w:t>Ordnungsgemäß eingereichte Anträge müssen durch den Sachbearbeiter oder die mit der ersten Bearbeitung der Antragsformblätter zuständige Person für die Veröffentlichung vorbereitet werden. Zudem sollten Auskünfte für andere betreffende Beamte im Züchterrechtsamt zur Vorbereitung der darauffolgenden Schritte der Prüfung erteilt werden.</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p>
    <w:p w:rsidR="00D269FE" w:rsidRPr="00F24BA0" w:rsidRDefault="00E22FDC" w:rsidP="007010F9">
      <w:pPr>
        <w:rPr>
          <w:lang w:val="de-DE"/>
        </w:rPr>
      </w:pPr>
      <w:bookmarkStart w:id="114" w:name="_Toc382813444"/>
      <w:bookmarkStart w:id="115" w:name="_Toc378597580"/>
      <w:bookmarkStart w:id="116" w:name="_Toc379273719"/>
      <w:bookmarkStart w:id="117" w:name="_Toc381527922"/>
      <w:bookmarkStart w:id="118" w:name="_Toc381538496"/>
      <w:bookmarkStart w:id="119" w:name="_Toc381539711"/>
      <w:bookmarkStart w:id="120" w:name="_Toc381598721"/>
      <w:r w:rsidRPr="00F24BA0">
        <w:rPr>
          <w:lang w:val="de-DE"/>
        </w:rPr>
        <w:t>VERÖFFENTLICHUNG</w:t>
      </w:r>
      <w:bookmarkEnd w:id="114"/>
    </w:p>
    <w:p w:rsidR="00D269FE" w:rsidRPr="00F24BA0" w:rsidRDefault="00D269FE" w:rsidP="00D269FE">
      <w:pPr>
        <w:keepNext/>
        <w:rPr>
          <w:lang w:val="de-DE"/>
        </w:rPr>
      </w:pPr>
      <w:r w:rsidRPr="00F24BA0">
        <w:rPr>
          <w:lang w:val="de-DE"/>
        </w:rPr>
        <w:t>(vergleiche Hinweis c im Flußdiagramm in Modul 1)</w:t>
      </w:r>
      <w:bookmarkEnd w:id="115"/>
      <w:bookmarkEnd w:id="116"/>
      <w:bookmarkEnd w:id="117"/>
      <w:bookmarkEnd w:id="118"/>
      <w:bookmarkEnd w:id="119"/>
      <w:bookmarkEnd w:id="120"/>
    </w:p>
    <w:p w:rsidR="00D269FE" w:rsidRPr="00F24BA0" w:rsidRDefault="00D269FE" w:rsidP="00D269FE">
      <w:pPr>
        <w:keepNext/>
        <w:rPr>
          <w:lang w:val="de-DE"/>
        </w:rPr>
      </w:pPr>
    </w:p>
    <w:p w:rsidR="00D269FE" w:rsidRPr="00F24BA0" w:rsidRDefault="00D269FE" w:rsidP="00D269FE">
      <w:pPr>
        <w:rPr>
          <w:lang w:val="de-DE"/>
        </w:rPr>
      </w:pPr>
      <w:r w:rsidRPr="00F24BA0">
        <w:rPr>
          <w:lang w:val="de-DE"/>
        </w:rPr>
        <w:t>Vergleiche Modul 4, „Zu veröffentlichende Auskünfte“.</w:t>
      </w:r>
    </w:p>
    <w:p w:rsidR="00D269FE" w:rsidRPr="00F24BA0" w:rsidRDefault="00D269FE" w:rsidP="00D269FE">
      <w:pPr>
        <w:rPr>
          <w:lang w:val="de-DE"/>
        </w:rPr>
      </w:pPr>
    </w:p>
    <w:p w:rsidR="00D269FE" w:rsidRPr="00F24BA0" w:rsidRDefault="00D269FE" w:rsidP="00D269FE">
      <w:pPr>
        <w:outlineLvl w:val="1"/>
        <w:rPr>
          <w:u w:val="single"/>
          <w:lang w:val="de-DE"/>
        </w:rPr>
      </w:pPr>
    </w:p>
    <w:p w:rsidR="00D269FE" w:rsidRPr="00F24BA0" w:rsidRDefault="00D269FE" w:rsidP="00D269FE">
      <w:pPr>
        <w:rPr>
          <w:lang w:val="de-DE"/>
        </w:rPr>
      </w:pPr>
    </w:p>
    <w:p w:rsidR="00D269FE" w:rsidRPr="00F24BA0" w:rsidRDefault="007010F9" w:rsidP="007010F9">
      <w:pPr>
        <w:keepNext/>
        <w:rPr>
          <w:lang w:val="de-DE"/>
        </w:rPr>
      </w:pPr>
      <w:bookmarkStart w:id="121" w:name="_Toc382813445"/>
      <w:bookmarkStart w:id="122" w:name="_Toc378597581"/>
      <w:bookmarkStart w:id="123" w:name="_Toc379273720"/>
      <w:bookmarkStart w:id="124" w:name="_Toc381527923"/>
      <w:bookmarkStart w:id="125" w:name="_Toc381538497"/>
      <w:bookmarkStart w:id="126" w:name="_Toc381539712"/>
      <w:bookmarkStart w:id="127" w:name="_Toc381598722"/>
      <w:r w:rsidRPr="00F24BA0">
        <w:rPr>
          <w:lang w:val="de-DE"/>
        </w:rPr>
        <w:lastRenderedPageBreak/>
        <w:t>PRÜFUNG DER VORAUSSETZUNGEN</w:t>
      </w:r>
      <w:bookmarkEnd w:id="121"/>
    </w:p>
    <w:p w:rsidR="00D269FE" w:rsidRPr="00F24BA0" w:rsidRDefault="00D269FE" w:rsidP="00D269FE">
      <w:pPr>
        <w:keepNext/>
        <w:rPr>
          <w:lang w:val="de-DE"/>
        </w:rPr>
      </w:pPr>
      <w:r w:rsidRPr="00F24BA0">
        <w:rPr>
          <w:lang w:val="de-DE"/>
        </w:rPr>
        <w:t>(vergleiche Hinweis d im Flußdiagramm in Modul 1)</w:t>
      </w:r>
      <w:bookmarkEnd w:id="122"/>
      <w:bookmarkEnd w:id="123"/>
      <w:bookmarkEnd w:id="124"/>
      <w:bookmarkEnd w:id="125"/>
      <w:bookmarkEnd w:id="126"/>
      <w:bookmarkEnd w:id="127"/>
    </w:p>
    <w:p w:rsidR="00D269FE" w:rsidRPr="00F24BA0" w:rsidRDefault="00D269FE" w:rsidP="00D269FE">
      <w:pPr>
        <w:keepNext/>
        <w:rPr>
          <w:lang w:val="de-DE"/>
        </w:rPr>
      </w:pPr>
    </w:p>
    <w:p w:rsidR="00D269FE" w:rsidRPr="00F24BA0" w:rsidRDefault="00D269FE" w:rsidP="00D269FE">
      <w:pPr>
        <w:rPr>
          <w:lang w:val="de-DE"/>
        </w:rPr>
      </w:pPr>
      <w:r w:rsidRPr="00F24BA0">
        <w:rPr>
          <w:lang w:val="de-DE"/>
        </w:rPr>
        <w:t>Die Prüfungen der Neuheit, der vorgeschlagenen Sortenbezeichnung und die DUS-Prüfung sollten parallel durchgeführt werden, um eine Verzögerung bei der Erteilung von Züchterrechten zu vermeiden. Das UPOV</w:t>
      </w:r>
      <w:r w:rsidRPr="00F24BA0">
        <w:rPr>
          <w:lang w:val="de-DE"/>
        </w:rPr>
        <w:noBreakHyphen/>
        <w:t>Übereinkommen schreibt insbesondere vor, daß die Sortenbezeichnung im Zeitpunkt der Erteilung des Züchterrechts eingetragen wird (Artikel 20 3) der Akte von 1991 und Artikel 13 3) der Akte von 1978). Für die Verwaltung der Prüfung gibt es verschiedene Optionen. Beispielsweise kann eine Person benannt werden, um als für die Verwaltung aller Aspekte der obenerwähnten Prüfung zuständiger „Sachbearbeiter“ zu fungieren, oder es kann für einzelne Teile der Arbeit spezialisierte Fachleute geben.</w:t>
      </w:r>
    </w:p>
    <w:p w:rsidR="00D269FE" w:rsidRPr="00F24BA0" w:rsidRDefault="00D269FE" w:rsidP="00D269FE">
      <w:pPr>
        <w:rPr>
          <w:lang w:val="de-DE"/>
        </w:rPr>
      </w:pPr>
    </w:p>
    <w:p w:rsidR="00D269FE" w:rsidRPr="00F24BA0" w:rsidRDefault="00D269FE" w:rsidP="00D269FE">
      <w:pPr>
        <w:rPr>
          <w:lang w:val="de-DE"/>
        </w:rPr>
      </w:pPr>
      <w:r w:rsidRPr="00F24BA0">
        <w:rPr>
          <w:lang w:val="de-DE"/>
        </w:rPr>
        <w:t>Die Prüfung der Sortenbezeichnung wird in Modul 6, „Prüfung der Sortenbezeichnung“, behandelt werden. Die Prüfung der Neuheit wird in Modul 5, „Prüfung der Neuheit“, behandelt werden, während die Module 7 bis 13 die „DUS</w:t>
      </w:r>
      <w:r w:rsidRPr="00F24BA0">
        <w:rPr>
          <w:lang w:val="de-DE"/>
        </w:rPr>
        <w:noBreakHyphen/>
        <w:t>Prüfung“ erläutern.</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7010F9">
      <w:pPr>
        <w:rPr>
          <w:lang w:val="de-DE"/>
        </w:rPr>
      </w:pPr>
      <w:bookmarkStart w:id="128" w:name="_Toc382813446"/>
      <w:bookmarkStart w:id="129" w:name="_Toc378597582"/>
      <w:bookmarkStart w:id="130" w:name="_Toc379273721"/>
      <w:bookmarkStart w:id="131" w:name="_Toc381527924"/>
      <w:bookmarkStart w:id="132" w:name="_Toc381538498"/>
      <w:bookmarkStart w:id="133" w:name="_Toc381539713"/>
      <w:bookmarkStart w:id="134" w:name="_Toc381598723"/>
      <w:r w:rsidRPr="00F24BA0">
        <w:rPr>
          <w:lang w:val="de-DE"/>
        </w:rPr>
        <w:t>DUS-PRÜFUNG</w:t>
      </w:r>
      <w:bookmarkEnd w:id="128"/>
    </w:p>
    <w:p w:rsidR="00D269FE" w:rsidRPr="00F24BA0" w:rsidRDefault="00D269FE" w:rsidP="00D269FE">
      <w:pPr>
        <w:rPr>
          <w:lang w:val="de-DE"/>
        </w:rPr>
      </w:pPr>
      <w:r w:rsidRPr="00F24BA0">
        <w:rPr>
          <w:lang w:val="de-DE"/>
        </w:rPr>
        <w:t>(vergleiche Hinweis e im Flußdiagramm in Modul 1)</w:t>
      </w:r>
      <w:bookmarkEnd w:id="129"/>
      <w:bookmarkEnd w:id="130"/>
      <w:bookmarkEnd w:id="131"/>
      <w:bookmarkEnd w:id="132"/>
      <w:bookmarkEnd w:id="133"/>
      <w:bookmarkEnd w:id="134"/>
    </w:p>
    <w:p w:rsidR="00D269FE" w:rsidRPr="00F24BA0" w:rsidRDefault="00D269FE" w:rsidP="00D269FE">
      <w:pPr>
        <w:rPr>
          <w:lang w:val="de-DE"/>
        </w:rPr>
      </w:pPr>
    </w:p>
    <w:p w:rsidR="00D269FE" w:rsidRPr="00F24BA0" w:rsidRDefault="00D269FE" w:rsidP="00D269FE">
      <w:pPr>
        <w:autoSpaceDE w:val="0"/>
        <w:autoSpaceDN w:val="0"/>
        <w:adjustRightInd w:val="0"/>
        <w:rPr>
          <w:lang w:val="de-DE"/>
        </w:rPr>
      </w:pPr>
      <w:r w:rsidRPr="00F24BA0">
        <w:rPr>
          <w:lang w:val="de-DE"/>
        </w:rPr>
        <w:t>Größe und Aufbau der Züchterrechtsämter werden von den Regelungen für die DUS-Prüfung beeinflußt. Ein Züchterrechtsamt kann beispielsweise eine oder mehrere der nachstehenden Regelungen anwenden:</w:t>
      </w:r>
    </w:p>
    <w:p w:rsidR="00D269FE" w:rsidRPr="00F24BA0" w:rsidRDefault="00D269FE" w:rsidP="00D269FE">
      <w:pPr>
        <w:autoSpaceDE w:val="0"/>
        <w:autoSpaceDN w:val="0"/>
        <w:adjustRightInd w:val="0"/>
        <w:rPr>
          <w:lang w:val="de-DE"/>
        </w:rPr>
      </w:pPr>
    </w:p>
    <w:p w:rsidR="00D269FE" w:rsidRPr="00F24BA0" w:rsidRDefault="00D269FE" w:rsidP="00D269FE">
      <w:pPr>
        <w:numPr>
          <w:ilvl w:val="0"/>
          <w:numId w:val="1"/>
        </w:numPr>
        <w:autoSpaceDE w:val="0"/>
        <w:autoSpaceDN w:val="0"/>
        <w:adjustRightInd w:val="0"/>
        <w:spacing w:after="120"/>
        <w:ind w:hanging="357"/>
        <w:rPr>
          <w:lang w:val="de-DE"/>
        </w:rPr>
      </w:pPr>
      <w:r w:rsidRPr="00F24BA0">
        <w:rPr>
          <w:lang w:val="de-DE"/>
        </w:rPr>
        <w:t>Das Züchterrechtsamt führt Anbauprüfungen oder sonstige Prüfungen selbst durch (Prüfung durch das Züchterrechtsamt).</w:t>
      </w:r>
    </w:p>
    <w:p w:rsidR="00D269FE" w:rsidRPr="00F24BA0" w:rsidRDefault="00D269FE" w:rsidP="00D269FE">
      <w:pPr>
        <w:numPr>
          <w:ilvl w:val="0"/>
          <w:numId w:val="1"/>
        </w:numPr>
        <w:autoSpaceDE w:val="0"/>
        <w:autoSpaceDN w:val="0"/>
        <w:adjustRightInd w:val="0"/>
        <w:spacing w:after="120"/>
        <w:ind w:hanging="357"/>
        <w:rPr>
          <w:lang w:val="de-DE"/>
        </w:rPr>
      </w:pPr>
      <w:r w:rsidRPr="00F24BA0">
        <w:rPr>
          <w:lang w:val="de-DE"/>
        </w:rPr>
        <w:t>Das Züchterrechtsamt sorgt dafür, daß eine andere Partei / andere Parteien die Anbauprüfungen oder sonstige Prüfungen (außerhalb des Züchterrechtsamtes) durchführt / durchführen. Bei dieser Regelung könnte eine andere Partei beispielsweise ein anderes Züchterrechtsamt, ein unabhängiges Institut oder den Züchter einbinden.</w:t>
      </w:r>
    </w:p>
    <w:p w:rsidR="00D269FE" w:rsidRPr="00F24BA0" w:rsidRDefault="00D269FE" w:rsidP="00D269FE">
      <w:pPr>
        <w:numPr>
          <w:ilvl w:val="0"/>
          <w:numId w:val="1"/>
        </w:numPr>
        <w:autoSpaceDE w:val="0"/>
        <w:autoSpaceDN w:val="0"/>
        <w:adjustRightInd w:val="0"/>
        <w:spacing w:after="120"/>
        <w:ind w:hanging="357"/>
        <w:rPr>
          <w:lang w:val="de-DE"/>
        </w:rPr>
      </w:pPr>
      <w:r w:rsidRPr="00F24BA0">
        <w:rPr>
          <w:lang w:val="de-DE"/>
        </w:rPr>
        <w:t>Das Züchterrechtsamt berücksichtigt die Ergebnisse von Anbauprüfungen oder sonstigen Prüfungen, die bereits (außerhalb des Züchterrechtsamtes) durchgeführt wurden.</w:t>
      </w:r>
    </w:p>
    <w:p w:rsidR="00D269FE" w:rsidRPr="00F24BA0" w:rsidRDefault="00D269FE" w:rsidP="00D269FE">
      <w:pPr>
        <w:autoSpaceDE w:val="0"/>
        <w:autoSpaceDN w:val="0"/>
        <w:adjustRightInd w:val="0"/>
        <w:rPr>
          <w:lang w:val="de-DE"/>
        </w:rPr>
      </w:pPr>
    </w:p>
    <w:p w:rsidR="00D269FE" w:rsidRPr="00F24BA0" w:rsidRDefault="00D269FE" w:rsidP="00D269FE">
      <w:pPr>
        <w:autoSpaceDE w:val="0"/>
        <w:autoSpaceDN w:val="0"/>
        <w:adjustRightInd w:val="0"/>
        <w:rPr>
          <w:lang w:val="de-DE"/>
        </w:rPr>
      </w:pPr>
      <w:r w:rsidRPr="00F24BA0">
        <w:rPr>
          <w:lang w:val="de-DE"/>
        </w:rPr>
        <w:t>Die verschiedenen Optionen für die Zusammenarbeit zwischen Züchterrechtsämtern und die Zusammenarbeit mit Züchtern bei der DUS-Prüfung werden in Modul 13, „Zusammenarbeit bei der DUS</w:t>
      </w:r>
      <w:r w:rsidRPr="00F24BA0">
        <w:rPr>
          <w:lang w:val="de-DE"/>
        </w:rPr>
        <w:noBreakHyphen/>
        <w:t>Prüfung“, weiter erörtert werden. Dokument TGP/5, „Erfahrung und Zusammenarbeit bei der DUS-Prüfung“, Abschnitt 1, „Musterverwaltungsvereinbarung für die internationale Zusammenarbeit bei der Prüfung von Sorten“, erteilt zudem zweckdienliche Informationen mit einer Musterverwaltungsvereinbarung für die internationale Zusammenarbeit bei der Prüfung von Sorten. Die UPOV-Mitglieder verfügen möglicherweise über informelle Regelungen für den Erwerb von DUS-Prüfungsberichten (beispielsweise Schriftwechsel).</w:t>
      </w:r>
    </w:p>
    <w:p w:rsidR="00D269FE" w:rsidRPr="00F24BA0" w:rsidRDefault="00D269FE" w:rsidP="00D269FE">
      <w:pPr>
        <w:autoSpaceDE w:val="0"/>
        <w:autoSpaceDN w:val="0"/>
        <w:adjustRightInd w:val="0"/>
        <w:rPr>
          <w:lang w:val="de-DE"/>
        </w:rPr>
      </w:pPr>
    </w:p>
    <w:p w:rsidR="00D269FE" w:rsidRPr="00F24BA0" w:rsidRDefault="00D269FE" w:rsidP="00D269FE">
      <w:pPr>
        <w:autoSpaceDE w:val="0"/>
        <w:autoSpaceDN w:val="0"/>
        <w:adjustRightInd w:val="0"/>
        <w:rPr>
          <w:lang w:val="de-DE"/>
        </w:rPr>
      </w:pPr>
    </w:p>
    <w:p w:rsidR="00D269FE" w:rsidRPr="00F24BA0" w:rsidRDefault="00D269FE" w:rsidP="00D269FE">
      <w:pPr>
        <w:autoSpaceDE w:val="0"/>
        <w:autoSpaceDN w:val="0"/>
        <w:adjustRightInd w:val="0"/>
        <w:rPr>
          <w:lang w:val="de-DE"/>
        </w:rPr>
      </w:pPr>
    </w:p>
    <w:p w:rsidR="00D269FE" w:rsidRPr="00F24BA0" w:rsidRDefault="007010F9" w:rsidP="007010F9">
      <w:pPr>
        <w:rPr>
          <w:lang w:val="de-DE"/>
        </w:rPr>
      </w:pPr>
      <w:bookmarkStart w:id="135" w:name="_Toc382813447"/>
      <w:bookmarkStart w:id="136" w:name="_Toc378597583"/>
      <w:bookmarkStart w:id="137" w:name="_Toc379273722"/>
      <w:bookmarkStart w:id="138" w:name="_Toc381527925"/>
      <w:bookmarkStart w:id="139" w:name="_Toc381538499"/>
      <w:bookmarkStart w:id="140" w:name="_Toc381539714"/>
      <w:bookmarkStart w:id="141" w:name="_Toc381598724"/>
      <w:r w:rsidRPr="00F24BA0">
        <w:rPr>
          <w:lang w:val="de-DE"/>
        </w:rPr>
        <w:t>VORGESCHLAGENE ENTSCHEIDUNG</w:t>
      </w:r>
      <w:bookmarkEnd w:id="135"/>
    </w:p>
    <w:p w:rsidR="00D269FE" w:rsidRPr="00F24BA0" w:rsidRDefault="00D269FE" w:rsidP="00D269FE">
      <w:pPr>
        <w:rPr>
          <w:lang w:val="de-DE"/>
        </w:rPr>
      </w:pPr>
      <w:r w:rsidRPr="00F24BA0">
        <w:rPr>
          <w:lang w:val="de-DE"/>
        </w:rPr>
        <w:t>(vergleiche Hinweis f im Flußdiagramm in Modul 1)</w:t>
      </w:r>
      <w:bookmarkEnd w:id="136"/>
      <w:bookmarkEnd w:id="137"/>
      <w:bookmarkEnd w:id="138"/>
      <w:bookmarkEnd w:id="139"/>
      <w:bookmarkEnd w:id="140"/>
      <w:bookmarkEnd w:id="141"/>
    </w:p>
    <w:p w:rsidR="00D269FE" w:rsidRPr="00F24BA0" w:rsidRDefault="00D269FE" w:rsidP="00D269FE">
      <w:pPr>
        <w:rPr>
          <w:lang w:val="de-DE"/>
        </w:rPr>
      </w:pPr>
    </w:p>
    <w:p w:rsidR="00D269FE" w:rsidRPr="00F24BA0" w:rsidRDefault="00D269FE" w:rsidP="00D269FE">
      <w:pPr>
        <w:rPr>
          <w:lang w:val="de-DE"/>
        </w:rPr>
      </w:pPr>
      <w:r w:rsidRPr="00F24BA0">
        <w:rPr>
          <w:lang w:val="de-DE"/>
        </w:rPr>
        <w:t xml:space="preserve">Auf der Grundlage der Ergebnisse der Prüfung der Neuheit, der Sortenbezeichnung und der DUS-Prüfung kann eine Entscheidung bezüglich der Erteilung der Züchterrechte vorgeschlagen werden. Diese Entscheidung kann der für die Erteilung der Züchterrechte zuständigen Behörde (Züchterrechtsamt) von einem Beamten oder einer Gruppe von Fachleuten, wie einem Expertenausschuß oder </w:t>
      </w:r>
      <w:r w:rsidRPr="00F24BA0">
        <w:rPr>
          <w:lang w:val="de-DE"/>
        </w:rPr>
        <w:noBreakHyphen/>
        <w:t>gremium, vorgeschlagen werden. Fällt die Entscheidung negativ aus, wird die Zurückweisung des Antrags veröffentlicht (vergleiche Modul 4, „Zu veröffentlichende Auskünfte“). Der Anmelder kann gegen eine vom Züchterrechtsamt vorgeschlagene negative Entscheidung Berufung einlegen.</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p>
    <w:p w:rsidR="00D269FE" w:rsidRPr="00F24BA0" w:rsidRDefault="007010F9" w:rsidP="007010F9">
      <w:pPr>
        <w:rPr>
          <w:lang w:val="de-DE"/>
        </w:rPr>
      </w:pPr>
      <w:bookmarkStart w:id="142" w:name="_Toc382813448"/>
      <w:bookmarkStart w:id="143" w:name="_Toc378597584"/>
      <w:bookmarkStart w:id="144" w:name="_Toc379273723"/>
      <w:bookmarkStart w:id="145" w:name="_Toc381527926"/>
      <w:bookmarkStart w:id="146" w:name="_Toc381538500"/>
      <w:bookmarkStart w:id="147" w:name="_Toc381539715"/>
      <w:bookmarkStart w:id="148" w:name="_Toc381598725"/>
      <w:r w:rsidRPr="00F24BA0">
        <w:rPr>
          <w:lang w:val="de-DE"/>
        </w:rPr>
        <w:t>EINWENDUNGEN</w:t>
      </w:r>
      <w:bookmarkEnd w:id="142"/>
    </w:p>
    <w:p w:rsidR="00D269FE" w:rsidRPr="00F24BA0" w:rsidRDefault="00D269FE" w:rsidP="00D269FE">
      <w:pPr>
        <w:keepNext/>
        <w:rPr>
          <w:lang w:val="de-DE"/>
        </w:rPr>
      </w:pPr>
      <w:r w:rsidRPr="00F24BA0">
        <w:rPr>
          <w:lang w:val="de-DE"/>
        </w:rPr>
        <w:t>(vergleiche Hinweis g im Flußdiagramm in Modul 1)</w:t>
      </w:r>
      <w:bookmarkEnd w:id="143"/>
      <w:bookmarkEnd w:id="144"/>
      <w:bookmarkEnd w:id="145"/>
      <w:bookmarkEnd w:id="146"/>
      <w:bookmarkEnd w:id="147"/>
      <w:bookmarkEnd w:id="148"/>
    </w:p>
    <w:p w:rsidR="00D269FE" w:rsidRPr="00F24BA0" w:rsidRDefault="00D269FE" w:rsidP="00D269FE">
      <w:pPr>
        <w:keepNext/>
        <w:rPr>
          <w:lang w:val="de-DE"/>
        </w:rPr>
      </w:pPr>
    </w:p>
    <w:p w:rsidR="00D269FE" w:rsidRPr="00F24BA0" w:rsidRDefault="00D269FE" w:rsidP="00D269FE">
      <w:pPr>
        <w:rPr>
          <w:lang w:val="de-DE"/>
        </w:rPr>
      </w:pPr>
      <w:r w:rsidRPr="00F24BA0">
        <w:rPr>
          <w:lang w:val="de-DE"/>
        </w:rPr>
        <w:t xml:space="preserve">Das Züchterrechtsamt muß über bestehende Verfahren für die Bearbeitung der infolge der Veröffentlichung von Informationen erhobenen Einwendungen verfügen. Einwendungen seitens der Öffentlichkeit können </w:t>
      </w:r>
      <w:r w:rsidRPr="00F24BA0">
        <w:rPr>
          <w:lang w:val="de-DE"/>
        </w:rPr>
        <w:lastRenderedPageBreak/>
        <w:t>einschlägige Angaben für die Prüfung von Anträgen und Sortenbezeichnungen mit sich bringen. Der Anmelder kann bei der Einreichung einer Berufung gegen eine Entscheidung des Züchterrechtsamtes auch weitere einschlägige Informationen erteilen.</w:t>
      </w:r>
    </w:p>
    <w:p w:rsidR="00D269FE" w:rsidRPr="00F24BA0" w:rsidRDefault="00D269FE" w:rsidP="00D269FE">
      <w:pPr>
        <w:rPr>
          <w:lang w:val="de-DE"/>
        </w:rPr>
      </w:pPr>
    </w:p>
    <w:p w:rsidR="00D269FE" w:rsidRPr="00F24BA0" w:rsidRDefault="00D269FE" w:rsidP="00D269FE">
      <w:pPr>
        <w:rPr>
          <w:lang w:val="de-DE"/>
        </w:rPr>
      </w:pPr>
    </w:p>
    <w:p w:rsidR="00D269FE" w:rsidRPr="00F24BA0" w:rsidRDefault="00D269FE" w:rsidP="00D269FE">
      <w:pPr>
        <w:rPr>
          <w:lang w:val="de-DE"/>
        </w:rPr>
      </w:pPr>
    </w:p>
    <w:p w:rsidR="00D269FE" w:rsidRPr="00F24BA0" w:rsidRDefault="007010F9" w:rsidP="007010F9">
      <w:pPr>
        <w:rPr>
          <w:lang w:val="de-DE"/>
        </w:rPr>
      </w:pPr>
      <w:bookmarkStart w:id="149" w:name="_Toc382813449"/>
      <w:bookmarkStart w:id="150" w:name="_Toc378597585"/>
      <w:bookmarkStart w:id="151" w:name="_Toc379273724"/>
      <w:bookmarkStart w:id="152" w:name="_Toc381527927"/>
      <w:bookmarkStart w:id="153" w:name="_Toc381538501"/>
      <w:bookmarkStart w:id="154" w:name="_Toc381539716"/>
      <w:bookmarkStart w:id="155" w:name="_Toc381598726"/>
      <w:r w:rsidRPr="00F24BA0">
        <w:rPr>
          <w:lang w:val="de-DE"/>
        </w:rPr>
        <w:t>ERTEILUNG DES TITELS</w:t>
      </w:r>
      <w:bookmarkEnd w:id="149"/>
    </w:p>
    <w:p w:rsidR="00D269FE" w:rsidRPr="00F24BA0" w:rsidRDefault="00D269FE" w:rsidP="00D269FE">
      <w:pPr>
        <w:rPr>
          <w:lang w:val="de-DE"/>
        </w:rPr>
      </w:pPr>
      <w:r w:rsidRPr="00F24BA0">
        <w:rPr>
          <w:lang w:val="de-DE"/>
        </w:rPr>
        <w:t>(vergleiche Hinweis h im Flußdiagramm in Modul 1)</w:t>
      </w:r>
      <w:bookmarkEnd w:id="150"/>
      <w:bookmarkEnd w:id="151"/>
      <w:bookmarkEnd w:id="152"/>
      <w:bookmarkEnd w:id="153"/>
      <w:bookmarkEnd w:id="154"/>
      <w:bookmarkEnd w:id="155"/>
    </w:p>
    <w:p w:rsidR="00D269FE" w:rsidRPr="00F24BA0" w:rsidRDefault="00D269FE" w:rsidP="00D269FE">
      <w:pPr>
        <w:rPr>
          <w:lang w:val="de-DE"/>
        </w:rPr>
      </w:pPr>
    </w:p>
    <w:p w:rsidR="00D269FE" w:rsidRPr="00F24BA0" w:rsidRDefault="00D269FE" w:rsidP="00D269FE">
      <w:pPr>
        <w:rPr>
          <w:lang w:val="de-DE"/>
        </w:rPr>
      </w:pPr>
      <w:r w:rsidRPr="00F24BA0">
        <w:rPr>
          <w:lang w:val="de-DE"/>
        </w:rPr>
        <w:t>Fällt die Entscheidung bezüglich der Erteilung des Schutzes positiv aus, wird der Titel erteilt. Der Titel wird dem Inhaber des Züchterrechts übermittelt. Erteilungen von Züchterrechten und genehmigte Sortenbezeichnungen werden vom Züchterrechtsamt gleichzeitig eingetragen und veröffentlicht (vergleiche Modul 4, „Zu veröffentlichende Auskünfte“).</w:t>
      </w:r>
    </w:p>
    <w:p w:rsidR="00D269FE" w:rsidRPr="00F24BA0" w:rsidRDefault="00D269FE" w:rsidP="00D269FE">
      <w:pPr>
        <w:rPr>
          <w:szCs w:val="22"/>
          <w:lang w:val="de-DE"/>
        </w:rPr>
      </w:pPr>
    </w:p>
    <w:p w:rsidR="00D269FE" w:rsidRPr="00F24BA0" w:rsidRDefault="00D269FE" w:rsidP="00D269FE">
      <w:pPr>
        <w:rPr>
          <w:szCs w:val="22"/>
          <w:lang w:val="de-DE"/>
        </w:rPr>
      </w:pPr>
    </w:p>
    <w:p w:rsidR="00D269FE" w:rsidRPr="00F24BA0" w:rsidRDefault="00D269FE" w:rsidP="00D269FE">
      <w:pPr>
        <w:rPr>
          <w:szCs w:val="22"/>
          <w:lang w:val="de-DE"/>
        </w:rPr>
      </w:pPr>
    </w:p>
    <w:p w:rsidR="00D269FE" w:rsidRPr="00F24BA0" w:rsidRDefault="007010F9" w:rsidP="007010F9">
      <w:pPr>
        <w:rPr>
          <w:lang w:val="de-DE"/>
        </w:rPr>
      </w:pPr>
      <w:bookmarkStart w:id="156" w:name="_Toc382813450"/>
      <w:bookmarkStart w:id="157" w:name="_Toc378597586"/>
      <w:bookmarkStart w:id="158" w:name="_Toc379273725"/>
      <w:bookmarkStart w:id="159" w:name="_Toc381527928"/>
      <w:bookmarkStart w:id="160" w:name="_Toc381538502"/>
      <w:bookmarkStart w:id="161" w:name="_Toc381539717"/>
      <w:bookmarkStart w:id="162" w:name="_Toc381598727"/>
      <w:r w:rsidRPr="00F24BA0">
        <w:rPr>
          <w:lang w:val="de-DE"/>
        </w:rPr>
        <w:t>ANGELEGENHEITEN NACH DER ERTEILUNG</w:t>
      </w:r>
      <w:bookmarkEnd w:id="156"/>
    </w:p>
    <w:p w:rsidR="00D269FE" w:rsidRPr="00F24BA0" w:rsidRDefault="00D269FE" w:rsidP="00D269FE">
      <w:pPr>
        <w:rPr>
          <w:lang w:val="de-DE"/>
        </w:rPr>
      </w:pPr>
      <w:r w:rsidRPr="00F24BA0">
        <w:rPr>
          <w:lang w:val="de-DE"/>
        </w:rPr>
        <w:t>(vergleiche Hinweis i im Flußdiagramm in Modul 1)</w:t>
      </w:r>
      <w:bookmarkEnd w:id="157"/>
      <w:bookmarkEnd w:id="158"/>
      <w:bookmarkEnd w:id="159"/>
      <w:bookmarkEnd w:id="160"/>
      <w:bookmarkEnd w:id="161"/>
      <w:bookmarkEnd w:id="162"/>
    </w:p>
    <w:p w:rsidR="00D269FE" w:rsidRPr="00F24BA0" w:rsidRDefault="00D269FE" w:rsidP="00D269FE">
      <w:pPr>
        <w:rPr>
          <w:szCs w:val="22"/>
          <w:lang w:val="de-DE"/>
        </w:rPr>
      </w:pPr>
    </w:p>
    <w:p w:rsidR="00D269FE" w:rsidRPr="00F24BA0" w:rsidRDefault="00D269FE" w:rsidP="00D269FE">
      <w:pPr>
        <w:tabs>
          <w:tab w:val="left" w:pos="1440"/>
        </w:tabs>
        <w:rPr>
          <w:lang w:val="de-DE"/>
        </w:rPr>
      </w:pPr>
      <w:r w:rsidRPr="00F24BA0">
        <w:rPr>
          <w:szCs w:val="22"/>
          <w:lang w:val="de-DE"/>
        </w:rPr>
        <w:t xml:space="preserve">Die Aufgaben des Züchterrechtsamtes nach der Erteilung des Züchterrechts umfassen die Verpflichtung, einschlägige Informationen im Register und den Datenbanken auf dem neuesten Stand zu halten, die Verwaltung der Gebührenentrichtung (falls zutreffend) durch den Züchter, um das Züchterrecht in Kraft zu halten, und die Veröffentlichung einschlägiger Informationen nach der Erteilung, beispielsweise des Verfalls des Züchterrechts und der Änderungen betreffend den Inhaber des Züchterrechts und die Sortenbezeichnungen (vergleiche </w:t>
      </w:r>
      <w:r w:rsidRPr="00F24BA0">
        <w:rPr>
          <w:lang w:val="de-DE"/>
        </w:rPr>
        <w:t>Modul 4, „Zu veröffentlichende Auskünfte“). Das Züchterrechtsamt kann sich auch entscheiden, Maßnahmen zur Überprüfung der Erhaltung der Sorte zu treffen.</w:t>
      </w:r>
    </w:p>
    <w:p w:rsidR="004E5B9C" w:rsidRPr="00F24BA0" w:rsidRDefault="004E5B9C" w:rsidP="004E5B9C">
      <w:pPr>
        <w:autoSpaceDE w:val="0"/>
        <w:autoSpaceDN w:val="0"/>
        <w:adjustRightInd w:val="0"/>
        <w:rPr>
          <w:lang w:val="de-DE"/>
        </w:rPr>
      </w:pPr>
    </w:p>
    <w:p w:rsidR="004E5B9C" w:rsidRPr="00F24BA0" w:rsidRDefault="004E5B9C" w:rsidP="004E5B9C">
      <w:pPr>
        <w:autoSpaceDE w:val="0"/>
        <w:autoSpaceDN w:val="0"/>
        <w:adjustRightInd w:val="0"/>
        <w:rPr>
          <w:lang w:val="de-DE"/>
        </w:rPr>
      </w:pPr>
    </w:p>
    <w:p w:rsidR="004E5B9C" w:rsidRPr="00F24BA0" w:rsidRDefault="004E5B9C" w:rsidP="004E5B9C">
      <w:pPr>
        <w:autoSpaceDE w:val="0"/>
        <w:autoSpaceDN w:val="0"/>
        <w:adjustRightInd w:val="0"/>
        <w:rPr>
          <w:lang w:val="de-DE"/>
        </w:rPr>
      </w:pPr>
    </w:p>
    <w:p w:rsidR="004E5B9C" w:rsidRPr="00F24BA0" w:rsidRDefault="00D269FE" w:rsidP="004E5B9C">
      <w:pPr>
        <w:autoSpaceDE w:val="0"/>
        <w:autoSpaceDN w:val="0"/>
        <w:adjustRightInd w:val="0"/>
        <w:jc w:val="right"/>
        <w:rPr>
          <w:lang w:val="de-DE"/>
        </w:rPr>
      </w:pPr>
      <w:r w:rsidRPr="00F24BA0">
        <w:rPr>
          <w:lang w:val="de-DE"/>
        </w:rPr>
        <w:t>[Ende der Anlage und des Dokuments</w:t>
      </w:r>
      <w:r w:rsidR="004E5B9C" w:rsidRPr="00F24BA0">
        <w:rPr>
          <w:lang w:val="de-DE"/>
        </w:rPr>
        <w:t>]</w:t>
      </w:r>
    </w:p>
    <w:p w:rsidR="004E5B9C" w:rsidRPr="00F24BA0" w:rsidRDefault="004E5B9C" w:rsidP="004E5B9C">
      <w:pPr>
        <w:rPr>
          <w:lang w:val="de-DE"/>
        </w:rPr>
      </w:pPr>
    </w:p>
    <w:p w:rsidR="004E5B9C" w:rsidRPr="00F24BA0" w:rsidRDefault="004E5B9C" w:rsidP="004E5B9C">
      <w:pPr>
        <w:rPr>
          <w:lang w:val="de-DE"/>
        </w:rPr>
      </w:pPr>
    </w:p>
    <w:sectPr w:rsidR="004E5B9C" w:rsidRPr="00F24BA0" w:rsidSect="00F2271C">
      <w:headerReference w:type="defaul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87" w:rsidRDefault="000A7D87">
      <w:r>
        <w:separator/>
      </w:r>
    </w:p>
    <w:p w:rsidR="000A7D87" w:rsidRDefault="000A7D87"/>
    <w:p w:rsidR="000A7D87" w:rsidRDefault="000A7D87"/>
  </w:endnote>
  <w:endnote w:type="continuationSeparator" w:id="0">
    <w:p w:rsidR="000A7D87" w:rsidRDefault="000A7D87">
      <w:r>
        <w:separator/>
      </w:r>
    </w:p>
    <w:p w:rsidR="000A7D87" w:rsidRPr="00664515" w:rsidRDefault="000A7D87">
      <w:pPr>
        <w:pStyle w:val="Footer"/>
        <w:spacing w:after="60"/>
        <w:rPr>
          <w:sz w:val="18"/>
          <w:lang w:val="fr-CH"/>
        </w:rPr>
      </w:pPr>
      <w:r w:rsidRPr="00664515">
        <w:rPr>
          <w:sz w:val="18"/>
          <w:lang w:val="fr-CH"/>
        </w:rPr>
        <w:t>[Suite de la note de la page précédente]</w:t>
      </w:r>
    </w:p>
    <w:p w:rsidR="000A7D87" w:rsidRPr="00664515" w:rsidRDefault="000A7D87">
      <w:pPr>
        <w:rPr>
          <w:lang w:val="fr-CH"/>
        </w:rPr>
      </w:pPr>
    </w:p>
    <w:p w:rsidR="000A7D87" w:rsidRPr="00664515" w:rsidRDefault="000A7D87">
      <w:pPr>
        <w:rPr>
          <w:lang w:val="fr-CH"/>
        </w:rPr>
      </w:pPr>
    </w:p>
  </w:endnote>
  <w:endnote w:type="continuationNotice" w:id="1">
    <w:p w:rsidR="000A7D87" w:rsidRPr="00664515" w:rsidRDefault="000A7D87">
      <w:pPr>
        <w:spacing w:before="60"/>
        <w:jc w:val="right"/>
        <w:rPr>
          <w:sz w:val="18"/>
          <w:lang w:val="fr-CH"/>
        </w:rPr>
      </w:pPr>
      <w:r w:rsidRPr="00664515">
        <w:rPr>
          <w:sz w:val="18"/>
          <w:lang w:val="fr-CH"/>
        </w:rPr>
        <w:t>[Suite de la note page suivante]</w:t>
      </w:r>
    </w:p>
    <w:p w:rsidR="000A7D87" w:rsidRPr="00664515" w:rsidRDefault="000A7D87">
      <w:pPr>
        <w:rPr>
          <w:lang w:val="fr-CH"/>
        </w:rPr>
      </w:pPr>
    </w:p>
    <w:p w:rsidR="000A7D87" w:rsidRPr="00664515" w:rsidRDefault="000A7D8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F2271C" w:rsidRDefault="002F78FA" w:rsidP="00F2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87" w:rsidRDefault="000A7D87" w:rsidP="009D690D">
      <w:pPr>
        <w:spacing w:before="120"/>
      </w:pPr>
      <w:r>
        <w:separator/>
      </w:r>
    </w:p>
  </w:footnote>
  <w:footnote w:type="continuationSeparator" w:id="0">
    <w:p w:rsidR="000A7D87" w:rsidRDefault="000A7D87" w:rsidP="00520297">
      <w:pPr>
        <w:spacing w:before="120"/>
        <w:jc w:val="left"/>
      </w:pPr>
      <w:r>
        <w:separator/>
      </w:r>
    </w:p>
  </w:footnote>
  <w:footnote w:type="continuationNotice" w:id="1">
    <w:p w:rsidR="000A7D87" w:rsidRDefault="000A7D87"/>
  </w:footnote>
  <w:footnote w:id="2">
    <w:p w:rsidR="00667F31" w:rsidRDefault="00667F31" w:rsidP="00667F31">
      <w:pPr>
        <w:spacing w:before="60"/>
        <w:ind w:left="567" w:hanging="567"/>
      </w:pPr>
      <w:r>
        <w:rPr>
          <w:vertAlign w:val="superscript"/>
        </w:rPr>
        <w:footnoteRef/>
      </w:r>
      <w:r>
        <w:tab/>
      </w:r>
      <w:r>
        <w:rPr>
          <w:rStyle w:val="FootnoteTextChar"/>
        </w:rPr>
        <w:t>Bitte beachten, daß dieses Verzeichnis zu Veranschaulichungszwecken bereitgestellt wird und zum Zeitpunkt der Lektüre möglichweise nicht mehr aktuell ist: Der Link zum Inhaltsverzeichnis ist im obigen Wortlaut angegeben.</w:t>
      </w:r>
    </w:p>
  </w:footnote>
  <w:footnote w:id="3">
    <w:p w:rsidR="006B304B" w:rsidRPr="00D05540" w:rsidRDefault="006B304B" w:rsidP="00DC5345">
      <w:pPr>
        <w:spacing w:before="60"/>
        <w:ind w:left="567" w:hanging="567"/>
        <w:rPr>
          <w:lang w:val="de-DE"/>
        </w:rPr>
      </w:pPr>
      <w:r w:rsidRPr="00C0236D">
        <w:rPr>
          <w:vertAlign w:val="superscript"/>
        </w:rPr>
        <w:footnoteRef/>
      </w:r>
      <w:r>
        <w:rPr>
          <w:rStyle w:val="FootnoteTextChar"/>
          <w:lang w:val="de-DE"/>
        </w:rPr>
        <w:tab/>
      </w:r>
      <w:r w:rsidRPr="00D05540">
        <w:rPr>
          <w:rStyle w:val="FootnoteTextChar"/>
          <w:lang w:val="de-DE"/>
        </w:rPr>
        <w:t xml:space="preserve">Die </w:t>
      </w:r>
      <w:r>
        <w:rPr>
          <w:rStyle w:val="FootnoteTextChar"/>
          <w:lang w:val="de-DE"/>
        </w:rPr>
        <w:t>Hinweise</w:t>
      </w:r>
      <w:r w:rsidRPr="00D05540">
        <w:rPr>
          <w:rStyle w:val="FootnoteTextChar"/>
          <w:lang w:val="de-DE"/>
        </w:rPr>
        <w:t xml:space="preserve"> </w:t>
      </w:r>
      <w:r>
        <w:rPr>
          <w:rStyle w:val="FootnoteTextChar"/>
          <w:lang w:val="de-DE"/>
        </w:rPr>
        <w:t>i</w:t>
      </w:r>
      <w:r w:rsidRPr="00D05540">
        <w:rPr>
          <w:rStyle w:val="FootnoteTextChar"/>
          <w:lang w:val="de-DE"/>
        </w:rPr>
        <w:t xml:space="preserve">m obigen Diagramm </w:t>
      </w:r>
      <w:r>
        <w:rPr>
          <w:rStyle w:val="FootnoteTextChar"/>
          <w:lang w:val="de-DE"/>
        </w:rPr>
        <w:t>b</w:t>
      </w:r>
      <w:r w:rsidRPr="00D05540">
        <w:rPr>
          <w:rStyle w:val="FootnoteTextChar"/>
          <w:lang w:val="de-DE"/>
        </w:rPr>
        <w:t xml:space="preserve">eziehen sich auf die Verwaltung der Prüfung </w:t>
      </w:r>
      <w:r>
        <w:rPr>
          <w:rStyle w:val="FootnoteTextChar"/>
          <w:lang w:val="de-DE"/>
        </w:rPr>
        <w:t>u</w:t>
      </w:r>
      <w:r w:rsidRPr="00D05540">
        <w:rPr>
          <w:rStyle w:val="FootnoteTextChar"/>
          <w:lang w:val="de-DE"/>
        </w:rPr>
        <w:t xml:space="preserve">nd werden in </w:t>
      </w:r>
      <w:r w:rsidRPr="00290BF4">
        <w:rPr>
          <w:rStyle w:val="FootnoteTextChar"/>
          <w:lang w:val="de-DE"/>
        </w:rPr>
        <w:t>Modul 2, „Verwaltung der Anträge“, erläutert.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9C" w:rsidRPr="00997029" w:rsidRDefault="004E5B9C" w:rsidP="00E23920">
    <w:pPr>
      <w:jc w:val="center"/>
      <w:rPr>
        <w:rStyle w:val="PageNumber"/>
      </w:rPr>
    </w:pPr>
    <w:r>
      <w:rPr>
        <w:rStyle w:val="PageNumber"/>
      </w:rPr>
      <w:t>CAJ/70/5</w:t>
    </w:r>
  </w:p>
  <w:p w:rsidR="004E5B9C" w:rsidRPr="00997029" w:rsidRDefault="003955A0" w:rsidP="00E23920">
    <w:pPr>
      <w:jc w:val="center"/>
    </w:pPr>
    <w:r>
      <w:t>Seite</w:t>
    </w:r>
    <w:r w:rsidR="004E5B9C" w:rsidRPr="00997029">
      <w:t xml:space="preserve"> </w:t>
    </w:r>
    <w:r w:rsidR="004E5B9C" w:rsidRPr="00997029">
      <w:rPr>
        <w:rStyle w:val="PageNumber"/>
      </w:rPr>
      <w:fldChar w:fldCharType="begin"/>
    </w:r>
    <w:r w:rsidR="004E5B9C" w:rsidRPr="00997029">
      <w:rPr>
        <w:rStyle w:val="PageNumber"/>
      </w:rPr>
      <w:instrText xml:space="preserve"> PAGE </w:instrText>
    </w:r>
    <w:r w:rsidR="004E5B9C" w:rsidRPr="00997029">
      <w:rPr>
        <w:rStyle w:val="PageNumber"/>
      </w:rPr>
      <w:fldChar w:fldCharType="separate"/>
    </w:r>
    <w:r w:rsidR="005E0768">
      <w:rPr>
        <w:rStyle w:val="PageNumber"/>
        <w:noProof/>
      </w:rPr>
      <w:t>4</w:t>
    </w:r>
    <w:r w:rsidR="004E5B9C" w:rsidRPr="00997029">
      <w:rPr>
        <w:rStyle w:val="PageNumber"/>
      </w:rPr>
      <w:fldChar w:fldCharType="end"/>
    </w:r>
  </w:p>
  <w:p w:rsidR="004E5B9C" w:rsidRPr="00997029" w:rsidRDefault="004E5B9C"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C" w:rsidRDefault="002F78FA" w:rsidP="00E23920">
    <w:pPr>
      <w:jc w:val="center"/>
      <w:rPr>
        <w:rStyle w:val="PageNumber"/>
      </w:rPr>
    </w:pPr>
    <w:r>
      <w:rPr>
        <w:rStyle w:val="PageNumber"/>
      </w:rPr>
      <w:t>CAJ/</w:t>
    </w:r>
    <w:r w:rsidR="00155F6F">
      <w:rPr>
        <w:rStyle w:val="PageNumber"/>
      </w:rPr>
      <w:t>70</w:t>
    </w:r>
    <w:r>
      <w:rPr>
        <w:rStyle w:val="PageNumber"/>
      </w:rPr>
      <w:t>/</w:t>
    </w:r>
    <w:r w:rsidR="00F2271C">
      <w:rPr>
        <w:rStyle w:val="PageNumber"/>
      </w:rPr>
      <w:t>5</w:t>
    </w:r>
  </w:p>
  <w:p w:rsidR="002F78FA" w:rsidRPr="00997029" w:rsidRDefault="003955A0" w:rsidP="00E23920">
    <w:pPr>
      <w:jc w:val="center"/>
    </w:pPr>
    <w:r>
      <w:rPr>
        <w:rStyle w:val="PageNumber"/>
      </w:rPr>
      <w:t>Anlage</w:t>
    </w:r>
    <w:r w:rsidR="00F2271C">
      <w:rPr>
        <w:rStyle w:val="PageNumber"/>
      </w:rPr>
      <w:t xml:space="preserve">, </w:t>
    </w:r>
    <w:r>
      <w:t>Seite</w:t>
    </w:r>
    <w:r w:rsidR="002F78FA" w:rsidRPr="00997029">
      <w:t xml:space="preserve"> </w:t>
    </w:r>
    <w:r w:rsidR="002F78FA" w:rsidRPr="00997029">
      <w:rPr>
        <w:rStyle w:val="PageNumber"/>
      </w:rPr>
      <w:fldChar w:fldCharType="begin"/>
    </w:r>
    <w:r w:rsidR="002F78FA" w:rsidRPr="00997029">
      <w:rPr>
        <w:rStyle w:val="PageNumber"/>
      </w:rPr>
      <w:instrText xml:space="preserve"> PAGE </w:instrText>
    </w:r>
    <w:r w:rsidR="002F78FA" w:rsidRPr="00997029">
      <w:rPr>
        <w:rStyle w:val="PageNumber"/>
      </w:rPr>
      <w:fldChar w:fldCharType="separate"/>
    </w:r>
    <w:r w:rsidR="005E0768">
      <w:rPr>
        <w:rStyle w:val="PageNumber"/>
        <w:noProof/>
      </w:rPr>
      <w:t>10</w:t>
    </w:r>
    <w:r w:rsidR="002F78FA"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BB4"/>
    <w:multiLevelType w:val="hybridMultilevel"/>
    <w:tmpl w:val="F992F904"/>
    <w:lvl w:ilvl="0" w:tplc="00A29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745BC"/>
    <w:multiLevelType w:val="hybridMultilevel"/>
    <w:tmpl w:val="B0CC23F8"/>
    <w:lvl w:ilvl="0" w:tplc="62329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D734B"/>
    <w:multiLevelType w:val="hybridMultilevel"/>
    <w:tmpl w:val="37E24C62"/>
    <w:lvl w:ilvl="0" w:tplc="BD644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41B1E"/>
    <w:multiLevelType w:val="hybridMultilevel"/>
    <w:tmpl w:val="583C583C"/>
    <w:lvl w:ilvl="0" w:tplc="6172B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46370"/>
    <w:multiLevelType w:val="hybridMultilevel"/>
    <w:tmpl w:val="C8BEBAEE"/>
    <w:lvl w:ilvl="0" w:tplc="D5B4F9C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6211707C"/>
    <w:multiLevelType w:val="multilevel"/>
    <w:tmpl w:val="185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E3B90"/>
    <w:multiLevelType w:val="hybridMultilevel"/>
    <w:tmpl w:val="6B4E2F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0"/>
  </w:num>
  <w:num w:numId="5">
    <w:abstractNumId w:val="3"/>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24AB8"/>
    <w:rsid w:val="00030888"/>
    <w:rsid w:val="00036028"/>
    <w:rsid w:val="000446B9"/>
    <w:rsid w:val="00047E21"/>
    <w:rsid w:val="00052049"/>
    <w:rsid w:val="000578CD"/>
    <w:rsid w:val="0006472C"/>
    <w:rsid w:val="00085505"/>
    <w:rsid w:val="000A1B0F"/>
    <w:rsid w:val="000A48E9"/>
    <w:rsid w:val="000A7D87"/>
    <w:rsid w:val="000C7021"/>
    <w:rsid w:val="000D492E"/>
    <w:rsid w:val="000D6BBC"/>
    <w:rsid w:val="000D7780"/>
    <w:rsid w:val="00100CB5"/>
    <w:rsid w:val="00102653"/>
    <w:rsid w:val="00105929"/>
    <w:rsid w:val="00110481"/>
    <w:rsid w:val="00112F00"/>
    <w:rsid w:val="001131D5"/>
    <w:rsid w:val="00141DB8"/>
    <w:rsid w:val="00155F6F"/>
    <w:rsid w:val="0017049A"/>
    <w:rsid w:val="0017474A"/>
    <w:rsid w:val="001758C6"/>
    <w:rsid w:val="0018110A"/>
    <w:rsid w:val="001B0A79"/>
    <w:rsid w:val="001C3DF3"/>
    <w:rsid w:val="001F1F2A"/>
    <w:rsid w:val="001F42B3"/>
    <w:rsid w:val="0021332C"/>
    <w:rsid w:val="00213982"/>
    <w:rsid w:val="00220023"/>
    <w:rsid w:val="00236788"/>
    <w:rsid w:val="00237C7D"/>
    <w:rsid w:val="0024416D"/>
    <w:rsid w:val="0027309C"/>
    <w:rsid w:val="0027491A"/>
    <w:rsid w:val="002800A0"/>
    <w:rsid w:val="00281060"/>
    <w:rsid w:val="0029439F"/>
    <w:rsid w:val="002970AA"/>
    <w:rsid w:val="002A6E50"/>
    <w:rsid w:val="002C256A"/>
    <w:rsid w:val="002E5A37"/>
    <w:rsid w:val="002E7BA1"/>
    <w:rsid w:val="002F78FA"/>
    <w:rsid w:val="002F79BB"/>
    <w:rsid w:val="00305A7F"/>
    <w:rsid w:val="003152FE"/>
    <w:rsid w:val="00327436"/>
    <w:rsid w:val="00344BD6"/>
    <w:rsid w:val="0035528D"/>
    <w:rsid w:val="00355E85"/>
    <w:rsid w:val="00361821"/>
    <w:rsid w:val="00365009"/>
    <w:rsid w:val="003955A0"/>
    <w:rsid w:val="003A17C8"/>
    <w:rsid w:val="003A58DE"/>
    <w:rsid w:val="003C12F5"/>
    <w:rsid w:val="003C563E"/>
    <w:rsid w:val="003D0EE2"/>
    <w:rsid w:val="003D227C"/>
    <w:rsid w:val="003D2B4D"/>
    <w:rsid w:val="003D39B6"/>
    <w:rsid w:val="003F153A"/>
    <w:rsid w:val="003F6136"/>
    <w:rsid w:val="00427139"/>
    <w:rsid w:val="00430CEA"/>
    <w:rsid w:val="00431EB9"/>
    <w:rsid w:val="00444A88"/>
    <w:rsid w:val="004503FC"/>
    <w:rsid w:val="0045667D"/>
    <w:rsid w:val="00474DA4"/>
    <w:rsid w:val="004A77B3"/>
    <w:rsid w:val="004C3FCF"/>
    <w:rsid w:val="004D047D"/>
    <w:rsid w:val="004D1617"/>
    <w:rsid w:val="004E5B9C"/>
    <w:rsid w:val="004F0D9D"/>
    <w:rsid w:val="004F305A"/>
    <w:rsid w:val="00512164"/>
    <w:rsid w:val="00520297"/>
    <w:rsid w:val="005338F9"/>
    <w:rsid w:val="0054281C"/>
    <w:rsid w:val="0055268D"/>
    <w:rsid w:val="00572E44"/>
    <w:rsid w:val="005769D9"/>
    <w:rsid w:val="00576BE4"/>
    <w:rsid w:val="005773A0"/>
    <w:rsid w:val="005874B2"/>
    <w:rsid w:val="005A400A"/>
    <w:rsid w:val="005E0768"/>
    <w:rsid w:val="005F76A6"/>
    <w:rsid w:val="005F79FB"/>
    <w:rsid w:val="00612379"/>
    <w:rsid w:val="0061555F"/>
    <w:rsid w:val="00630180"/>
    <w:rsid w:val="00630A8B"/>
    <w:rsid w:val="00641200"/>
    <w:rsid w:val="00663ED8"/>
    <w:rsid w:val="00664515"/>
    <w:rsid w:val="00664C4A"/>
    <w:rsid w:val="00666BB4"/>
    <w:rsid w:val="00667F31"/>
    <w:rsid w:val="006757C6"/>
    <w:rsid w:val="00687EB4"/>
    <w:rsid w:val="006A6E24"/>
    <w:rsid w:val="006B17D2"/>
    <w:rsid w:val="006B304B"/>
    <w:rsid w:val="006B45FA"/>
    <w:rsid w:val="006C224E"/>
    <w:rsid w:val="006D2058"/>
    <w:rsid w:val="007008F2"/>
    <w:rsid w:val="007010F9"/>
    <w:rsid w:val="00732DEC"/>
    <w:rsid w:val="00735BD5"/>
    <w:rsid w:val="00746887"/>
    <w:rsid w:val="0075117E"/>
    <w:rsid w:val="007556F6"/>
    <w:rsid w:val="00760EEF"/>
    <w:rsid w:val="00765AFC"/>
    <w:rsid w:val="007715DA"/>
    <w:rsid w:val="00777EE5"/>
    <w:rsid w:val="00784836"/>
    <w:rsid w:val="0079023E"/>
    <w:rsid w:val="007A5673"/>
    <w:rsid w:val="007B6894"/>
    <w:rsid w:val="007C0653"/>
    <w:rsid w:val="007C6639"/>
    <w:rsid w:val="007D0B9D"/>
    <w:rsid w:val="007D19B0"/>
    <w:rsid w:val="007F3FE2"/>
    <w:rsid w:val="007F498F"/>
    <w:rsid w:val="0080679D"/>
    <w:rsid w:val="00806DCA"/>
    <w:rsid w:val="008108B0"/>
    <w:rsid w:val="00811B20"/>
    <w:rsid w:val="0082296E"/>
    <w:rsid w:val="00824099"/>
    <w:rsid w:val="00836E88"/>
    <w:rsid w:val="0084271A"/>
    <w:rsid w:val="008518FE"/>
    <w:rsid w:val="00855DBD"/>
    <w:rsid w:val="00864C6D"/>
    <w:rsid w:val="00867AC1"/>
    <w:rsid w:val="0089088A"/>
    <w:rsid w:val="008A395B"/>
    <w:rsid w:val="008A743F"/>
    <w:rsid w:val="008B0146"/>
    <w:rsid w:val="008B51D0"/>
    <w:rsid w:val="008C0970"/>
    <w:rsid w:val="008C51AB"/>
    <w:rsid w:val="008D2CF7"/>
    <w:rsid w:val="008D2F71"/>
    <w:rsid w:val="008E19FC"/>
    <w:rsid w:val="008E793E"/>
    <w:rsid w:val="00900C26"/>
    <w:rsid w:val="0090197F"/>
    <w:rsid w:val="00906DDC"/>
    <w:rsid w:val="00910DD9"/>
    <w:rsid w:val="009118FD"/>
    <w:rsid w:val="00913177"/>
    <w:rsid w:val="00934E09"/>
    <w:rsid w:val="00936253"/>
    <w:rsid w:val="009676CF"/>
    <w:rsid w:val="00970FED"/>
    <w:rsid w:val="00984B3F"/>
    <w:rsid w:val="0098522D"/>
    <w:rsid w:val="009878B3"/>
    <w:rsid w:val="00997029"/>
    <w:rsid w:val="009B0D2F"/>
    <w:rsid w:val="009B0DB2"/>
    <w:rsid w:val="009C2757"/>
    <w:rsid w:val="009D0DE5"/>
    <w:rsid w:val="009D1C08"/>
    <w:rsid w:val="009D2B93"/>
    <w:rsid w:val="009D690D"/>
    <w:rsid w:val="009E65B6"/>
    <w:rsid w:val="009F55A1"/>
    <w:rsid w:val="00A40E15"/>
    <w:rsid w:val="00A42AC3"/>
    <w:rsid w:val="00A430CF"/>
    <w:rsid w:val="00A54309"/>
    <w:rsid w:val="00A54F85"/>
    <w:rsid w:val="00A73668"/>
    <w:rsid w:val="00A75D77"/>
    <w:rsid w:val="00A977BA"/>
    <w:rsid w:val="00AB2B93"/>
    <w:rsid w:val="00AE0EF1"/>
    <w:rsid w:val="00B07301"/>
    <w:rsid w:val="00B10E7E"/>
    <w:rsid w:val="00B224DE"/>
    <w:rsid w:val="00B34029"/>
    <w:rsid w:val="00B34841"/>
    <w:rsid w:val="00B65A82"/>
    <w:rsid w:val="00B84BBD"/>
    <w:rsid w:val="00BA012A"/>
    <w:rsid w:val="00BA43FB"/>
    <w:rsid w:val="00BC127D"/>
    <w:rsid w:val="00BC1FE6"/>
    <w:rsid w:val="00BD2A1E"/>
    <w:rsid w:val="00BD4C24"/>
    <w:rsid w:val="00BD57DA"/>
    <w:rsid w:val="00C024C8"/>
    <w:rsid w:val="00C061B6"/>
    <w:rsid w:val="00C21647"/>
    <w:rsid w:val="00C21DBF"/>
    <w:rsid w:val="00C2446C"/>
    <w:rsid w:val="00C36AE5"/>
    <w:rsid w:val="00C37CB9"/>
    <w:rsid w:val="00C41F17"/>
    <w:rsid w:val="00C54BF4"/>
    <w:rsid w:val="00C5791C"/>
    <w:rsid w:val="00C60D87"/>
    <w:rsid w:val="00C66290"/>
    <w:rsid w:val="00C67DA6"/>
    <w:rsid w:val="00C72B7A"/>
    <w:rsid w:val="00C973F2"/>
    <w:rsid w:val="00CA3412"/>
    <w:rsid w:val="00CA4B03"/>
    <w:rsid w:val="00CA774A"/>
    <w:rsid w:val="00CC11B0"/>
    <w:rsid w:val="00CC4F3C"/>
    <w:rsid w:val="00CF07F3"/>
    <w:rsid w:val="00CF7E36"/>
    <w:rsid w:val="00D233D8"/>
    <w:rsid w:val="00D24210"/>
    <w:rsid w:val="00D25E7D"/>
    <w:rsid w:val="00D269FE"/>
    <w:rsid w:val="00D3708D"/>
    <w:rsid w:val="00D40426"/>
    <w:rsid w:val="00D43E24"/>
    <w:rsid w:val="00D57C96"/>
    <w:rsid w:val="00D6692D"/>
    <w:rsid w:val="00D91203"/>
    <w:rsid w:val="00D95174"/>
    <w:rsid w:val="00D95A5C"/>
    <w:rsid w:val="00DA6F36"/>
    <w:rsid w:val="00DC00EA"/>
    <w:rsid w:val="00DC5345"/>
    <w:rsid w:val="00E1361F"/>
    <w:rsid w:val="00E16C51"/>
    <w:rsid w:val="00E22FDC"/>
    <w:rsid w:val="00E23920"/>
    <w:rsid w:val="00E46D1A"/>
    <w:rsid w:val="00E53C36"/>
    <w:rsid w:val="00E72D49"/>
    <w:rsid w:val="00E7593C"/>
    <w:rsid w:val="00E7678A"/>
    <w:rsid w:val="00E86274"/>
    <w:rsid w:val="00E935F1"/>
    <w:rsid w:val="00E94A81"/>
    <w:rsid w:val="00EA1FFB"/>
    <w:rsid w:val="00EB048E"/>
    <w:rsid w:val="00EB3EFA"/>
    <w:rsid w:val="00EC4922"/>
    <w:rsid w:val="00ED1516"/>
    <w:rsid w:val="00EF2F89"/>
    <w:rsid w:val="00F01CF0"/>
    <w:rsid w:val="00F04DEB"/>
    <w:rsid w:val="00F1237A"/>
    <w:rsid w:val="00F2271C"/>
    <w:rsid w:val="00F22CBD"/>
    <w:rsid w:val="00F24BA0"/>
    <w:rsid w:val="00F32656"/>
    <w:rsid w:val="00F3608F"/>
    <w:rsid w:val="00F37961"/>
    <w:rsid w:val="00F6334D"/>
    <w:rsid w:val="00F7089C"/>
    <w:rsid w:val="00F917BB"/>
    <w:rsid w:val="00F959CC"/>
    <w:rsid w:val="00FA49AB"/>
    <w:rsid w:val="00FB0D37"/>
    <w:rsid w:val="00FB1C61"/>
    <w:rsid w:val="00FB4320"/>
    <w:rsid w:val="00FC77C6"/>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34029"/>
    <w:pPr>
      <w:keepNext/>
      <w:outlineLvl w:val="0"/>
    </w:pPr>
    <w:rPr>
      <w:rFonts w:ascii="Arial" w:hAnsi="Arial"/>
      <w:caps/>
      <w:szCs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uiPriority w:val="99"/>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uiPriority w:val="99"/>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34029"/>
    <w:pPr>
      <w:keepNext/>
      <w:outlineLvl w:val="0"/>
    </w:pPr>
    <w:rPr>
      <w:rFonts w:ascii="Arial" w:hAnsi="Arial"/>
      <w:caps/>
      <w:szCs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uiPriority w:val="99"/>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uiPriority w:val="99"/>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71044">
      <w:bodyDiv w:val="1"/>
      <w:marLeft w:val="0"/>
      <w:marRight w:val="0"/>
      <w:marTop w:val="0"/>
      <w:marBottom w:val="0"/>
      <w:divBdr>
        <w:top w:val="none" w:sz="0" w:space="0" w:color="auto"/>
        <w:left w:val="none" w:sz="0" w:space="0" w:color="auto"/>
        <w:bottom w:val="none" w:sz="0" w:space="0" w:color="auto"/>
        <w:right w:val="none" w:sz="0" w:space="0" w:color="auto"/>
      </w:divBdr>
      <w:divsChild>
        <w:div w:id="1891381179">
          <w:marLeft w:val="0"/>
          <w:marRight w:val="0"/>
          <w:marTop w:val="0"/>
          <w:marBottom w:val="0"/>
          <w:divBdr>
            <w:top w:val="none" w:sz="0" w:space="0" w:color="auto"/>
            <w:left w:val="none" w:sz="0" w:space="0" w:color="auto"/>
            <w:bottom w:val="none" w:sz="0" w:space="0" w:color="auto"/>
            <w:right w:val="none" w:sz="0" w:space="0" w:color="auto"/>
          </w:divBdr>
          <w:divsChild>
            <w:div w:id="1272905814">
              <w:marLeft w:val="0"/>
              <w:marRight w:val="0"/>
              <w:marTop w:val="0"/>
              <w:marBottom w:val="0"/>
              <w:divBdr>
                <w:top w:val="none" w:sz="0" w:space="0" w:color="auto"/>
                <w:left w:val="none" w:sz="0" w:space="0" w:color="auto"/>
                <w:bottom w:val="none" w:sz="0" w:space="0" w:color="auto"/>
                <w:right w:val="none" w:sz="0" w:space="0" w:color="auto"/>
              </w:divBdr>
              <w:divsChild>
                <w:div w:id="1215240756">
                  <w:marLeft w:val="0"/>
                  <w:marRight w:val="0"/>
                  <w:marTop w:val="0"/>
                  <w:marBottom w:val="0"/>
                  <w:divBdr>
                    <w:top w:val="none" w:sz="0" w:space="0" w:color="auto"/>
                    <w:left w:val="none" w:sz="0" w:space="0" w:color="auto"/>
                    <w:bottom w:val="none" w:sz="0" w:space="0" w:color="auto"/>
                    <w:right w:val="none" w:sz="0" w:space="0" w:color="auto"/>
                  </w:divBdr>
                  <w:divsChild>
                    <w:div w:id="1935241266">
                      <w:marLeft w:val="0"/>
                      <w:marRight w:val="0"/>
                      <w:marTop w:val="0"/>
                      <w:marBottom w:val="0"/>
                      <w:divBdr>
                        <w:top w:val="none" w:sz="0" w:space="0" w:color="auto"/>
                        <w:left w:val="none" w:sz="0" w:space="0" w:color="auto"/>
                        <w:bottom w:val="none" w:sz="0" w:space="0" w:color="auto"/>
                        <w:right w:val="none" w:sz="0" w:space="0" w:color="auto"/>
                      </w:divBdr>
                      <w:divsChild>
                        <w:div w:id="504976746">
                          <w:marLeft w:val="0"/>
                          <w:marRight w:val="0"/>
                          <w:marTop w:val="0"/>
                          <w:marBottom w:val="0"/>
                          <w:divBdr>
                            <w:top w:val="none" w:sz="0" w:space="0" w:color="auto"/>
                            <w:left w:val="none" w:sz="0" w:space="0" w:color="auto"/>
                            <w:bottom w:val="none" w:sz="0" w:space="0" w:color="auto"/>
                            <w:right w:val="none" w:sz="0" w:space="0" w:color="auto"/>
                          </w:divBdr>
                          <w:divsChild>
                            <w:div w:id="11337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www.upov.int/test_guidelines/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pov.int/resource/de/subscribe.jsp" TargetMode="External"/><Relationship Id="rId17" Type="http://schemas.openxmlformats.org/officeDocument/2006/relationships/hyperlink" Target="http://www.upov.int/tgp/en/" TargetMode="External"/><Relationship Id="rId2" Type="http://schemas.openxmlformats.org/officeDocument/2006/relationships/numbering" Target="numbering.xml"/><Relationship Id="rId16" Type="http://schemas.openxmlformats.org/officeDocument/2006/relationships/hyperlink" Target="http://www.upov.int/tgp/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de/" TargetMode="External"/><Relationship Id="rId5" Type="http://schemas.openxmlformats.org/officeDocument/2006/relationships/settings" Target="settings.xml"/><Relationship Id="rId15" Type="http://schemas.openxmlformats.org/officeDocument/2006/relationships/hyperlink" Target="http://www.upov.int/tgp/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pov.int/explanatory_note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information_documents/d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105C-5C11-4A42-81F5-012CDBEA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46</TotalTime>
  <Pages>14</Pages>
  <Words>4147</Words>
  <Characters>30966</Characters>
  <Application>Microsoft Office Word</Application>
  <DocSecurity>0</DocSecurity>
  <Lines>258</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35043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19</cp:revision>
  <cp:lastPrinted>2014-09-12T08:56:00Z</cp:lastPrinted>
  <dcterms:created xsi:type="dcterms:W3CDTF">2014-08-27T12:59:00Z</dcterms:created>
  <dcterms:modified xsi:type="dcterms:W3CDTF">2014-09-12T14:48:00Z</dcterms:modified>
</cp:coreProperties>
</file>