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t>G</w:t>
            </w:r>
          </w:p>
          <w:p w:rsidR="000D7780" w:rsidRPr="00997029" w:rsidRDefault="00F37961" w:rsidP="00474DA4">
            <w:pPr>
              <w:pStyle w:val="Docoriginal"/>
              <w:jc w:val="left"/>
            </w:pPr>
            <w:r>
              <w:t>CAJ/70/</w:t>
            </w:r>
            <w:bookmarkStart w:id="0" w:name="Code"/>
            <w:bookmarkEnd w:id="0"/>
            <w:r>
              <w:t>4</w:t>
            </w:r>
          </w:p>
          <w:p w:rsidR="000D7780" w:rsidRPr="00735BD5" w:rsidRDefault="0061555F" w:rsidP="00474DA4">
            <w:pPr>
              <w:pStyle w:val="Docoriginal"/>
              <w:jc w:val="left"/>
            </w:pPr>
            <w:r>
              <w:rPr>
                <w:rStyle w:val="StyleDoclangBold"/>
                <w:b/>
                <w:bCs/>
                <w:spacing w:val="0"/>
              </w:rPr>
              <w:t>ORIGINAL:</w:t>
            </w:r>
            <w:r w:rsidR="00037B93">
              <w:rPr>
                <w:rStyle w:val="StyleDocoriginalNotBold1"/>
                <w:spacing w:val="0"/>
              </w:rPr>
              <w:t xml:space="preserve"> </w:t>
            </w:r>
            <w:bookmarkStart w:id="1" w:name="Original"/>
            <w:bookmarkEnd w:id="1"/>
            <w:r>
              <w:rPr>
                <w:b w:val="0"/>
                <w:spacing w:val="0"/>
              </w:rPr>
              <w:t>Englisch</w:t>
            </w:r>
          </w:p>
          <w:p w:rsidR="000D7780" w:rsidRPr="00EB3EFA" w:rsidRDefault="000D7780" w:rsidP="00102E71">
            <w:pPr>
              <w:pStyle w:val="Docoriginal"/>
              <w:jc w:val="left"/>
              <w:rPr>
                <w:b w:val="0"/>
                <w:spacing w:val="0"/>
                <w:highlight w:val="cyan"/>
              </w:rPr>
            </w:pPr>
            <w:r>
              <w:rPr>
                <w:spacing w:val="0"/>
              </w:rPr>
              <w:t>DATUM:</w:t>
            </w:r>
            <w:r w:rsidR="00037B93">
              <w:rPr>
                <w:b w:val="0"/>
                <w:spacing w:val="0"/>
              </w:rPr>
              <w:t xml:space="preserve"> </w:t>
            </w:r>
            <w:bookmarkStart w:id="2" w:name="Date"/>
            <w:bookmarkEnd w:id="2"/>
            <w:r w:rsidR="00037B93" w:rsidRPr="00102E71">
              <w:rPr>
                <w:rStyle w:val="StyleDocoriginalNotBold1"/>
                <w:spacing w:val="0"/>
              </w:rPr>
              <w:t>1</w:t>
            </w:r>
            <w:r w:rsidR="00102E71" w:rsidRPr="00102E71">
              <w:rPr>
                <w:rStyle w:val="StyleDocoriginalNotBold1"/>
                <w:spacing w:val="0"/>
              </w:rPr>
              <w:t>4</w:t>
            </w:r>
            <w:r w:rsidR="00037B93" w:rsidRPr="00102E71">
              <w:rPr>
                <w:rStyle w:val="StyleDocoriginalNotBold1"/>
                <w:spacing w:val="0"/>
              </w:rPr>
              <w:t xml:space="preserve">. August </w:t>
            </w:r>
            <w:r w:rsidRPr="00102E71">
              <w:rPr>
                <w:rStyle w:val="StyleDocoriginalNotBold1"/>
                <w:spacing w:val="0"/>
              </w:rPr>
              <w:t>2014</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155F6F" w:rsidP="0080679D">
      <w:pPr>
        <w:pStyle w:val="Sessiontcplacedate"/>
      </w:pPr>
      <w:r>
        <w:t>Siebzigste Tagung</w:t>
      </w:r>
      <w:r>
        <w:br/>
        <w:t>Genf, 13. Oktober 2014</w:t>
      </w:r>
    </w:p>
    <w:p w:rsidR="000D7780" w:rsidRPr="00997029" w:rsidRDefault="009D1C08" w:rsidP="0080679D">
      <w:pPr>
        <w:pStyle w:val="Titleofdoc0"/>
      </w:pPr>
      <w:bookmarkStart w:id="3" w:name="TitleOfDoc"/>
      <w:bookmarkEnd w:id="3"/>
      <w:r>
        <w:t>Sortenbezeichnungen</w:t>
      </w:r>
    </w:p>
    <w:p w:rsidR="00F03B03" w:rsidRPr="00376C56" w:rsidRDefault="006B3A1C" w:rsidP="00376C56">
      <w:pPr>
        <w:pStyle w:val="preparedby1"/>
      </w:pPr>
      <w:bookmarkStart w:id="4" w:name="Prepared"/>
      <w:bookmarkEnd w:id="4"/>
      <w:r>
        <w:t xml:space="preserve">vom </w:t>
      </w:r>
      <w:r w:rsidR="00AE0EF1">
        <w:t>Verbandsbüro erstelltes Dokument</w:t>
      </w:r>
      <w:r w:rsidR="00AE0EF1">
        <w:br/>
      </w:r>
      <w:r w:rsidR="00AE0EF1">
        <w:br/>
      </w:r>
      <w:r w:rsidR="00AE0EF1">
        <w:rPr>
          <w:color w:val="A6A6A6" w:themeColor="background1" w:themeShade="A6"/>
        </w:rPr>
        <w:t>Haftungsausschluß: dieses Dokument gibt nicht die Grundsätze oder eine Anleitung der UPOV wieder</w:t>
      </w:r>
    </w:p>
    <w:p w:rsidR="00F03B03" w:rsidRDefault="00F03B03" w:rsidP="001D483F">
      <w:pPr>
        <w:rPr>
          <w:rFonts w:cs="Arial"/>
          <w:snapToGrid w:val="0"/>
        </w:rPr>
      </w:pPr>
    </w:p>
    <w:p w:rsidR="0076602F" w:rsidRDefault="0076602F" w:rsidP="00F03B03">
      <w:pPr>
        <w:rPr>
          <w:rFonts w:cs="Arial"/>
          <w:snapToGrid w:val="0"/>
        </w:rPr>
      </w:pPr>
    </w:p>
    <w:p w:rsidR="0076602F" w:rsidRPr="009C1193" w:rsidRDefault="0076602F" w:rsidP="006B3A1C">
      <w:pPr>
        <w:jc w:val="left"/>
        <w:rPr>
          <w:rFonts w:cs="Arial"/>
          <w:b/>
          <w:snapToGrid w:val="0"/>
        </w:rPr>
      </w:pPr>
      <w:r>
        <w:rPr>
          <w:b/>
          <w:snapToGrid w:val="0"/>
        </w:rPr>
        <w:t>Zusammenfassung</w:t>
      </w:r>
      <w:r>
        <w:rPr>
          <w:rStyle w:val="EndnoteReference"/>
          <w:b/>
          <w:snapToGrid w:val="0"/>
        </w:rPr>
        <w:endnoteReference w:id="2"/>
      </w:r>
    </w:p>
    <w:p w:rsidR="00376C56" w:rsidRPr="009C1193" w:rsidRDefault="00376C56" w:rsidP="00F03B03">
      <w:pPr>
        <w:rPr>
          <w:rFonts w:cs="Arial"/>
          <w:b/>
          <w:snapToGrid w:val="0"/>
        </w:rPr>
      </w:pPr>
    </w:p>
    <w:p w:rsidR="00ED786F" w:rsidRPr="009C1193" w:rsidRDefault="00871D18" w:rsidP="00ED786F">
      <w:pPr>
        <w:rPr>
          <w:rFonts w:cs="Arial"/>
          <w:snapToGrid w:val="0"/>
        </w:rPr>
      </w:pPr>
      <w:r w:rsidRPr="009C1193">
        <w:rPr>
          <w:rFonts w:cs="Arial"/>
          <w:snapToGrid w:val="0"/>
        </w:rPr>
        <w:fldChar w:fldCharType="begin"/>
      </w:r>
      <w:r w:rsidR="00ED786F" w:rsidRPr="009C1193">
        <w:rPr>
          <w:rFonts w:cs="Arial"/>
          <w:snapToGrid w:val="0"/>
        </w:rPr>
        <w:instrText xml:space="preserve"> AUTONUM  </w:instrText>
      </w:r>
      <w:r w:rsidRPr="009C1193">
        <w:rPr>
          <w:rFonts w:cs="Arial"/>
          <w:snapToGrid w:val="0"/>
        </w:rPr>
        <w:fldChar w:fldCharType="end"/>
      </w:r>
      <w:r w:rsidR="0048751F">
        <w:tab/>
        <w:t>Zweck dieses Dokuments ist es, über Entwicklungen betreffend die Arbeitsgruppe für die Ausarbeitung von Vorschlägen für die Entwicklung eines UPOV-Suchinstruments für Ähnlichkeiten zum Zweck der Sortenbezeichnung (die „WG-DST“) und die Überarbeitung von Dokument UPOV/INF/12</w:t>
      </w:r>
      <w:r w:rsidR="00102E71">
        <w:t>/4</w:t>
      </w:r>
      <w:r w:rsidR="0048751F">
        <w:t xml:space="preserve"> „Erläuterungen zu Sortenbezeichnungen nach dem UPOV-Übereinkommen” zu berichten.</w:t>
      </w:r>
    </w:p>
    <w:p w:rsidR="00ED786F" w:rsidRPr="009C1193" w:rsidRDefault="00ED786F" w:rsidP="00ED786F">
      <w:pPr>
        <w:rPr>
          <w:color w:val="000000"/>
        </w:rPr>
      </w:pPr>
    </w:p>
    <w:p w:rsidR="00ED786F" w:rsidRPr="009C1193" w:rsidRDefault="00871D18" w:rsidP="00ED786F">
      <w:r w:rsidRPr="009C1193">
        <w:rPr>
          <w:rFonts w:cs="Arial"/>
          <w:snapToGrid w:val="0"/>
        </w:rPr>
        <w:fldChar w:fldCharType="begin"/>
      </w:r>
      <w:r w:rsidR="007F741C" w:rsidRPr="009C1193">
        <w:rPr>
          <w:rFonts w:cs="Arial"/>
          <w:snapToGrid w:val="0"/>
        </w:rPr>
        <w:instrText xml:space="preserve"> AUTONUM  </w:instrText>
      </w:r>
      <w:r w:rsidRPr="009C1193">
        <w:rPr>
          <w:rFonts w:cs="Arial"/>
          <w:snapToGrid w:val="0"/>
        </w:rPr>
        <w:fldChar w:fldCharType="end"/>
      </w:r>
      <w:r w:rsidR="0048751F">
        <w:tab/>
        <w:t>Dem CAJ wird auf seiner siebzigsten Tagung Bericht über die erste Sitzung der WG-DST abgelegt</w:t>
      </w:r>
      <w:r w:rsidR="00D40CC4">
        <w:t xml:space="preserve">, die für den 3. September 2014 anberaumt </w:t>
      </w:r>
      <w:r w:rsidR="009C7E5D">
        <w:t>wurde</w:t>
      </w:r>
      <w:r w:rsidR="0048751F">
        <w:t xml:space="preserve">. </w:t>
      </w:r>
    </w:p>
    <w:p w:rsidR="00376C56" w:rsidRDefault="00376C56" w:rsidP="00F03B03">
      <w:pPr>
        <w:rPr>
          <w:i/>
          <w:lang w:eastAsia="ja-JP"/>
        </w:rPr>
      </w:pPr>
    </w:p>
    <w:p w:rsidR="00D62150" w:rsidRDefault="00871D18" w:rsidP="00F03B03">
      <w:pPr>
        <w:rPr>
          <w:i/>
        </w:rPr>
      </w:pPr>
      <w:r w:rsidRPr="009C1193">
        <w:rPr>
          <w:rFonts w:cs="Arial"/>
          <w:snapToGrid w:val="0"/>
        </w:rPr>
        <w:fldChar w:fldCharType="begin"/>
      </w:r>
      <w:r w:rsidR="00397154" w:rsidRPr="009C1193">
        <w:rPr>
          <w:rFonts w:cs="Arial"/>
          <w:snapToGrid w:val="0"/>
        </w:rPr>
        <w:instrText xml:space="preserve"> AUTONUM  </w:instrText>
      </w:r>
      <w:r w:rsidRPr="009C1193">
        <w:rPr>
          <w:rFonts w:cs="Arial"/>
          <w:snapToGrid w:val="0"/>
        </w:rPr>
        <w:fldChar w:fldCharType="end"/>
      </w:r>
      <w:r w:rsidR="0048751F">
        <w:tab/>
        <w:t>Über die jüngsten Entwicklungen betreffend die Überarbeitung von Dokument UPOV/INF/12 „Erläuterungen zu Sortenbezeichnungen nach dem UPOV-Übereinkommen“, das von der CAJ-AG auf ihrer neunten Tagung vom 14. bis 17. Oktober 2014 geprüft wird, wird in Dokument CAJ/70/2 „Ausarbeitung von Informationsmaterial zum UPOV-Übereinkommen“ berichtet.</w:t>
      </w:r>
    </w:p>
    <w:p w:rsidR="00B605A8" w:rsidRDefault="00B605A8" w:rsidP="00F03B03">
      <w:pPr>
        <w:rPr>
          <w:i/>
          <w:lang w:eastAsia="ja-JP"/>
        </w:rPr>
      </w:pPr>
    </w:p>
    <w:p w:rsidR="00B605A8" w:rsidRDefault="00B605A8" w:rsidP="00F03B03">
      <w:pPr>
        <w:rPr>
          <w:i/>
          <w:lang w:eastAsia="ja-JP"/>
        </w:rPr>
      </w:pPr>
    </w:p>
    <w:p w:rsidR="00B605A8" w:rsidRDefault="00B605A8" w:rsidP="00F03B03">
      <w:pPr>
        <w:rPr>
          <w:i/>
          <w:lang w:eastAsia="ja-JP"/>
        </w:rPr>
      </w:pPr>
    </w:p>
    <w:p w:rsidR="00D62150" w:rsidRPr="00376C56" w:rsidRDefault="00D62150" w:rsidP="00F03B03">
      <w:pPr>
        <w:rPr>
          <w:i/>
          <w:lang w:eastAsia="ja-JP"/>
        </w:rPr>
      </w:pPr>
    </w:p>
    <w:p w:rsidR="001D483F" w:rsidRDefault="001D483F" w:rsidP="001D483F">
      <w:pPr>
        <w:rPr>
          <w:rFonts w:cs="Arial"/>
          <w:i/>
          <w:snapToGrid w:val="0"/>
        </w:rPr>
      </w:pPr>
    </w:p>
    <w:p w:rsidR="006B3A1C" w:rsidRDefault="006B3A1C">
      <w:pPr>
        <w:jc w:val="left"/>
        <w:rPr>
          <w:rFonts w:cs="Arial"/>
          <w:i/>
          <w:snapToGrid w:val="0"/>
        </w:rPr>
      </w:pPr>
      <w:r>
        <w:rPr>
          <w:rFonts w:cs="Arial"/>
          <w:i/>
          <w:snapToGrid w:val="0"/>
        </w:rPr>
        <w:br w:type="page"/>
      </w:r>
    </w:p>
    <w:p w:rsidR="00DB2BE5" w:rsidRPr="00376C56" w:rsidRDefault="00DB2BE5" w:rsidP="001D483F">
      <w:pPr>
        <w:rPr>
          <w:rFonts w:cs="Arial"/>
          <w:i/>
          <w:snapToGrid w:val="0"/>
        </w:rPr>
      </w:pPr>
    </w:p>
    <w:p w:rsidR="001D483F" w:rsidRPr="00636AAE" w:rsidRDefault="00636AAE" w:rsidP="001D483F">
      <w:pPr>
        <w:rPr>
          <w:rFonts w:cs="Arial"/>
          <w:snapToGrid w:val="0"/>
          <w:u w:val="single"/>
        </w:rPr>
      </w:pPr>
      <w:r>
        <w:rPr>
          <w:snapToGrid w:val="0"/>
          <w:u w:val="single"/>
        </w:rPr>
        <w:t xml:space="preserve">Inhaltsverzeichnis </w:t>
      </w:r>
    </w:p>
    <w:p w:rsidR="001D483F" w:rsidRDefault="001D483F" w:rsidP="001D483F">
      <w:pPr>
        <w:rPr>
          <w:rFonts w:cs="Arial"/>
          <w:snapToGrid w:val="0"/>
        </w:rPr>
      </w:pPr>
    </w:p>
    <w:p w:rsidR="00037B93" w:rsidRDefault="00871D18">
      <w:pPr>
        <w:pStyle w:val="TOC1"/>
        <w:rPr>
          <w:rFonts w:asciiTheme="minorHAnsi" w:eastAsiaTheme="minorEastAsia" w:hAnsiTheme="minorHAnsi" w:cstheme="minorBidi"/>
          <w:caps w:val="0"/>
          <w:sz w:val="22"/>
          <w:szCs w:val="22"/>
          <w:lang w:val="fr-FR" w:eastAsia="fr-FR" w:bidi="ar-SA"/>
        </w:rPr>
      </w:pPr>
      <w:r>
        <w:rPr>
          <w:rFonts w:cs="Arial"/>
          <w:snapToGrid w:val="0"/>
        </w:rPr>
        <w:fldChar w:fldCharType="begin"/>
      </w:r>
      <w:r w:rsidR="001D483F">
        <w:rPr>
          <w:rFonts w:cs="Arial"/>
          <w:snapToGrid w:val="0"/>
        </w:rPr>
        <w:instrText xml:space="preserve"> TOC \o "1-3" \h \z \u </w:instrText>
      </w:r>
      <w:r>
        <w:rPr>
          <w:rFonts w:cs="Arial"/>
          <w:snapToGrid w:val="0"/>
        </w:rPr>
        <w:fldChar w:fldCharType="separate"/>
      </w:r>
      <w:hyperlink w:anchor="_Toc397434313" w:history="1">
        <w:r w:rsidR="00037B93" w:rsidRPr="00BB7C5F">
          <w:rPr>
            <w:rStyle w:val="Hyperlink"/>
          </w:rPr>
          <w:t>I.</w:t>
        </w:r>
        <w:r w:rsidR="00037B93">
          <w:rPr>
            <w:rFonts w:asciiTheme="minorHAnsi" w:eastAsiaTheme="minorEastAsia" w:hAnsiTheme="minorHAnsi" w:cstheme="minorBidi"/>
            <w:caps w:val="0"/>
            <w:sz w:val="22"/>
            <w:szCs w:val="22"/>
            <w:lang w:val="fr-FR" w:eastAsia="fr-FR" w:bidi="ar-SA"/>
          </w:rPr>
          <w:tab/>
        </w:r>
        <w:r w:rsidR="00037B93" w:rsidRPr="00BB7C5F">
          <w:rPr>
            <w:rStyle w:val="Hyperlink"/>
          </w:rPr>
          <w:t>ETWAIGE Entwicklung eines UPOV-Suchinstruments für Ähnlichkeiten zum Zweck der Sortenbezeichnung</w:t>
        </w:r>
        <w:r w:rsidR="00037B93">
          <w:rPr>
            <w:webHidden/>
          </w:rPr>
          <w:tab/>
        </w:r>
        <w:r w:rsidR="00037B93">
          <w:rPr>
            <w:webHidden/>
          </w:rPr>
          <w:fldChar w:fldCharType="begin"/>
        </w:r>
        <w:r w:rsidR="00037B93">
          <w:rPr>
            <w:webHidden/>
          </w:rPr>
          <w:instrText xml:space="preserve"> PAGEREF _Toc397434313 \h </w:instrText>
        </w:r>
        <w:r w:rsidR="00037B93">
          <w:rPr>
            <w:webHidden/>
          </w:rPr>
        </w:r>
        <w:r w:rsidR="00037B93">
          <w:rPr>
            <w:webHidden/>
          </w:rPr>
          <w:fldChar w:fldCharType="separate"/>
        </w:r>
        <w:r w:rsidR="003B7082">
          <w:rPr>
            <w:webHidden/>
          </w:rPr>
          <w:t>2</w:t>
        </w:r>
        <w:r w:rsidR="00037B93">
          <w:rPr>
            <w:webHidden/>
          </w:rPr>
          <w:fldChar w:fldCharType="end"/>
        </w:r>
      </w:hyperlink>
    </w:p>
    <w:p w:rsidR="00037B93" w:rsidRDefault="00240F46">
      <w:pPr>
        <w:pStyle w:val="TOC1"/>
        <w:rPr>
          <w:rFonts w:asciiTheme="minorHAnsi" w:eastAsiaTheme="minorEastAsia" w:hAnsiTheme="minorHAnsi" w:cstheme="minorBidi"/>
          <w:caps w:val="0"/>
          <w:sz w:val="22"/>
          <w:szCs w:val="22"/>
          <w:lang w:val="fr-FR" w:eastAsia="fr-FR" w:bidi="ar-SA"/>
        </w:rPr>
      </w:pPr>
      <w:hyperlink w:anchor="_Toc397434314" w:history="1">
        <w:r w:rsidR="00037B93" w:rsidRPr="00BB7C5F">
          <w:rPr>
            <w:rStyle w:val="Hyperlink"/>
          </w:rPr>
          <w:t>II.</w:t>
        </w:r>
        <w:r w:rsidR="00037B93">
          <w:rPr>
            <w:rFonts w:asciiTheme="minorHAnsi" w:eastAsiaTheme="minorEastAsia" w:hAnsiTheme="minorHAnsi" w:cstheme="minorBidi"/>
            <w:caps w:val="0"/>
            <w:sz w:val="22"/>
            <w:szCs w:val="22"/>
            <w:lang w:val="fr-FR" w:eastAsia="fr-FR" w:bidi="ar-SA"/>
          </w:rPr>
          <w:tab/>
        </w:r>
        <w:r w:rsidR="00037B93" w:rsidRPr="00BB7C5F">
          <w:rPr>
            <w:rStyle w:val="Hyperlink"/>
          </w:rPr>
          <w:t>Überarbeitung von Dokument UPOV/INF/12/2 „Erläuterungen zu Sortenbezeichnungen nach dem UPOV-Übereinkommen“</w:t>
        </w:r>
        <w:r w:rsidR="00037B93">
          <w:rPr>
            <w:webHidden/>
          </w:rPr>
          <w:tab/>
        </w:r>
        <w:r w:rsidR="00037B93">
          <w:rPr>
            <w:webHidden/>
          </w:rPr>
          <w:fldChar w:fldCharType="begin"/>
        </w:r>
        <w:r w:rsidR="00037B93">
          <w:rPr>
            <w:webHidden/>
          </w:rPr>
          <w:instrText xml:space="preserve"> PAGEREF _Toc397434314 \h </w:instrText>
        </w:r>
        <w:r w:rsidR="00037B93">
          <w:rPr>
            <w:webHidden/>
          </w:rPr>
        </w:r>
        <w:r w:rsidR="00037B93">
          <w:rPr>
            <w:webHidden/>
          </w:rPr>
          <w:fldChar w:fldCharType="separate"/>
        </w:r>
        <w:r w:rsidR="003B7082">
          <w:rPr>
            <w:webHidden/>
          </w:rPr>
          <w:t>2</w:t>
        </w:r>
        <w:r w:rsidR="00037B93">
          <w:rPr>
            <w:webHidden/>
          </w:rPr>
          <w:fldChar w:fldCharType="end"/>
        </w:r>
      </w:hyperlink>
    </w:p>
    <w:p w:rsidR="00064796" w:rsidRDefault="00871D18">
      <w:pPr>
        <w:pStyle w:val="TOC1"/>
        <w:rPr>
          <w:rFonts w:asciiTheme="minorHAnsi" w:eastAsiaTheme="minorEastAsia" w:hAnsiTheme="minorHAnsi" w:cstheme="minorBidi"/>
          <w:caps w:val="0"/>
          <w:sz w:val="22"/>
          <w:szCs w:val="22"/>
        </w:rPr>
      </w:pPr>
      <w:r>
        <w:rPr>
          <w:rFonts w:cs="Arial"/>
          <w:snapToGrid w:val="0"/>
        </w:rPr>
        <w:fldChar w:fldCharType="end"/>
      </w:r>
    </w:p>
    <w:p w:rsidR="003A0A5A" w:rsidRDefault="003A0A5A" w:rsidP="002A551B">
      <w:pPr>
        <w:ind w:left="567" w:hanging="567"/>
        <w:rPr>
          <w:rFonts w:cs="Arial"/>
          <w:snapToGrid w:val="0"/>
        </w:rPr>
      </w:pPr>
    </w:p>
    <w:p w:rsidR="001D483F" w:rsidRDefault="00871D18" w:rsidP="001D483F">
      <w:pPr>
        <w:rPr>
          <w:rFonts w:cs="Arial"/>
          <w:snapToGrid w:val="0"/>
        </w:rPr>
      </w:pPr>
      <w:r>
        <w:rPr>
          <w:rFonts w:cs="Arial"/>
          <w:snapToGrid w:val="0"/>
        </w:rPr>
        <w:fldChar w:fldCharType="begin"/>
      </w:r>
      <w:r w:rsidR="001D483F">
        <w:rPr>
          <w:rFonts w:cs="Arial"/>
          <w:snapToGrid w:val="0"/>
        </w:rPr>
        <w:instrText xml:space="preserve"> AUTONUM  </w:instrText>
      </w:r>
      <w:r>
        <w:rPr>
          <w:rFonts w:cs="Arial"/>
          <w:snapToGrid w:val="0"/>
        </w:rPr>
        <w:fldChar w:fldCharType="end"/>
      </w:r>
      <w:r w:rsidR="0048751F">
        <w:tab/>
        <w:t>In diesem Dokument werden folgende Abkürzungen verwendet:</w:t>
      </w:r>
    </w:p>
    <w:p w:rsidR="001D483F" w:rsidRDefault="001D483F" w:rsidP="001D483F">
      <w:pPr>
        <w:rPr>
          <w:rFonts w:cs="Arial"/>
          <w:snapToGrid w:val="0"/>
        </w:rPr>
      </w:pPr>
    </w:p>
    <w:p w:rsidR="001D483F" w:rsidRDefault="001D483F" w:rsidP="001D483F">
      <w:pPr>
        <w:ind w:left="567"/>
        <w:rPr>
          <w:rFonts w:cs="Arial"/>
          <w:snapToGrid w:val="0"/>
        </w:rPr>
      </w:pPr>
      <w:r>
        <w:rPr>
          <w:snapToGrid w:val="0"/>
          <w:color w:val="000000"/>
        </w:rPr>
        <w:t>CAJ:</w:t>
      </w:r>
      <w:r w:rsidR="00037B93">
        <w:rPr>
          <w:snapToGrid w:val="0"/>
          <w:color w:val="000000"/>
        </w:rPr>
        <w:t xml:space="preserve"> </w:t>
      </w:r>
      <w:r>
        <w:tab/>
      </w:r>
      <w:r w:rsidR="00037B93">
        <w:tab/>
      </w:r>
      <w:r>
        <w:rPr>
          <w:snapToGrid w:val="0"/>
          <w:color w:val="000000"/>
        </w:rPr>
        <w:t xml:space="preserve">Verwaltungs- und Rechtsausschuß </w:t>
      </w:r>
    </w:p>
    <w:p w:rsidR="001D483F" w:rsidRDefault="001D483F" w:rsidP="001D483F">
      <w:pPr>
        <w:ind w:left="567"/>
        <w:rPr>
          <w:rFonts w:cs="Arial"/>
          <w:snapToGrid w:val="0"/>
        </w:rPr>
      </w:pPr>
      <w:r>
        <w:t xml:space="preserve">CAJ-AG: </w:t>
      </w:r>
      <w:r w:rsidR="00037B93">
        <w:tab/>
      </w:r>
      <w:r>
        <w:t xml:space="preserve">Beratungsgruppe des Verwaltungs- und Rechtsausschusses </w:t>
      </w:r>
    </w:p>
    <w:p w:rsidR="001D483F" w:rsidRDefault="001D483F" w:rsidP="001D483F">
      <w:pPr>
        <w:ind w:left="567"/>
        <w:rPr>
          <w:rFonts w:cs="Arial"/>
          <w:snapToGrid w:val="0"/>
        </w:rPr>
      </w:pPr>
      <w:r>
        <w:t>TC:</w:t>
      </w:r>
      <w:r w:rsidR="00037B93">
        <w:t xml:space="preserve"> </w:t>
      </w:r>
      <w:r>
        <w:tab/>
      </w:r>
      <w:r w:rsidR="00037B93">
        <w:tab/>
      </w:r>
      <w:r>
        <w:t>Technischer Ausschuß</w:t>
      </w:r>
    </w:p>
    <w:p w:rsidR="001D483F" w:rsidRDefault="001D483F" w:rsidP="001D483F">
      <w:pPr>
        <w:ind w:left="567"/>
        <w:rPr>
          <w:rFonts w:cs="Arial"/>
          <w:snapToGrid w:val="0"/>
        </w:rPr>
      </w:pPr>
      <w:r>
        <w:t>IUBS-Kommission: Kommission der Internationalen Vereinigung der biologischen Wissenschaften (International Union of Biological Sciences)</w:t>
      </w:r>
    </w:p>
    <w:p w:rsidR="001D483F" w:rsidRDefault="001D483F" w:rsidP="001D483F">
      <w:pPr>
        <w:ind w:left="567"/>
        <w:rPr>
          <w:rFonts w:cs="Arial"/>
          <w:snapToGrid w:val="0"/>
        </w:rPr>
      </w:pPr>
      <w:r>
        <w:t>ISHS-Kommission: Kommission der Internationalen Gesellschaft für Gartenbaukunde</w:t>
      </w:r>
    </w:p>
    <w:p w:rsidR="001D483F" w:rsidRDefault="001D483F" w:rsidP="001D483F">
      <w:pPr>
        <w:rPr>
          <w:rFonts w:cs="Arial"/>
          <w:snapToGrid w:val="0"/>
        </w:rPr>
      </w:pPr>
    </w:p>
    <w:p w:rsidR="001D483F" w:rsidRDefault="001D483F" w:rsidP="001D483F"/>
    <w:p w:rsidR="00636AAE" w:rsidRDefault="00636AAE" w:rsidP="001D483F"/>
    <w:p w:rsidR="001D483F" w:rsidRPr="00CA664D" w:rsidRDefault="003F1037" w:rsidP="001D483F">
      <w:pPr>
        <w:pStyle w:val="Heading1"/>
        <w:ind w:left="567" w:hanging="567"/>
        <w:rPr>
          <w:snapToGrid w:val="0"/>
        </w:rPr>
      </w:pPr>
      <w:bookmarkStart w:id="6" w:name="_Toc395626222"/>
      <w:bookmarkStart w:id="7" w:name="_Toc397434313"/>
      <w:r>
        <w:t>I.</w:t>
      </w:r>
      <w:r>
        <w:tab/>
        <w:t>ETWAIGE Entwicklung eines UPOV-Suchinstruments für Ähnlichkeiten zum Zweck der Sortenbezeichnung</w:t>
      </w:r>
      <w:r>
        <w:rPr>
          <w:rStyle w:val="FootnoteReference"/>
          <w:snapToGrid w:val="0"/>
        </w:rPr>
        <w:footnoteReference w:id="2"/>
      </w:r>
      <w:bookmarkEnd w:id="6"/>
      <w:bookmarkEnd w:id="7"/>
    </w:p>
    <w:p w:rsidR="00FB4349" w:rsidRDefault="00FB4349" w:rsidP="002D70DD">
      <w:pPr>
        <w:rPr>
          <w:spacing w:val="-2"/>
          <w:kern w:val="28"/>
        </w:rPr>
      </w:pPr>
    </w:p>
    <w:p w:rsidR="00FB4349" w:rsidRDefault="00871D18" w:rsidP="00FB4349">
      <w:r>
        <w:rPr>
          <w:spacing w:val="-2"/>
          <w:kern w:val="28"/>
        </w:rPr>
        <w:fldChar w:fldCharType="begin"/>
      </w:r>
      <w:r w:rsidR="00FB4349">
        <w:rPr>
          <w:spacing w:val="-2"/>
          <w:kern w:val="28"/>
        </w:rPr>
        <w:instrText xml:space="preserve"> AUTONUM  </w:instrText>
      </w:r>
      <w:r>
        <w:rPr>
          <w:spacing w:val="-2"/>
          <w:kern w:val="28"/>
        </w:rPr>
        <w:fldChar w:fldCharType="end"/>
      </w:r>
      <w:r w:rsidR="0048751F">
        <w:tab/>
        <w:t>Der Verwaltungs- und Rechtsausschuß (CAJ) billigte auf seiner achtundsechzigsten Tagung vom 21.</w:t>
      </w:r>
      <w:r w:rsidR="00037B93">
        <w:t> </w:t>
      </w:r>
      <w:r w:rsidR="0048751F">
        <w:t>Oktober 2013 in Genf die Einsetzung einer Arbeitsgruppe für die Ausarbeitung von Vorschlägen für die Entwicklung eines UPOV-Suchinstruments für Ähnlichkeiten zum Zweck der Sortenbezeichnung (die „WG</w:t>
      </w:r>
      <w:r w:rsidR="00037B93">
        <w:noBreakHyphen/>
      </w:r>
      <w:r w:rsidR="0048751F">
        <w:t>DST“).</w:t>
      </w:r>
      <w:r w:rsidR="00037B93">
        <w:rPr>
          <w:color w:val="000000"/>
        </w:rPr>
        <w:t xml:space="preserve"> </w:t>
      </w:r>
      <w:r w:rsidR="0048751F">
        <w:t xml:space="preserve">Die Aufgabendefinition der </w:t>
      </w:r>
      <w:r w:rsidR="0048751F">
        <w:rPr>
          <w:color w:val="000000"/>
        </w:rPr>
        <w:t>WG-DST</w:t>
      </w:r>
      <w:r w:rsidR="0048751F">
        <w:t xml:space="preserve"> und ihre Zusammensetzung sind in den Anlagen I und II dieses Dokuments enthalten.</w:t>
      </w:r>
    </w:p>
    <w:p w:rsidR="002D70DD" w:rsidRPr="000A6443" w:rsidRDefault="002D70DD" w:rsidP="002D70DD">
      <w:pPr>
        <w:rPr>
          <w:highlight w:val="yellow"/>
        </w:rPr>
      </w:pPr>
    </w:p>
    <w:p w:rsidR="00FB4349" w:rsidRDefault="00871D18" w:rsidP="002D70DD">
      <w:r w:rsidRPr="000A6443">
        <w:fldChar w:fldCharType="begin"/>
      </w:r>
      <w:r w:rsidR="002D70DD" w:rsidRPr="000A6443">
        <w:instrText xml:space="preserve"> AUTONUM  </w:instrText>
      </w:r>
      <w:r w:rsidRPr="000A6443">
        <w:fldChar w:fldCharType="end"/>
      </w:r>
      <w:r w:rsidR="0048751F">
        <w:tab/>
        <w:t>Der CAJ nahm auf seiner neunundsechzigsten Tagung vom 10. April 2014 in Genf zur Kenntnis, daß der TC auf dessen fünfzigster Tagung die Einsetzung einer Arbeitsgruppe zur Entwicklung eines UPOV</w:t>
      </w:r>
      <w:r w:rsidR="009C7E5D">
        <w:noBreakHyphen/>
      </w:r>
      <w:r w:rsidR="0048751F">
        <w:t>Suchinstruments für Ähnlichkeiten zum Zweck der Sortenbezeichnung begrüßt und Sachverständige ersucht habe, Beiträge zu deren Arbeit zu leisten.</w:t>
      </w:r>
      <w:r w:rsidR="00037B93">
        <w:t xml:space="preserve"> </w:t>
      </w:r>
      <w:r w:rsidR="0048751F">
        <w:t>Der CAJ stimmte ferner dem TC zu, daß es Herausforderungen bezüglich sprachlicher und alphabetischer Aspekte gebe, die von der Arbeitsgruppe bei der Festlegung der Zielsetzungen für ihre Arbeit geprüft werden sollten.</w:t>
      </w:r>
      <w:r w:rsidR="0048751F">
        <w:rPr>
          <w:rStyle w:val="FootnoteReference"/>
        </w:rPr>
        <w:footnoteReference w:id="3"/>
      </w:r>
    </w:p>
    <w:p w:rsidR="008D2FC8" w:rsidRDefault="008D2FC8" w:rsidP="002D70DD"/>
    <w:p w:rsidR="00FB4349" w:rsidRDefault="00871D18" w:rsidP="002D70DD">
      <w:pPr>
        <w:rPr>
          <w:color w:val="000000"/>
        </w:rPr>
      </w:pPr>
      <w:r>
        <w:fldChar w:fldCharType="begin"/>
      </w:r>
      <w:r w:rsidR="00FB4349">
        <w:instrText xml:space="preserve"> AUTONUM  </w:instrText>
      </w:r>
      <w:r>
        <w:fldChar w:fldCharType="end"/>
      </w:r>
      <w:r w:rsidR="0048751F">
        <w:tab/>
        <w:t>Am 12. Mai 2014 ersuchten die Vereinigten Staaten von Amerika darum, an der WG-DST teilzunehmen.</w:t>
      </w:r>
    </w:p>
    <w:p w:rsidR="00ED786F" w:rsidRDefault="00ED786F" w:rsidP="002D70DD">
      <w:pPr>
        <w:rPr>
          <w:color w:val="000000"/>
        </w:rPr>
      </w:pPr>
    </w:p>
    <w:p w:rsidR="00ED786F" w:rsidRDefault="00871D18" w:rsidP="00ED786F">
      <w:pPr>
        <w:rPr>
          <w:color w:val="000000"/>
        </w:rPr>
      </w:pPr>
      <w:r>
        <w:fldChar w:fldCharType="begin"/>
      </w:r>
      <w:r w:rsidR="00ED786F">
        <w:instrText xml:space="preserve"> AUTONUM  </w:instrText>
      </w:r>
      <w:r>
        <w:fldChar w:fldCharType="end"/>
      </w:r>
      <w:r w:rsidR="0048751F">
        <w:tab/>
        <w:t>Am 4. August 2014 ersuchte Australien darum, an der WG-DST teilzunehmen.</w:t>
      </w:r>
    </w:p>
    <w:p w:rsidR="00FB4349" w:rsidRDefault="00FB4349" w:rsidP="002D70DD"/>
    <w:p w:rsidR="00FB4349" w:rsidRPr="000A6443" w:rsidRDefault="00871D18" w:rsidP="002D70DD">
      <w:r>
        <w:fldChar w:fldCharType="begin"/>
      </w:r>
      <w:r w:rsidR="00FB4349">
        <w:instrText xml:space="preserve"> AUTONUM  </w:instrText>
      </w:r>
      <w:r>
        <w:fldChar w:fldCharType="end"/>
      </w:r>
      <w:r w:rsidR="0048751F">
        <w:tab/>
        <w:t xml:space="preserve">Die erste Sitzung der </w:t>
      </w:r>
      <w:r w:rsidR="0048751F">
        <w:rPr>
          <w:color w:val="000000"/>
        </w:rPr>
        <w:t xml:space="preserve">WG-DST </w:t>
      </w:r>
      <w:r w:rsidR="009C7E5D">
        <w:rPr>
          <w:color w:val="000000"/>
        </w:rPr>
        <w:t>wurde für den</w:t>
      </w:r>
      <w:r w:rsidR="0048751F">
        <w:rPr>
          <w:color w:val="000000"/>
        </w:rPr>
        <w:t xml:space="preserve"> 3. September 2014 am Sitz der UPOV in Genf </w:t>
      </w:r>
      <w:r w:rsidR="009C7E5D">
        <w:rPr>
          <w:color w:val="000000"/>
        </w:rPr>
        <w:t>anberaumt</w:t>
      </w:r>
      <w:r w:rsidR="0048751F">
        <w:rPr>
          <w:color w:val="000000"/>
        </w:rPr>
        <w:t xml:space="preserve"> (vergleiche UPOV-Rundschreiben E-14/189 vom 15. Juli 2014).</w:t>
      </w:r>
      <w:r w:rsidR="0048751F">
        <w:t> </w:t>
      </w:r>
    </w:p>
    <w:p w:rsidR="002D70DD" w:rsidRPr="000A6443" w:rsidRDefault="002D70DD" w:rsidP="002D70DD"/>
    <w:p w:rsidR="002D70DD" w:rsidRPr="000A6443" w:rsidRDefault="00871D18" w:rsidP="002D70DD">
      <w:r w:rsidRPr="000A6443">
        <w:fldChar w:fldCharType="begin"/>
      </w:r>
      <w:r w:rsidR="002D70DD" w:rsidRPr="000A6443">
        <w:instrText xml:space="preserve"> AUTONUM  </w:instrText>
      </w:r>
      <w:r w:rsidRPr="000A6443">
        <w:fldChar w:fldCharType="end"/>
      </w:r>
      <w:r w:rsidR="0048751F">
        <w:tab/>
        <w:t>Dem CAJ wird auf seiner siebzigsten Tagung Bericht über die erste Sitzung der WG-DST abgelegt.</w:t>
      </w:r>
    </w:p>
    <w:p w:rsidR="002D70DD" w:rsidRDefault="002D70DD" w:rsidP="002D70DD"/>
    <w:p w:rsidR="003A0A5A" w:rsidRPr="000A6443" w:rsidRDefault="003A0A5A" w:rsidP="002D70DD"/>
    <w:p w:rsidR="001D483F" w:rsidRDefault="001D483F" w:rsidP="001D483F">
      <w:pPr>
        <w:rPr>
          <w:rFonts w:cs="Arial"/>
          <w:snapToGrid w:val="0"/>
        </w:rPr>
      </w:pPr>
    </w:p>
    <w:p w:rsidR="00376C56" w:rsidRDefault="00376C56" w:rsidP="00376C56">
      <w:pPr>
        <w:pStyle w:val="Heading1"/>
        <w:ind w:left="567" w:hanging="567"/>
        <w:rPr>
          <w:snapToGrid w:val="0"/>
        </w:rPr>
      </w:pPr>
      <w:bookmarkStart w:id="8" w:name="_Toc395626223"/>
      <w:bookmarkStart w:id="9" w:name="_Toc397434314"/>
      <w:r>
        <w:t>II.</w:t>
      </w:r>
      <w:r>
        <w:tab/>
        <w:t>Überarbeitung von Dokument UPOV/INF/12/2 „Erläuterungen zu Sortenbezeichnungen nach dem UPOV-Übereinkommen“</w:t>
      </w:r>
      <w:bookmarkEnd w:id="8"/>
      <w:bookmarkEnd w:id="9"/>
    </w:p>
    <w:p w:rsidR="00376C56" w:rsidRDefault="00376C56" w:rsidP="00376C56">
      <w:pPr>
        <w:keepNext/>
      </w:pPr>
    </w:p>
    <w:p w:rsidR="00064796" w:rsidRDefault="00871D18" w:rsidP="00636AAE">
      <w:pPr>
        <w:spacing w:after="720"/>
      </w:pPr>
      <w:r>
        <w:fldChar w:fldCharType="begin"/>
      </w:r>
      <w:r w:rsidR="00376C56">
        <w:instrText xml:space="preserve"> AUTONUM  </w:instrText>
      </w:r>
      <w:r>
        <w:fldChar w:fldCharType="end"/>
      </w:r>
      <w:r w:rsidR="0048751F">
        <w:tab/>
        <w:t>Über Entwicklungen betreffend die Überarbeitung von Dokument UPOV/INF/12 „Erläuterungen zu Sortenbezeichnungen nach dem UPOV-Übereinkommen“, das von der CAJ-AG auf ihrer neunten Tagung vom 14. bis 17. Oktober 2014 geprüft wird, wird in Dokument CAJ/70/2 „Ausarbeitung von Informationsmaterial zum UPOV-Übereinkommen“ berichtet.</w:t>
      </w:r>
    </w:p>
    <w:p w:rsidR="00DB2BE5" w:rsidRPr="006B130D" w:rsidRDefault="00871D18" w:rsidP="006B130D">
      <w:pPr>
        <w:pStyle w:val="DecisionParagraphs"/>
      </w:pPr>
      <w:r w:rsidRPr="006B130D">
        <w:lastRenderedPageBreak/>
        <w:fldChar w:fldCharType="begin"/>
      </w:r>
      <w:r w:rsidR="001D483F" w:rsidRPr="006B130D">
        <w:instrText xml:space="preserve"> AUTONUM  </w:instrText>
      </w:r>
      <w:r w:rsidRPr="006B130D">
        <w:fldChar w:fldCharType="end"/>
      </w:r>
      <w:r w:rsidR="00D40CC4">
        <w:tab/>
      </w:r>
      <w:r w:rsidR="0048751F">
        <w:t>Der CAJ wird ersucht, zur Kenntnis zu nehmen, daß</w:t>
      </w:r>
    </w:p>
    <w:p w:rsidR="00DB2BE5" w:rsidRPr="006B130D" w:rsidRDefault="00DB2BE5" w:rsidP="006B130D">
      <w:pPr>
        <w:pStyle w:val="DecisionParagraphs"/>
      </w:pPr>
    </w:p>
    <w:p w:rsidR="00AA5EB1" w:rsidRDefault="00037B93" w:rsidP="00F60D4D">
      <w:pPr>
        <w:pStyle w:val="DecisionParagraphs"/>
        <w:numPr>
          <w:ilvl w:val="0"/>
          <w:numId w:val="8"/>
        </w:numPr>
        <w:tabs>
          <w:tab w:val="clear" w:pos="5387"/>
          <w:tab w:val="left" w:pos="5954"/>
        </w:tabs>
        <w:ind w:left="4820" w:firstLine="567"/>
      </w:pPr>
      <w:r>
        <w:t>d</w:t>
      </w:r>
      <w:r w:rsidR="00F32FC6">
        <w:t>em CAJ auf seiner siebzigsten Tagung Bericht über die erste Sitzung der WG-DST abgelegt</w:t>
      </w:r>
      <w:r w:rsidRPr="00037B93">
        <w:t xml:space="preserve"> </w:t>
      </w:r>
      <w:r>
        <w:t xml:space="preserve">wird, </w:t>
      </w:r>
      <w:r w:rsidR="009C7E5D">
        <w:t xml:space="preserve">die für den 3. September 2014 in Genf anberaumt wurde, </w:t>
      </w:r>
      <w:r>
        <w:t>und</w:t>
      </w:r>
    </w:p>
    <w:p w:rsidR="006B130D" w:rsidRPr="006B130D" w:rsidRDefault="006B130D" w:rsidP="00F21342">
      <w:pPr>
        <w:pStyle w:val="DecisionParagraphs"/>
      </w:pPr>
    </w:p>
    <w:p w:rsidR="006B130D" w:rsidRDefault="00F60D4D" w:rsidP="00F60D4D">
      <w:pPr>
        <w:pStyle w:val="DecisionParagraphs"/>
        <w:tabs>
          <w:tab w:val="clear" w:pos="5387"/>
          <w:tab w:val="left" w:pos="5954"/>
        </w:tabs>
        <w:ind w:firstLine="567"/>
      </w:pPr>
      <w:r>
        <w:t>b)</w:t>
      </w:r>
      <w:r>
        <w:tab/>
      </w:r>
      <w:r w:rsidR="006B130D">
        <w:t>da</w:t>
      </w:r>
      <w:r w:rsidR="00037B93" w:rsidRPr="00037B93">
        <w:t>ß</w:t>
      </w:r>
      <w:r w:rsidR="006B130D">
        <w:t xml:space="preserve"> über die jüngsten Entwicklungen betreffend die Überarbeitung von Dokument</w:t>
      </w:r>
      <w:r w:rsidR="00037B93">
        <w:t> </w:t>
      </w:r>
      <w:r w:rsidR="006B130D">
        <w:t>UPOV/INF/12 „Erläuterungen zu Sortenbezeichnungen nach dem UPOV</w:t>
      </w:r>
      <w:r w:rsidR="00037B93">
        <w:noBreakHyphen/>
      </w:r>
      <w:r w:rsidR="006B130D">
        <w:t>Übereinkommen“, das von der CAJ-AG auf ihrer neunten Tagung vom 14. bis 17. Oktober 2014 geprüft wird, in Dokument CAJ/70/2 „Ausarbeitung von Informationsmaterial zum UPOV</w:t>
      </w:r>
      <w:r w:rsidR="00037B93">
        <w:noBreakHyphen/>
      </w:r>
      <w:r w:rsidR="006B130D">
        <w:t>Übereinkommen“ berichtet wird.</w:t>
      </w:r>
    </w:p>
    <w:p w:rsidR="006B130D" w:rsidRPr="006B130D" w:rsidRDefault="006B130D" w:rsidP="006B130D">
      <w:pPr>
        <w:pStyle w:val="DecisionParagraphs"/>
      </w:pPr>
    </w:p>
    <w:p w:rsidR="001D483F" w:rsidRPr="006B130D" w:rsidRDefault="001D483F" w:rsidP="00F21342">
      <w:pPr>
        <w:pStyle w:val="DecisionParagraphs"/>
        <w:ind w:left="0"/>
      </w:pPr>
    </w:p>
    <w:p w:rsidR="003A0A5A" w:rsidRDefault="003A0A5A" w:rsidP="001D483F">
      <w:pPr>
        <w:rPr>
          <w:snapToGrid w:val="0"/>
        </w:rPr>
      </w:pPr>
    </w:p>
    <w:p w:rsidR="003A0A5A" w:rsidRDefault="003A0A5A" w:rsidP="001D483F">
      <w:pPr>
        <w:rPr>
          <w:snapToGrid w:val="0"/>
        </w:rPr>
      </w:pPr>
    </w:p>
    <w:p w:rsidR="008D2FC8" w:rsidRDefault="00E40A1F" w:rsidP="00E40A1F">
      <w:pPr>
        <w:jc w:val="right"/>
        <w:rPr>
          <w:snapToGrid w:val="0"/>
        </w:rPr>
      </w:pPr>
      <w:r>
        <w:t>[Anlagen folgen]</w:t>
      </w:r>
    </w:p>
    <w:p w:rsidR="009870BF" w:rsidRDefault="009870BF">
      <w:pPr>
        <w:jc w:val="left"/>
        <w:rPr>
          <w:snapToGrid w:val="0"/>
        </w:rPr>
        <w:sectPr w:rsidR="009870BF" w:rsidSect="00906DDC">
          <w:headerReference w:type="default" r:id="rId10"/>
          <w:footnotePr>
            <w:numFmt w:val="lowerLetter"/>
          </w:footnotePr>
          <w:endnotePr>
            <w:numFmt w:val="lowerLetter"/>
          </w:endnotePr>
          <w:pgSz w:w="11907" w:h="16840" w:code="9"/>
          <w:pgMar w:top="510" w:right="1134" w:bottom="1134" w:left="1134" w:header="510" w:footer="680" w:gutter="0"/>
          <w:cols w:space="720"/>
          <w:titlePg/>
        </w:sectPr>
      </w:pPr>
    </w:p>
    <w:p w:rsidR="009870BF" w:rsidRDefault="009870BF" w:rsidP="003A0A5A">
      <w:pPr>
        <w:jc w:val="center"/>
        <w:sectPr w:rsidR="009870BF" w:rsidSect="00636AAE">
          <w:footnotePr>
            <w:numFmt w:val="lowerLetter"/>
          </w:footnotePr>
          <w:endnotePr>
            <w:numFmt w:val="lowerLetter"/>
          </w:endnotePr>
          <w:type w:val="continuous"/>
          <w:pgSz w:w="11907" w:h="16840" w:code="9"/>
          <w:pgMar w:top="510" w:right="1134" w:bottom="1134" w:left="1134" w:header="510" w:footer="680" w:gutter="0"/>
          <w:cols w:space="720"/>
          <w:titlePg/>
        </w:sectPr>
      </w:pPr>
    </w:p>
    <w:p w:rsidR="008D2FC8" w:rsidRDefault="003A0A5A" w:rsidP="003A0A5A">
      <w:pPr>
        <w:jc w:val="center"/>
        <w:rPr>
          <w:snapToGrid w:val="0"/>
        </w:rPr>
      </w:pPr>
      <w:r>
        <w:lastRenderedPageBreak/>
        <w:t>CAJ/70/4</w:t>
      </w:r>
    </w:p>
    <w:p w:rsidR="001D483F" w:rsidRPr="005F74D7" w:rsidRDefault="001D483F" w:rsidP="003A0A5A">
      <w:pPr>
        <w:rPr>
          <w:snapToGrid w:val="0"/>
        </w:rPr>
      </w:pPr>
    </w:p>
    <w:p w:rsidR="002D70DD" w:rsidRDefault="002D70DD" w:rsidP="002D70DD">
      <w:pPr>
        <w:jc w:val="center"/>
        <w:rPr>
          <w:rFonts w:cs="Arial"/>
        </w:rPr>
      </w:pPr>
      <w:r>
        <w:t>ANLAGE I</w:t>
      </w:r>
    </w:p>
    <w:p w:rsidR="002D70DD" w:rsidRDefault="002D70DD" w:rsidP="002D70DD">
      <w:pPr>
        <w:jc w:val="center"/>
        <w:rPr>
          <w:rFonts w:cs="Arial"/>
        </w:rPr>
      </w:pPr>
    </w:p>
    <w:p w:rsidR="003A0A5A" w:rsidRDefault="003A0A5A" w:rsidP="002D70DD">
      <w:pPr>
        <w:jc w:val="center"/>
        <w:rPr>
          <w:rFonts w:cs="Arial"/>
        </w:rPr>
      </w:pPr>
    </w:p>
    <w:p w:rsidR="002D70DD" w:rsidRDefault="002D70DD" w:rsidP="002D70DD">
      <w:pPr>
        <w:jc w:val="center"/>
        <w:rPr>
          <w:rFonts w:cs="Arial"/>
        </w:rPr>
      </w:pPr>
      <w:r>
        <w:t>AUFGABENDEFINITION DER ARBEITSGRUPPE FÜR D</w:t>
      </w:r>
      <w:r w:rsidR="009870BF">
        <w:t>IE AUSARBEITUNG VON VORSCHLÄGEN</w:t>
      </w:r>
      <w:r w:rsidR="009870BF">
        <w:br/>
      </w:r>
      <w:r>
        <w:t>FÜR EIN UPOV-SUCHINSTRUMENT FÜR SORTENBEZEICHNUNGEN</w:t>
      </w:r>
    </w:p>
    <w:p w:rsidR="002D70DD" w:rsidRDefault="002D70DD" w:rsidP="002D70DD">
      <w:pPr>
        <w:jc w:val="center"/>
        <w:rPr>
          <w:rFonts w:cs="Arial"/>
        </w:rPr>
      </w:pPr>
      <w:r>
        <w:t>(„Arbeitsgruppe für ein Suchinstrument für Sortenbezeichnungen“)</w:t>
      </w:r>
    </w:p>
    <w:p w:rsidR="002D70DD" w:rsidRDefault="002D70DD" w:rsidP="002D70DD">
      <w:pPr>
        <w:jc w:val="center"/>
        <w:rPr>
          <w:rFonts w:cs="Arial"/>
        </w:rPr>
      </w:pPr>
    </w:p>
    <w:p w:rsidR="002D70DD" w:rsidRDefault="002D70DD" w:rsidP="002D70DD">
      <w:pPr>
        <w:jc w:val="center"/>
        <w:rPr>
          <w:rFonts w:cs="Arial"/>
        </w:rPr>
      </w:pPr>
    </w:p>
    <w:p w:rsidR="002D70DD" w:rsidRPr="00C36725" w:rsidRDefault="002D70DD" w:rsidP="002D70DD">
      <w:pPr>
        <w:jc w:val="center"/>
        <w:rPr>
          <w:rFonts w:cs="Arial"/>
        </w:rPr>
      </w:pPr>
    </w:p>
    <w:p w:rsidR="002D70DD" w:rsidRPr="00C36725" w:rsidRDefault="002D70DD" w:rsidP="002D70DD">
      <w:pPr>
        <w:rPr>
          <w:rFonts w:cs="Arial"/>
        </w:rPr>
      </w:pPr>
      <w:r>
        <w:t>EINSETZUNG EINER ARBEITSGRUPPE</w:t>
      </w:r>
    </w:p>
    <w:p w:rsidR="002D70DD" w:rsidRDefault="002D70DD" w:rsidP="002D70DD">
      <w:pPr>
        <w:rPr>
          <w:rFonts w:cs="Arial"/>
        </w:rPr>
      </w:pPr>
    </w:p>
    <w:p w:rsidR="002D70DD" w:rsidRPr="00C36725" w:rsidRDefault="002D70DD" w:rsidP="002D70DD">
      <w:pPr>
        <w:rPr>
          <w:rFonts w:cs="Arial"/>
        </w:rPr>
      </w:pPr>
      <w:r>
        <w:t xml:space="preserve">Der Verwaltungs- und Rechtsausschuß (CAJ) prüfte auf seiner achtundsechzigsten Tagung vom 21. Oktober 2013 in Genf das Dokument CAJ/68/9 „Etwaige Entwicklung eines UPOV-Suchinstruments für Ähnlichkeiten zum Zweck der Sortenbezeichnung“ und billigte die die Einsetzung einer Arbeitsgruppe für die Ausarbeitung von Vorschlägen für ein UPOV-Suchinstrument für Sortenbezeichnungen, wie in Dokument CAJ/68/9, Absätze 4 bis 7, wie folgt vorgeschlagen </w:t>
      </w:r>
      <w:r>
        <w:rPr>
          <w:rStyle w:val="FootnoteReference"/>
        </w:rPr>
        <w:footnoteReference w:id="4"/>
      </w:r>
      <w:r>
        <w:t>:</w:t>
      </w:r>
    </w:p>
    <w:p w:rsidR="002D70DD" w:rsidRPr="00C36725" w:rsidRDefault="002D70DD" w:rsidP="002D70DD">
      <w:pPr>
        <w:rPr>
          <w:rFonts w:cs="Arial"/>
        </w:rPr>
      </w:pPr>
    </w:p>
    <w:p w:rsidR="002D70DD" w:rsidRPr="00C36725" w:rsidRDefault="002D70DD" w:rsidP="002D70DD">
      <w:pPr>
        <w:ind w:left="567" w:right="567"/>
        <w:rPr>
          <w:rFonts w:cs="Arial"/>
        </w:rPr>
      </w:pPr>
      <w:r>
        <w:t>Zusammensetzung der Arbeitsgruppe:</w:t>
      </w:r>
    </w:p>
    <w:p w:rsidR="002D70DD" w:rsidRPr="00C36725" w:rsidRDefault="002D70DD" w:rsidP="002D70DD">
      <w:pPr>
        <w:ind w:left="567" w:right="567"/>
        <w:rPr>
          <w:rFonts w:cs="Arial"/>
        </w:rPr>
      </w:pPr>
    </w:p>
    <w:p w:rsidR="002D70DD" w:rsidRPr="00C36725" w:rsidRDefault="002D70DD" w:rsidP="002D70DD">
      <w:pPr>
        <w:spacing w:line="360" w:lineRule="auto"/>
        <w:ind w:left="567" w:right="567"/>
        <w:rPr>
          <w:rFonts w:cs="Arial"/>
        </w:rPr>
      </w:pPr>
      <w:r>
        <w:tab/>
        <w:t>a)</w:t>
      </w:r>
      <w:r>
        <w:tab/>
        <w:t>Bezeichnungsprüfer von Verbandsmitgliedern (3 bis 6 Sachverständige);</w:t>
      </w:r>
    </w:p>
    <w:p w:rsidR="002D70DD" w:rsidRPr="00C36725" w:rsidRDefault="002D70DD" w:rsidP="002D70DD">
      <w:pPr>
        <w:spacing w:line="360" w:lineRule="auto"/>
        <w:ind w:left="567" w:right="567"/>
        <w:rPr>
          <w:rFonts w:cs="Arial"/>
        </w:rPr>
      </w:pPr>
      <w:r>
        <w:tab/>
        <w:t>b)</w:t>
      </w:r>
      <w:r>
        <w:tab/>
        <w:t>WIPO Global Databases Service (zuständig für die PLUTO-Datenbank);</w:t>
      </w:r>
    </w:p>
    <w:p w:rsidR="002D70DD" w:rsidRPr="00C36725" w:rsidRDefault="002D70DD" w:rsidP="002D70DD">
      <w:pPr>
        <w:spacing w:line="360" w:lineRule="auto"/>
        <w:ind w:left="567" w:right="567"/>
        <w:rPr>
          <w:rFonts w:cs="Arial"/>
        </w:rPr>
      </w:pPr>
      <w:r>
        <w:tab/>
        <w:t>c)</w:t>
      </w:r>
      <w:r>
        <w:tab/>
        <w:t>Gemeinschaftliches Sortenamt der Europäischen Union (CPVO); und</w:t>
      </w:r>
    </w:p>
    <w:p w:rsidR="002D70DD" w:rsidRPr="00C36725" w:rsidRDefault="002D70DD" w:rsidP="002D70DD">
      <w:pPr>
        <w:ind w:left="567" w:right="567"/>
        <w:rPr>
          <w:rFonts w:cs="Arial"/>
        </w:rPr>
      </w:pPr>
      <w:r>
        <w:tab/>
        <w:t>d)</w:t>
      </w:r>
      <w:r>
        <w:tab/>
        <w:t>Verbandsbüro.</w:t>
      </w:r>
    </w:p>
    <w:p w:rsidR="002D70DD" w:rsidRPr="00C36725" w:rsidRDefault="002D70DD" w:rsidP="002D70DD">
      <w:pPr>
        <w:ind w:left="567" w:right="567"/>
        <w:rPr>
          <w:rFonts w:cs="Arial"/>
        </w:rPr>
      </w:pPr>
    </w:p>
    <w:p w:rsidR="002D70DD" w:rsidRPr="00C36725" w:rsidRDefault="002D70DD" w:rsidP="002D70DD">
      <w:pPr>
        <w:ind w:left="567" w:right="567"/>
        <w:rPr>
          <w:rFonts w:cs="Arial"/>
        </w:rPr>
      </w:pPr>
      <w:r>
        <w:t>Der Arbeitsplan der Arbeitsgruppe wird von der Arbeitsgruppe selbst erstellt werden, wobei allerdings davon ausgegangen wird, daß der erste Schritt die Prüfung der derzeit in der Registerkarte ˈBezeichnungssucheˈ der PLUTO-Datenbank verfügbaren Suchtypen, insbesondere des Ähnlichkeitsfaktors (CPVO-Suchinstrument) sowie die Prüfung von Suchtypen, die in anderen Situationen (z.B. in Bezug auf Handelsmarken) verwendet werden und die eine alternative Ausgangsbasis für ein UPOV-Suchinstrument zum Auffinden ähnlicher Sortenbezeichnungen darstellen könnten, wäre.</w:t>
      </w:r>
      <w:r w:rsidR="00037B93">
        <w:t xml:space="preserve"> </w:t>
      </w:r>
    </w:p>
    <w:p w:rsidR="002D70DD" w:rsidRPr="00C36725" w:rsidRDefault="002D70DD" w:rsidP="002D70DD">
      <w:pPr>
        <w:ind w:left="567" w:right="567"/>
        <w:rPr>
          <w:rFonts w:cs="Arial"/>
        </w:rPr>
      </w:pPr>
    </w:p>
    <w:p w:rsidR="002D70DD" w:rsidRPr="00C36725" w:rsidRDefault="002D70DD" w:rsidP="002D70DD">
      <w:pPr>
        <w:ind w:left="567" w:right="567"/>
        <w:rPr>
          <w:rFonts w:cs="Arial"/>
        </w:rPr>
      </w:pPr>
      <w:r>
        <w:t>Bei der Prüfung der Eignung von Suchtypen wird man sich insbesondere auf Dokument</w:t>
      </w:r>
      <w:r w:rsidR="00037B93">
        <w:t xml:space="preserve"> </w:t>
      </w:r>
      <w:r>
        <w:t>UPOV/INF/12 „Erläuterungen zu Sortenbezeichnungen nach dem UPOV-Übereinkommen” beziehen.</w:t>
      </w:r>
      <w:r w:rsidR="00037B93">
        <w:t xml:space="preserve"> </w:t>
      </w:r>
      <w:r>
        <w:t>Diesbezüglich wird sich die Arbeitsgruppe für weitere Anleitung an den CAJ wenden müssen, falls bei der Arbeit deutlich würde, daß eine Überarbeitung von Dokument UPOV/INF/12 für die Entwicklung eines effektiven UPOV-Instruments zum Auffinden ähnlicher Sortenbezeichnungen erforderlich wäre.</w:t>
      </w:r>
      <w:r w:rsidR="00037B93">
        <w:t xml:space="preserve">  </w:t>
      </w:r>
    </w:p>
    <w:p w:rsidR="002D70DD" w:rsidRPr="00C36725" w:rsidRDefault="002D70DD" w:rsidP="002D70DD">
      <w:pPr>
        <w:ind w:left="567" w:right="567"/>
        <w:rPr>
          <w:rFonts w:cs="Arial"/>
        </w:rPr>
      </w:pPr>
    </w:p>
    <w:p w:rsidR="002D70DD" w:rsidRPr="00C36725" w:rsidRDefault="002D70DD" w:rsidP="002D70DD">
      <w:pPr>
        <w:ind w:left="567" w:right="567"/>
        <w:rPr>
          <w:rFonts w:cs="Arial"/>
        </w:rPr>
      </w:pPr>
      <w:r>
        <w:t>Die Sitzungen der Arbeitsgruppe werden vom Verbandsbüro in Genf ausgerichtet werden und das Verbandsbüro wird den Vorsitz führen.</w:t>
      </w:r>
      <w:r w:rsidR="00037B93">
        <w:t xml:space="preserve"> </w:t>
      </w:r>
      <w:r>
        <w:t>Diese Sitzungen werden nicht zeitgleich mit den UPOV-Tagungen angesetzt werden und die Beteiligung von Sortenprüfern und des CPVO über elektronische Medien wird vorausgesetzt werden.</w:t>
      </w:r>
      <w:r w:rsidR="00037B93">
        <w:t xml:space="preserve"> </w:t>
      </w:r>
      <w:r>
        <w:t xml:space="preserve">Von der Arbeitsgruppe ausgearbeitete Vorschläge werden dem CAJ und dem Technischen Ausschuß (TC) vorgelegt werden, und der CAJ und der TC werden einen kurzen Bericht über die Sitzungen der Arbeitsgruppe erhalten. </w:t>
      </w:r>
    </w:p>
    <w:p w:rsidR="002D70DD" w:rsidRPr="00C36725" w:rsidRDefault="002D70DD" w:rsidP="002D70DD">
      <w:pPr>
        <w:rPr>
          <w:rFonts w:cs="Arial"/>
        </w:rPr>
      </w:pPr>
    </w:p>
    <w:p w:rsidR="002D70DD" w:rsidRPr="00C36725" w:rsidRDefault="002D70DD" w:rsidP="002D70DD">
      <w:pPr>
        <w:rPr>
          <w:rFonts w:cs="Arial"/>
        </w:rPr>
      </w:pPr>
      <w:r>
        <w:tab/>
        <w:t>Der CAJ nahm auf seiner achtundsechzigsten Tagung den Vorschlag der Delegation der Europäischen Union bezüglich der Aufnahme von Bezeichnungsprüfern aus den Niederlanden und Spanien in die Arbeitsgruppe, und daß eine ausreichende Berücksichtigung der linguistischen Aspekte von Sortenbezeichnungen durch die Sachverständigen gewährleistet sein müsse, zur Kenntnis.</w:t>
      </w:r>
      <w:r>
        <w:rPr>
          <w:rStyle w:val="FootnoteReference"/>
        </w:rPr>
        <w:footnoteReference w:id="5"/>
      </w:r>
    </w:p>
    <w:p w:rsidR="002D70DD" w:rsidRPr="00C36725" w:rsidRDefault="002D70DD" w:rsidP="002D70DD">
      <w:pPr>
        <w:rPr>
          <w:rFonts w:cs="Arial"/>
        </w:rPr>
      </w:pPr>
    </w:p>
    <w:p w:rsidR="002D70DD" w:rsidRPr="00C36725" w:rsidRDefault="002D70DD" w:rsidP="002D70DD">
      <w:pPr>
        <w:rPr>
          <w:rFonts w:cs="Arial"/>
        </w:rPr>
      </w:pPr>
      <w:r>
        <w:tab/>
        <w:t>Der CAJ vereinbarte auf seiner achtundsechzigsten Tagung, daß Mitglieder und Beobachter dazu angeregt werden sollten, Vorschläge zu Angelegenheiten betreffend die Aufgaben der Arbeitsgruppe einzureichen.</w:t>
      </w:r>
      <w:r>
        <w:rPr>
          <w:rStyle w:val="FootnoteReference"/>
        </w:rPr>
        <w:footnoteReference w:id="6"/>
      </w:r>
    </w:p>
    <w:p w:rsidR="002D70DD" w:rsidRDefault="002D70DD" w:rsidP="002D70DD">
      <w:pPr>
        <w:rPr>
          <w:rFonts w:cs="Arial"/>
        </w:rPr>
      </w:pPr>
    </w:p>
    <w:p w:rsidR="002D70DD" w:rsidRDefault="002D70DD" w:rsidP="002D70DD">
      <w:pPr>
        <w:jc w:val="right"/>
        <w:rPr>
          <w:rFonts w:cs="Arial"/>
        </w:rPr>
      </w:pPr>
      <w:r>
        <w:t>[Anlage II folgt]</w:t>
      </w:r>
    </w:p>
    <w:p w:rsidR="003A0A5A" w:rsidRDefault="003A0A5A">
      <w:pPr>
        <w:jc w:val="left"/>
        <w:rPr>
          <w:rFonts w:cs="Arial"/>
        </w:rPr>
        <w:sectPr w:rsidR="003A0A5A" w:rsidSect="009870BF">
          <w:footnotePr>
            <w:numFmt w:val="lowerLetter"/>
          </w:footnotePr>
          <w:endnotePr>
            <w:numFmt w:val="lowerLetter"/>
          </w:endnotePr>
          <w:pgSz w:w="11907" w:h="16840" w:code="9"/>
          <w:pgMar w:top="510" w:right="1134" w:bottom="1134" w:left="1134" w:header="510" w:footer="680" w:gutter="0"/>
          <w:cols w:space="720"/>
          <w:titlePg/>
        </w:sectPr>
      </w:pPr>
    </w:p>
    <w:p w:rsidR="002D70DD" w:rsidRDefault="003A0A5A" w:rsidP="003A0A5A">
      <w:pPr>
        <w:jc w:val="center"/>
        <w:rPr>
          <w:rFonts w:cs="Arial"/>
        </w:rPr>
      </w:pPr>
      <w:r>
        <w:lastRenderedPageBreak/>
        <w:t>CAJ/70/4</w:t>
      </w:r>
    </w:p>
    <w:p w:rsidR="002D70DD" w:rsidRDefault="002D70DD" w:rsidP="002D70DD">
      <w:pPr>
        <w:jc w:val="center"/>
        <w:rPr>
          <w:rFonts w:cs="Arial"/>
        </w:rPr>
      </w:pPr>
    </w:p>
    <w:p w:rsidR="002D70DD" w:rsidRDefault="002D70DD" w:rsidP="002D70DD">
      <w:pPr>
        <w:jc w:val="center"/>
        <w:rPr>
          <w:rFonts w:cs="Arial"/>
        </w:rPr>
      </w:pPr>
      <w:r>
        <w:t>ANLAGE II</w:t>
      </w:r>
    </w:p>
    <w:p w:rsidR="002D70DD" w:rsidRDefault="002D70DD" w:rsidP="002D70DD">
      <w:pPr>
        <w:jc w:val="center"/>
        <w:rPr>
          <w:rFonts w:cs="Arial"/>
        </w:rPr>
      </w:pPr>
    </w:p>
    <w:p w:rsidR="002D70DD" w:rsidRDefault="002D70DD" w:rsidP="002D70DD">
      <w:pPr>
        <w:jc w:val="center"/>
        <w:rPr>
          <w:rFonts w:cs="Arial"/>
        </w:rPr>
      </w:pPr>
    </w:p>
    <w:p w:rsidR="002D70DD" w:rsidRDefault="002D70DD" w:rsidP="002D70DD">
      <w:pPr>
        <w:jc w:val="center"/>
        <w:rPr>
          <w:rFonts w:cs="Arial"/>
        </w:rPr>
      </w:pPr>
      <w:r>
        <w:t>ARBEITSGRUPPE FÜR DIE AUSARBEITUNG VON VORSCHLÄGEN FÜR EIN UPOV</w:t>
      </w:r>
      <w:r w:rsidR="009C7E5D">
        <w:noBreakHyphen/>
      </w:r>
      <w:r>
        <w:t>SUCHINSTRUMENT FÜR SORTENBEZEICHNUNGEN</w:t>
      </w:r>
    </w:p>
    <w:p w:rsidR="002D70DD" w:rsidRDefault="002D70DD" w:rsidP="002D70DD">
      <w:pPr>
        <w:jc w:val="center"/>
        <w:rPr>
          <w:rFonts w:cs="Arial"/>
        </w:rPr>
      </w:pPr>
    </w:p>
    <w:p w:rsidR="002D70DD" w:rsidRDefault="00BC2064" w:rsidP="002D70DD">
      <w:pPr>
        <w:jc w:val="center"/>
        <w:rPr>
          <w:rFonts w:cs="Arial"/>
        </w:rPr>
      </w:pPr>
      <w:r>
        <w:t>(Zusammensetzung am 14</w:t>
      </w:r>
      <w:r w:rsidR="002D70DD">
        <w:t>. August 2014)</w:t>
      </w:r>
    </w:p>
    <w:p w:rsidR="002D70DD" w:rsidRDefault="002D70DD" w:rsidP="002D70DD">
      <w:pPr>
        <w:jc w:val="center"/>
        <w:rPr>
          <w:rFonts w:cs="Arial"/>
        </w:rPr>
      </w:pPr>
    </w:p>
    <w:p w:rsidR="002D70DD" w:rsidRDefault="002D70DD" w:rsidP="002D70DD">
      <w:pPr>
        <w:jc w:val="center"/>
        <w:rPr>
          <w:rFonts w:cs="Arial"/>
        </w:rPr>
      </w:pPr>
    </w:p>
    <w:p w:rsidR="002D70DD" w:rsidRPr="0034437F" w:rsidRDefault="002D70DD" w:rsidP="002D70D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2"/>
        <w:gridCol w:w="4253"/>
      </w:tblGrid>
      <w:tr w:rsidR="002D70DD" w:rsidRPr="0034437F" w:rsidTr="005D3B96">
        <w:trPr>
          <w:jc w:val="center"/>
        </w:trPr>
        <w:tc>
          <w:tcPr>
            <w:tcW w:w="3402" w:type="dxa"/>
          </w:tcPr>
          <w:p w:rsidR="002D70DD" w:rsidRPr="0034437F" w:rsidRDefault="002D70DD" w:rsidP="005D3B96">
            <w:pPr>
              <w:rPr>
                <w:i/>
              </w:rPr>
            </w:pPr>
            <w:r>
              <w:rPr>
                <w:i/>
              </w:rPr>
              <w:t>Verbandsmitglied</w:t>
            </w:r>
          </w:p>
        </w:tc>
        <w:tc>
          <w:tcPr>
            <w:tcW w:w="4253" w:type="dxa"/>
          </w:tcPr>
          <w:p w:rsidR="002D70DD" w:rsidRPr="0034437F" w:rsidRDefault="002D70DD" w:rsidP="005D3B96">
            <w:pPr>
              <w:rPr>
                <w:i/>
              </w:rPr>
            </w:pPr>
            <w:r>
              <w:rPr>
                <w:i/>
              </w:rPr>
              <w:t>Sachverständiger</w:t>
            </w:r>
          </w:p>
        </w:tc>
      </w:tr>
      <w:tr w:rsidR="00ED786F" w:rsidRPr="0034437F" w:rsidTr="005D3B96">
        <w:trPr>
          <w:jc w:val="center"/>
        </w:trPr>
        <w:tc>
          <w:tcPr>
            <w:tcW w:w="3402" w:type="dxa"/>
          </w:tcPr>
          <w:p w:rsidR="00ED786F" w:rsidRPr="00ED786F" w:rsidRDefault="00ED786F" w:rsidP="005D3B96">
            <w:r>
              <w:t>Australien</w:t>
            </w:r>
          </w:p>
        </w:tc>
        <w:tc>
          <w:tcPr>
            <w:tcW w:w="4253" w:type="dxa"/>
          </w:tcPr>
          <w:p w:rsidR="00ED786F" w:rsidRPr="00ED786F" w:rsidRDefault="00ED786F" w:rsidP="005D3B96">
            <w:r>
              <w:t>Herr Nik Hulse</w:t>
            </w:r>
          </w:p>
        </w:tc>
      </w:tr>
      <w:tr w:rsidR="002D70DD" w:rsidRPr="005D2E37" w:rsidTr="005D3B96">
        <w:trPr>
          <w:jc w:val="center"/>
        </w:trPr>
        <w:tc>
          <w:tcPr>
            <w:tcW w:w="3402" w:type="dxa"/>
          </w:tcPr>
          <w:p w:rsidR="002D70DD" w:rsidRPr="0034437F" w:rsidRDefault="002D70DD" w:rsidP="005D3B96">
            <w:r>
              <w:t>Europäische Union</w:t>
            </w:r>
          </w:p>
        </w:tc>
        <w:tc>
          <w:tcPr>
            <w:tcW w:w="4253" w:type="dxa"/>
          </w:tcPr>
          <w:p w:rsidR="002D70DD" w:rsidRPr="00037B93" w:rsidRDefault="002D70DD" w:rsidP="005D3B96">
            <w:pPr>
              <w:rPr>
                <w:lang w:val="fr-FR"/>
              </w:rPr>
            </w:pPr>
            <w:r w:rsidRPr="00037B93">
              <w:rPr>
                <w:lang w:val="fr-FR"/>
              </w:rPr>
              <w:t>Herr Jean Maison (CPVO)</w:t>
            </w:r>
          </w:p>
          <w:p w:rsidR="002D70DD" w:rsidRPr="00037B93" w:rsidRDefault="002D70DD" w:rsidP="005D3B96">
            <w:pPr>
              <w:rPr>
                <w:lang w:val="fr-FR"/>
              </w:rPr>
            </w:pPr>
            <w:r w:rsidRPr="00037B93">
              <w:rPr>
                <w:lang w:val="fr-FR"/>
              </w:rPr>
              <w:t>Herr Patrick Lecoq (CPVO)</w:t>
            </w:r>
          </w:p>
          <w:p w:rsidR="002D70DD" w:rsidRPr="00A87649" w:rsidRDefault="002D70DD" w:rsidP="005D3B96">
            <w:r>
              <w:t>Frau Carole Bonneau (CPVO)</w:t>
            </w:r>
          </w:p>
        </w:tc>
      </w:tr>
      <w:tr w:rsidR="002D70DD" w:rsidRPr="0034437F" w:rsidTr="005D3B96">
        <w:trPr>
          <w:jc w:val="center"/>
        </w:trPr>
        <w:tc>
          <w:tcPr>
            <w:tcW w:w="3402" w:type="dxa"/>
          </w:tcPr>
          <w:p w:rsidR="002D70DD" w:rsidRPr="0034437F" w:rsidRDefault="002D70DD" w:rsidP="005D3B96">
            <w:r>
              <w:t>Niederlande</w:t>
            </w:r>
          </w:p>
        </w:tc>
        <w:tc>
          <w:tcPr>
            <w:tcW w:w="4253" w:type="dxa"/>
          </w:tcPr>
          <w:p w:rsidR="002D70DD" w:rsidRPr="0034437F" w:rsidRDefault="002D70DD" w:rsidP="005D3B96">
            <w:r>
              <w:t>Herr Kees van Ettekoven</w:t>
            </w:r>
          </w:p>
        </w:tc>
      </w:tr>
      <w:tr w:rsidR="002D70DD" w:rsidRPr="0034437F" w:rsidTr="005D3B96">
        <w:trPr>
          <w:jc w:val="center"/>
        </w:trPr>
        <w:tc>
          <w:tcPr>
            <w:tcW w:w="3402" w:type="dxa"/>
          </w:tcPr>
          <w:p w:rsidR="002D70DD" w:rsidRPr="0034437F" w:rsidRDefault="002D70DD" w:rsidP="005D3B96">
            <w:r>
              <w:t>Spanien</w:t>
            </w:r>
          </w:p>
        </w:tc>
        <w:tc>
          <w:tcPr>
            <w:tcW w:w="4253" w:type="dxa"/>
          </w:tcPr>
          <w:p w:rsidR="002D70DD" w:rsidRPr="0034437F" w:rsidRDefault="002D70DD" w:rsidP="005D3B96">
            <w:r>
              <w:t>Herr Luis Salaices</w:t>
            </w:r>
          </w:p>
        </w:tc>
      </w:tr>
      <w:tr w:rsidR="002D70DD" w:rsidRPr="0034437F" w:rsidTr="005D3B96">
        <w:trPr>
          <w:jc w:val="center"/>
        </w:trPr>
        <w:tc>
          <w:tcPr>
            <w:tcW w:w="3402" w:type="dxa"/>
          </w:tcPr>
          <w:p w:rsidR="002D70DD" w:rsidRPr="0034437F" w:rsidRDefault="002D70DD" w:rsidP="005D3B96">
            <w:r>
              <w:t>Vereinigte Staaten von Amerika</w:t>
            </w:r>
          </w:p>
        </w:tc>
        <w:tc>
          <w:tcPr>
            <w:tcW w:w="4253" w:type="dxa"/>
          </w:tcPr>
          <w:p w:rsidR="002D70DD" w:rsidRPr="0034437F" w:rsidRDefault="002D70DD" w:rsidP="005D3B96">
            <w:r>
              <w:t>Herr Fawad S. Shah</w:t>
            </w:r>
          </w:p>
        </w:tc>
      </w:tr>
    </w:tbl>
    <w:p w:rsidR="002D70DD" w:rsidRDefault="002D70DD" w:rsidP="002D70DD"/>
    <w:p w:rsidR="002D70DD" w:rsidRPr="0034437F" w:rsidRDefault="002D70DD" w:rsidP="002D70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tblGrid>
      <w:tr w:rsidR="002D70DD" w:rsidRPr="0034437F" w:rsidTr="005D3B96">
        <w:trPr>
          <w:jc w:val="center"/>
        </w:trPr>
        <w:tc>
          <w:tcPr>
            <w:tcW w:w="7655" w:type="dxa"/>
          </w:tcPr>
          <w:p w:rsidR="002D70DD" w:rsidRPr="0034437F" w:rsidRDefault="002D70DD" w:rsidP="005D3B96">
            <w:pPr>
              <w:jc w:val="center"/>
              <w:rPr>
                <w:i/>
              </w:rPr>
            </w:pPr>
            <w:r>
              <w:rPr>
                <w:i/>
              </w:rPr>
              <w:t>WIPO Global Databases Service</w:t>
            </w:r>
          </w:p>
        </w:tc>
      </w:tr>
      <w:tr w:rsidR="002D70DD" w:rsidRPr="0034437F" w:rsidTr="005D3B96">
        <w:trPr>
          <w:jc w:val="center"/>
        </w:trPr>
        <w:tc>
          <w:tcPr>
            <w:tcW w:w="7655" w:type="dxa"/>
          </w:tcPr>
          <w:p w:rsidR="002D70DD" w:rsidRPr="0034437F" w:rsidRDefault="002D70DD" w:rsidP="005D3B96">
            <w:r>
              <w:t>Herr Glenn Mac Stravic</w:t>
            </w:r>
          </w:p>
        </w:tc>
      </w:tr>
      <w:tr w:rsidR="002D70DD" w:rsidRPr="0034437F" w:rsidTr="005D3B96">
        <w:trPr>
          <w:jc w:val="center"/>
        </w:trPr>
        <w:tc>
          <w:tcPr>
            <w:tcW w:w="7655" w:type="dxa"/>
          </w:tcPr>
          <w:p w:rsidR="002D70DD" w:rsidRDefault="002D70DD" w:rsidP="005D3B96">
            <w:pPr>
              <w:rPr>
                <w:rFonts w:cs="Arial"/>
              </w:rPr>
            </w:pPr>
            <w:r>
              <w:t>Frau Lili Chen</w:t>
            </w:r>
          </w:p>
        </w:tc>
      </w:tr>
    </w:tbl>
    <w:p w:rsidR="002D70DD" w:rsidRDefault="002D70DD" w:rsidP="002D70DD"/>
    <w:p w:rsidR="002D70DD" w:rsidRPr="0034437F" w:rsidRDefault="002D70DD" w:rsidP="002D70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tblGrid>
      <w:tr w:rsidR="002D70DD" w:rsidRPr="0034437F" w:rsidTr="005D3B96">
        <w:trPr>
          <w:jc w:val="center"/>
        </w:trPr>
        <w:tc>
          <w:tcPr>
            <w:tcW w:w="7655" w:type="dxa"/>
          </w:tcPr>
          <w:p w:rsidR="002D70DD" w:rsidRPr="0034437F" w:rsidRDefault="002D70DD" w:rsidP="005D3B96">
            <w:pPr>
              <w:jc w:val="center"/>
              <w:rPr>
                <w:i/>
              </w:rPr>
            </w:pPr>
            <w:r>
              <w:rPr>
                <w:i/>
              </w:rPr>
              <w:t>Verbandsbüro</w:t>
            </w:r>
          </w:p>
        </w:tc>
      </w:tr>
      <w:tr w:rsidR="002D70DD" w:rsidRPr="0034437F" w:rsidTr="005D3B96">
        <w:trPr>
          <w:jc w:val="center"/>
        </w:trPr>
        <w:tc>
          <w:tcPr>
            <w:tcW w:w="7655" w:type="dxa"/>
          </w:tcPr>
          <w:p w:rsidR="002D70DD" w:rsidRPr="0034437F" w:rsidRDefault="002D70DD" w:rsidP="005D3B96">
            <w:r>
              <w:t>Herr Peter Button, Vorsitzender</w:t>
            </w:r>
          </w:p>
        </w:tc>
      </w:tr>
      <w:tr w:rsidR="002D70DD" w:rsidRPr="0034437F" w:rsidTr="005D3B96">
        <w:trPr>
          <w:jc w:val="center"/>
        </w:trPr>
        <w:tc>
          <w:tcPr>
            <w:tcW w:w="7655" w:type="dxa"/>
          </w:tcPr>
          <w:p w:rsidR="002D70DD" w:rsidRPr="0034437F" w:rsidRDefault="002D70DD" w:rsidP="005D3B96">
            <w:r>
              <w:t>Frau Yolanda Huerta</w:t>
            </w:r>
          </w:p>
        </w:tc>
      </w:tr>
      <w:tr w:rsidR="002D70DD" w:rsidRPr="0034437F" w:rsidTr="005D3B96">
        <w:trPr>
          <w:jc w:val="center"/>
        </w:trPr>
        <w:tc>
          <w:tcPr>
            <w:tcW w:w="7655" w:type="dxa"/>
          </w:tcPr>
          <w:p w:rsidR="002D70DD" w:rsidRDefault="002D70DD" w:rsidP="005D3B96">
            <w:r>
              <w:t>Herr Jun Koide</w:t>
            </w:r>
          </w:p>
        </w:tc>
      </w:tr>
      <w:tr w:rsidR="002D70DD" w:rsidRPr="0034437F" w:rsidTr="005D3B96">
        <w:trPr>
          <w:jc w:val="center"/>
        </w:trPr>
        <w:tc>
          <w:tcPr>
            <w:tcW w:w="7655" w:type="dxa"/>
          </w:tcPr>
          <w:p w:rsidR="002D70DD" w:rsidRDefault="002D70DD" w:rsidP="005D3B96">
            <w:r>
              <w:t>Herr Ben Rivoire</w:t>
            </w:r>
          </w:p>
        </w:tc>
      </w:tr>
      <w:tr w:rsidR="002D70DD" w:rsidRPr="0034437F" w:rsidTr="005D3B96">
        <w:trPr>
          <w:jc w:val="center"/>
        </w:trPr>
        <w:tc>
          <w:tcPr>
            <w:tcW w:w="7655" w:type="dxa"/>
          </w:tcPr>
          <w:p w:rsidR="002D70DD" w:rsidRDefault="002D70DD" w:rsidP="005D3B96">
            <w:r>
              <w:t>Herr Leontino Taveira</w:t>
            </w:r>
          </w:p>
        </w:tc>
      </w:tr>
    </w:tbl>
    <w:p w:rsidR="002D70DD" w:rsidRDefault="002D70DD" w:rsidP="002D70DD"/>
    <w:p w:rsidR="002D70DD" w:rsidRDefault="002D70DD" w:rsidP="002D70DD">
      <w:pPr>
        <w:rPr>
          <w:rFonts w:cs="Arial"/>
        </w:rPr>
      </w:pPr>
    </w:p>
    <w:p w:rsidR="002D70DD" w:rsidRDefault="002D70DD" w:rsidP="002D70DD">
      <w:pPr>
        <w:rPr>
          <w:rFonts w:cs="Arial"/>
        </w:rPr>
      </w:pPr>
    </w:p>
    <w:p w:rsidR="002D70DD" w:rsidRPr="007E7836" w:rsidRDefault="002D70DD" w:rsidP="002D70DD">
      <w:pPr>
        <w:jc w:val="right"/>
        <w:rPr>
          <w:rFonts w:cs="Arial"/>
        </w:rPr>
      </w:pPr>
      <w:r>
        <w:t>[Ende der Anlage II und des Dokuments]</w:t>
      </w:r>
    </w:p>
    <w:p w:rsidR="00900C26" w:rsidRDefault="00900C26" w:rsidP="001D483F">
      <w:pPr>
        <w:rPr>
          <w:snapToGrid w:val="0"/>
        </w:rPr>
      </w:pPr>
    </w:p>
    <w:p w:rsidR="00240F46" w:rsidRDefault="00240F46" w:rsidP="001D483F">
      <w:pPr>
        <w:rPr>
          <w:snapToGrid w:val="0"/>
        </w:rPr>
      </w:pPr>
    </w:p>
    <w:p w:rsidR="00240F46" w:rsidRDefault="00240F46" w:rsidP="001D483F">
      <w:pPr>
        <w:rPr>
          <w:snapToGrid w:val="0"/>
        </w:rPr>
      </w:pPr>
    </w:p>
    <w:p w:rsidR="00240F46" w:rsidRDefault="00240F46" w:rsidP="001D483F">
      <w:pPr>
        <w:rPr>
          <w:snapToGrid w:val="0"/>
        </w:rPr>
      </w:pPr>
    </w:p>
    <w:p w:rsidR="00240F46" w:rsidRDefault="00240F46" w:rsidP="001D483F">
      <w:pPr>
        <w:rPr>
          <w:snapToGrid w:val="0"/>
        </w:rPr>
      </w:pPr>
    </w:p>
    <w:sectPr w:rsidR="00240F46" w:rsidSect="00906DDC">
      <w:footnotePr>
        <w:numFmt w:val="lowerLetter"/>
      </w:footnotePr>
      <w:endnotePr>
        <w:numFmt w:val="lowerLetter"/>
      </w:endnotePr>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8B" w:rsidRDefault="0043748B">
      <w:r>
        <w:separator/>
      </w:r>
    </w:p>
  </w:endnote>
  <w:endnote w:type="continuationSeparator" w:id="0">
    <w:p w:rsidR="0043748B" w:rsidRDefault="0043748B">
      <w:r>
        <w:separator/>
      </w:r>
    </w:p>
    <w:p w:rsidR="0043748B" w:rsidRPr="00664515" w:rsidRDefault="0043748B">
      <w:pPr>
        <w:pStyle w:val="Footer"/>
        <w:spacing w:after="60"/>
        <w:rPr>
          <w:sz w:val="18"/>
          <w:lang w:val="fr-CH"/>
        </w:rPr>
      </w:pPr>
      <w:r w:rsidRPr="00664515">
        <w:rPr>
          <w:sz w:val="18"/>
          <w:lang w:val="fr-CH"/>
        </w:rPr>
        <w:t>[Suite de la note de la page précédente]</w:t>
      </w:r>
    </w:p>
    <w:p w:rsidR="0043748B" w:rsidRPr="00664515" w:rsidRDefault="0043748B">
      <w:pPr>
        <w:rPr>
          <w:lang w:val="fr-CH"/>
        </w:rPr>
      </w:pPr>
    </w:p>
    <w:p w:rsidR="0043748B" w:rsidRPr="00664515" w:rsidRDefault="0043748B">
      <w:pPr>
        <w:rPr>
          <w:lang w:val="fr-CH"/>
        </w:rPr>
      </w:pPr>
    </w:p>
  </w:endnote>
  <w:endnote w:type="continuationNotice" w:id="1">
    <w:p w:rsidR="0043748B" w:rsidRPr="00664515" w:rsidRDefault="0043748B">
      <w:pPr>
        <w:spacing w:before="60"/>
        <w:jc w:val="right"/>
        <w:rPr>
          <w:sz w:val="18"/>
          <w:lang w:val="fr-CH"/>
        </w:rPr>
      </w:pPr>
      <w:r w:rsidRPr="00664515">
        <w:rPr>
          <w:sz w:val="18"/>
          <w:lang w:val="fr-CH"/>
        </w:rPr>
        <w:t>[Suite de la note page suivante]</w:t>
      </w:r>
    </w:p>
    <w:p w:rsidR="0043748B" w:rsidRPr="00664515" w:rsidRDefault="0043748B">
      <w:pPr>
        <w:rPr>
          <w:lang w:val="fr-CH"/>
        </w:rPr>
      </w:pPr>
    </w:p>
    <w:p w:rsidR="0043748B" w:rsidRPr="00664515" w:rsidRDefault="0043748B">
      <w:pPr>
        <w:rPr>
          <w:lang w:val="fr-CH"/>
        </w:rPr>
      </w:pPr>
    </w:p>
  </w:endnote>
  <w:endnote w:id="2">
    <w:p w:rsidR="001F67A6" w:rsidRPr="004F0A25" w:rsidRDefault="001F67A6" w:rsidP="00240F46">
      <w:pPr>
        <w:ind w:left="284" w:hanging="284"/>
        <w:rPr>
          <w:sz w:val="16"/>
          <w:szCs w:val="16"/>
        </w:rPr>
      </w:pPr>
      <w:r>
        <w:rPr>
          <w:rStyle w:val="EndnoteReference"/>
        </w:rPr>
        <w:endnoteRef/>
      </w:r>
      <w:r w:rsidR="00240F46">
        <w:tab/>
      </w:r>
      <w:r>
        <w:rPr>
          <w:sz w:val="16"/>
          <w:szCs w:val="16"/>
        </w:rPr>
        <w:t>Der CAJ stimmte auf seiner neunundsechzigsten Tagung am 10. April 2014 in Genf der Prüfung der Möglichkeit zu, die CAJ-Dokumente zu ändern, um</w:t>
      </w:r>
    </w:p>
    <w:p w:rsidR="001F67A6" w:rsidRPr="004F0A25" w:rsidRDefault="001F67A6" w:rsidP="001F67A6">
      <w:pPr>
        <w:pStyle w:val="ListParagraph"/>
        <w:numPr>
          <w:ilvl w:val="0"/>
          <w:numId w:val="1"/>
        </w:numPr>
        <w:ind w:left="1134" w:hanging="567"/>
        <w:rPr>
          <w:sz w:val="16"/>
          <w:szCs w:val="16"/>
        </w:rPr>
      </w:pPr>
      <w:r>
        <w:rPr>
          <w:sz w:val="16"/>
          <w:szCs w:val="16"/>
        </w:rPr>
        <w:t>eine Zusammenfassung aufzunehmen</w:t>
      </w:r>
    </w:p>
    <w:p w:rsidR="001F67A6" w:rsidRPr="004F0A25" w:rsidRDefault="001F67A6" w:rsidP="001F67A6">
      <w:pPr>
        <w:pStyle w:val="ListParagraph"/>
        <w:numPr>
          <w:ilvl w:val="0"/>
          <w:numId w:val="1"/>
        </w:numPr>
        <w:ind w:left="1134" w:hanging="567"/>
        <w:rPr>
          <w:sz w:val="16"/>
          <w:szCs w:val="16"/>
        </w:rPr>
      </w:pPr>
      <w:r>
        <w:rPr>
          <w:sz w:val="16"/>
          <w:szCs w:val="16"/>
        </w:rPr>
        <w:t>in Fußnoten auf frühere Dokumente zu verweisen</w:t>
      </w:r>
    </w:p>
    <w:p w:rsidR="001F67A6" w:rsidRPr="004F0A25" w:rsidRDefault="001F67A6" w:rsidP="001F67A6">
      <w:pPr>
        <w:pStyle w:val="ListParagraph"/>
        <w:numPr>
          <w:ilvl w:val="0"/>
          <w:numId w:val="1"/>
        </w:numPr>
        <w:ind w:left="1134" w:hanging="567"/>
        <w:rPr>
          <w:sz w:val="16"/>
          <w:szCs w:val="16"/>
        </w:rPr>
      </w:pPr>
      <w:r>
        <w:rPr>
          <w:sz w:val="16"/>
          <w:szCs w:val="16"/>
        </w:rPr>
        <w:t>Präsentationen zu benutzen</w:t>
      </w:r>
    </w:p>
    <w:p w:rsidR="001F67A6" w:rsidRPr="004F0A25" w:rsidRDefault="001F67A6" w:rsidP="001F67A6">
      <w:pPr>
        <w:pStyle w:val="ListParagraph"/>
        <w:numPr>
          <w:ilvl w:val="0"/>
          <w:numId w:val="1"/>
        </w:numPr>
        <w:ind w:left="1134" w:hanging="567"/>
        <w:rPr>
          <w:sz w:val="16"/>
          <w:szCs w:val="16"/>
        </w:rPr>
      </w:pPr>
      <w:r>
        <w:rPr>
          <w:sz w:val="16"/>
          <w:szCs w:val="16"/>
        </w:rPr>
        <w:t>Entscheidungsabsätze, die Angelegenheiten zur Information enthalten, zusammenzufassen.</w:t>
      </w:r>
    </w:p>
    <w:p w:rsidR="001F67A6" w:rsidRPr="004F0A25" w:rsidRDefault="001F67A6" w:rsidP="001F67A6">
      <w:pPr>
        <w:rPr>
          <w:sz w:val="16"/>
          <w:szCs w:val="16"/>
        </w:rPr>
      </w:pPr>
    </w:p>
    <w:p w:rsidR="001F67A6" w:rsidRPr="004F0A25" w:rsidRDefault="001F67A6" w:rsidP="00240F46">
      <w:pPr>
        <w:ind w:left="284"/>
        <w:rPr>
          <w:sz w:val="16"/>
          <w:szCs w:val="16"/>
        </w:rPr>
      </w:pPr>
      <w:r>
        <w:rPr>
          <w:sz w:val="16"/>
          <w:szCs w:val="16"/>
        </w:rPr>
        <w:t xml:space="preserve">Der CAJ ersuchte </w:t>
      </w:r>
      <w:bookmarkStart w:id="5" w:name="_GoBack"/>
      <w:bookmarkEnd w:id="5"/>
      <w:r>
        <w:rPr>
          <w:sz w:val="16"/>
          <w:szCs w:val="16"/>
        </w:rPr>
        <w:t>das Verbandsbüro, Beispiele auszuarbeiten, die vom CAJ auf seiner siebzigsten Tagung zu prüfen sind, und Informationen über die Auswirkungen auf die Ressourcen des Verbandsbüros zu erteilen (vergleiche Dokument CAJ/69/12 „Bericht</w:t>
      </w:r>
      <w:r w:rsidR="00BC2064">
        <w:rPr>
          <w:sz w:val="16"/>
          <w:szCs w:val="16"/>
        </w:rPr>
        <w:t> </w:t>
      </w:r>
      <w:r>
        <w:rPr>
          <w:sz w:val="16"/>
          <w:szCs w:val="16"/>
        </w:rPr>
        <w:t>über die Entschließungen“ Absätze 95 und 96).</w:t>
      </w:r>
    </w:p>
    <w:p w:rsidR="001F67A6" w:rsidRPr="004F0A25" w:rsidRDefault="001F67A6" w:rsidP="00240F46">
      <w:pPr>
        <w:ind w:left="284"/>
        <w:rPr>
          <w:rFonts w:cs="Arial"/>
          <w:snapToGrid w:val="0"/>
          <w:sz w:val="16"/>
          <w:szCs w:val="16"/>
        </w:rPr>
      </w:pPr>
    </w:p>
    <w:p w:rsidR="001F67A6" w:rsidRPr="00240F46" w:rsidRDefault="001F67A6" w:rsidP="00240F46">
      <w:pPr>
        <w:ind w:left="284"/>
        <w:rPr>
          <w:rFonts w:cs="Arial"/>
          <w:snapToGrid w:val="0"/>
          <w:sz w:val="16"/>
          <w:szCs w:val="16"/>
        </w:rPr>
      </w:pPr>
      <w:r>
        <w:rPr>
          <w:snapToGrid w:val="0"/>
          <w:sz w:val="16"/>
          <w:szCs w:val="16"/>
        </w:rPr>
        <w:t>Dieses Dokument soll als Beispiel dienen. Informationen über die Auswirkungen auf die Ressourcen des Verbandsbüros werden in einem Dokument zur Prüfung durch den CAJ auf seiner Tagung im März 2015</w:t>
      </w:r>
      <w:r w:rsidR="009C7E5D" w:rsidRPr="009C7E5D">
        <w:rPr>
          <w:snapToGrid w:val="0"/>
          <w:sz w:val="16"/>
          <w:szCs w:val="16"/>
        </w:rPr>
        <w:t xml:space="preserve"> </w:t>
      </w:r>
      <w:r w:rsidR="009C7E5D">
        <w:rPr>
          <w:snapToGrid w:val="0"/>
          <w:sz w:val="16"/>
          <w:szCs w:val="16"/>
        </w:rPr>
        <w:t>erteilt</w:t>
      </w:r>
      <w:r w:rsidR="00B01D13">
        <w:rPr>
          <w:snapToGrid w:val="0"/>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8B" w:rsidRDefault="0043748B" w:rsidP="009D690D">
      <w:pPr>
        <w:spacing w:before="120"/>
      </w:pPr>
      <w:r>
        <w:separator/>
      </w:r>
    </w:p>
  </w:footnote>
  <w:footnote w:type="continuationSeparator" w:id="0">
    <w:p w:rsidR="0043748B" w:rsidRDefault="0043748B" w:rsidP="00520297">
      <w:pPr>
        <w:spacing w:before="120"/>
        <w:jc w:val="left"/>
      </w:pPr>
      <w:r>
        <w:separator/>
      </w:r>
    </w:p>
  </w:footnote>
  <w:footnote w:type="continuationNotice" w:id="1">
    <w:p w:rsidR="0043748B" w:rsidRDefault="0043748B"/>
  </w:footnote>
  <w:footnote w:id="2">
    <w:p w:rsidR="008D2FC8" w:rsidRPr="003A0A5A" w:rsidRDefault="008D2FC8" w:rsidP="003A0A5A">
      <w:pPr>
        <w:ind w:left="567" w:hanging="567"/>
        <w:rPr>
          <w:sz w:val="16"/>
        </w:rPr>
      </w:pPr>
      <w:r>
        <w:rPr>
          <w:rStyle w:val="FootnoteReference"/>
        </w:rPr>
        <w:footnoteRef/>
      </w:r>
      <w:r>
        <w:tab/>
      </w:r>
      <w:r>
        <w:rPr>
          <w:snapToGrid w:val="0"/>
          <w:sz w:val="16"/>
          <w:szCs w:val="16"/>
        </w:rPr>
        <w:t>Hintergrundinformationen zu diesem Thema werden in Dokument CAJ/69/9 „Etwaige Entwicklung eines UPOV-Suchinstruments für Ähnlichkeiten zum Zweck der Sortenbezeichnung“ dargelegt.</w:t>
      </w:r>
    </w:p>
  </w:footnote>
  <w:footnote w:id="3">
    <w:p w:rsidR="008D2FC8" w:rsidRPr="003A0A5A" w:rsidRDefault="008D2FC8" w:rsidP="003A0A5A">
      <w:pPr>
        <w:rPr>
          <w:sz w:val="16"/>
        </w:rPr>
      </w:pPr>
      <w:r>
        <w:rPr>
          <w:rStyle w:val="FootnoteReference"/>
        </w:rPr>
        <w:footnoteRef/>
      </w:r>
      <w:r>
        <w:tab/>
      </w:r>
      <w:r w:rsidR="009C7E5D">
        <w:rPr>
          <w:sz w:val="16"/>
          <w:szCs w:val="16"/>
        </w:rPr>
        <w:t>V</w:t>
      </w:r>
      <w:r>
        <w:rPr>
          <w:sz w:val="16"/>
          <w:szCs w:val="16"/>
        </w:rPr>
        <w:t>ergleiche Dokument CAJ/69/12 „Bericht über die Entschließungen“ Absatz 77</w:t>
      </w:r>
      <w:r w:rsidR="009C7E5D">
        <w:rPr>
          <w:sz w:val="16"/>
          <w:szCs w:val="16"/>
        </w:rPr>
        <w:t>.</w:t>
      </w:r>
      <w:r>
        <w:t xml:space="preserve"> </w:t>
      </w:r>
    </w:p>
  </w:footnote>
  <w:footnote w:id="4">
    <w:p w:rsidR="00F80C45" w:rsidRDefault="00F80C45">
      <w:pPr>
        <w:pStyle w:val="FootnoteText"/>
      </w:pPr>
      <w:r>
        <w:rPr>
          <w:rStyle w:val="FootnoteReference"/>
        </w:rPr>
        <w:footnoteRef/>
      </w:r>
      <w:r w:rsidR="009C7E5D">
        <w:t xml:space="preserve"> V</w:t>
      </w:r>
      <w:r>
        <w:t>ergleiche Dokument CAJ/68/10 „Bericht über</w:t>
      </w:r>
      <w:r w:rsidR="009C7E5D">
        <w:t xml:space="preserve"> die Entschließungen“ Absatz 40.</w:t>
      </w:r>
    </w:p>
  </w:footnote>
  <w:footnote w:id="5">
    <w:p w:rsidR="00F80C45" w:rsidRDefault="00F80C45">
      <w:pPr>
        <w:pStyle w:val="FootnoteText"/>
      </w:pPr>
      <w:r>
        <w:rPr>
          <w:rStyle w:val="FootnoteReference"/>
        </w:rPr>
        <w:footnoteRef/>
      </w:r>
      <w:r w:rsidR="009C7E5D">
        <w:t xml:space="preserve"> V</w:t>
      </w:r>
      <w:r>
        <w:t>ergleiche Dokument CAJ/68/10 „Bericht über</w:t>
      </w:r>
      <w:r w:rsidR="009C7E5D">
        <w:t xml:space="preserve"> die Entschließungen“ Absatz 41.</w:t>
      </w:r>
    </w:p>
  </w:footnote>
  <w:footnote w:id="6">
    <w:p w:rsidR="00F80C45" w:rsidRDefault="00F80C45">
      <w:pPr>
        <w:pStyle w:val="FootnoteText"/>
      </w:pPr>
      <w:r>
        <w:rPr>
          <w:rStyle w:val="FootnoteReference"/>
        </w:rPr>
        <w:footnoteRef/>
      </w:r>
      <w:r w:rsidR="009C7E5D">
        <w:t xml:space="preserve"> V</w:t>
      </w:r>
      <w:r>
        <w:t>ergleiche Dokument CAJ/68/10 „Bericht über die Entschließungen“ A</w:t>
      </w:r>
      <w:r w:rsidR="009C7E5D">
        <w:t>bsatz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CAJ/70/4</w:t>
    </w:r>
  </w:p>
  <w:p w:rsidR="002F78FA" w:rsidRPr="00997029" w:rsidRDefault="002F78FA" w:rsidP="00E23920">
    <w:pPr>
      <w:jc w:val="center"/>
    </w:pPr>
    <w:r>
      <w:t xml:space="preserve">Seite </w:t>
    </w:r>
    <w:r w:rsidR="00871D18" w:rsidRPr="00997029">
      <w:rPr>
        <w:rStyle w:val="PageNumber"/>
      </w:rPr>
      <w:fldChar w:fldCharType="begin"/>
    </w:r>
    <w:r w:rsidRPr="00997029">
      <w:rPr>
        <w:rStyle w:val="PageNumber"/>
      </w:rPr>
      <w:instrText xml:space="preserve"> PAGE </w:instrText>
    </w:r>
    <w:r w:rsidR="00871D18" w:rsidRPr="00997029">
      <w:rPr>
        <w:rStyle w:val="PageNumber"/>
      </w:rPr>
      <w:fldChar w:fldCharType="separate"/>
    </w:r>
    <w:r w:rsidR="00240F46">
      <w:rPr>
        <w:rStyle w:val="PageNumber"/>
        <w:noProof/>
      </w:rPr>
      <w:t>6</w:t>
    </w:r>
    <w:r w:rsidR="00871D18"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70C4"/>
    <w:multiLevelType w:val="hybridMultilevel"/>
    <w:tmpl w:val="68EA49DC"/>
    <w:lvl w:ilvl="0" w:tplc="08ECA7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17CD48E2"/>
    <w:multiLevelType w:val="hybridMultilevel"/>
    <w:tmpl w:val="D838999A"/>
    <w:lvl w:ilvl="0" w:tplc="040C0017">
      <w:start w:val="1"/>
      <w:numFmt w:val="lowerLetter"/>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
    <w:nsid w:val="3C6F2641"/>
    <w:multiLevelType w:val="hybridMultilevel"/>
    <w:tmpl w:val="BB16F13E"/>
    <w:lvl w:ilvl="0" w:tplc="48680C7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43A6F"/>
    <w:multiLevelType w:val="hybridMultilevel"/>
    <w:tmpl w:val="27AA2B0E"/>
    <w:lvl w:ilvl="0" w:tplc="774ABCDE">
      <w:start w:val="1"/>
      <w:numFmt w:val="lowerLetter"/>
      <w:lvlText w:val="(%1)"/>
      <w:lvlJc w:val="left"/>
      <w:pPr>
        <w:ind w:left="5390" w:hanging="57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nsid w:val="4A3A693D"/>
    <w:multiLevelType w:val="hybridMultilevel"/>
    <w:tmpl w:val="2E888DC0"/>
    <w:lvl w:ilvl="0" w:tplc="40DC9DB2">
      <w:start w:val="1"/>
      <w:numFmt w:val="lowerLetter"/>
      <w:lvlText w:val="(%1)"/>
      <w:lvlJc w:val="left"/>
      <w:pPr>
        <w:ind w:left="5746" w:hanging="360"/>
      </w:pPr>
      <w:rPr>
        <w:rFonts w:hint="default"/>
      </w:rPr>
    </w:lvl>
    <w:lvl w:ilvl="1" w:tplc="04090019" w:tentative="1">
      <w:start w:val="1"/>
      <w:numFmt w:val="lowerLetter"/>
      <w:lvlText w:val="%2."/>
      <w:lvlJc w:val="left"/>
      <w:pPr>
        <w:ind w:left="6466" w:hanging="360"/>
      </w:pPr>
    </w:lvl>
    <w:lvl w:ilvl="2" w:tplc="0409001B" w:tentative="1">
      <w:start w:val="1"/>
      <w:numFmt w:val="lowerRoman"/>
      <w:lvlText w:val="%3."/>
      <w:lvlJc w:val="right"/>
      <w:pPr>
        <w:ind w:left="7186" w:hanging="180"/>
      </w:pPr>
    </w:lvl>
    <w:lvl w:ilvl="3" w:tplc="0409000F" w:tentative="1">
      <w:start w:val="1"/>
      <w:numFmt w:val="decimal"/>
      <w:lvlText w:val="%4."/>
      <w:lvlJc w:val="left"/>
      <w:pPr>
        <w:ind w:left="7906" w:hanging="360"/>
      </w:pPr>
    </w:lvl>
    <w:lvl w:ilvl="4" w:tplc="04090019" w:tentative="1">
      <w:start w:val="1"/>
      <w:numFmt w:val="lowerLetter"/>
      <w:lvlText w:val="%5."/>
      <w:lvlJc w:val="left"/>
      <w:pPr>
        <w:ind w:left="8626" w:hanging="360"/>
      </w:pPr>
    </w:lvl>
    <w:lvl w:ilvl="5" w:tplc="0409001B" w:tentative="1">
      <w:start w:val="1"/>
      <w:numFmt w:val="lowerRoman"/>
      <w:lvlText w:val="%6."/>
      <w:lvlJc w:val="right"/>
      <w:pPr>
        <w:ind w:left="9346" w:hanging="180"/>
      </w:pPr>
    </w:lvl>
    <w:lvl w:ilvl="6" w:tplc="0409000F" w:tentative="1">
      <w:start w:val="1"/>
      <w:numFmt w:val="decimal"/>
      <w:lvlText w:val="%7."/>
      <w:lvlJc w:val="left"/>
      <w:pPr>
        <w:ind w:left="10066" w:hanging="360"/>
      </w:pPr>
    </w:lvl>
    <w:lvl w:ilvl="7" w:tplc="04090019" w:tentative="1">
      <w:start w:val="1"/>
      <w:numFmt w:val="lowerLetter"/>
      <w:lvlText w:val="%8."/>
      <w:lvlJc w:val="left"/>
      <w:pPr>
        <w:ind w:left="10786" w:hanging="360"/>
      </w:pPr>
    </w:lvl>
    <w:lvl w:ilvl="8" w:tplc="0409001B" w:tentative="1">
      <w:start w:val="1"/>
      <w:numFmt w:val="lowerRoman"/>
      <w:lvlText w:val="%9."/>
      <w:lvlJc w:val="right"/>
      <w:pPr>
        <w:ind w:left="11506" w:hanging="180"/>
      </w:pPr>
    </w:lvl>
  </w:abstractNum>
  <w:abstractNum w:abstractNumId="6">
    <w:nsid w:val="60920F01"/>
    <w:multiLevelType w:val="hybridMultilevel"/>
    <w:tmpl w:val="9BBE375C"/>
    <w:lvl w:ilvl="0" w:tplc="29A4C40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68973F82"/>
    <w:multiLevelType w:val="hybridMultilevel"/>
    <w:tmpl w:val="1FD225CC"/>
    <w:lvl w:ilvl="0" w:tplc="B61612CA">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numFmt w:val="lowerLetter"/>
    <w:footnote w:id="-1"/>
    <w:footnote w:id="0"/>
    <w:footnote w:id="1"/>
  </w:footnotePr>
  <w:endnotePr>
    <w:numFmt w:val="lowerLetter"/>
    <w:endnote w:id="-1"/>
    <w:endnote w:id="0"/>
    <w:endnote w:id="1"/>
  </w:endnotePr>
  <w:compat>
    <w:suppressSpBfAfterPgBrk/>
    <w:compatSetting w:name="compatibilityMode" w:uri="http://schemas.microsoft.com/office/word" w:val="12"/>
  </w:compat>
  <w:rsids>
    <w:rsidRoot w:val="00F32656"/>
    <w:rsid w:val="00001380"/>
    <w:rsid w:val="00001D48"/>
    <w:rsid w:val="00010CF3"/>
    <w:rsid w:val="00011E27"/>
    <w:rsid w:val="000148BC"/>
    <w:rsid w:val="00024AB8"/>
    <w:rsid w:val="00036028"/>
    <w:rsid w:val="00037B93"/>
    <w:rsid w:val="000446B9"/>
    <w:rsid w:val="00047E21"/>
    <w:rsid w:val="0006472C"/>
    <w:rsid w:val="00064796"/>
    <w:rsid w:val="00085505"/>
    <w:rsid w:val="00097D78"/>
    <w:rsid w:val="000C450F"/>
    <w:rsid w:val="000C7021"/>
    <w:rsid w:val="000D492E"/>
    <w:rsid w:val="000D6BBC"/>
    <w:rsid w:val="000D7780"/>
    <w:rsid w:val="00102E71"/>
    <w:rsid w:val="00105929"/>
    <w:rsid w:val="00110481"/>
    <w:rsid w:val="001131D5"/>
    <w:rsid w:val="00141DB8"/>
    <w:rsid w:val="00155F6F"/>
    <w:rsid w:val="0017474A"/>
    <w:rsid w:val="001758C6"/>
    <w:rsid w:val="00190B81"/>
    <w:rsid w:val="001C3DF3"/>
    <w:rsid w:val="001D483F"/>
    <w:rsid w:val="001F1F2A"/>
    <w:rsid w:val="001F67A6"/>
    <w:rsid w:val="0021332C"/>
    <w:rsid w:val="00213982"/>
    <w:rsid w:val="00237C7D"/>
    <w:rsid w:val="00240F46"/>
    <w:rsid w:val="0024416D"/>
    <w:rsid w:val="0027309C"/>
    <w:rsid w:val="002800A0"/>
    <w:rsid w:val="00281060"/>
    <w:rsid w:val="0029439F"/>
    <w:rsid w:val="002A551B"/>
    <w:rsid w:val="002A6E50"/>
    <w:rsid w:val="002C256A"/>
    <w:rsid w:val="002D70DD"/>
    <w:rsid w:val="002E7BA1"/>
    <w:rsid w:val="002F78FA"/>
    <w:rsid w:val="00305A7F"/>
    <w:rsid w:val="003152FE"/>
    <w:rsid w:val="00327436"/>
    <w:rsid w:val="00344BD6"/>
    <w:rsid w:val="0035528D"/>
    <w:rsid w:val="00361821"/>
    <w:rsid w:val="00376C56"/>
    <w:rsid w:val="00397154"/>
    <w:rsid w:val="003A0A5A"/>
    <w:rsid w:val="003A17C8"/>
    <w:rsid w:val="003B7082"/>
    <w:rsid w:val="003C563E"/>
    <w:rsid w:val="003D227C"/>
    <w:rsid w:val="003D2B4D"/>
    <w:rsid w:val="003D6DAF"/>
    <w:rsid w:val="003E67F8"/>
    <w:rsid w:val="003F1037"/>
    <w:rsid w:val="003F6136"/>
    <w:rsid w:val="00427139"/>
    <w:rsid w:val="0043748B"/>
    <w:rsid w:val="00444A88"/>
    <w:rsid w:val="00446BC2"/>
    <w:rsid w:val="00474DA4"/>
    <w:rsid w:val="0048751F"/>
    <w:rsid w:val="004D047D"/>
    <w:rsid w:val="004D1617"/>
    <w:rsid w:val="004F0A25"/>
    <w:rsid w:val="004F305A"/>
    <w:rsid w:val="00512164"/>
    <w:rsid w:val="005121A6"/>
    <w:rsid w:val="00520297"/>
    <w:rsid w:val="00524038"/>
    <w:rsid w:val="005338F9"/>
    <w:rsid w:val="0054281C"/>
    <w:rsid w:val="0055268D"/>
    <w:rsid w:val="00572E44"/>
    <w:rsid w:val="00576BE4"/>
    <w:rsid w:val="005A400A"/>
    <w:rsid w:val="005D2E37"/>
    <w:rsid w:val="0060018F"/>
    <w:rsid w:val="00612379"/>
    <w:rsid w:val="0061555F"/>
    <w:rsid w:val="00630A8B"/>
    <w:rsid w:val="006350AB"/>
    <w:rsid w:val="00636AAE"/>
    <w:rsid w:val="00641200"/>
    <w:rsid w:val="00663ED8"/>
    <w:rsid w:val="00664515"/>
    <w:rsid w:val="00687EB4"/>
    <w:rsid w:val="006B130D"/>
    <w:rsid w:val="006B17D2"/>
    <w:rsid w:val="006B3A1C"/>
    <w:rsid w:val="006B45FA"/>
    <w:rsid w:val="006C224E"/>
    <w:rsid w:val="00732DEC"/>
    <w:rsid w:val="00735BD5"/>
    <w:rsid w:val="0075117E"/>
    <w:rsid w:val="007556F6"/>
    <w:rsid w:val="00760EEF"/>
    <w:rsid w:val="0076602F"/>
    <w:rsid w:val="00777EE5"/>
    <w:rsid w:val="00784836"/>
    <w:rsid w:val="0079023E"/>
    <w:rsid w:val="007B6894"/>
    <w:rsid w:val="007C6639"/>
    <w:rsid w:val="007D0B9D"/>
    <w:rsid w:val="007D19B0"/>
    <w:rsid w:val="007F498F"/>
    <w:rsid w:val="007F5980"/>
    <w:rsid w:val="007F741C"/>
    <w:rsid w:val="0080679D"/>
    <w:rsid w:val="008108B0"/>
    <w:rsid w:val="00811B20"/>
    <w:rsid w:val="0082296E"/>
    <w:rsid w:val="00824099"/>
    <w:rsid w:val="00836E88"/>
    <w:rsid w:val="00855DBD"/>
    <w:rsid w:val="00867AC1"/>
    <w:rsid w:val="00871D18"/>
    <w:rsid w:val="008837CE"/>
    <w:rsid w:val="008A395B"/>
    <w:rsid w:val="008A743F"/>
    <w:rsid w:val="008B129D"/>
    <w:rsid w:val="008B51D0"/>
    <w:rsid w:val="008C0970"/>
    <w:rsid w:val="008D2CF7"/>
    <w:rsid w:val="008D2FC8"/>
    <w:rsid w:val="008E793E"/>
    <w:rsid w:val="00900C26"/>
    <w:rsid w:val="0090197F"/>
    <w:rsid w:val="00906DDC"/>
    <w:rsid w:val="00934E09"/>
    <w:rsid w:val="00936253"/>
    <w:rsid w:val="0095226C"/>
    <w:rsid w:val="00970FED"/>
    <w:rsid w:val="009870BF"/>
    <w:rsid w:val="00997029"/>
    <w:rsid w:val="009B3E98"/>
    <w:rsid w:val="009C1193"/>
    <w:rsid w:val="009C7E5D"/>
    <w:rsid w:val="009D0DE5"/>
    <w:rsid w:val="009D1C08"/>
    <w:rsid w:val="009D690D"/>
    <w:rsid w:val="009D7B76"/>
    <w:rsid w:val="009E65A2"/>
    <w:rsid w:val="009E65B6"/>
    <w:rsid w:val="009F776E"/>
    <w:rsid w:val="00A12D06"/>
    <w:rsid w:val="00A42AC3"/>
    <w:rsid w:val="00A430CF"/>
    <w:rsid w:val="00A54309"/>
    <w:rsid w:val="00A6303F"/>
    <w:rsid w:val="00A83973"/>
    <w:rsid w:val="00A87649"/>
    <w:rsid w:val="00AA5EB1"/>
    <w:rsid w:val="00AB2B93"/>
    <w:rsid w:val="00AE0EF1"/>
    <w:rsid w:val="00B01D13"/>
    <w:rsid w:val="00B07301"/>
    <w:rsid w:val="00B224DE"/>
    <w:rsid w:val="00B605A8"/>
    <w:rsid w:val="00B84BBD"/>
    <w:rsid w:val="00BA43FB"/>
    <w:rsid w:val="00BC127D"/>
    <w:rsid w:val="00BC1FE6"/>
    <w:rsid w:val="00BC2064"/>
    <w:rsid w:val="00BD4C24"/>
    <w:rsid w:val="00BF43D9"/>
    <w:rsid w:val="00C061B6"/>
    <w:rsid w:val="00C21DBF"/>
    <w:rsid w:val="00C2446C"/>
    <w:rsid w:val="00C36AE5"/>
    <w:rsid w:val="00C41F17"/>
    <w:rsid w:val="00C54BF4"/>
    <w:rsid w:val="00C5791C"/>
    <w:rsid w:val="00C66290"/>
    <w:rsid w:val="00C72B7A"/>
    <w:rsid w:val="00C973F2"/>
    <w:rsid w:val="00CA774A"/>
    <w:rsid w:val="00CC11B0"/>
    <w:rsid w:val="00CF7E36"/>
    <w:rsid w:val="00D233D8"/>
    <w:rsid w:val="00D24210"/>
    <w:rsid w:val="00D3708D"/>
    <w:rsid w:val="00D40426"/>
    <w:rsid w:val="00D40CC4"/>
    <w:rsid w:val="00D541EC"/>
    <w:rsid w:val="00D57C96"/>
    <w:rsid w:val="00D62150"/>
    <w:rsid w:val="00D91203"/>
    <w:rsid w:val="00D95174"/>
    <w:rsid w:val="00D95A5C"/>
    <w:rsid w:val="00DA6F36"/>
    <w:rsid w:val="00DB2BE5"/>
    <w:rsid w:val="00DC00EA"/>
    <w:rsid w:val="00DF0767"/>
    <w:rsid w:val="00E23920"/>
    <w:rsid w:val="00E40A1F"/>
    <w:rsid w:val="00E72D49"/>
    <w:rsid w:val="00E7593C"/>
    <w:rsid w:val="00E7678A"/>
    <w:rsid w:val="00E80D8E"/>
    <w:rsid w:val="00E935F1"/>
    <w:rsid w:val="00E94A81"/>
    <w:rsid w:val="00EA1FFB"/>
    <w:rsid w:val="00EB048E"/>
    <w:rsid w:val="00EB3EFA"/>
    <w:rsid w:val="00EC4922"/>
    <w:rsid w:val="00ED786F"/>
    <w:rsid w:val="00EE2D14"/>
    <w:rsid w:val="00EF2F89"/>
    <w:rsid w:val="00EF3B63"/>
    <w:rsid w:val="00F03B03"/>
    <w:rsid w:val="00F04DEB"/>
    <w:rsid w:val="00F1237A"/>
    <w:rsid w:val="00F21342"/>
    <w:rsid w:val="00F22CBD"/>
    <w:rsid w:val="00F32656"/>
    <w:rsid w:val="00F32FC6"/>
    <w:rsid w:val="00F37961"/>
    <w:rsid w:val="00F53615"/>
    <w:rsid w:val="00F60D4D"/>
    <w:rsid w:val="00F6334D"/>
    <w:rsid w:val="00F80C45"/>
    <w:rsid w:val="00FA49AB"/>
    <w:rsid w:val="00FB0D37"/>
    <w:rsid w:val="00FB4349"/>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2A551B"/>
    <w:pPr>
      <w:tabs>
        <w:tab w:val="left" w:pos="1134"/>
        <w:tab w:val="right" w:leader="dot" w:pos="9639"/>
      </w:tabs>
      <w:spacing w:before="120"/>
      <w:ind w:left="567"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1D483F"/>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1D483F"/>
    <w:rPr>
      <w:rFonts w:ascii="Arial" w:hAnsi="Arial"/>
      <w:caps/>
    </w:rPr>
  </w:style>
  <w:style w:type="character" w:customStyle="1" w:styleId="Heading2Char">
    <w:name w:val="Heading 2 Char"/>
    <w:basedOn w:val="DefaultParagraphFont"/>
    <w:link w:val="Heading2"/>
    <w:rsid w:val="001D483F"/>
    <w:rPr>
      <w:rFonts w:ascii="Arial" w:hAnsi="Arial"/>
      <w:u w:val="single"/>
    </w:rPr>
  </w:style>
  <w:style w:type="character" w:customStyle="1" w:styleId="HeaderChar">
    <w:name w:val="Header Char"/>
    <w:basedOn w:val="DefaultParagraphFont"/>
    <w:link w:val="Header"/>
    <w:rsid w:val="001D483F"/>
    <w:rPr>
      <w:rFonts w:ascii="Arial" w:hAnsi="Arial"/>
      <w:lang w:val="de-DE"/>
    </w:rPr>
  </w:style>
  <w:style w:type="character" w:customStyle="1" w:styleId="DecisionParagraphsChar">
    <w:name w:val="DecisionParagraphs Char"/>
    <w:basedOn w:val="DefaultParagraphFont"/>
    <w:link w:val="DecisionParagraphs"/>
    <w:rsid w:val="001D483F"/>
    <w:rPr>
      <w:rFonts w:ascii="Arial" w:hAnsi="Arial"/>
      <w:i/>
    </w:rPr>
  </w:style>
  <w:style w:type="paragraph" w:styleId="ListParagraph">
    <w:name w:val="List Paragraph"/>
    <w:basedOn w:val="Normal"/>
    <w:uiPriority w:val="34"/>
    <w:qFormat/>
    <w:rsid w:val="00F03B03"/>
    <w:pPr>
      <w:ind w:left="720"/>
      <w:contextualSpacing/>
    </w:pPr>
  </w:style>
  <w:style w:type="table" w:styleId="TableGrid">
    <w:name w:val="Table Grid"/>
    <w:basedOn w:val="TableNormal"/>
    <w:rsid w:val="0076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2A551B"/>
    <w:pPr>
      <w:tabs>
        <w:tab w:val="left" w:pos="1134"/>
        <w:tab w:val="right" w:leader="dot" w:pos="9639"/>
      </w:tabs>
      <w:spacing w:before="120"/>
      <w:ind w:left="567"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D483F"/>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1D483F"/>
    <w:rPr>
      <w:rFonts w:ascii="Arial" w:hAnsi="Arial"/>
      <w:caps/>
    </w:rPr>
  </w:style>
  <w:style w:type="character" w:customStyle="1" w:styleId="Heading2Char">
    <w:name w:val="Heading 2 Char"/>
    <w:basedOn w:val="DefaultParagraphFont"/>
    <w:link w:val="Heading2"/>
    <w:rsid w:val="001D483F"/>
    <w:rPr>
      <w:rFonts w:ascii="Arial" w:hAnsi="Arial"/>
      <w:u w:val="single"/>
    </w:rPr>
  </w:style>
  <w:style w:type="character" w:customStyle="1" w:styleId="HeaderChar">
    <w:name w:val="Header Char"/>
    <w:basedOn w:val="DefaultParagraphFont"/>
    <w:link w:val="Header"/>
    <w:rsid w:val="001D483F"/>
    <w:rPr>
      <w:rFonts w:ascii="Arial" w:hAnsi="Arial"/>
      <w:lang w:val="fr-FR"/>
    </w:rPr>
  </w:style>
  <w:style w:type="character" w:customStyle="1" w:styleId="DecisionParagraphsChar">
    <w:name w:val="DecisionParagraphs Char"/>
    <w:basedOn w:val="DefaultParagraphFont"/>
    <w:link w:val="DecisionParagraphs"/>
    <w:rsid w:val="001D483F"/>
    <w:rPr>
      <w:rFonts w:ascii="Arial" w:hAnsi="Arial"/>
      <w:i/>
    </w:rPr>
  </w:style>
  <w:style w:type="paragraph" w:styleId="ListParagraph">
    <w:name w:val="List Paragraph"/>
    <w:basedOn w:val="Normal"/>
    <w:uiPriority w:val="34"/>
    <w:qFormat/>
    <w:rsid w:val="00F03B03"/>
    <w:pPr>
      <w:ind w:left="720"/>
      <w:contextualSpacing/>
    </w:pPr>
  </w:style>
  <w:style w:type="table" w:styleId="TableGrid">
    <w:name w:val="Table Grid"/>
    <w:basedOn w:val="TableNormal"/>
    <w:rsid w:val="0076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156">
      <w:bodyDiv w:val="1"/>
      <w:marLeft w:val="0"/>
      <w:marRight w:val="0"/>
      <w:marTop w:val="0"/>
      <w:marBottom w:val="0"/>
      <w:divBdr>
        <w:top w:val="none" w:sz="0" w:space="0" w:color="auto"/>
        <w:left w:val="none" w:sz="0" w:space="0" w:color="auto"/>
        <w:bottom w:val="none" w:sz="0" w:space="0" w:color="auto"/>
        <w:right w:val="none" w:sz="0" w:space="0" w:color="auto"/>
      </w:divBdr>
    </w:div>
    <w:div w:id="987901799">
      <w:bodyDiv w:val="1"/>
      <w:marLeft w:val="0"/>
      <w:marRight w:val="0"/>
      <w:marTop w:val="0"/>
      <w:marBottom w:val="0"/>
      <w:divBdr>
        <w:top w:val="none" w:sz="0" w:space="0" w:color="auto"/>
        <w:left w:val="none" w:sz="0" w:space="0" w:color="auto"/>
        <w:bottom w:val="none" w:sz="0" w:space="0" w:color="auto"/>
        <w:right w:val="none" w:sz="0" w:space="0" w:color="auto"/>
      </w:divBdr>
    </w:div>
    <w:div w:id="1503006366">
      <w:bodyDiv w:val="1"/>
      <w:marLeft w:val="0"/>
      <w:marRight w:val="0"/>
      <w:marTop w:val="0"/>
      <w:marBottom w:val="0"/>
      <w:divBdr>
        <w:top w:val="none" w:sz="0" w:space="0" w:color="auto"/>
        <w:left w:val="none" w:sz="0" w:space="0" w:color="auto"/>
        <w:bottom w:val="none" w:sz="0" w:space="0" w:color="auto"/>
        <w:right w:val="none" w:sz="0" w:space="0" w:color="auto"/>
      </w:divBdr>
    </w:div>
    <w:div w:id="1548643232">
      <w:bodyDiv w:val="1"/>
      <w:marLeft w:val="0"/>
      <w:marRight w:val="0"/>
      <w:marTop w:val="0"/>
      <w:marBottom w:val="0"/>
      <w:divBdr>
        <w:top w:val="none" w:sz="0" w:space="0" w:color="auto"/>
        <w:left w:val="none" w:sz="0" w:space="0" w:color="auto"/>
        <w:bottom w:val="none" w:sz="0" w:space="0" w:color="auto"/>
        <w:right w:val="none" w:sz="0" w:space="0" w:color="auto"/>
      </w:divBdr>
    </w:div>
    <w:div w:id="167406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F2FB-9010-4C09-83A0-EFE4C462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CAJ_70_EN.dotx</Template>
  <TotalTime>62</TotalTime>
  <Pages>5</Pages>
  <Words>1270</Words>
  <Characters>7242</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CAJ/70/</vt:lpstr>
      <vt:lpstr>CAJ/70/</vt:lpstr>
    </vt:vector>
  </TitlesOfParts>
  <Company>UPOV</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12</cp:revision>
  <cp:lastPrinted>2014-09-04T09:33:00Z</cp:lastPrinted>
  <dcterms:created xsi:type="dcterms:W3CDTF">2014-08-23T07:41:00Z</dcterms:created>
  <dcterms:modified xsi:type="dcterms:W3CDTF">2014-09-05T12:58:00Z</dcterms:modified>
</cp:coreProperties>
</file>