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03D7D295" wp14:editId="09B65CB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F37961" w:rsidP="00474DA4">
            <w:pPr>
              <w:pStyle w:val="Docoriginal"/>
              <w:jc w:val="left"/>
            </w:pPr>
            <w:r>
              <w:t>CAJ/70/</w:t>
            </w:r>
            <w:bookmarkStart w:id="0" w:name="Code"/>
            <w:bookmarkEnd w:id="0"/>
            <w:r>
              <w:t>2</w:t>
            </w:r>
          </w:p>
          <w:p w:rsidR="000D7780" w:rsidRPr="00735BD5"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EB3EFA" w:rsidRDefault="000D7780" w:rsidP="005155A4">
            <w:pPr>
              <w:pStyle w:val="Docoriginal"/>
              <w:jc w:val="left"/>
              <w:rPr>
                <w:b w:val="0"/>
                <w:spacing w:val="0"/>
                <w:highlight w:val="cyan"/>
              </w:rPr>
            </w:pPr>
            <w:r>
              <w:t>DATUM:</w:t>
            </w:r>
            <w:r>
              <w:rPr>
                <w:b w:val="0"/>
                <w:spacing w:val="0"/>
              </w:rPr>
              <w:t xml:space="preserve"> </w:t>
            </w:r>
            <w:bookmarkStart w:id="2" w:name="Date"/>
            <w:bookmarkEnd w:id="2"/>
            <w:r w:rsidR="00437FC7">
              <w:rPr>
                <w:rStyle w:val="StyleDocoriginalNotBold1"/>
                <w:spacing w:val="0"/>
              </w:rPr>
              <w:t>10</w:t>
            </w:r>
            <w:r>
              <w:rPr>
                <w:rStyle w:val="StyleDocoriginalNotBold1"/>
                <w:spacing w:val="0"/>
              </w:rPr>
              <w:t xml:space="preserve">. </w:t>
            </w:r>
            <w:r w:rsidR="005155A4">
              <w:rPr>
                <w:rStyle w:val="StyleDocoriginalNotBold1"/>
                <w:spacing w:val="0"/>
              </w:rPr>
              <w:t xml:space="preserve">September </w:t>
            </w:r>
            <w:r>
              <w:rPr>
                <w:rStyle w:val="StyleDocoriginalNotBold1"/>
                <w:spacing w:val="0"/>
              </w:rPr>
              <w:t>2014</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Siebzigste Tagung</w:t>
      </w:r>
      <w:r>
        <w:br/>
        <w:t>Genf, 13. Oktober 2014</w:t>
      </w:r>
    </w:p>
    <w:p w:rsidR="000D7780" w:rsidRPr="00997029" w:rsidRDefault="00F32656" w:rsidP="0080679D">
      <w:pPr>
        <w:pStyle w:val="Titleofdoc0"/>
      </w:pPr>
      <w:bookmarkStart w:id="3" w:name="TitleOfDoc"/>
      <w:bookmarkEnd w:id="3"/>
      <w:r>
        <w:t>Ausarbeitung von Informationsmaterial</w:t>
      </w:r>
      <w:r w:rsidR="00DA57AF">
        <w:t>IEN</w:t>
      </w:r>
      <w:r>
        <w:t xml:space="preserve"> zum UPOV-Übereinkommen</w:t>
      </w:r>
    </w:p>
    <w:p w:rsidR="000D7780" w:rsidRPr="00997029" w:rsidRDefault="00AE0EF1" w:rsidP="0080679D">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C57DAB" w:rsidRDefault="00EF40BA" w:rsidP="00C57DAB">
      <w:pPr>
        <w:jc w:val="left"/>
        <w:rPr>
          <w:rFonts w:cs="Arial"/>
          <w:b/>
          <w:snapToGrid w:val="0"/>
        </w:rPr>
      </w:pPr>
      <w:r>
        <w:rPr>
          <w:b/>
          <w:snapToGrid w:val="0"/>
        </w:rPr>
        <w:t>Zusammenfassung</w:t>
      </w:r>
      <w:r>
        <w:rPr>
          <w:rStyle w:val="EndnoteReference"/>
          <w:b/>
          <w:snapToGrid w:val="0"/>
        </w:rPr>
        <w:endnoteReference w:id="2"/>
      </w:r>
    </w:p>
    <w:p w:rsidR="00C57DAB" w:rsidRDefault="00C57DAB" w:rsidP="00C57DAB">
      <w:pPr>
        <w:jc w:val="left"/>
        <w:rPr>
          <w:rFonts w:cs="Arial"/>
          <w:b/>
          <w:snapToGrid w:val="0"/>
        </w:rPr>
      </w:pPr>
    </w:p>
    <w:p w:rsidR="002925E2" w:rsidRDefault="00826636" w:rsidP="00BB3B30">
      <w:r w:rsidRPr="005C5D7E">
        <w:fldChar w:fldCharType="begin"/>
      </w:r>
      <w:r w:rsidRPr="005C5D7E">
        <w:instrText xml:space="preserve"> AUTONUM  </w:instrText>
      </w:r>
      <w:r w:rsidRPr="005C5D7E">
        <w:fldChar w:fldCharType="end"/>
      </w:r>
      <w:r w:rsidR="00282985">
        <w:tab/>
      </w:r>
      <w:r>
        <w:t>Zweck dieses Dokuments ist</w:t>
      </w:r>
      <w:r w:rsidR="00282985">
        <w:t xml:space="preserve"> es</w:t>
      </w:r>
      <w:r>
        <w:t>, einen Bericht zur Information über das Programm für die Entwicklung von Informationsmaterialien bereitzustellen.</w:t>
      </w:r>
    </w:p>
    <w:p w:rsidR="00F81DB3" w:rsidRPr="005C5D7E" w:rsidRDefault="00F81DB3" w:rsidP="00BB3B30"/>
    <w:p w:rsidR="005B6F20" w:rsidRDefault="005C5D7E" w:rsidP="00BB3B30">
      <w:r w:rsidRPr="005C5D7E">
        <w:fldChar w:fldCharType="begin"/>
      </w:r>
      <w:r w:rsidRPr="005C5D7E">
        <w:instrText xml:space="preserve"> AUTONUM  </w:instrText>
      </w:r>
      <w:r w:rsidRPr="005C5D7E">
        <w:fldChar w:fldCharType="end"/>
      </w:r>
      <w:r>
        <w:tab/>
        <w:t xml:space="preserve">Insbesondere wird in diesem Dokument berichtet, daß:  </w:t>
      </w:r>
    </w:p>
    <w:p w:rsidR="001B56EB" w:rsidRPr="005C5D7E" w:rsidRDefault="001B56EB" w:rsidP="00BB3B30"/>
    <w:p w:rsidR="00997A07" w:rsidRPr="001B56EB" w:rsidRDefault="005B6F20" w:rsidP="00F81DB3">
      <w:pPr>
        <w:pStyle w:val="ListParagraph"/>
        <w:numPr>
          <w:ilvl w:val="0"/>
          <w:numId w:val="9"/>
        </w:numPr>
        <w:ind w:left="0" w:firstLine="567"/>
        <w:rPr>
          <w:szCs w:val="24"/>
        </w:rPr>
      </w:pPr>
      <w:r>
        <w:t xml:space="preserve">neue Entwürfe der Erläuterungen zu Vermehrung und Vermehrungsmaterial, Erntegut, im wesentlichen abgeleitete Sorten, Aufhebung, Nichtigkeit, Sortenbezeichnungen und vorläufiger Schutz im Mai 2014 verbreitet wurden und Anmerkungen bei den Mitgliedern und Beobachtern des CAJ eingegangen seien; auf der Grundlage der erhaltenen Anmerkungen neue Entwürfe der oben aufgeführten Erläuterungen bis 29. August 2014 veröffentlicht werden, die von der CAJ-AG auf ihrer neunten Tagung am 14. und 17. Oktober 2014 geprüft würden; </w:t>
      </w:r>
      <w:r w:rsidR="00282985">
        <w:t xml:space="preserve">dem CAJ auf seiner einundsiebzigsten Tagung im März 2015 </w:t>
      </w:r>
      <w:r>
        <w:t>ein Bericht über die Arbeit der CAJ-A</w:t>
      </w:r>
      <w:r w:rsidR="006628A4">
        <w:t xml:space="preserve">G auf ihrer neunten Tagung </w:t>
      </w:r>
      <w:r w:rsidR="00282985">
        <w:t>vorgelegt werde</w:t>
      </w:r>
      <w:r>
        <w:t>; und</w:t>
      </w:r>
    </w:p>
    <w:p w:rsidR="001B56EB" w:rsidRPr="001B56EB" w:rsidRDefault="001B56EB" w:rsidP="001B56EB">
      <w:pPr>
        <w:rPr>
          <w:szCs w:val="24"/>
        </w:rPr>
      </w:pPr>
    </w:p>
    <w:p w:rsidR="00BB3B30" w:rsidRDefault="00BB3B30" w:rsidP="00F81DB3">
      <w:pPr>
        <w:pStyle w:val="ListParagraph"/>
        <w:numPr>
          <w:ilvl w:val="0"/>
          <w:numId w:val="9"/>
        </w:numPr>
        <w:ind w:left="0" w:firstLine="567"/>
      </w:pPr>
      <w:r>
        <w:t>die deutsche, französische und sp</w:t>
      </w:r>
      <w:r w:rsidR="00282985">
        <w:t>anische Fassungen der Beiträge</w:t>
      </w:r>
      <w:r>
        <w:t xml:space="preserve"> des Seminars über im wesentlichen abgeleitete Sorten (UPOV-Veröffentlichung Nr. 358) vom 22. Oktober 2013 in Genf nun auf der UPOV-Website veröffentlicht wurden (</w:t>
      </w:r>
      <w:hyperlink r:id="rId10" w:history="1">
        <w:r w:rsidR="00C72B57" w:rsidRPr="00CB1466">
          <w:rPr>
            <w:rStyle w:val="Hyperlink"/>
          </w:rPr>
          <w:t>http://www.upov.int/meetings/de/details.jsp?meeting_id=29782</w:t>
        </w:r>
      </w:hyperlink>
      <w:r>
        <w:t>).</w:t>
      </w:r>
    </w:p>
    <w:p w:rsidR="00A20EDE" w:rsidRDefault="00A20EDE" w:rsidP="00A20EDE">
      <w:pPr>
        <w:pStyle w:val="ListParagraph"/>
      </w:pPr>
    </w:p>
    <w:p w:rsidR="00BB3B30" w:rsidRDefault="005C5D7E" w:rsidP="00BB3B30">
      <w:pPr>
        <w:pStyle w:val="ListParagraph"/>
        <w:ind w:left="0"/>
        <w:rPr>
          <w:szCs w:val="24"/>
        </w:rPr>
      </w:pPr>
      <w:r w:rsidRPr="005C5D7E">
        <w:fldChar w:fldCharType="begin"/>
      </w:r>
      <w:r w:rsidRPr="005C5D7E">
        <w:instrText xml:space="preserve"> AUTONUM  </w:instrText>
      </w:r>
      <w:r w:rsidRPr="005C5D7E">
        <w:fldChar w:fldCharType="end"/>
      </w:r>
      <w:r w:rsidR="00292728">
        <w:tab/>
      </w:r>
      <w:r>
        <w:t>In dem Dokument wird ferner berichtet, daß Entwicklungen betreffend folgende Angelegenheiten nicht in diesem Dokument, sondern jeweils in den Dokumenten CAJ/70/3 und CAJ/70/5 behandelt werden:</w:t>
      </w:r>
    </w:p>
    <w:p w:rsidR="001B56EB" w:rsidRPr="005C5D7E" w:rsidRDefault="001B56EB" w:rsidP="00BB3B30">
      <w:pPr>
        <w:pStyle w:val="ListParagraph"/>
        <w:ind w:left="0"/>
        <w:rPr>
          <w:szCs w:val="24"/>
        </w:rPr>
      </w:pPr>
    </w:p>
    <w:p w:rsidR="002925E2" w:rsidRDefault="002925E2" w:rsidP="001B56EB">
      <w:pPr>
        <w:pStyle w:val="ListParagraph"/>
        <w:numPr>
          <w:ilvl w:val="0"/>
          <w:numId w:val="11"/>
        </w:numPr>
        <w:ind w:left="0" w:firstLine="567"/>
        <w:rPr>
          <w:szCs w:val="24"/>
        </w:rPr>
      </w:pPr>
      <w:r>
        <w:t>Entwicklungen betreffend die Überarbeitung von Dokument UPOV/INF/5 „UPOV-Musteramtsblatt für Sortenschutz” (vergleiche Dokument CAJ/70/3); und</w:t>
      </w:r>
    </w:p>
    <w:p w:rsidR="002114E4" w:rsidRPr="002114E4" w:rsidRDefault="002114E4" w:rsidP="002114E4">
      <w:pPr>
        <w:rPr>
          <w:szCs w:val="24"/>
        </w:rPr>
      </w:pPr>
    </w:p>
    <w:p w:rsidR="002925E2" w:rsidRPr="005C5D7E" w:rsidRDefault="002925E2" w:rsidP="001B56EB">
      <w:pPr>
        <w:pStyle w:val="ListParagraph"/>
        <w:numPr>
          <w:ilvl w:val="0"/>
          <w:numId w:val="11"/>
        </w:numPr>
        <w:ind w:left="0" w:firstLine="567"/>
        <w:rPr>
          <w:szCs w:val="24"/>
        </w:rPr>
      </w:pPr>
      <w:r>
        <w:t>Entwicklungen betreffend die Überarbeitung von Dokument UPOV/INF/15 „Anleitung über die laufenden Verpflichtungen der Verbandsmitglieder und die damit verbundenen Notifizierungen und über die Erteilung von Auskünften zur Erleichterung der Zusammenarbeit“</w:t>
      </w:r>
      <w:r w:rsidR="00292728" w:rsidRPr="00292728">
        <w:t xml:space="preserve"> </w:t>
      </w:r>
      <w:r w:rsidR="00292728">
        <w:t>(vergleiche Dokument CAJ/70/5)</w:t>
      </w:r>
      <w:r w:rsidR="00282985">
        <w:t>.</w:t>
      </w:r>
      <w:r>
        <w:t xml:space="preserve"> </w:t>
      </w:r>
    </w:p>
    <w:p w:rsidR="002925E2" w:rsidRPr="005C5D7E" w:rsidRDefault="002925E2" w:rsidP="00BB3B30">
      <w:pPr>
        <w:pStyle w:val="ListParagraph"/>
        <w:ind w:left="0"/>
        <w:rPr>
          <w:szCs w:val="24"/>
        </w:rPr>
      </w:pPr>
    </w:p>
    <w:p w:rsidR="005B6F20" w:rsidRPr="005B6F20" w:rsidRDefault="005B6F20" w:rsidP="005B6F20">
      <w:pPr>
        <w:rPr>
          <w:szCs w:val="24"/>
          <w:highlight w:val="yellow"/>
        </w:rPr>
      </w:pPr>
    </w:p>
    <w:p w:rsidR="005B6F20" w:rsidRDefault="005B6F20" w:rsidP="005B6F20">
      <w:pPr>
        <w:rPr>
          <w:szCs w:val="24"/>
          <w:highlight w:val="yellow"/>
        </w:rPr>
      </w:pPr>
    </w:p>
    <w:p w:rsidR="00A20EDE" w:rsidRDefault="00A20EDE" w:rsidP="005B6F20">
      <w:pPr>
        <w:rPr>
          <w:szCs w:val="24"/>
          <w:highlight w:val="yellow"/>
        </w:rPr>
      </w:pPr>
    </w:p>
    <w:p w:rsidR="00A20EDE" w:rsidRDefault="00A20EDE" w:rsidP="005B6F20">
      <w:pPr>
        <w:rPr>
          <w:szCs w:val="24"/>
          <w:highlight w:val="yellow"/>
        </w:rPr>
      </w:pPr>
    </w:p>
    <w:p w:rsidR="00ED4F1C" w:rsidRDefault="00ED4F1C">
      <w:pPr>
        <w:jc w:val="left"/>
        <w:rPr>
          <w:szCs w:val="24"/>
          <w:highlight w:val="yellow"/>
        </w:rPr>
      </w:pPr>
      <w:r>
        <w:br w:type="page"/>
      </w:r>
    </w:p>
    <w:p w:rsidR="005B6F20" w:rsidRPr="00A845F1" w:rsidRDefault="00A845F1" w:rsidP="00B27C88">
      <w:pPr>
        <w:rPr>
          <w:u w:val="single"/>
        </w:rPr>
      </w:pPr>
      <w:r>
        <w:rPr>
          <w:u w:val="single"/>
        </w:rPr>
        <w:lastRenderedPageBreak/>
        <w:t>Inhalt</w:t>
      </w:r>
    </w:p>
    <w:p w:rsidR="00B27C88" w:rsidRDefault="00B27C88" w:rsidP="00B27C88"/>
    <w:p w:rsidR="00DA57AF" w:rsidRDefault="00B27C88" w:rsidP="00DA57AF">
      <w:pPr>
        <w:pStyle w:val="TOC1"/>
        <w:rPr>
          <w:rFonts w:asciiTheme="minorHAnsi" w:eastAsiaTheme="minorEastAsia" w:hAnsiTheme="minorHAnsi" w:cstheme="minorBidi"/>
          <w:sz w:val="22"/>
          <w:szCs w:val="22"/>
          <w:lang w:bidi="ar-SA"/>
        </w:rPr>
      </w:pPr>
      <w:r>
        <w:rPr>
          <w:rFonts w:eastAsia="Arial Unicode MS" w:cs="Arial"/>
          <w:b/>
        </w:rPr>
        <w:fldChar w:fldCharType="begin"/>
      </w:r>
      <w:r>
        <w:rPr>
          <w:rFonts w:eastAsia="Arial Unicode MS" w:cs="Arial"/>
          <w:b/>
        </w:rPr>
        <w:instrText xml:space="preserve"> TOC \o "1-3" \u </w:instrText>
      </w:r>
      <w:r>
        <w:rPr>
          <w:rFonts w:eastAsia="Arial Unicode MS" w:cs="Arial"/>
          <w:b/>
        </w:rPr>
        <w:fldChar w:fldCharType="separate"/>
      </w:r>
      <w:r w:rsidR="00DA57AF">
        <w:t>HINTERGRUND</w:t>
      </w:r>
      <w:r w:rsidR="00DA57AF">
        <w:tab/>
      </w:r>
      <w:r w:rsidR="00DA57AF">
        <w:fldChar w:fldCharType="begin"/>
      </w:r>
      <w:r w:rsidR="00DA57AF">
        <w:instrText xml:space="preserve"> PAGEREF _Toc396908194 \h </w:instrText>
      </w:r>
      <w:r w:rsidR="00DA57AF">
        <w:fldChar w:fldCharType="separate"/>
      </w:r>
      <w:r w:rsidR="00A10CEC">
        <w:t>2</w:t>
      </w:r>
      <w:r w:rsidR="00DA57AF">
        <w:fldChar w:fldCharType="end"/>
      </w:r>
    </w:p>
    <w:p w:rsidR="00DA57AF" w:rsidRDefault="00DA57AF" w:rsidP="00DA57AF">
      <w:pPr>
        <w:pStyle w:val="TOC1"/>
        <w:rPr>
          <w:rFonts w:asciiTheme="minorHAnsi" w:eastAsiaTheme="minorEastAsia" w:hAnsiTheme="minorHAnsi" w:cstheme="minorBidi"/>
          <w:sz w:val="22"/>
          <w:szCs w:val="22"/>
          <w:lang w:bidi="ar-SA"/>
        </w:rPr>
      </w:pPr>
      <w:r>
        <w:t>ÜBERBLICK ÜBER DIE ENTWICKLUNG VON INFORMATIONSMATERIAL</w:t>
      </w:r>
      <w:r>
        <w:tab/>
      </w:r>
      <w:r>
        <w:fldChar w:fldCharType="begin"/>
      </w:r>
      <w:r>
        <w:instrText xml:space="preserve"> PAGEREF _Toc396908195 \h </w:instrText>
      </w:r>
      <w:r>
        <w:fldChar w:fldCharType="separate"/>
      </w:r>
      <w:r w:rsidR="00A10CEC">
        <w:t>2</w:t>
      </w:r>
      <w:r>
        <w:fldChar w:fldCharType="end"/>
      </w:r>
    </w:p>
    <w:p w:rsidR="00DA57AF" w:rsidRDefault="00DA57AF" w:rsidP="00DA57AF">
      <w:pPr>
        <w:pStyle w:val="TOC1"/>
        <w:rPr>
          <w:rFonts w:asciiTheme="minorHAnsi" w:eastAsiaTheme="minorEastAsia" w:hAnsiTheme="minorHAnsi" w:cstheme="minorBidi"/>
          <w:sz w:val="22"/>
          <w:szCs w:val="22"/>
          <w:lang w:bidi="ar-SA"/>
        </w:rPr>
      </w:pPr>
      <w:r>
        <w:t>VON DER CAJ-AG AUF IHRER NEUNTEN TAGUNG ZU PRÜFENDE ANGELEGENHEITEN</w:t>
      </w:r>
      <w:r>
        <w:tab/>
      </w:r>
      <w:r>
        <w:fldChar w:fldCharType="begin"/>
      </w:r>
      <w:r>
        <w:instrText xml:space="preserve"> PAGEREF _Toc396908196 \h </w:instrText>
      </w:r>
      <w:r>
        <w:fldChar w:fldCharType="separate"/>
      </w:r>
      <w:r w:rsidR="00A10CEC">
        <w:t>2</w:t>
      </w:r>
      <w:r>
        <w:fldChar w:fldCharType="end"/>
      </w:r>
    </w:p>
    <w:p w:rsidR="00DA57AF" w:rsidRDefault="00DA57AF" w:rsidP="00DA57AF">
      <w:pPr>
        <w:pStyle w:val="TOC1"/>
        <w:rPr>
          <w:rFonts w:asciiTheme="minorHAnsi" w:eastAsiaTheme="minorEastAsia" w:hAnsiTheme="minorHAnsi" w:cstheme="minorBidi"/>
          <w:sz w:val="22"/>
          <w:szCs w:val="22"/>
          <w:lang w:bidi="ar-SA"/>
        </w:rPr>
      </w:pPr>
      <w:r>
        <w:t>AKTUALISIERUNG VON DOKUMENT UPOV/INF/5 „UPOV-MUSTERAMTSBLATT FÜR SORTENSCHUTZ“</w:t>
      </w:r>
      <w:r>
        <w:tab/>
      </w:r>
      <w:r>
        <w:fldChar w:fldCharType="begin"/>
      </w:r>
      <w:r>
        <w:instrText xml:space="preserve"> PAGEREF _Toc396908197 \h </w:instrText>
      </w:r>
      <w:r>
        <w:fldChar w:fldCharType="separate"/>
      </w:r>
      <w:r w:rsidR="00A10CEC">
        <w:t>4</w:t>
      </w:r>
      <w:r>
        <w:fldChar w:fldCharType="end"/>
      </w:r>
    </w:p>
    <w:p w:rsidR="00DA57AF" w:rsidRDefault="00DA57AF" w:rsidP="00DA57AF">
      <w:pPr>
        <w:pStyle w:val="TOC1"/>
        <w:rPr>
          <w:rFonts w:asciiTheme="minorHAnsi" w:eastAsiaTheme="minorEastAsia" w:hAnsiTheme="minorHAnsi" w:cstheme="minorBidi"/>
          <w:sz w:val="22"/>
          <w:szCs w:val="22"/>
          <w:lang w:bidi="ar-SA"/>
        </w:rPr>
      </w:pPr>
      <w:r>
        <w:t>ÜBERARBEITUNG VON DOKUMENT UPOV/INF/15</w:t>
      </w:r>
      <w:r>
        <w:rPr>
          <w:rFonts w:asciiTheme="minorHAnsi" w:eastAsiaTheme="minorEastAsia" w:hAnsiTheme="minorHAnsi" w:cstheme="minorBidi"/>
          <w:sz w:val="22"/>
          <w:szCs w:val="22"/>
          <w:lang w:bidi="ar-SA"/>
        </w:rPr>
        <w:t xml:space="preserve"> </w:t>
      </w:r>
      <w:r>
        <w:t>„ANLEITUNG ÜBER DIE LAUFENDEN VERPFLICHTUNGEN DER VERBANDSMITGLIEDER UND DIE DAMIT VERBUNDENEN NOTIFIZIERUNGEN UND ÜBER DIE BEREITSTELLUNG VON INFORMATION ZUR VERBESSERUNG DER ZUSAMMENARBEIT“</w:t>
      </w:r>
      <w:r>
        <w:tab/>
      </w:r>
      <w:r>
        <w:fldChar w:fldCharType="begin"/>
      </w:r>
      <w:r>
        <w:instrText xml:space="preserve"> PAGEREF _Toc396908198 \h </w:instrText>
      </w:r>
      <w:r>
        <w:fldChar w:fldCharType="separate"/>
      </w:r>
      <w:r w:rsidR="00A10CEC">
        <w:t>4</w:t>
      </w:r>
      <w:r>
        <w:fldChar w:fldCharType="end"/>
      </w:r>
    </w:p>
    <w:p w:rsidR="00C4340E" w:rsidRPr="00C4340E" w:rsidRDefault="00DA57AF" w:rsidP="00C72B57">
      <w:pPr>
        <w:pStyle w:val="TOC1"/>
        <w:rPr>
          <w:rFonts w:eastAsia="Arial Unicode MS"/>
        </w:rPr>
      </w:pPr>
      <w:r>
        <w:t>BEITRÄGE DES SEMINARS ÜBER IM WESENTLICHEN ABGELEITETE SORTEN IN DEUTSCH, FRANZÖSISCH UND SPANISCH</w:t>
      </w:r>
      <w:r>
        <w:tab/>
      </w:r>
      <w:r>
        <w:fldChar w:fldCharType="begin"/>
      </w:r>
      <w:r>
        <w:instrText xml:space="preserve"> PAGEREF _Toc396908199 \h </w:instrText>
      </w:r>
      <w:r>
        <w:fldChar w:fldCharType="separate"/>
      </w:r>
      <w:r w:rsidR="00A10CEC">
        <w:t>5</w:t>
      </w:r>
      <w:r>
        <w:fldChar w:fldCharType="end"/>
      </w:r>
      <w:r w:rsidR="00B27C88">
        <w:rPr>
          <w:rFonts w:eastAsia="Arial Unicode MS"/>
        </w:rPr>
        <w:fldChar w:fldCharType="end"/>
      </w:r>
    </w:p>
    <w:p w:rsidR="00C72B57" w:rsidRDefault="00C72B57" w:rsidP="005155A4">
      <w:pPr>
        <w:spacing w:line="360" w:lineRule="auto"/>
      </w:pPr>
      <w:bookmarkStart w:id="5" w:name="_Toc395626594"/>
      <w:bookmarkStart w:id="6" w:name="_Toc396908194"/>
    </w:p>
    <w:p w:rsidR="00C72B57" w:rsidRDefault="00C72B57" w:rsidP="00C72B57"/>
    <w:p w:rsidR="00B27C88" w:rsidRPr="001374EC" w:rsidRDefault="00B27C88" w:rsidP="00C72B57">
      <w:r>
        <w:t>HINTERGRUND</w:t>
      </w:r>
      <w:bookmarkEnd w:id="5"/>
      <w:bookmarkEnd w:id="6"/>
    </w:p>
    <w:p w:rsidR="007075EF" w:rsidRPr="001C522C" w:rsidRDefault="007075EF" w:rsidP="00B27C88">
      <w:pPr>
        <w:keepNext/>
        <w:rPr>
          <w:rFonts w:cs="Arial"/>
        </w:rPr>
      </w:pPr>
    </w:p>
    <w:p w:rsidR="00B27C88" w:rsidRPr="001C522C" w:rsidRDefault="00B27C88" w:rsidP="00B27C88">
      <w:r w:rsidRPr="001C522C">
        <w:fldChar w:fldCharType="begin"/>
      </w:r>
      <w:r w:rsidRPr="001C522C">
        <w:instrText xml:space="preserve"> AUTONUM  </w:instrText>
      </w:r>
      <w:r w:rsidRPr="001C522C">
        <w:fldChar w:fldCharType="end"/>
      </w:r>
      <w:r>
        <w:tab/>
        <w:t>Der CAJ</w:t>
      </w:r>
      <w:r>
        <w:rPr>
          <w:rStyle w:val="FootnoteReference"/>
        </w:rPr>
        <w:footnoteReference w:id="2"/>
      </w:r>
      <w:r>
        <w:t xml:space="preserve"> vereinbarte auf seiner zweiundfünfzigsten Tagung vom 24. Oktober 2005 in Genf ein Vorgehen zur Ausarbeitung von Informationsmaterial zum UPOV-Übereinkommen</w:t>
      </w:r>
      <w:r>
        <w:rPr>
          <w:rStyle w:val="FootnoteReference"/>
        </w:rPr>
        <w:footnoteReference w:id="3"/>
      </w:r>
      <w:r>
        <w:t>. Er vereinbarte auch die Einsetzung einer Beratungsgruppe des CAJ (CAJ-AG) zur Unterstützung bei der Ausarbeitung von Dokumenten im Zusammenhang mit diesem Material</w:t>
      </w:r>
      <w:r>
        <w:rPr>
          <w:rStyle w:val="FootnoteReference"/>
        </w:rPr>
        <w:t xml:space="preserve"> </w:t>
      </w:r>
      <w:r>
        <w:rPr>
          <w:rStyle w:val="FootnoteReference"/>
        </w:rPr>
        <w:footnoteReference w:id="4"/>
      </w:r>
      <w:r>
        <w:t>.</w:t>
      </w:r>
    </w:p>
    <w:p w:rsidR="00B27C88" w:rsidRPr="001C522C" w:rsidRDefault="00B27C88" w:rsidP="00B27C88"/>
    <w:p w:rsidR="00DC2B79" w:rsidRDefault="00B27C88" w:rsidP="00B27C88">
      <w:r w:rsidRPr="001C522C">
        <w:fldChar w:fldCharType="begin"/>
      </w:r>
      <w:r w:rsidRPr="001C522C">
        <w:instrText xml:space="preserve"> AUTONUM  </w:instrText>
      </w:r>
      <w:r w:rsidRPr="001C522C">
        <w:fldChar w:fldCharType="end"/>
      </w:r>
      <w:r>
        <w:tab/>
        <w:t>Das vereinbarte Vorgehen wird wie folgt zusammengefaßt: Das Verbandsbüro wird bestimmte Entwürfe von Material ausarbeiten, die seines Erachtens unkomplizierte Aspekte erfassen, und diese an den CAJ verbreiten, der innerhalb einer festgelegten Frist seine Bemerkungen abgibt.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w:t>
      </w:r>
    </w:p>
    <w:p w:rsidR="00B27C88" w:rsidRDefault="00B27C88" w:rsidP="00B27C88"/>
    <w:p w:rsidR="00C72B57" w:rsidRDefault="00C72B57" w:rsidP="00B27C88"/>
    <w:p w:rsidR="00DC2B79" w:rsidRPr="001C522C" w:rsidRDefault="00DC2B79" w:rsidP="00B27C88"/>
    <w:p w:rsidR="00B27C88" w:rsidRPr="000341D8" w:rsidRDefault="00110595" w:rsidP="001374EC">
      <w:pPr>
        <w:pStyle w:val="Heading1"/>
      </w:pPr>
      <w:bookmarkStart w:id="7" w:name="_Toc395626595"/>
      <w:bookmarkStart w:id="8" w:name="_Toc396908195"/>
      <w:r>
        <w:t>ÜBERBLICK ÜBER DIE ENTWICKLUNG VON INFORMATIONSMATERIAL</w:t>
      </w:r>
      <w:bookmarkEnd w:id="7"/>
      <w:bookmarkEnd w:id="8"/>
    </w:p>
    <w:p w:rsidR="007075EF" w:rsidRPr="001C522C" w:rsidRDefault="007075EF" w:rsidP="00B27C88">
      <w:pPr>
        <w:keepNext/>
        <w:rPr>
          <w:rFonts w:cs="Arial"/>
        </w:rPr>
      </w:pPr>
    </w:p>
    <w:p w:rsidR="00B27C88" w:rsidRDefault="00B27C88" w:rsidP="00B27C88">
      <w:pPr>
        <w:rPr>
          <w:rFonts w:cs="Arial"/>
        </w:rPr>
      </w:pPr>
      <w:r>
        <w:rPr>
          <w:rFonts w:cs="Arial"/>
        </w:rPr>
        <w:fldChar w:fldCharType="begin"/>
      </w:r>
      <w:r>
        <w:rPr>
          <w:rFonts w:cs="Arial"/>
        </w:rPr>
        <w:instrText xml:space="preserve"> AUTONUM  </w:instrText>
      </w:r>
      <w:r>
        <w:rPr>
          <w:rFonts w:cs="Arial"/>
        </w:rPr>
        <w:fldChar w:fldCharType="end"/>
      </w:r>
      <w:r>
        <w:tab/>
        <w:t xml:space="preserve">Ein Überblick über die Entwicklung von Informationsmaterial ist in der Anlage dieses Dokuments wiedergegeben.  </w:t>
      </w:r>
    </w:p>
    <w:p w:rsidR="00B27C88" w:rsidRDefault="00B27C88" w:rsidP="00B27C88">
      <w:pPr>
        <w:rPr>
          <w:rFonts w:cs="Arial"/>
        </w:rPr>
      </w:pPr>
    </w:p>
    <w:p w:rsidR="00B27C88" w:rsidRDefault="00B27C88" w:rsidP="00B27C88"/>
    <w:p w:rsidR="00C72B57" w:rsidRPr="00643D59" w:rsidRDefault="00C72B57" w:rsidP="00B27C88"/>
    <w:p w:rsidR="00B27C88" w:rsidRDefault="007E4E4E" w:rsidP="001374EC">
      <w:pPr>
        <w:pStyle w:val="Heading1"/>
      </w:pPr>
      <w:bookmarkStart w:id="9" w:name="_Toc395626596"/>
      <w:bookmarkStart w:id="10" w:name="_Toc396908196"/>
      <w:r>
        <w:t>VON DER CAJ-AG AUF IHRER NEUNTEN TAGUNG ZU PRÜFENDE ANGELEGENHEITEN</w:t>
      </w:r>
      <w:bookmarkEnd w:id="9"/>
      <w:bookmarkEnd w:id="10"/>
    </w:p>
    <w:p w:rsidR="00A845F1" w:rsidRDefault="00A845F1" w:rsidP="00A845F1"/>
    <w:p w:rsidR="00490999" w:rsidRPr="00210134" w:rsidRDefault="00A845F1" w:rsidP="00A845F1">
      <w:pPr>
        <w:rPr>
          <w:snapToGrid w:val="0"/>
        </w:rPr>
      </w:pPr>
      <w:r w:rsidRPr="00210134">
        <w:fldChar w:fldCharType="begin"/>
      </w:r>
      <w:r w:rsidRPr="00210134">
        <w:instrText xml:space="preserve"> AUTONUM  </w:instrText>
      </w:r>
      <w:r w:rsidRPr="00210134">
        <w:fldChar w:fldCharType="end"/>
      </w:r>
      <w:r>
        <w:tab/>
        <w:t>Die CAJ</w:t>
      </w:r>
      <w:r>
        <w:rPr>
          <w:rStyle w:val="FootnoteReference"/>
        </w:rPr>
        <w:footnoteReference w:id="5"/>
      </w:r>
      <w:r>
        <w:t xml:space="preserve"> billigte das Arbeitsprogramm für die Entwicklung von Informationsmaterialien für die neunte Tagung</w:t>
      </w:r>
      <w:r>
        <w:rPr>
          <w:rStyle w:val="FootnoteReference"/>
        </w:rPr>
        <w:footnoteReference w:id="6"/>
      </w:r>
      <w:r w:rsidR="00492BAE">
        <w:t xml:space="preserve"> </w:t>
      </w:r>
      <w:r>
        <w:t>der CAJ</w:t>
      </w:r>
      <w:r>
        <w:noBreakHyphen/>
        <w:t>AG</w:t>
      </w:r>
      <w:r>
        <w:rPr>
          <w:rStyle w:val="FootnoteReference"/>
          <w:snapToGrid w:val="0"/>
        </w:rPr>
        <w:footnoteReference w:id="7"/>
      </w:r>
      <w:r>
        <w:t>.</w:t>
      </w:r>
    </w:p>
    <w:p w:rsidR="00490999" w:rsidRPr="00210134" w:rsidRDefault="00490999" w:rsidP="00A845F1">
      <w:pPr>
        <w:rPr>
          <w:snapToGrid w:val="0"/>
        </w:rPr>
      </w:pPr>
    </w:p>
    <w:p w:rsidR="00A845F1" w:rsidRPr="00210134" w:rsidRDefault="00A845F1" w:rsidP="00C72B57">
      <w:pPr>
        <w:spacing w:after="480"/>
      </w:pPr>
      <w:r w:rsidRPr="00210134">
        <w:rPr>
          <w:rFonts w:cs="Arial"/>
        </w:rPr>
        <w:fldChar w:fldCharType="begin"/>
      </w:r>
      <w:r w:rsidRPr="00210134">
        <w:rPr>
          <w:rFonts w:cs="Arial"/>
        </w:rPr>
        <w:instrText xml:space="preserve"> AUTONUM  </w:instrText>
      </w:r>
      <w:r w:rsidRPr="00210134">
        <w:rPr>
          <w:rFonts w:cs="Arial"/>
        </w:rPr>
        <w:fldChar w:fldCharType="end"/>
      </w:r>
      <w:r>
        <w:tab/>
        <w:t>Der CAJ vereinbarte, daß folgende neue Entwürfe von Erläuterungen bis 9. Mai 2014 an die CAJ-AG zu verbreiten seien und daß Mitglieder und Beobachter des CAJ ebenfalls Gelegenheit haben würden, Bemerkungen abzugeben</w:t>
      </w:r>
      <w:r>
        <w:rPr>
          <w:rStyle w:val="FootnoteReference"/>
        </w:rPr>
        <w:footnoteReference w:id="8"/>
      </w:r>
      <w:r>
        <w:t>:</w:t>
      </w:r>
    </w:p>
    <w:p w:rsidR="00A845F1" w:rsidRPr="00CA1732" w:rsidRDefault="00A845F1" w:rsidP="00CF4D54">
      <w:pPr>
        <w:keepNext/>
        <w:rPr>
          <w:u w:val="single"/>
        </w:rPr>
      </w:pPr>
      <w:r>
        <w:rPr>
          <w:u w:val="single"/>
        </w:rPr>
        <w:lastRenderedPageBreak/>
        <w:t xml:space="preserve">Erläuterungen zu den im wesentlichen abgeleiteten Sorten nach der Akte von 1991 des UPOV-Übereinkommens (Dokument UPOV/EXN/EDV/2 Draft 4) </w:t>
      </w:r>
    </w:p>
    <w:p w:rsidR="00A845F1" w:rsidRPr="00210134" w:rsidRDefault="00A845F1" w:rsidP="00CF4D54">
      <w:pPr>
        <w:keepNext/>
      </w:pPr>
    </w:p>
    <w:p w:rsidR="00954C3C" w:rsidRPr="00210134" w:rsidRDefault="00CA1732" w:rsidP="00CA1732">
      <w:r w:rsidRPr="00C72B57">
        <w:rPr>
          <w:rFonts w:cs="Arial"/>
        </w:rPr>
        <w:fldChar w:fldCharType="begin"/>
      </w:r>
      <w:r w:rsidRPr="00C72B57">
        <w:rPr>
          <w:rFonts w:cs="Arial"/>
        </w:rPr>
        <w:instrText xml:space="preserve"> AUTONUM  </w:instrText>
      </w:r>
      <w:r w:rsidRPr="00C72B57">
        <w:rPr>
          <w:rFonts w:cs="Arial"/>
        </w:rPr>
        <w:fldChar w:fldCharType="end"/>
      </w:r>
      <w:r w:rsidRPr="00C72B57">
        <w:tab/>
        <w:t xml:space="preserve">Es gingen Bemerkungen von </w:t>
      </w:r>
      <w:r w:rsidR="00C72B57">
        <w:t xml:space="preserve">Argentinien, Norwegen, </w:t>
      </w:r>
      <w:r w:rsidRPr="00C72B57">
        <w:t xml:space="preserve">der Vereinigung für Pflanzenzüchtung zum Nutzen der Gesellschaft (APBREBES), der Internationalen Gemeinschaft der Züchter vegetativ vermehrbarer Zier- und Obstpflanzen (CIOPORA), </w:t>
      </w:r>
      <w:r w:rsidR="00681BC6">
        <w:t xml:space="preserve">und </w:t>
      </w:r>
      <w:r w:rsidR="006628A4" w:rsidRPr="00C72B57">
        <w:t xml:space="preserve">von </w:t>
      </w:r>
      <w:r w:rsidRPr="00C72B57">
        <w:t>CropLife International</w:t>
      </w:r>
      <w:r w:rsidR="00681BC6">
        <w:t xml:space="preserve"> </w:t>
      </w:r>
      <w:r w:rsidRPr="00C72B57">
        <w:t>ein.</w:t>
      </w:r>
    </w:p>
    <w:p w:rsidR="00A845F1" w:rsidRPr="007075EF" w:rsidRDefault="00A845F1" w:rsidP="00C72B57">
      <w:pPr>
        <w:tabs>
          <w:tab w:val="left" w:pos="1560"/>
        </w:tabs>
        <w:spacing w:line="360" w:lineRule="auto"/>
        <w:rPr>
          <w:highlight w:val="yellow"/>
        </w:rPr>
      </w:pPr>
    </w:p>
    <w:p w:rsidR="00A845F1" w:rsidRPr="00CA1732" w:rsidRDefault="00A845F1" w:rsidP="00954C3C">
      <w:pPr>
        <w:rPr>
          <w:u w:val="single"/>
        </w:rPr>
      </w:pPr>
      <w:r>
        <w:rPr>
          <w:u w:val="single"/>
        </w:rPr>
        <w:t xml:space="preserve">Erläuterungen zu Vermehrung und Vermehrungsmaterial nach dem UPOV-Übereinkommen (Dokument UPOV/EXN/PPM Draft 2) </w:t>
      </w:r>
    </w:p>
    <w:p w:rsidR="00A845F1" w:rsidRPr="00210134" w:rsidRDefault="00A845F1" w:rsidP="00A845F1">
      <w:pPr>
        <w:ind w:left="567"/>
      </w:pPr>
    </w:p>
    <w:p w:rsidR="00473B81" w:rsidRPr="00681BC6" w:rsidRDefault="00CA1732" w:rsidP="00CA1732">
      <w:pPr>
        <w:rPr>
          <w:spacing w:val="-2"/>
        </w:rPr>
      </w:pPr>
      <w:r w:rsidRPr="00681BC6">
        <w:rPr>
          <w:rFonts w:cs="Arial"/>
          <w:spacing w:val="-2"/>
        </w:rPr>
        <w:fldChar w:fldCharType="begin"/>
      </w:r>
      <w:r w:rsidRPr="00681BC6">
        <w:rPr>
          <w:rFonts w:cs="Arial"/>
          <w:spacing w:val="-2"/>
        </w:rPr>
        <w:instrText xml:space="preserve"> AUTONUM  </w:instrText>
      </w:r>
      <w:r w:rsidRPr="00681BC6">
        <w:rPr>
          <w:rFonts w:cs="Arial"/>
          <w:spacing w:val="-2"/>
        </w:rPr>
        <w:fldChar w:fldCharType="end"/>
      </w:r>
      <w:r w:rsidRPr="00681BC6">
        <w:rPr>
          <w:spacing w:val="-2"/>
        </w:rPr>
        <w:tab/>
        <w:t>Es gingen Bemerkungen von</w:t>
      </w:r>
      <w:r w:rsidR="00681BC6" w:rsidRPr="00681BC6">
        <w:rPr>
          <w:spacing w:val="-2"/>
        </w:rPr>
        <w:t xml:space="preserve"> Neuseeland,</w:t>
      </w:r>
      <w:r w:rsidRPr="00681BC6">
        <w:rPr>
          <w:spacing w:val="-2"/>
        </w:rPr>
        <w:t xml:space="preserve"> APBREBES, </w:t>
      </w:r>
      <w:r w:rsidR="00681BC6" w:rsidRPr="00681BC6">
        <w:rPr>
          <w:spacing w:val="-2"/>
        </w:rPr>
        <w:t>CIOPORA, CropLife International und</w:t>
      </w:r>
      <w:r w:rsidRPr="00681BC6">
        <w:rPr>
          <w:spacing w:val="-2"/>
        </w:rPr>
        <w:t xml:space="preserve"> ESA ein.</w:t>
      </w:r>
    </w:p>
    <w:p w:rsidR="00A845F1" w:rsidRPr="00566990" w:rsidRDefault="00A845F1" w:rsidP="00681BC6">
      <w:pPr>
        <w:spacing w:line="360" w:lineRule="auto"/>
        <w:rPr>
          <w:highlight w:val="yellow"/>
        </w:rPr>
      </w:pPr>
    </w:p>
    <w:p w:rsidR="00A845F1" w:rsidRPr="00CA1732" w:rsidRDefault="00A845F1" w:rsidP="00C64852">
      <w:pPr>
        <w:rPr>
          <w:u w:val="single"/>
        </w:rPr>
      </w:pPr>
      <w:r>
        <w:rPr>
          <w:u w:val="single"/>
        </w:rPr>
        <w:t xml:space="preserve">Erläuterungen zu Handlungen in bezug auf Erntegut nach der Akte von 1991 des UPOV-Übereinkommens (Dokument UPOV/EXN/HRV/2 Draft 1) </w:t>
      </w:r>
    </w:p>
    <w:p w:rsidR="00A845F1" w:rsidRPr="002C2B0C" w:rsidRDefault="00A845F1" w:rsidP="00A845F1">
      <w:pPr>
        <w:ind w:left="567"/>
        <w:rPr>
          <w:highlight w:val="yellow"/>
        </w:rPr>
      </w:pPr>
    </w:p>
    <w:p w:rsidR="00A845F1"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tab/>
        <w:t xml:space="preserve">Es gingen Bemerkungen von </w:t>
      </w:r>
      <w:r w:rsidR="00681BC6">
        <w:t xml:space="preserve">Argentinien, der Russischen Föderation, den Vereinigte Staaten von Amerika, </w:t>
      </w:r>
      <w:r>
        <w:t xml:space="preserve">APBREBES, CIOPORA, CropLife International </w:t>
      </w:r>
      <w:r w:rsidR="00681BC6">
        <w:t xml:space="preserve">und </w:t>
      </w:r>
      <w:r>
        <w:t>ESA</w:t>
      </w:r>
      <w:r w:rsidR="00681BC6">
        <w:t xml:space="preserve"> ein.</w:t>
      </w:r>
    </w:p>
    <w:p w:rsidR="00A845F1" w:rsidRPr="007075EF" w:rsidRDefault="00A845F1" w:rsidP="00681BC6">
      <w:pPr>
        <w:tabs>
          <w:tab w:val="left" w:pos="1560"/>
        </w:tabs>
        <w:spacing w:line="360" w:lineRule="auto"/>
        <w:rPr>
          <w:highlight w:val="yellow"/>
        </w:rPr>
      </w:pPr>
    </w:p>
    <w:p w:rsidR="00A845F1" w:rsidRPr="00CA1732" w:rsidRDefault="00A845F1" w:rsidP="00C64852">
      <w:pPr>
        <w:rPr>
          <w:u w:val="single"/>
        </w:rPr>
      </w:pPr>
      <w:r>
        <w:rPr>
          <w:u w:val="single"/>
        </w:rPr>
        <w:t>Erläuterungen zur Aufhebung des Züchterrechts nach dem UPOV-Übereinkommen (Dokument UPOV/EXN/CAN/2 Draft 1)</w:t>
      </w:r>
    </w:p>
    <w:p w:rsidR="00A845F1" w:rsidRDefault="00A845F1" w:rsidP="00A845F1">
      <w:pPr>
        <w:ind w:left="567"/>
        <w:rPr>
          <w:highlight w:val="yellow"/>
        </w:rPr>
      </w:pPr>
    </w:p>
    <w:p w:rsidR="004D6C1B" w:rsidRPr="002C2B0C"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tab/>
        <w:t xml:space="preserve">Es gingen Bemerkungen von </w:t>
      </w:r>
      <w:r w:rsidR="00501CCF">
        <w:t xml:space="preserve">Neuseeland und </w:t>
      </w:r>
      <w:r>
        <w:t xml:space="preserve">CropLife International </w:t>
      </w:r>
      <w:r w:rsidR="00282985">
        <w:t>ein</w:t>
      </w:r>
      <w:r>
        <w:t>.</w:t>
      </w:r>
    </w:p>
    <w:p w:rsidR="00A845F1" w:rsidRPr="005155A4" w:rsidRDefault="00A845F1" w:rsidP="00501CCF">
      <w:pPr>
        <w:tabs>
          <w:tab w:val="left" w:pos="1560"/>
        </w:tabs>
        <w:spacing w:line="360" w:lineRule="auto"/>
        <w:rPr>
          <w:highlight w:val="yellow"/>
        </w:rPr>
      </w:pPr>
    </w:p>
    <w:p w:rsidR="00A845F1" w:rsidRPr="00CA1732" w:rsidRDefault="00A845F1" w:rsidP="00C64852">
      <w:pPr>
        <w:keepNext/>
        <w:rPr>
          <w:u w:val="single"/>
        </w:rPr>
      </w:pPr>
      <w:r>
        <w:rPr>
          <w:u w:val="single"/>
        </w:rPr>
        <w:t xml:space="preserve">Erläuterungen zur Nichtigkeit des Züchterrechts nach dem UPOV-Übereinkommen (Dokument UPOV/EXN/NUL/2 Draft 1) </w:t>
      </w:r>
    </w:p>
    <w:p w:rsidR="00A845F1" w:rsidRPr="002C2B0C" w:rsidRDefault="00A845F1" w:rsidP="00A845F1">
      <w:pPr>
        <w:keepNext/>
        <w:ind w:left="567"/>
        <w:rPr>
          <w:highlight w:val="yellow"/>
        </w:rPr>
      </w:pPr>
    </w:p>
    <w:p w:rsidR="00C64852" w:rsidRPr="002C2B0C"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tab/>
        <w:t>Es gingen Bemerkungen von ESA</w:t>
      </w:r>
      <w:r w:rsidR="00282985">
        <w:t xml:space="preserve"> ein</w:t>
      </w:r>
      <w:r>
        <w:t>.</w:t>
      </w:r>
    </w:p>
    <w:p w:rsidR="00A845F1" w:rsidRPr="002C2B0C" w:rsidRDefault="00A845F1" w:rsidP="00501CCF">
      <w:pPr>
        <w:spacing w:line="360" w:lineRule="auto"/>
        <w:rPr>
          <w:highlight w:val="yellow"/>
        </w:rPr>
      </w:pPr>
    </w:p>
    <w:p w:rsidR="00A845F1" w:rsidRPr="00CA1732" w:rsidRDefault="00A845F1" w:rsidP="00C64852">
      <w:pPr>
        <w:rPr>
          <w:u w:val="single"/>
        </w:rPr>
      </w:pPr>
      <w:r>
        <w:rPr>
          <w:u w:val="single"/>
        </w:rPr>
        <w:t>Erläuterungen zu Sortenbezeichnungen nach dem UPOV-Übereinkommen (Do</w:t>
      </w:r>
      <w:r w:rsidR="007F24BD">
        <w:rPr>
          <w:u w:val="single"/>
        </w:rPr>
        <w:t>kument UPOV/INF/12/5 Draft </w:t>
      </w:r>
      <w:r>
        <w:rPr>
          <w:u w:val="single"/>
        </w:rPr>
        <w:t xml:space="preserve">1) </w:t>
      </w:r>
    </w:p>
    <w:p w:rsidR="00A845F1" w:rsidRPr="002C2B0C" w:rsidRDefault="00A845F1" w:rsidP="00A845F1">
      <w:pPr>
        <w:ind w:left="567"/>
        <w:rPr>
          <w:highlight w:val="yellow"/>
        </w:rPr>
      </w:pPr>
    </w:p>
    <w:p w:rsidR="00C64852"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tab/>
        <w:t>Es gingen Bemerkungen von</w:t>
      </w:r>
      <w:r w:rsidR="00501CCF">
        <w:t xml:space="preserve"> Argentinien, Neuseeland, </w:t>
      </w:r>
      <w:r>
        <w:t xml:space="preserve">APBREBES </w:t>
      </w:r>
      <w:r w:rsidR="00501CCF">
        <w:t xml:space="preserve">und </w:t>
      </w:r>
      <w:r>
        <w:t xml:space="preserve">ESA </w:t>
      </w:r>
      <w:r w:rsidR="00282985">
        <w:t>ein</w:t>
      </w:r>
      <w:r>
        <w:t>.</w:t>
      </w:r>
    </w:p>
    <w:p w:rsidR="00A845F1" w:rsidRDefault="00A845F1" w:rsidP="00501CCF">
      <w:pPr>
        <w:spacing w:line="360" w:lineRule="auto"/>
        <w:ind w:left="567"/>
        <w:rPr>
          <w:highlight w:val="yellow"/>
        </w:rPr>
      </w:pPr>
    </w:p>
    <w:p w:rsidR="00A845F1" w:rsidRPr="00CA1732" w:rsidRDefault="00A845F1" w:rsidP="00C64852">
      <w:pPr>
        <w:rPr>
          <w:u w:val="single"/>
        </w:rPr>
      </w:pPr>
      <w:r>
        <w:rPr>
          <w:u w:val="single"/>
        </w:rPr>
        <w:t>Erläuterungen zu vorläufigem Schutz nach dem UPOV-Übereinkommen</w:t>
      </w:r>
      <w:r w:rsidR="007F24BD">
        <w:rPr>
          <w:u w:val="single"/>
        </w:rPr>
        <w:t xml:space="preserve"> (Dokument UPOV/EXN/PRP/2 Draft </w:t>
      </w:r>
      <w:r>
        <w:rPr>
          <w:u w:val="single"/>
        </w:rPr>
        <w:t xml:space="preserve">1) </w:t>
      </w:r>
    </w:p>
    <w:p w:rsidR="00C64852" w:rsidRDefault="00C64852" w:rsidP="00C64852">
      <w:pPr>
        <w:rPr>
          <w:highlight w:val="yellow"/>
        </w:rPr>
      </w:pPr>
    </w:p>
    <w:p w:rsidR="00A845F1" w:rsidRPr="00C64852" w:rsidRDefault="00CA1732" w:rsidP="00CA1732">
      <w:pPr>
        <w:rPr>
          <w:highlight w:val="lightGray"/>
        </w:rPr>
      </w:pPr>
      <w:r w:rsidRPr="00210134">
        <w:rPr>
          <w:rFonts w:cs="Arial"/>
        </w:rPr>
        <w:fldChar w:fldCharType="begin"/>
      </w:r>
      <w:r w:rsidRPr="00210134">
        <w:rPr>
          <w:rFonts w:cs="Arial"/>
        </w:rPr>
        <w:instrText xml:space="preserve"> AUTONUM  </w:instrText>
      </w:r>
      <w:r w:rsidRPr="00210134">
        <w:rPr>
          <w:rFonts w:cs="Arial"/>
        </w:rPr>
        <w:fldChar w:fldCharType="end"/>
      </w:r>
      <w:r>
        <w:tab/>
        <w:t>Es gingen Bemerkungen von CropLife International ein.</w:t>
      </w:r>
    </w:p>
    <w:p w:rsidR="00A845F1" w:rsidRPr="00C64852" w:rsidRDefault="00A845F1" w:rsidP="00501CCF">
      <w:pPr>
        <w:spacing w:line="360" w:lineRule="auto"/>
        <w:ind w:left="567" w:hanging="567"/>
      </w:pPr>
    </w:p>
    <w:p w:rsidR="00A845F1" w:rsidRPr="00C64852" w:rsidRDefault="00C64852" w:rsidP="00A845F1">
      <w:pPr>
        <w:rPr>
          <w:highlight w:val="yellow"/>
        </w:rPr>
      </w:pPr>
      <w:r w:rsidRPr="00C64852">
        <w:fldChar w:fldCharType="begin"/>
      </w:r>
      <w:r w:rsidRPr="00C64852">
        <w:instrText xml:space="preserve"> AUTONUM  </w:instrText>
      </w:r>
      <w:r w:rsidRPr="00C64852">
        <w:fldChar w:fldCharType="end"/>
      </w:r>
      <w:r>
        <w:tab/>
        <w:t xml:space="preserve">Oben genannte Bemerkungen und Erläuterungen sind im Bereich CAJ-AG/13 unter „Prüfung auf dem Schriftweg“ verfügbar: </w:t>
      </w:r>
      <w:hyperlink r:id="rId11" w:history="1">
        <w:r w:rsidR="008C38AE" w:rsidRPr="006957F5">
          <w:rPr>
            <w:rStyle w:val="Hyperlink"/>
          </w:rPr>
          <w:t>http://www.upov.int/meetings/de/details.jsp?meeting_id=29783</w:t>
        </w:r>
      </w:hyperlink>
      <w:r w:rsidR="00C332C2">
        <w:t>.</w:t>
      </w:r>
    </w:p>
    <w:p w:rsidR="00A845F1" w:rsidRPr="00D477FD" w:rsidRDefault="00A845F1" w:rsidP="00A845F1">
      <w:pPr>
        <w:rPr>
          <w:snapToGrid w:val="0"/>
          <w:highlight w:val="yellow"/>
        </w:rPr>
      </w:pPr>
    </w:p>
    <w:p w:rsidR="00A845F1" w:rsidRPr="00D477FD" w:rsidRDefault="00C64852" w:rsidP="00A845F1">
      <w:pPr>
        <w:rPr>
          <w:snapToGrid w:val="0"/>
          <w:highlight w:val="yellow"/>
        </w:rPr>
      </w:pPr>
      <w:r w:rsidRPr="00D477FD">
        <w:rPr>
          <w:szCs w:val="24"/>
        </w:rPr>
        <w:fldChar w:fldCharType="begin"/>
      </w:r>
      <w:r w:rsidRPr="00D477FD">
        <w:rPr>
          <w:szCs w:val="24"/>
        </w:rPr>
        <w:instrText xml:space="preserve"> AUTONUM  </w:instrText>
      </w:r>
      <w:r w:rsidRPr="00D477FD">
        <w:rPr>
          <w:szCs w:val="24"/>
        </w:rPr>
        <w:fldChar w:fldCharType="end"/>
      </w:r>
      <w:r>
        <w:tab/>
        <w:t xml:space="preserve">Auf der Grundlage </w:t>
      </w:r>
      <w:r w:rsidR="00124B20">
        <w:t>der eingegangenen Bemerkungen wu</w:t>
      </w:r>
      <w:r>
        <w:t xml:space="preserve">rden </w:t>
      </w:r>
      <w:r w:rsidR="00124B20">
        <w:t>am 10.</w:t>
      </w:r>
      <w:r>
        <w:t xml:space="preserve"> </w:t>
      </w:r>
      <w:r w:rsidR="00124B20">
        <w:t xml:space="preserve">September </w:t>
      </w:r>
      <w:r>
        <w:t xml:space="preserve">2014 neue Entwürfe der oben angeführten </w:t>
      </w:r>
      <w:r w:rsidR="000A6DA0">
        <w:t xml:space="preserve">Erläuterungen </w:t>
      </w:r>
      <w:r w:rsidR="00A10CEC">
        <w:t>veröffentlicht</w:t>
      </w:r>
      <w:r w:rsidR="00124B20">
        <w:t>,</w:t>
      </w:r>
      <w:r>
        <w:t xml:space="preserve"> </w:t>
      </w:r>
      <w:r w:rsidR="00345C90">
        <w:t xml:space="preserve">die </w:t>
      </w:r>
      <w:r>
        <w:t>von der CAJ-AG auf ihr</w:t>
      </w:r>
      <w:r w:rsidR="00D9186E">
        <w:t>er neunten Tagung geprüft</w:t>
      </w:r>
      <w:r w:rsidR="00345C90">
        <w:t xml:space="preserve"> werden</w:t>
      </w:r>
      <w:r>
        <w:t>. Die Mitg</w:t>
      </w:r>
      <w:r w:rsidR="00345C90">
        <w:t>lieder und Beobachter des CAJ wu</w:t>
      </w:r>
      <w:r>
        <w:t>rden entsprechend benachrichtigt.</w:t>
      </w:r>
      <w:r>
        <w:rPr>
          <w:rStyle w:val="FootnoteReference"/>
        </w:rPr>
        <w:footnoteReference w:id="9"/>
      </w:r>
    </w:p>
    <w:p w:rsidR="00A845F1" w:rsidRPr="002C2B0C" w:rsidRDefault="00A845F1" w:rsidP="00A845F1">
      <w:pPr>
        <w:rPr>
          <w:szCs w:val="24"/>
          <w:highlight w:val="yellow"/>
        </w:rPr>
      </w:pPr>
    </w:p>
    <w:p w:rsidR="00A845F1" w:rsidRPr="00D477FD" w:rsidRDefault="00D477FD" w:rsidP="00A845F1">
      <w:pPr>
        <w:rPr>
          <w:szCs w:val="24"/>
        </w:rPr>
      </w:pPr>
      <w:r w:rsidRPr="00D477FD">
        <w:rPr>
          <w:szCs w:val="24"/>
        </w:rPr>
        <w:fldChar w:fldCharType="begin"/>
      </w:r>
      <w:r w:rsidRPr="00D477FD">
        <w:rPr>
          <w:szCs w:val="24"/>
        </w:rPr>
        <w:instrText xml:space="preserve"> AUTONUM  </w:instrText>
      </w:r>
      <w:r w:rsidRPr="00D477FD">
        <w:rPr>
          <w:szCs w:val="24"/>
        </w:rPr>
        <w:fldChar w:fldCharType="end"/>
      </w:r>
      <w:r>
        <w:tab/>
        <w:t>Der Tagesordnungsentwurf für die neunte Tagung der CAJ-AG ist in Dokument CAJ-AG/14/9/1 (siehe unten) enthalten:</w:t>
      </w:r>
    </w:p>
    <w:p w:rsidR="00A845F1" w:rsidRPr="00D477FD" w:rsidRDefault="00A845F1" w:rsidP="00A845F1">
      <w:pPr>
        <w:rPr>
          <w:szCs w:val="24"/>
        </w:rPr>
      </w:pPr>
    </w:p>
    <w:p w:rsidR="00A845F1" w:rsidRPr="00D477FD" w:rsidRDefault="00A845F1" w:rsidP="00A845F1">
      <w:pPr>
        <w:pStyle w:val="ListParagraph"/>
        <w:numPr>
          <w:ilvl w:val="0"/>
          <w:numId w:val="7"/>
        </w:numPr>
      </w:pPr>
      <w:r>
        <w:t>Eröffnung der Tagung</w:t>
      </w:r>
    </w:p>
    <w:p w:rsidR="00A845F1" w:rsidRPr="00D477FD" w:rsidRDefault="00A845F1" w:rsidP="00A845F1">
      <w:pPr>
        <w:ind w:left="567" w:hanging="567"/>
      </w:pPr>
    </w:p>
    <w:p w:rsidR="00A845F1" w:rsidRPr="00D477FD" w:rsidRDefault="00A845F1" w:rsidP="00A845F1">
      <w:pPr>
        <w:pStyle w:val="ListParagraph"/>
        <w:numPr>
          <w:ilvl w:val="0"/>
          <w:numId w:val="7"/>
        </w:numPr>
      </w:pPr>
      <w:r>
        <w:t>Annahme der Tagesordnung</w:t>
      </w:r>
    </w:p>
    <w:p w:rsidR="00A845F1" w:rsidRPr="00D477FD" w:rsidRDefault="00A845F1" w:rsidP="00A845F1">
      <w:pPr>
        <w:ind w:left="567" w:hanging="567"/>
      </w:pPr>
    </w:p>
    <w:p w:rsidR="00A845F1" w:rsidRPr="00D477FD" w:rsidRDefault="00A845F1" w:rsidP="004907CA">
      <w:pPr>
        <w:pStyle w:val="ListParagraph"/>
        <w:keepNext/>
        <w:numPr>
          <w:ilvl w:val="0"/>
          <w:numId w:val="7"/>
        </w:numPr>
      </w:pPr>
      <w:r>
        <w:lastRenderedPageBreak/>
        <w:t>Im wesentlichen abgeleitete Sorten</w:t>
      </w:r>
    </w:p>
    <w:p w:rsidR="00A845F1" w:rsidRPr="00D477FD" w:rsidRDefault="00A845F1" w:rsidP="004907CA">
      <w:pPr>
        <w:keepNext/>
        <w:ind w:left="567" w:hanging="567"/>
      </w:pPr>
    </w:p>
    <w:p w:rsidR="00A845F1" w:rsidRPr="00D477FD" w:rsidRDefault="00A845F1" w:rsidP="00A845F1">
      <w:pPr>
        <w:ind w:left="1134" w:hanging="567"/>
      </w:pPr>
      <w:r>
        <w:t>a)</w:t>
      </w:r>
      <w:r>
        <w:tab/>
        <w:t>Erläuterungen zu den im wesentlichen abgeleiteten Sorten nach der Akte von 1991 des UPOV-Übereinkommens (Überarbeitung) (Dokumente CAJ-AG/14/9/2 und UPOV/EXN/EDV/2 Draft 5)</w:t>
      </w:r>
    </w:p>
    <w:p w:rsidR="00A845F1" w:rsidRPr="00D477FD" w:rsidRDefault="00A845F1" w:rsidP="00A845F1">
      <w:pPr>
        <w:ind w:left="567" w:hanging="567"/>
      </w:pPr>
    </w:p>
    <w:p w:rsidR="00A845F1" w:rsidRPr="00D477FD" w:rsidRDefault="00A845F1" w:rsidP="00A845F1">
      <w:pPr>
        <w:ind w:left="1134" w:hanging="567"/>
      </w:pPr>
      <w:r>
        <w:t>b)</w:t>
      </w:r>
      <w:r>
        <w:tab/>
        <w:t>Etwaige andere Streitbeilegungsmechanismen für im wesentlichen abgeleitete Sorten (Dokument CAJ-AG/14/9/3)</w:t>
      </w:r>
    </w:p>
    <w:p w:rsidR="00A845F1" w:rsidRPr="00D477FD" w:rsidRDefault="00A845F1" w:rsidP="00A845F1">
      <w:pPr>
        <w:ind w:left="567" w:hanging="567"/>
      </w:pPr>
    </w:p>
    <w:p w:rsidR="00A845F1" w:rsidRPr="00D477FD" w:rsidRDefault="00A845F1" w:rsidP="00A845F1">
      <w:pPr>
        <w:pStyle w:val="ListParagraph"/>
        <w:numPr>
          <w:ilvl w:val="0"/>
          <w:numId w:val="7"/>
        </w:numPr>
      </w:pPr>
      <w:r>
        <w:t>Erläuterungen zu Vermehrung und Vermehrungsmaterial nach dem UPOV-Übereinkommen (Dokument UPOV/EXN/PPM/1 Draft 3)</w:t>
      </w:r>
    </w:p>
    <w:p w:rsidR="00A845F1" w:rsidRPr="00D477FD" w:rsidRDefault="00A845F1" w:rsidP="00A845F1">
      <w:pPr>
        <w:ind w:left="567" w:hanging="567"/>
      </w:pPr>
    </w:p>
    <w:p w:rsidR="00A845F1" w:rsidRPr="00D477FD" w:rsidRDefault="00A845F1" w:rsidP="00A845F1">
      <w:pPr>
        <w:pStyle w:val="ListParagraph"/>
        <w:numPr>
          <w:ilvl w:val="0"/>
          <w:numId w:val="7"/>
        </w:numPr>
      </w:pPr>
      <w:r>
        <w:t>Erläuterungen zu Handlungen in bezug auf Erntegut nach der Akte von 1991 des UPOV-Übereinkommens (Überarbeitung) (Dokument UPOV/EXN/HRV/2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t>Erläuterungen zur Aufhebung des Züchterrechts nach dem UPOV-Übereinkommen (Überarbeitung) (Dokument UPOV/EXN/CAN/2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t>Erläuterungen zur Nichtigkeit des Züchterrechts nach dem UPOV-Übereinkommen (Überarbeitung) (Dokument UPOV/EXN/NUL/2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t>Erläuterungen zu Sortenbezeichnungen nach dem UPOV-Übereinkommen (Überarbeitung) (Dokument UPOV/INF/12/5 Draft 2)</w:t>
      </w:r>
    </w:p>
    <w:p w:rsidR="00A845F1" w:rsidRPr="00D477FD" w:rsidRDefault="00A845F1" w:rsidP="00A845F1">
      <w:pPr>
        <w:ind w:left="567" w:hanging="567"/>
      </w:pPr>
    </w:p>
    <w:p w:rsidR="00A845F1" w:rsidRPr="00D477FD" w:rsidRDefault="00A845F1" w:rsidP="00A845F1">
      <w:pPr>
        <w:pStyle w:val="ListParagraph"/>
        <w:numPr>
          <w:ilvl w:val="0"/>
          <w:numId w:val="7"/>
        </w:numPr>
      </w:pPr>
      <w:r>
        <w:t>Angelegenheiten betreffend Sortenbeschreibungen (Dokument CAJ-AG/14/9/4)</w:t>
      </w:r>
    </w:p>
    <w:p w:rsidR="00A845F1" w:rsidRPr="00D477FD" w:rsidRDefault="00A845F1" w:rsidP="00A845F1">
      <w:pPr>
        <w:ind w:left="567" w:hanging="567"/>
      </w:pPr>
    </w:p>
    <w:p w:rsidR="00A845F1" w:rsidRPr="00D477FD" w:rsidRDefault="00A845F1" w:rsidP="00A845F1">
      <w:pPr>
        <w:pStyle w:val="ListParagraph"/>
        <w:numPr>
          <w:ilvl w:val="0"/>
          <w:numId w:val="7"/>
        </w:numPr>
      </w:pPr>
      <w:r>
        <w:t>Erläuterungen zu vorläufigem Schutz nach dem UPOV-Übereinkommen (Überarbeitung) (Dokument UPOV/EXN/PRP/2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t>Angelegenheiten betreffend Beobachter in der CAJ-AG (Dokument CAJ-AG/14/9/</w:t>
      </w:r>
      <w:r w:rsidR="00423BA0" w:rsidRPr="00423BA0">
        <w:rPr>
          <w:highlight w:val="lightGray"/>
        </w:rPr>
        <w:t>5</w:t>
      </w:r>
      <w:r>
        <w:t>)</w:t>
      </w:r>
    </w:p>
    <w:p w:rsidR="00A845F1" w:rsidRPr="00D477FD" w:rsidRDefault="00A845F1" w:rsidP="00A845F1">
      <w:pPr>
        <w:ind w:left="567" w:hanging="567"/>
      </w:pPr>
    </w:p>
    <w:p w:rsidR="00A845F1" w:rsidRPr="00D477FD" w:rsidRDefault="00A845F1" w:rsidP="00A845F1">
      <w:pPr>
        <w:pStyle w:val="ListParagraph"/>
        <w:keepNext/>
        <w:numPr>
          <w:ilvl w:val="0"/>
          <w:numId w:val="7"/>
        </w:numPr>
      </w:pPr>
      <w:r>
        <w:t>Vom CAJ seit der achten Tagung der CAJ-AG an die CAJ-AG verwiesene Fragen</w:t>
      </w:r>
    </w:p>
    <w:p w:rsidR="00A845F1" w:rsidRPr="00D477FD" w:rsidRDefault="00A845F1" w:rsidP="00A845F1">
      <w:pPr>
        <w:keepNext/>
        <w:ind w:left="567" w:hanging="567"/>
      </w:pPr>
    </w:p>
    <w:p w:rsidR="00A845F1" w:rsidRDefault="00A845F1" w:rsidP="00A845F1">
      <w:pPr>
        <w:pStyle w:val="ListParagraph"/>
        <w:keepNext/>
        <w:numPr>
          <w:ilvl w:val="0"/>
          <w:numId w:val="7"/>
        </w:numPr>
      </w:pPr>
      <w:r>
        <w:t>Datum und Programm für die zehnte Tagung</w:t>
      </w:r>
    </w:p>
    <w:p w:rsidR="006A0ABF" w:rsidRDefault="006A0ABF" w:rsidP="006A0ABF">
      <w:pPr>
        <w:keepNext/>
      </w:pPr>
    </w:p>
    <w:p w:rsidR="002E2A4D" w:rsidRDefault="00941A7E" w:rsidP="000022C4">
      <w:pPr>
        <w:rPr>
          <w:szCs w:val="24"/>
        </w:rPr>
      </w:pPr>
      <w:r w:rsidRPr="002E2A4D">
        <w:fldChar w:fldCharType="begin"/>
      </w:r>
      <w:r w:rsidRPr="002E2A4D">
        <w:instrText xml:space="preserve"> AUTONUM  </w:instrText>
      </w:r>
      <w:r w:rsidRPr="002E2A4D">
        <w:fldChar w:fldCharType="end"/>
      </w:r>
      <w:r>
        <w:tab/>
        <w:t xml:space="preserve">Der CAJ sollte zur Kenntnis nehmen, daß gegebenenfalls eine weitere Überarbeitung von Dokument UPOV/INF/12 „Erläuterungen zu Sortenbezeichnungen nach dem UPOV-Übereinkommen“ in Bezug auf die Entwicklung eines effektiven UPOV-Suchinstruments für Ähnlichkeiten erforderlich sein könnte. Die jüngsten Entwicklungen zu diesem Thema sind in Dokument CAJ/70/4 „Sortenbezeichnungen“ dargelegt. </w:t>
      </w:r>
    </w:p>
    <w:p w:rsidR="000022C4" w:rsidRDefault="000022C4" w:rsidP="000022C4">
      <w:pPr>
        <w:rPr>
          <w:szCs w:val="24"/>
        </w:rPr>
      </w:pPr>
    </w:p>
    <w:p w:rsidR="002E2A4D" w:rsidRDefault="002E2A4D" w:rsidP="000022C4">
      <w:r>
        <w:rPr>
          <w:szCs w:val="24"/>
        </w:rPr>
        <w:fldChar w:fldCharType="begin"/>
      </w:r>
      <w:r>
        <w:rPr>
          <w:szCs w:val="24"/>
        </w:rPr>
        <w:instrText xml:space="preserve"> AUTONUM  </w:instrText>
      </w:r>
      <w:r>
        <w:rPr>
          <w:szCs w:val="24"/>
        </w:rPr>
        <w:fldChar w:fldCharType="end"/>
      </w:r>
      <w:r>
        <w:tab/>
        <w:t>Auf der einundsiebzigsten Tagung des CAJ im März 2015 wird Bericht über die Arbeit der CAJ</w:t>
      </w:r>
      <w:r>
        <w:noBreakHyphen/>
        <w:t>AG auf ihrer neunten Tagung erstattet werden.</w:t>
      </w:r>
    </w:p>
    <w:p w:rsidR="00A845F1" w:rsidRDefault="00A845F1" w:rsidP="004907CA"/>
    <w:p w:rsidR="004907CA" w:rsidRPr="00153DFB" w:rsidRDefault="004907CA" w:rsidP="004907CA"/>
    <w:p w:rsidR="002C2B0C" w:rsidRPr="002C2B0C" w:rsidRDefault="002C2B0C" w:rsidP="004907CA">
      <w:pPr>
        <w:rPr>
          <w:highlight w:val="yellow"/>
        </w:rPr>
      </w:pPr>
    </w:p>
    <w:p w:rsidR="002C2B0C" w:rsidRPr="00941A7E" w:rsidRDefault="001374EC" w:rsidP="001374EC">
      <w:pPr>
        <w:pStyle w:val="Heading1"/>
      </w:pPr>
      <w:bookmarkStart w:id="11" w:name="_Toc381257343"/>
      <w:bookmarkStart w:id="12" w:name="_Toc395626597"/>
      <w:bookmarkStart w:id="13" w:name="_Toc396908197"/>
      <w:r>
        <w:t>AKTUALISIERUNG VON DOKUMENT UPOV/INF/5 „UPOV-MUSTERAMTSBLATT FÜR SORTENSCHUTZ“</w:t>
      </w:r>
      <w:bookmarkEnd w:id="11"/>
      <w:bookmarkEnd w:id="12"/>
      <w:bookmarkEnd w:id="13"/>
    </w:p>
    <w:p w:rsidR="007075EF" w:rsidRPr="00941A7E" w:rsidRDefault="007075EF" w:rsidP="002C2B0C">
      <w:pPr>
        <w:keepNext/>
      </w:pPr>
    </w:p>
    <w:p w:rsidR="00945F98" w:rsidRDefault="00945F98" w:rsidP="00945F98">
      <w:pPr>
        <w:pStyle w:val="ListParagraph"/>
        <w:ind w:left="0"/>
        <w:rPr>
          <w:szCs w:val="24"/>
        </w:rPr>
      </w:pPr>
      <w:r w:rsidRPr="00941A7E">
        <w:fldChar w:fldCharType="begin"/>
      </w:r>
      <w:r w:rsidRPr="00941A7E">
        <w:instrText xml:space="preserve"> AUTONUM  </w:instrText>
      </w:r>
      <w:r w:rsidRPr="00941A7E">
        <w:fldChar w:fldCharType="end"/>
      </w:r>
      <w:r>
        <w:tab/>
        <w:t>Entwicklungen betreffend die Überarbeitung von Dokument UPOV/INF/5 „UPOV-Musteramtsblatt für Sortenschutz“ sind in Dokument CAJ/70/3 enthalten.</w:t>
      </w:r>
    </w:p>
    <w:p w:rsidR="00941A7E" w:rsidRPr="00941A7E" w:rsidRDefault="00941A7E" w:rsidP="00945F98">
      <w:pPr>
        <w:pStyle w:val="ListParagraph"/>
        <w:ind w:left="0"/>
        <w:rPr>
          <w:szCs w:val="24"/>
        </w:rPr>
      </w:pPr>
    </w:p>
    <w:p w:rsidR="002C2B0C" w:rsidRDefault="002C2B0C" w:rsidP="004907CA"/>
    <w:p w:rsidR="004907CA" w:rsidRPr="00941A7E" w:rsidRDefault="004907CA" w:rsidP="004907CA"/>
    <w:p w:rsidR="002C2B0C" w:rsidRPr="001374EC" w:rsidRDefault="001374EC" w:rsidP="001374EC">
      <w:pPr>
        <w:pStyle w:val="Heading1"/>
        <w:rPr>
          <w:rStyle w:val="Heading1Char"/>
        </w:rPr>
      </w:pPr>
      <w:bookmarkStart w:id="14" w:name="_Toc381257344"/>
      <w:bookmarkStart w:id="15" w:name="_Toc395626598"/>
      <w:bookmarkStart w:id="16" w:name="_Toc396908198"/>
      <w:r>
        <w:rPr>
          <w:rStyle w:val="Heading1Char"/>
        </w:rPr>
        <w:t>ÜBERARBEITUNG VON DOKUMENT UPOV/INF/15</w:t>
      </w:r>
      <w:r w:rsidR="008C38AE">
        <w:t xml:space="preserve"> </w:t>
      </w:r>
      <w:r>
        <w:rPr>
          <w:rStyle w:val="Heading1Char"/>
        </w:rPr>
        <w:t>„ANLEITUNG ÜBER DIE LAUFENDEN VERPFLICHTUNGEN DER VERBANDSMITGLIEDER UND DIE DAMIT VERBUNDENEN NOTIFIZIERUNGEN UND ÜBER DIE BEREITSTELLUNG VON INFORMATION ZUR VERBESSERUNG DER ZUSAMMENARBEIT“</w:t>
      </w:r>
      <w:bookmarkEnd w:id="14"/>
      <w:bookmarkEnd w:id="15"/>
      <w:bookmarkEnd w:id="16"/>
    </w:p>
    <w:p w:rsidR="002C2B0C" w:rsidRPr="00941A7E" w:rsidRDefault="002C2B0C" w:rsidP="002C2B0C">
      <w:pPr>
        <w:rPr>
          <w:snapToGrid w:val="0"/>
        </w:rPr>
      </w:pPr>
    </w:p>
    <w:p w:rsidR="00945F98" w:rsidRDefault="00945F98" w:rsidP="00945F98">
      <w:pPr>
        <w:rPr>
          <w:szCs w:val="24"/>
        </w:rPr>
      </w:pPr>
      <w:r w:rsidRPr="00941A7E">
        <w:rPr>
          <w:szCs w:val="24"/>
        </w:rPr>
        <w:fldChar w:fldCharType="begin"/>
      </w:r>
      <w:r w:rsidRPr="00941A7E">
        <w:rPr>
          <w:szCs w:val="24"/>
        </w:rPr>
        <w:instrText xml:space="preserve"> AUTONUM  </w:instrText>
      </w:r>
      <w:r w:rsidRPr="00941A7E">
        <w:rPr>
          <w:szCs w:val="24"/>
        </w:rPr>
        <w:fldChar w:fldCharType="end"/>
      </w:r>
      <w:r>
        <w:tab/>
        <w:t>Die jüngsten Entwicklungen betreffend die Überarbeitung von Dokument UPOV/INF/15 „Anleitung über die laufenden Verpflichtungen der Verbandsmitglieder und die damit verbundenen Notifizierungen und über die Erteilung von Auskünften zur Erleichterung der Zusammenarbeit“ sind in Dokument CAJ/70/5 dargelegt.</w:t>
      </w:r>
    </w:p>
    <w:p w:rsidR="002E2A4D" w:rsidRPr="00945F98" w:rsidRDefault="002E2A4D" w:rsidP="00945F98"/>
    <w:p w:rsidR="00945F98" w:rsidRDefault="00945F98" w:rsidP="00945F98">
      <w:pPr>
        <w:pStyle w:val="ListParagraph"/>
        <w:ind w:left="0"/>
      </w:pPr>
    </w:p>
    <w:p w:rsidR="004907CA" w:rsidRDefault="004907CA" w:rsidP="00945F98">
      <w:pPr>
        <w:pStyle w:val="ListParagraph"/>
        <w:ind w:left="0"/>
      </w:pPr>
    </w:p>
    <w:p w:rsidR="00945F98" w:rsidRPr="002E2A4D" w:rsidRDefault="001374EC" w:rsidP="001374EC">
      <w:pPr>
        <w:pStyle w:val="Heading1"/>
      </w:pPr>
      <w:bookmarkStart w:id="17" w:name="_Toc395626599"/>
      <w:bookmarkStart w:id="18" w:name="_Toc396908199"/>
      <w:r>
        <w:lastRenderedPageBreak/>
        <w:t>BEITRÄGE DES SEMINARS ÜBER IM WESENTLICHEN ABGELEITETE SORTEN IN DEUTSCH, FRANZÖSISCH UND SPANISCH</w:t>
      </w:r>
      <w:bookmarkEnd w:id="17"/>
      <w:bookmarkEnd w:id="18"/>
    </w:p>
    <w:p w:rsidR="00945F98" w:rsidRPr="002E2A4D" w:rsidRDefault="00945F98" w:rsidP="00945F98">
      <w:pPr>
        <w:keepNext/>
      </w:pPr>
    </w:p>
    <w:p w:rsidR="00945F98" w:rsidRPr="002E2A4D" w:rsidRDefault="002E2A4D" w:rsidP="002E2A4D">
      <w:r w:rsidRPr="002E2A4D">
        <w:fldChar w:fldCharType="begin"/>
      </w:r>
      <w:r w:rsidRPr="002E2A4D">
        <w:instrText xml:space="preserve"> AUTONUM  </w:instrText>
      </w:r>
      <w:r w:rsidRPr="002E2A4D">
        <w:fldChar w:fldCharType="end"/>
      </w:r>
      <w:r>
        <w:tab/>
        <w:t>Das Seminar über im wesentlichen abgeleitete Sorten wurde am 22. Oktober 2013 in Genf abgehalten. Die englische Fassung der Beiträge (Publikation 358) wurde im Februar 2014 verfügbar.</w:t>
      </w:r>
      <w:r>
        <w:rPr>
          <w:rStyle w:val="FootnoteReference"/>
        </w:rPr>
        <w:footnoteReference w:id="10"/>
      </w:r>
      <w:r>
        <w:t xml:space="preserve"> </w:t>
      </w:r>
    </w:p>
    <w:p w:rsidR="002E2A4D" w:rsidRPr="002E2A4D" w:rsidRDefault="002E2A4D" w:rsidP="002E2A4D"/>
    <w:p w:rsidR="00DD0067" w:rsidRDefault="00945F98" w:rsidP="00A20EDE">
      <w:pPr>
        <w:spacing w:after="240"/>
      </w:pPr>
      <w:r w:rsidRPr="002E2A4D">
        <w:rPr>
          <w:rFonts w:cs="Arial"/>
        </w:rPr>
        <w:fldChar w:fldCharType="begin"/>
      </w:r>
      <w:r w:rsidRPr="002E2A4D">
        <w:rPr>
          <w:rFonts w:cs="Arial"/>
        </w:rPr>
        <w:instrText xml:space="preserve"> AUTONUM  </w:instrText>
      </w:r>
      <w:r w:rsidRPr="002E2A4D">
        <w:rPr>
          <w:rFonts w:cs="Arial"/>
        </w:rPr>
        <w:fldChar w:fldCharType="end"/>
      </w:r>
      <w:r>
        <w:tab/>
        <w:t>Publikation 358 wurde auf Deutsch, Französisch und Spanisch auf der UPOV-Website veröffentlicht (</w:t>
      </w:r>
      <w:hyperlink r:id="rId12" w:history="1">
        <w:r w:rsidR="00C4340E" w:rsidRPr="006957F5">
          <w:rPr>
            <w:rStyle w:val="Hyperlink"/>
          </w:rPr>
          <w:t>http://www.upov.int/meetings/de/details.jsp?meeting_id=29782</w:t>
        </w:r>
      </w:hyperlink>
      <w:r>
        <w:t xml:space="preserve">). </w:t>
      </w:r>
    </w:p>
    <w:p w:rsidR="00DD0067" w:rsidRPr="00DD0067" w:rsidRDefault="000022C4" w:rsidP="002E2A4D">
      <w:pPr>
        <w:pStyle w:val="DecisionParagraphs"/>
      </w:pPr>
      <w:r>
        <w:fldChar w:fldCharType="begin"/>
      </w:r>
      <w:r>
        <w:instrText xml:space="preserve"> AUTONUM  </w:instrText>
      </w:r>
      <w:r>
        <w:fldChar w:fldCharType="end"/>
      </w:r>
      <w:r>
        <w:tab/>
        <w:t>Der CAJ wird ersucht</w:t>
      </w:r>
      <w:r w:rsidR="00D9186E">
        <w:t>,</w:t>
      </w:r>
      <w:r>
        <w:t xml:space="preserve"> zur Kenntnis zu nehmen, daß </w:t>
      </w:r>
    </w:p>
    <w:p w:rsidR="002E2A4D" w:rsidRPr="005155A4" w:rsidRDefault="002E2A4D" w:rsidP="002E2A4D">
      <w:pPr>
        <w:pStyle w:val="DecisionParagraphs"/>
        <w:rPr>
          <w:sz w:val="16"/>
          <w:szCs w:val="24"/>
        </w:rPr>
      </w:pPr>
    </w:p>
    <w:p w:rsidR="002E2A4D" w:rsidRDefault="006C30CD" w:rsidP="004907CA">
      <w:pPr>
        <w:pStyle w:val="DecisionParagraphs"/>
        <w:numPr>
          <w:ilvl w:val="0"/>
          <w:numId w:val="10"/>
        </w:numPr>
        <w:tabs>
          <w:tab w:val="clear" w:pos="5387"/>
          <w:tab w:val="left" w:pos="5954"/>
        </w:tabs>
        <w:ind w:left="4820" w:firstLine="567"/>
        <w:rPr>
          <w:szCs w:val="24"/>
        </w:rPr>
      </w:pPr>
      <w:r>
        <w:t xml:space="preserve">neue Entwürfe der Erläuterungen betreffend Vermehrung und Vermehrungsmaterial, Erntegut, im wesentlichen abgeleitete Sorten, Aufhebung, Nichtigkeit, Sortenbezeichnungen und vorläufiger Schutz im Mai 2014 verbreitet wurden und daß die Mitglieder und Beobachter des CAJ, wie in den Absätzen </w:t>
      </w:r>
      <w:r w:rsidR="005155A4">
        <w:t>9 bis 16</w:t>
      </w:r>
      <w:r>
        <w:t xml:space="preserve"> oben dargelegt</w:t>
      </w:r>
      <w:r w:rsidR="00DE7754">
        <w:t>, Bemerkungen dazu erhalten haben</w:t>
      </w:r>
      <w:r>
        <w:t>;</w:t>
      </w:r>
    </w:p>
    <w:p w:rsidR="002E2A4D" w:rsidRPr="005155A4" w:rsidRDefault="002E2A4D" w:rsidP="004907CA">
      <w:pPr>
        <w:pStyle w:val="DecisionParagraphs"/>
        <w:tabs>
          <w:tab w:val="clear" w:pos="5387"/>
          <w:tab w:val="left" w:pos="5954"/>
        </w:tabs>
        <w:rPr>
          <w:sz w:val="16"/>
          <w:szCs w:val="24"/>
        </w:rPr>
      </w:pPr>
    </w:p>
    <w:p w:rsidR="000022C4" w:rsidRPr="005155A4" w:rsidRDefault="006C30CD" w:rsidP="004907CA">
      <w:pPr>
        <w:pStyle w:val="DecisionParagraphs"/>
        <w:numPr>
          <w:ilvl w:val="0"/>
          <w:numId w:val="10"/>
        </w:numPr>
        <w:tabs>
          <w:tab w:val="clear" w:pos="5387"/>
          <w:tab w:val="left" w:pos="5954"/>
        </w:tabs>
        <w:ind w:left="4820" w:firstLine="567"/>
        <w:rPr>
          <w:spacing w:val="-2"/>
          <w:szCs w:val="24"/>
        </w:rPr>
      </w:pPr>
      <w:r w:rsidRPr="005155A4">
        <w:rPr>
          <w:spacing w:val="-2"/>
        </w:rPr>
        <w:t xml:space="preserve">auf der Grundlage der erhaltenen Bemerkungen </w:t>
      </w:r>
      <w:r w:rsidR="00124B20">
        <w:rPr>
          <w:spacing w:val="-2"/>
        </w:rPr>
        <w:t>am 10</w:t>
      </w:r>
      <w:r w:rsidRPr="005155A4">
        <w:rPr>
          <w:spacing w:val="-2"/>
        </w:rPr>
        <w:t xml:space="preserve">. </w:t>
      </w:r>
      <w:r w:rsidR="00A10CEC">
        <w:rPr>
          <w:spacing w:val="-2"/>
        </w:rPr>
        <w:t xml:space="preserve">September </w:t>
      </w:r>
      <w:r w:rsidRPr="005155A4">
        <w:rPr>
          <w:spacing w:val="-2"/>
        </w:rPr>
        <w:t xml:space="preserve">2014 neue Entwürfe der oben angeführten Erläuterungen </w:t>
      </w:r>
      <w:r w:rsidR="00A10CEC">
        <w:rPr>
          <w:spacing w:val="-2"/>
        </w:rPr>
        <w:t xml:space="preserve">veröffentlicht </w:t>
      </w:r>
      <w:r w:rsidR="00124B20">
        <w:rPr>
          <w:spacing w:val="-2"/>
        </w:rPr>
        <w:t>wurden,</w:t>
      </w:r>
      <w:r w:rsidRPr="005155A4">
        <w:rPr>
          <w:spacing w:val="-2"/>
        </w:rPr>
        <w:t xml:space="preserve"> </w:t>
      </w:r>
      <w:r w:rsidR="00A10CEC">
        <w:rPr>
          <w:spacing w:val="-2"/>
        </w:rPr>
        <w:t xml:space="preserve">die </w:t>
      </w:r>
      <w:r w:rsidRPr="005155A4">
        <w:rPr>
          <w:spacing w:val="-2"/>
        </w:rPr>
        <w:t>von der CAJ-AG auf ihrer neunten Tagung am 14. und 1</w:t>
      </w:r>
      <w:r w:rsidR="00124B20">
        <w:rPr>
          <w:spacing w:val="-2"/>
        </w:rPr>
        <w:t>7. Oktober 2014 geprüft werden;</w:t>
      </w:r>
    </w:p>
    <w:p w:rsidR="000022C4" w:rsidRPr="005155A4" w:rsidRDefault="000022C4" w:rsidP="004907CA">
      <w:pPr>
        <w:pStyle w:val="ListParagraph"/>
        <w:tabs>
          <w:tab w:val="left" w:pos="5954"/>
        </w:tabs>
        <w:rPr>
          <w:sz w:val="16"/>
          <w:szCs w:val="24"/>
        </w:rPr>
      </w:pPr>
    </w:p>
    <w:p w:rsidR="000022C4" w:rsidRPr="000022C4" w:rsidRDefault="006C30CD" w:rsidP="004907CA">
      <w:pPr>
        <w:pStyle w:val="DecisionParagraphs"/>
        <w:numPr>
          <w:ilvl w:val="0"/>
          <w:numId w:val="10"/>
        </w:numPr>
        <w:tabs>
          <w:tab w:val="clear" w:pos="5387"/>
          <w:tab w:val="left" w:pos="5954"/>
        </w:tabs>
        <w:ind w:left="4820" w:firstLine="567"/>
        <w:rPr>
          <w:szCs w:val="24"/>
        </w:rPr>
      </w:pPr>
      <w:r>
        <w:t>gegebenenfalls eine weitere Überarbeitung von Dokument UPOV/INF/12 „Erläuterungen zu Sortenbezeichnungen nach dem UPOV-Übereinkommen“ in Bezug auf die Entwicklung eines effektiven UPOV-Suchinstruments für Ähnlichkeiten erforderlich sein könnte (vergleiche Dokument CAJ/70/4);</w:t>
      </w:r>
    </w:p>
    <w:p w:rsidR="000022C4" w:rsidRPr="005155A4" w:rsidRDefault="000022C4" w:rsidP="004907CA">
      <w:pPr>
        <w:pStyle w:val="ListParagraph"/>
        <w:tabs>
          <w:tab w:val="left" w:pos="5954"/>
        </w:tabs>
        <w:rPr>
          <w:sz w:val="16"/>
          <w:szCs w:val="24"/>
        </w:rPr>
      </w:pPr>
    </w:p>
    <w:p w:rsidR="00DD0067" w:rsidRPr="000022C4" w:rsidRDefault="006C30CD" w:rsidP="004907CA">
      <w:pPr>
        <w:pStyle w:val="DecisionParagraphs"/>
        <w:numPr>
          <w:ilvl w:val="0"/>
          <w:numId w:val="10"/>
        </w:numPr>
        <w:tabs>
          <w:tab w:val="clear" w:pos="5387"/>
          <w:tab w:val="left" w:pos="5954"/>
        </w:tabs>
        <w:ind w:left="4820" w:firstLine="567"/>
        <w:rPr>
          <w:szCs w:val="24"/>
        </w:rPr>
      </w:pPr>
      <w:r>
        <w:t>dem CAJ auf seiner einundsiebzigsten Tagung im März 2015 Bericht über die Arbeit der CAJ-AG auf ihrer neunten Tagung erstattet werde;</w:t>
      </w:r>
    </w:p>
    <w:p w:rsidR="000022C4" w:rsidRPr="005155A4" w:rsidRDefault="000022C4" w:rsidP="004907CA">
      <w:pPr>
        <w:pStyle w:val="ListParagraph"/>
        <w:tabs>
          <w:tab w:val="left" w:pos="5954"/>
        </w:tabs>
        <w:rPr>
          <w:sz w:val="16"/>
          <w:szCs w:val="24"/>
        </w:rPr>
      </w:pPr>
    </w:p>
    <w:p w:rsidR="00DD0067" w:rsidRDefault="006C30CD" w:rsidP="004907CA">
      <w:pPr>
        <w:pStyle w:val="DecisionParagraphs"/>
        <w:numPr>
          <w:ilvl w:val="0"/>
          <w:numId w:val="10"/>
        </w:numPr>
        <w:tabs>
          <w:tab w:val="clear" w:pos="5387"/>
          <w:tab w:val="left" w:pos="5954"/>
        </w:tabs>
        <w:ind w:left="4820" w:firstLine="567"/>
        <w:rPr>
          <w:szCs w:val="24"/>
        </w:rPr>
      </w:pPr>
      <w:r>
        <w:t>Entwicklungen betreffend die Überarbeitung von Dokument UPOV/INF/5 „UPOV-Musteramtsblatt für Sortenschutz“ in Dokument CAJ/70/3 enthalten sind;</w:t>
      </w:r>
    </w:p>
    <w:p w:rsidR="00300B1B" w:rsidRPr="005155A4" w:rsidRDefault="00300B1B" w:rsidP="004907CA">
      <w:pPr>
        <w:pStyle w:val="DecisionParagraphs"/>
        <w:tabs>
          <w:tab w:val="clear" w:pos="5387"/>
          <w:tab w:val="left" w:pos="5954"/>
        </w:tabs>
        <w:ind w:left="0"/>
        <w:rPr>
          <w:sz w:val="16"/>
          <w:szCs w:val="24"/>
        </w:rPr>
      </w:pPr>
    </w:p>
    <w:p w:rsidR="000022C4" w:rsidRDefault="000022C4" w:rsidP="004907CA">
      <w:pPr>
        <w:pStyle w:val="DecisionParagraphs"/>
        <w:tabs>
          <w:tab w:val="clear" w:pos="5387"/>
          <w:tab w:val="left" w:pos="5954"/>
        </w:tabs>
        <w:ind w:firstLine="567"/>
        <w:rPr>
          <w:szCs w:val="24"/>
        </w:rPr>
      </w:pPr>
      <w:r>
        <w:t>f)</w:t>
      </w:r>
      <w:r>
        <w:tab/>
        <w:t>die jüngsten Entwicklungen betreffend die Überarbeitung von Dokument UPOV/INF/15 „Anleitung über die laufenden Verpflichtungen der Verbandsmitglieder und die damit verbundenen Notifizierungen und über die Erteilung von Auskünften zur Erleichterung der Zusammenarbeit“ in Dokument CAJ/70/5 dargelegt sind; und</w:t>
      </w:r>
    </w:p>
    <w:p w:rsidR="000022C4" w:rsidRPr="005155A4" w:rsidRDefault="000022C4" w:rsidP="000022C4">
      <w:pPr>
        <w:pStyle w:val="DecisionParagraphs"/>
        <w:rPr>
          <w:sz w:val="16"/>
        </w:rPr>
      </w:pPr>
    </w:p>
    <w:p w:rsidR="00DD0067" w:rsidRDefault="006C30CD" w:rsidP="005155A4">
      <w:pPr>
        <w:pStyle w:val="DecisionParagraphs"/>
        <w:tabs>
          <w:tab w:val="clear" w:pos="5387"/>
          <w:tab w:val="left" w:pos="5954"/>
        </w:tabs>
        <w:ind w:firstLine="567"/>
      </w:pPr>
      <w:r>
        <w:t>g)</w:t>
      </w:r>
      <w:r>
        <w:tab/>
        <w:t>die deutsche, französische und spanische Fassungen der Beiträge des „Seminars über im wesentlichen abgeleitete Sorten“ (UPOV-Veröffentlichung Nr. 358) vom 22. Oktober 2013 in Genf nun auf der UPOV-Website veröffentlicht wurden (</w:t>
      </w:r>
      <w:hyperlink r:id="rId13" w:history="1">
        <w:r w:rsidR="008C38AE" w:rsidRPr="006957F5">
          <w:rPr>
            <w:rStyle w:val="Hyperlink"/>
            <w:i w:val="0"/>
          </w:rPr>
          <w:t>http://www.upov.int/meetings/de/details.jsp?meeting_id=29782</w:t>
        </w:r>
      </w:hyperlink>
      <w:r>
        <w:t>).</w:t>
      </w:r>
    </w:p>
    <w:p w:rsidR="00B27C88" w:rsidRPr="005155A4" w:rsidRDefault="005155A4" w:rsidP="005155A4">
      <w:r>
        <w:rPr>
          <w:rFonts w:cs="Arial"/>
          <w:noProof/>
          <w:lang w:val="en-US" w:eastAsia="en-US" w:bidi="ar-SA"/>
        </w:rPr>
        <mc:AlternateContent>
          <mc:Choice Requires="wps">
            <w:drawing>
              <wp:anchor distT="0" distB="0" distL="114300" distR="114300" simplePos="0" relativeHeight="251659264" behindDoc="0" locked="0" layoutInCell="0" allowOverlap="1" wp14:anchorId="66FBB5B7" wp14:editId="61771362">
                <wp:simplePos x="0" y="0"/>
                <wp:positionH relativeFrom="column">
                  <wp:posOffset>4294505</wp:posOffset>
                </wp:positionH>
                <wp:positionV relativeFrom="paragraph">
                  <wp:posOffset>292100</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5A4" w:rsidRPr="009929A5" w:rsidRDefault="005155A4">
                            <w:pPr>
                              <w:ind w:right="53"/>
                              <w:jc w:val="right"/>
                              <w:rPr>
                                <w:rFonts w:cs="Arial"/>
                              </w:rPr>
                            </w:pPr>
                            <w:r w:rsidRPr="009929A5">
                              <w:rPr>
                                <w:rFonts w:cs="Arial"/>
                              </w:rPr>
                              <w:t>[</w:t>
                            </w:r>
                            <w:r>
                              <w:t>Anlage folgt</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" o:allowincell="f" filled="f" stroked="f">
                <v:textbox inset="0,0,0,0">
                  <w:txbxContent>
                    <w:p w:rsidR="005155A4" w:rsidRPr="009929A5" w:rsidRDefault="005155A4">
                      <w:pPr>
                        <w:ind w:right="53"/>
                        <w:jc w:val="right"/>
                        <w:rPr>
                          <w:rFonts w:cs="Arial"/>
                        </w:rPr>
                      </w:pPr>
                      <w:r w:rsidRPr="009929A5">
                        <w:rPr>
                          <w:rFonts w:cs="Arial"/>
                        </w:rPr>
                        <w:t>[</w:t>
                      </w:r>
                      <w:r>
                        <w:t>Anlage folgt</w:t>
                      </w:r>
                      <w:r w:rsidRPr="009929A5">
                        <w:rPr>
                          <w:rFonts w:cs="Arial"/>
                        </w:rPr>
                        <w:t>]</w:t>
                      </w:r>
                    </w:p>
                  </w:txbxContent>
                </v:textbox>
              </v:shape>
            </w:pict>
          </mc:Fallback>
        </mc:AlternateContent>
      </w:r>
    </w:p>
    <w:p w:rsidR="00B27C88" w:rsidRPr="00CC07EF" w:rsidRDefault="00B27C88" w:rsidP="00F75CBE">
      <w:pPr>
        <w:jc w:val="left"/>
        <w:sectPr w:rsidR="00B27C88" w:rsidRPr="00CC07EF" w:rsidSect="00C57DAB">
          <w:headerReference w:type="default" r:id="rId14"/>
          <w:endnotePr>
            <w:numFmt w:val="lowerLetter"/>
          </w:endnotePr>
          <w:type w:val="continuous"/>
          <w:pgSz w:w="11907" w:h="16840" w:code="9"/>
          <w:pgMar w:top="510" w:right="1134" w:bottom="1134" w:left="1134" w:header="510" w:footer="624" w:gutter="0"/>
          <w:cols w:space="720"/>
          <w:titlePg/>
        </w:sectPr>
      </w:pPr>
    </w:p>
    <w:p w:rsidR="00B27C88" w:rsidRPr="00C57332" w:rsidRDefault="00B27C88" w:rsidP="00B27C88">
      <w:pPr>
        <w:jc w:val="center"/>
      </w:pPr>
      <w:r>
        <w:lastRenderedPageBreak/>
        <w:t>CAJ/70/2</w:t>
      </w:r>
    </w:p>
    <w:p w:rsidR="00B27C88" w:rsidRPr="00C57332" w:rsidRDefault="00B27C88" w:rsidP="00B27C88">
      <w:pPr>
        <w:jc w:val="center"/>
      </w:pPr>
    </w:p>
    <w:p w:rsidR="00B27C88" w:rsidRPr="00C57332" w:rsidRDefault="00B27C88" w:rsidP="00B27C88">
      <w:pPr>
        <w:jc w:val="center"/>
      </w:pPr>
      <w:r>
        <w:t>ANLAGE</w:t>
      </w:r>
    </w:p>
    <w:p w:rsidR="00B27C88" w:rsidRDefault="00B27C88" w:rsidP="00B27C88">
      <w:pPr>
        <w:jc w:val="center"/>
        <w:rPr>
          <w:sz w:val="16"/>
          <w:szCs w:val="16"/>
        </w:rPr>
      </w:pPr>
    </w:p>
    <w:p w:rsidR="00476059" w:rsidRPr="00A67697" w:rsidRDefault="00476059" w:rsidP="00B27C88">
      <w:pPr>
        <w:jc w:val="center"/>
        <w:rPr>
          <w:sz w:val="16"/>
          <w:szCs w:val="16"/>
        </w:rPr>
      </w:pPr>
    </w:p>
    <w:p w:rsidR="00052A72" w:rsidRPr="00AA336A" w:rsidRDefault="00052A72" w:rsidP="00052A72">
      <w:pPr>
        <w:jc w:val="center"/>
      </w:pPr>
      <w:r>
        <w:t>ÜBERBLICK ÜBER DIE ENTWICKLUNG VON INFORMATIONSMATERIAL</w:t>
      </w:r>
    </w:p>
    <w:p w:rsidR="00052A72" w:rsidRPr="00AA336A" w:rsidRDefault="00052A72" w:rsidP="00052A72">
      <w:pPr>
        <w:jc w:val="center"/>
        <w:rPr>
          <w:sz w:val="16"/>
          <w:szCs w:val="16"/>
        </w:rPr>
      </w:pPr>
    </w:p>
    <w:p w:rsidR="00052A72" w:rsidRPr="00AA336A" w:rsidRDefault="00052A72" w:rsidP="00052A72">
      <w:pPr>
        <w:jc w:val="center"/>
        <w:rPr>
          <w:sz w:val="16"/>
          <w:szCs w:val="16"/>
        </w:rPr>
      </w:pPr>
    </w:p>
    <w:p w:rsidR="00052A72" w:rsidRPr="00AA336A" w:rsidRDefault="00052A72" w:rsidP="00052A72">
      <w:pPr>
        <w:jc w:val="left"/>
      </w:pPr>
      <w:r>
        <w:t>ERLÄUTERUNGEN</w:t>
      </w:r>
    </w:p>
    <w:p w:rsidR="00052A72" w:rsidRPr="00AA336A" w:rsidRDefault="00052A72" w:rsidP="00052A72">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57" w:type="dxa"/>
          <w:right w:w="57" w:type="dxa"/>
        </w:tblCellMar>
        <w:tblLook w:val="0000" w:firstRow="0" w:lastRow="0" w:firstColumn="0" w:lastColumn="0" w:noHBand="0" w:noVBand="0"/>
      </w:tblPr>
      <w:tblGrid>
        <w:gridCol w:w="1500"/>
        <w:gridCol w:w="4536"/>
        <w:gridCol w:w="4334"/>
      </w:tblGrid>
      <w:tr w:rsidR="00052A72" w:rsidRPr="00AA336A" w:rsidTr="001A674E">
        <w:trPr>
          <w:cantSplit/>
          <w:jc w:val="center"/>
        </w:trPr>
        <w:tc>
          <w:tcPr>
            <w:tcW w:w="1500" w:type="dxa"/>
            <w:shd w:val="clear" w:color="auto" w:fill="D9D9D9"/>
          </w:tcPr>
          <w:p w:rsidR="00052A72" w:rsidRPr="00AA336A" w:rsidRDefault="00052A72" w:rsidP="00863650">
            <w:pPr>
              <w:jc w:val="left"/>
              <w:rPr>
                <w:rFonts w:cs="Arial"/>
                <w:sz w:val="18"/>
                <w:szCs w:val="18"/>
              </w:rPr>
            </w:pPr>
            <w:r>
              <w:rPr>
                <w:sz w:val="18"/>
              </w:rPr>
              <w:t>Verweiszeichen</w:t>
            </w:r>
          </w:p>
        </w:tc>
        <w:tc>
          <w:tcPr>
            <w:tcW w:w="4536" w:type="dxa"/>
            <w:shd w:val="clear" w:color="auto" w:fill="D9D9D9"/>
          </w:tcPr>
          <w:p w:rsidR="00052A72" w:rsidRPr="00AA336A" w:rsidRDefault="00052A72" w:rsidP="00863650">
            <w:pPr>
              <w:jc w:val="left"/>
              <w:rPr>
                <w:rFonts w:cs="Arial"/>
                <w:sz w:val="18"/>
                <w:szCs w:val="18"/>
              </w:rPr>
            </w:pPr>
            <w:r>
              <w:rPr>
                <w:sz w:val="18"/>
              </w:rPr>
              <w:t>Erläuterungen zu:</w:t>
            </w:r>
          </w:p>
        </w:tc>
        <w:tc>
          <w:tcPr>
            <w:tcW w:w="4334" w:type="dxa"/>
            <w:shd w:val="clear" w:color="auto" w:fill="D9D9D9"/>
          </w:tcPr>
          <w:p w:rsidR="00052A72" w:rsidRPr="00AA336A" w:rsidRDefault="00052A72" w:rsidP="00863650">
            <w:pPr>
              <w:jc w:val="left"/>
              <w:rPr>
                <w:rFonts w:cs="Arial"/>
                <w:sz w:val="18"/>
                <w:szCs w:val="18"/>
              </w:rPr>
            </w:pPr>
            <w:r>
              <w:rPr>
                <w:sz w:val="18"/>
              </w:rPr>
              <w:t>Status</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UPOV/EXN/BRD</w:t>
            </w:r>
          </w:p>
        </w:tc>
        <w:tc>
          <w:tcPr>
            <w:tcW w:w="4536" w:type="dxa"/>
          </w:tcPr>
          <w:p w:rsidR="00052A72" w:rsidRPr="00AA336A" w:rsidRDefault="00052A72" w:rsidP="00863650">
            <w:pPr>
              <w:jc w:val="left"/>
              <w:rPr>
                <w:rFonts w:cs="Arial"/>
                <w:sz w:val="18"/>
                <w:szCs w:val="18"/>
              </w:rPr>
            </w:pPr>
            <w:r>
              <w:rPr>
                <w:sz w:val="18"/>
              </w:rPr>
              <w:t>Begriffsbestimmung des Züchters nach der Akte von 1991 des UPOV-Übereinkommens</w:t>
            </w:r>
          </w:p>
        </w:tc>
        <w:tc>
          <w:tcPr>
            <w:tcW w:w="4334" w:type="dxa"/>
          </w:tcPr>
          <w:p w:rsidR="00052A72" w:rsidRPr="00AA336A" w:rsidRDefault="00052A72" w:rsidP="00863650">
            <w:pPr>
              <w:jc w:val="left"/>
              <w:rPr>
                <w:rFonts w:cs="Arial"/>
                <w:strike/>
                <w:sz w:val="18"/>
                <w:szCs w:val="18"/>
              </w:rPr>
            </w:pPr>
            <w:r>
              <w:rPr>
                <w:sz w:val="18"/>
              </w:rPr>
              <w:t>UPOV/EXN/BRD/1 im Oktober 2013 angenommen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UPOV/EXN/CAL</w:t>
            </w:r>
          </w:p>
        </w:tc>
        <w:tc>
          <w:tcPr>
            <w:tcW w:w="4536" w:type="dxa"/>
          </w:tcPr>
          <w:p w:rsidR="00052A72" w:rsidRPr="00AA336A" w:rsidRDefault="00052A72" w:rsidP="00863650">
            <w:pPr>
              <w:jc w:val="left"/>
              <w:rPr>
                <w:rFonts w:cs="Arial"/>
                <w:sz w:val="18"/>
                <w:szCs w:val="18"/>
              </w:rPr>
            </w:pPr>
            <w:r>
              <w:rPr>
                <w:sz w:val="18"/>
              </w:rPr>
              <w:t>Bedingungen und Einschränkungen im Zusammenhang mit der Zustimmung des Züchters in bezug auf Vermehrungsmaterial nach dem UPOV-Übereinkommen</w:t>
            </w:r>
          </w:p>
        </w:tc>
        <w:tc>
          <w:tcPr>
            <w:tcW w:w="4334" w:type="dxa"/>
          </w:tcPr>
          <w:p w:rsidR="00052A72" w:rsidRPr="00AA336A" w:rsidRDefault="00052A72" w:rsidP="00863650">
            <w:pPr>
              <w:jc w:val="left"/>
              <w:rPr>
                <w:rFonts w:cs="Arial"/>
                <w:sz w:val="18"/>
                <w:szCs w:val="18"/>
              </w:rPr>
            </w:pPr>
            <w:r>
              <w:rPr>
                <w:sz w:val="18"/>
              </w:rPr>
              <w:t>UPOV/EXN/CAL/1 im Oktober 2010 angenommen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UPOV/EXN/CAN</w:t>
            </w:r>
          </w:p>
        </w:tc>
        <w:tc>
          <w:tcPr>
            <w:tcW w:w="4536" w:type="dxa"/>
          </w:tcPr>
          <w:p w:rsidR="00052A72" w:rsidRPr="00AA336A" w:rsidRDefault="00052A72" w:rsidP="00863650">
            <w:pPr>
              <w:jc w:val="left"/>
              <w:rPr>
                <w:rFonts w:cs="Arial"/>
                <w:sz w:val="18"/>
                <w:szCs w:val="18"/>
              </w:rPr>
            </w:pPr>
            <w:r>
              <w:rPr>
                <w:sz w:val="18"/>
              </w:rPr>
              <w:t>Aufhebung des Züchterrechts nach dem UPOV-Übereinkommen</w:t>
            </w:r>
          </w:p>
        </w:tc>
        <w:tc>
          <w:tcPr>
            <w:tcW w:w="4334" w:type="dxa"/>
          </w:tcPr>
          <w:p w:rsidR="00052A72" w:rsidRPr="00AA336A" w:rsidRDefault="00052A72" w:rsidP="00863650">
            <w:pPr>
              <w:jc w:val="left"/>
              <w:rPr>
                <w:rFonts w:cs="Arial"/>
                <w:sz w:val="18"/>
                <w:szCs w:val="18"/>
              </w:rPr>
            </w:pPr>
            <w:r>
              <w:rPr>
                <w:sz w:val="18"/>
              </w:rPr>
              <w:t>UPOV/EXN/CAN/1 im Oktober 2009 angenommen</w:t>
            </w:r>
          </w:p>
          <w:p w:rsidR="00052A72" w:rsidRPr="00AA336A" w:rsidRDefault="00052A72" w:rsidP="00863650">
            <w:pPr>
              <w:jc w:val="left"/>
              <w:rPr>
                <w:rFonts w:cs="Arial"/>
                <w:spacing w:val="-2"/>
                <w:sz w:val="18"/>
                <w:szCs w:val="18"/>
              </w:rPr>
            </w:pPr>
            <w:r>
              <w:rPr>
                <w:sz w:val="18"/>
              </w:rPr>
              <w:t>UPOV/EXN/CAN/2 Draft 1 von der CAJ-AG auf dem Schriftweg geprüft</w:t>
            </w:r>
          </w:p>
          <w:p w:rsidR="00052A72" w:rsidRPr="00AA336A" w:rsidRDefault="00052A72" w:rsidP="00863650">
            <w:pPr>
              <w:jc w:val="left"/>
              <w:rPr>
                <w:rFonts w:cs="Arial"/>
                <w:sz w:val="18"/>
                <w:szCs w:val="18"/>
              </w:rPr>
            </w:pPr>
            <w:r>
              <w:rPr>
                <w:sz w:val="18"/>
              </w:rPr>
              <w:t>UPOV/EXN/CAN/2 Draft 2 von der CAJ-AG im Oktober 2014 zu prüfen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color w:val="000000"/>
                <w:sz w:val="18"/>
              </w:rPr>
              <w:t>UPOV/EXN/EDV</w:t>
            </w:r>
          </w:p>
        </w:tc>
        <w:tc>
          <w:tcPr>
            <w:tcW w:w="4536" w:type="dxa"/>
          </w:tcPr>
          <w:p w:rsidR="00052A72" w:rsidRPr="00AA336A" w:rsidRDefault="00052A72" w:rsidP="00863650">
            <w:pPr>
              <w:jc w:val="left"/>
              <w:rPr>
                <w:rFonts w:cs="Arial"/>
                <w:color w:val="000000"/>
                <w:sz w:val="18"/>
                <w:szCs w:val="18"/>
              </w:rPr>
            </w:pPr>
            <w:r>
              <w:rPr>
                <w:color w:val="000000"/>
                <w:sz w:val="18"/>
              </w:rPr>
              <w:t xml:space="preserve">Im wesentlichen abgeleitete Sorten nach der </w:t>
            </w:r>
            <w:r>
              <w:rPr>
                <w:sz w:val="18"/>
              </w:rPr>
              <w:t xml:space="preserve">Akte von 1991 </w:t>
            </w:r>
            <w:r>
              <w:rPr>
                <w:color w:val="000000"/>
                <w:sz w:val="18"/>
              </w:rPr>
              <w:t>des UPOV Übereinkommens</w:t>
            </w:r>
          </w:p>
        </w:tc>
        <w:tc>
          <w:tcPr>
            <w:tcW w:w="4334" w:type="dxa"/>
          </w:tcPr>
          <w:p w:rsidR="00052A72" w:rsidRPr="00AA336A" w:rsidRDefault="00052A72" w:rsidP="00863650">
            <w:pPr>
              <w:jc w:val="left"/>
              <w:rPr>
                <w:rFonts w:cs="Arial"/>
                <w:sz w:val="18"/>
                <w:szCs w:val="18"/>
              </w:rPr>
            </w:pPr>
            <w:r>
              <w:rPr>
                <w:color w:val="000000"/>
                <w:sz w:val="18"/>
              </w:rPr>
              <w:t xml:space="preserve">UPOV/EXN/EDV/1 </w:t>
            </w:r>
            <w:r>
              <w:rPr>
                <w:sz w:val="18"/>
              </w:rPr>
              <w:t>im Oktober 2009 angenommen</w:t>
            </w:r>
          </w:p>
          <w:p w:rsidR="00052A72" w:rsidRPr="00AA336A" w:rsidRDefault="00052A72" w:rsidP="00863650">
            <w:pPr>
              <w:jc w:val="left"/>
              <w:rPr>
                <w:rFonts w:cs="Arial"/>
                <w:spacing w:val="-2"/>
                <w:sz w:val="18"/>
                <w:szCs w:val="18"/>
              </w:rPr>
            </w:pPr>
            <w:r>
              <w:rPr>
                <w:color w:val="000000"/>
                <w:sz w:val="18"/>
              </w:rPr>
              <w:t>UPOV/EXN/EDV/2 Draft 4</w:t>
            </w:r>
            <w:r>
              <w:rPr>
                <w:spacing w:val="-2"/>
                <w:sz w:val="18"/>
              </w:rPr>
              <w:t xml:space="preserve"> von der CAJ-AG auf dem Schriftweg geprüft</w:t>
            </w:r>
          </w:p>
          <w:p w:rsidR="00052A72" w:rsidRPr="00AA336A" w:rsidRDefault="00052A72" w:rsidP="00863650">
            <w:pPr>
              <w:jc w:val="left"/>
              <w:rPr>
                <w:rFonts w:cs="Arial"/>
                <w:sz w:val="18"/>
                <w:szCs w:val="18"/>
              </w:rPr>
            </w:pPr>
            <w:r>
              <w:rPr>
                <w:color w:val="000000"/>
                <w:sz w:val="18"/>
              </w:rPr>
              <w:t>UPOV/EXN/EDV/2 Draft 5</w:t>
            </w:r>
            <w:r>
              <w:rPr>
                <w:sz w:val="18"/>
              </w:rPr>
              <w:t xml:space="preserve">  von der CAJ-AG im Oktober 2014 zu prüfen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color w:val="000000"/>
                <w:sz w:val="18"/>
              </w:rPr>
              <w:t>UPOV/EXN/ENF</w:t>
            </w:r>
          </w:p>
        </w:tc>
        <w:tc>
          <w:tcPr>
            <w:tcW w:w="4536" w:type="dxa"/>
          </w:tcPr>
          <w:p w:rsidR="00052A72" w:rsidRPr="00AA336A" w:rsidRDefault="00052A72" w:rsidP="00863650">
            <w:pPr>
              <w:jc w:val="left"/>
              <w:rPr>
                <w:rFonts w:cs="Arial"/>
                <w:sz w:val="18"/>
                <w:szCs w:val="18"/>
              </w:rPr>
            </w:pPr>
            <w:r>
              <w:rPr>
                <w:sz w:val="18"/>
              </w:rPr>
              <w:t>Wahrung der Züchterrechte nach dem UPOV-Übereinkommen</w:t>
            </w:r>
          </w:p>
        </w:tc>
        <w:tc>
          <w:tcPr>
            <w:tcW w:w="4334" w:type="dxa"/>
          </w:tcPr>
          <w:p w:rsidR="00052A72" w:rsidRPr="00AA336A" w:rsidRDefault="00052A72" w:rsidP="00863650">
            <w:pPr>
              <w:jc w:val="left"/>
              <w:rPr>
                <w:rFonts w:cs="Arial"/>
                <w:sz w:val="18"/>
                <w:szCs w:val="18"/>
              </w:rPr>
            </w:pPr>
            <w:r>
              <w:rPr>
                <w:color w:val="000000"/>
                <w:sz w:val="18"/>
              </w:rPr>
              <w:t xml:space="preserve">UPOV/EXN/ENF/1 </w:t>
            </w:r>
            <w:r>
              <w:rPr>
                <w:sz w:val="18"/>
              </w:rPr>
              <w:t>im Oktober 2009 angenommen</w:t>
            </w:r>
          </w:p>
        </w:tc>
      </w:tr>
      <w:tr w:rsidR="00052A72" w:rsidRPr="00AA336A" w:rsidTr="001A674E">
        <w:trPr>
          <w:cantSplit/>
          <w:jc w:val="center"/>
        </w:trPr>
        <w:tc>
          <w:tcPr>
            <w:tcW w:w="1500" w:type="dxa"/>
          </w:tcPr>
          <w:p w:rsidR="00052A72" w:rsidRPr="00AA336A" w:rsidRDefault="00052A72" w:rsidP="00863650">
            <w:pPr>
              <w:jc w:val="left"/>
              <w:rPr>
                <w:rFonts w:cs="Arial"/>
                <w:color w:val="000000"/>
                <w:sz w:val="18"/>
                <w:szCs w:val="18"/>
              </w:rPr>
            </w:pPr>
            <w:r>
              <w:rPr>
                <w:color w:val="000000"/>
                <w:sz w:val="18"/>
              </w:rPr>
              <w:t>UPOV/EXN/EXC</w:t>
            </w:r>
          </w:p>
        </w:tc>
        <w:tc>
          <w:tcPr>
            <w:tcW w:w="4536" w:type="dxa"/>
          </w:tcPr>
          <w:p w:rsidR="00052A72" w:rsidRPr="00AA336A" w:rsidRDefault="00052A72" w:rsidP="00863650">
            <w:pPr>
              <w:jc w:val="left"/>
              <w:rPr>
                <w:rFonts w:cs="Arial"/>
                <w:color w:val="000000"/>
                <w:sz w:val="18"/>
                <w:szCs w:val="18"/>
              </w:rPr>
            </w:pPr>
            <w:r>
              <w:rPr>
                <w:color w:val="000000"/>
                <w:sz w:val="18"/>
              </w:rPr>
              <w:t xml:space="preserve"> Ausnahmen vom Züchterrecht nach der  </w:t>
            </w:r>
            <w:r>
              <w:rPr>
                <w:sz w:val="18"/>
              </w:rPr>
              <w:t xml:space="preserve">Akte von 1991 </w:t>
            </w:r>
            <w:r>
              <w:rPr>
                <w:color w:val="000000"/>
                <w:sz w:val="18"/>
              </w:rPr>
              <w:t>des UPOV Übereinkommens</w:t>
            </w:r>
          </w:p>
        </w:tc>
        <w:tc>
          <w:tcPr>
            <w:tcW w:w="4334" w:type="dxa"/>
          </w:tcPr>
          <w:p w:rsidR="00052A72" w:rsidRPr="00AA336A" w:rsidRDefault="00052A72" w:rsidP="00863650">
            <w:pPr>
              <w:jc w:val="left"/>
              <w:rPr>
                <w:rFonts w:cs="Arial"/>
                <w:sz w:val="18"/>
                <w:szCs w:val="18"/>
              </w:rPr>
            </w:pPr>
            <w:r>
              <w:rPr>
                <w:color w:val="000000"/>
                <w:sz w:val="18"/>
              </w:rPr>
              <w:t xml:space="preserve">UPOV/EXN/EXC/1 </w:t>
            </w:r>
            <w:r>
              <w:rPr>
                <w:sz w:val="18"/>
              </w:rPr>
              <w:t>im Oktober 2009 angenommen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UPOV/EXN/GEN</w:t>
            </w:r>
          </w:p>
        </w:tc>
        <w:tc>
          <w:tcPr>
            <w:tcW w:w="4536" w:type="dxa"/>
          </w:tcPr>
          <w:p w:rsidR="00052A72" w:rsidRPr="00AA336A" w:rsidRDefault="00052A72" w:rsidP="00863650">
            <w:pPr>
              <w:jc w:val="left"/>
              <w:rPr>
                <w:rFonts w:cs="Arial"/>
                <w:sz w:val="18"/>
                <w:szCs w:val="18"/>
              </w:rPr>
            </w:pPr>
            <w:r>
              <w:rPr>
                <w:sz w:val="18"/>
              </w:rPr>
              <w:t>Gattungen und Arten, die nach der Akte von 1991 des UPOV-Übereinkommens geschützt werden müssen</w:t>
            </w:r>
          </w:p>
        </w:tc>
        <w:tc>
          <w:tcPr>
            <w:tcW w:w="4334" w:type="dxa"/>
          </w:tcPr>
          <w:p w:rsidR="00052A72" w:rsidRPr="00AA336A" w:rsidRDefault="00052A72" w:rsidP="00863650">
            <w:pPr>
              <w:jc w:val="left"/>
              <w:rPr>
                <w:rFonts w:cs="Arial"/>
                <w:sz w:val="18"/>
                <w:szCs w:val="18"/>
              </w:rPr>
            </w:pPr>
            <w:r>
              <w:rPr>
                <w:sz w:val="18"/>
              </w:rPr>
              <w:t>UPOV/EXN/GEN/1 im Oktober 2009 angenommen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UPOV/EXN/HRV</w:t>
            </w:r>
          </w:p>
        </w:tc>
        <w:tc>
          <w:tcPr>
            <w:tcW w:w="4536" w:type="dxa"/>
          </w:tcPr>
          <w:p w:rsidR="00052A72" w:rsidRPr="00AA336A" w:rsidRDefault="00052A72" w:rsidP="00863650">
            <w:pPr>
              <w:jc w:val="left"/>
              <w:rPr>
                <w:rFonts w:cs="Arial"/>
                <w:sz w:val="18"/>
                <w:szCs w:val="18"/>
              </w:rPr>
            </w:pPr>
            <w:r>
              <w:rPr>
                <w:sz w:val="18"/>
              </w:rPr>
              <w:t>Erläuterungen zu Handlungen in bezug auf Erntegut nach der Akte von 1991 des UPOV-Übereinkommens</w:t>
            </w:r>
          </w:p>
        </w:tc>
        <w:tc>
          <w:tcPr>
            <w:tcW w:w="4334" w:type="dxa"/>
          </w:tcPr>
          <w:p w:rsidR="00052A72" w:rsidRPr="00AA336A" w:rsidRDefault="00052A72" w:rsidP="00863650">
            <w:pPr>
              <w:jc w:val="left"/>
              <w:rPr>
                <w:rFonts w:cs="Arial"/>
                <w:iCs/>
                <w:sz w:val="18"/>
                <w:szCs w:val="18"/>
              </w:rPr>
            </w:pPr>
            <w:r>
              <w:rPr>
                <w:sz w:val="18"/>
              </w:rPr>
              <w:t>UPOV/EXN/HRV/1 im Oktober 2013 angenommen</w:t>
            </w:r>
          </w:p>
          <w:p w:rsidR="00052A72" w:rsidRPr="00AA336A" w:rsidRDefault="00052A72" w:rsidP="00863650">
            <w:pPr>
              <w:jc w:val="left"/>
              <w:rPr>
                <w:rFonts w:cs="Arial"/>
                <w:spacing w:val="-2"/>
                <w:sz w:val="18"/>
                <w:szCs w:val="18"/>
              </w:rPr>
            </w:pPr>
            <w:r>
              <w:rPr>
                <w:sz w:val="18"/>
              </w:rPr>
              <w:t>UPOV/EXN/HRV/2 Draft 1 von der CAJ-AG auf dem Schriftweg geprüft</w:t>
            </w:r>
          </w:p>
          <w:p w:rsidR="00052A72" w:rsidRPr="00AA336A" w:rsidRDefault="00052A72" w:rsidP="00863650">
            <w:pPr>
              <w:jc w:val="left"/>
              <w:rPr>
                <w:rFonts w:cs="Arial"/>
                <w:color w:val="000000"/>
                <w:sz w:val="18"/>
                <w:szCs w:val="18"/>
              </w:rPr>
            </w:pPr>
            <w:r>
              <w:rPr>
                <w:sz w:val="18"/>
              </w:rPr>
              <w:t>UPOV/EXN/HRV/2 Draft 2 von der CAJ-AG im Oktober 2014 zu prüfen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UPOV/EXN/NAT</w:t>
            </w:r>
          </w:p>
        </w:tc>
        <w:tc>
          <w:tcPr>
            <w:tcW w:w="4536" w:type="dxa"/>
          </w:tcPr>
          <w:p w:rsidR="00052A72" w:rsidRPr="00AA336A" w:rsidRDefault="00052A72" w:rsidP="00863650">
            <w:pPr>
              <w:jc w:val="left"/>
              <w:rPr>
                <w:rFonts w:cs="Arial"/>
                <w:sz w:val="18"/>
                <w:szCs w:val="18"/>
              </w:rPr>
            </w:pPr>
            <w:r>
              <w:rPr>
                <w:sz w:val="18"/>
              </w:rPr>
              <w:t>Inländerbehandlung nach der Akte von 1991 des UPOV-Übereinkommens</w:t>
            </w:r>
          </w:p>
        </w:tc>
        <w:tc>
          <w:tcPr>
            <w:tcW w:w="4334" w:type="dxa"/>
          </w:tcPr>
          <w:p w:rsidR="00052A72" w:rsidRPr="00AA336A" w:rsidRDefault="00052A72" w:rsidP="00863650">
            <w:pPr>
              <w:jc w:val="left"/>
              <w:rPr>
                <w:rFonts w:cs="Arial"/>
                <w:sz w:val="18"/>
                <w:szCs w:val="18"/>
              </w:rPr>
            </w:pPr>
            <w:r>
              <w:rPr>
                <w:sz w:val="18"/>
              </w:rPr>
              <w:t>UPOV/EXN/NAT/1 im Oktober 2009 angenommen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UPOV/EXN/NOV</w:t>
            </w:r>
          </w:p>
        </w:tc>
        <w:tc>
          <w:tcPr>
            <w:tcW w:w="4536" w:type="dxa"/>
          </w:tcPr>
          <w:p w:rsidR="00052A72" w:rsidRPr="00AA336A" w:rsidRDefault="00052A72" w:rsidP="00863650">
            <w:pPr>
              <w:jc w:val="left"/>
              <w:rPr>
                <w:rFonts w:cs="Arial"/>
                <w:sz w:val="18"/>
                <w:szCs w:val="18"/>
              </w:rPr>
            </w:pPr>
            <w:r>
              <w:rPr>
                <w:sz w:val="18"/>
              </w:rPr>
              <w:t>Neuheit nach dem UPOV-Übereinkommen</w:t>
            </w:r>
          </w:p>
        </w:tc>
        <w:tc>
          <w:tcPr>
            <w:tcW w:w="4334" w:type="dxa"/>
          </w:tcPr>
          <w:p w:rsidR="00052A72" w:rsidRPr="00AA336A" w:rsidRDefault="00052A72" w:rsidP="00863650">
            <w:pPr>
              <w:jc w:val="left"/>
              <w:rPr>
                <w:rFonts w:cs="Arial"/>
                <w:sz w:val="18"/>
                <w:szCs w:val="18"/>
              </w:rPr>
            </w:pPr>
            <w:r>
              <w:rPr>
                <w:sz w:val="18"/>
              </w:rPr>
              <w:t>UPOV/EXN/NOV/1 im Oktober 2009 angenommen</w:t>
            </w:r>
          </w:p>
        </w:tc>
      </w:tr>
      <w:tr w:rsidR="00052A72" w:rsidRPr="00AA336A" w:rsidTr="001A674E">
        <w:trPr>
          <w:cantSplit/>
          <w:jc w:val="center"/>
        </w:trPr>
        <w:tc>
          <w:tcPr>
            <w:tcW w:w="1500" w:type="dxa"/>
          </w:tcPr>
          <w:p w:rsidR="00052A72" w:rsidRPr="00AA336A" w:rsidRDefault="00052A72" w:rsidP="00863650">
            <w:pPr>
              <w:jc w:val="left"/>
              <w:rPr>
                <w:rFonts w:cs="Arial"/>
                <w:color w:val="000000"/>
                <w:sz w:val="18"/>
                <w:szCs w:val="18"/>
              </w:rPr>
            </w:pPr>
            <w:r>
              <w:rPr>
                <w:color w:val="000000"/>
                <w:sz w:val="18"/>
              </w:rPr>
              <w:t>UPOV/EXN/NUL</w:t>
            </w:r>
          </w:p>
        </w:tc>
        <w:tc>
          <w:tcPr>
            <w:tcW w:w="4536" w:type="dxa"/>
          </w:tcPr>
          <w:p w:rsidR="00052A72" w:rsidRPr="00AA336A" w:rsidRDefault="00052A72" w:rsidP="00863650">
            <w:pPr>
              <w:jc w:val="left"/>
              <w:rPr>
                <w:rFonts w:cs="Arial"/>
                <w:sz w:val="18"/>
                <w:szCs w:val="18"/>
              </w:rPr>
            </w:pPr>
            <w:r>
              <w:rPr>
                <w:sz w:val="18"/>
              </w:rPr>
              <w:t>Nichtigkeit des Züchterrechts nach dem UPOV-Übereinkommen</w:t>
            </w:r>
          </w:p>
        </w:tc>
        <w:tc>
          <w:tcPr>
            <w:tcW w:w="4334" w:type="dxa"/>
          </w:tcPr>
          <w:p w:rsidR="00052A72" w:rsidRPr="00AA336A" w:rsidRDefault="00052A72" w:rsidP="00863650">
            <w:pPr>
              <w:jc w:val="left"/>
              <w:rPr>
                <w:rFonts w:cs="Arial"/>
                <w:sz w:val="18"/>
                <w:szCs w:val="18"/>
              </w:rPr>
            </w:pPr>
            <w:r>
              <w:rPr>
                <w:color w:val="000000"/>
                <w:sz w:val="18"/>
              </w:rPr>
              <w:t xml:space="preserve">UPOV/EXN/NUL/1 </w:t>
            </w:r>
            <w:r>
              <w:rPr>
                <w:sz w:val="18"/>
              </w:rPr>
              <w:t>im Oktober 2009 angenommen</w:t>
            </w:r>
          </w:p>
          <w:p w:rsidR="00052A72" w:rsidRPr="00AA336A" w:rsidRDefault="00052A72" w:rsidP="00863650">
            <w:pPr>
              <w:jc w:val="left"/>
              <w:rPr>
                <w:rFonts w:cs="Arial"/>
                <w:spacing w:val="-2"/>
                <w:sz w:val="18"/>
                <w:szCs w:val="18"/>
              </w:rPr>
            </w:pPr>
            <w:r>
              <w:rPr>
                <w:color w:val="000000"/>
                <w:sz w:val="18"/>
              </w:rPr>
              <w:t>UPOV/EXN/NUL</w:t>
            </w:r>
            <w:r>
              <w:rPr>
                <w:sz w:val="18"/>
              </w:rPr>
              <w:t>/2 Draft 1 von der CAJ-AG auf dem Schriftweg geprüft</w:t>
            </w:r>
          </w:p>
          <w:p w:rsidR="00052A72" w:rsidRPr="00AA336A" w:rsidRDefault="00052A72" w:rsidP="00863650">
            <w:pPr>
              <w:jc w:val="left"/>
              <w:rPr>
                <w:rFonts w:cs="Arial"/>
                <w:sz w:val="18"/>
                <w:szCs w:val="18"/>
              </w:rPr>
            </w:pPr>
            <w:r>
              <w:rPr>
                <w:color w:val="000000"/>
                <w:sz w:val="18"/>
              </w:rPr>
              <w:t>UPOV/EXN/NUL</w:t>
            </w:r>
            <w:r>
              <w:rPr>
                <w:sz w:val="18"/>
              </w:rPr>
              <w:t>/2 Draft 2 von der CAJ-AG im Oktober 2014 zu prüfen</w:t>
            </w:r>
          </w:p>
        </w:tc>
      </w:tr>
      <w:tr w:rsidR="00052A72" w:rsidRPr="00AA336A" w:rsidTr="001A674E">
        <w:trPr>
          <w:cantSplit/>
          <w:jc w:val="center"/>
        </w:trPr>
        <w:tc>
          <w:tcPr>
            <w:tcW w:w="1500" w:type="dxa"/>
            <w:tcBorders>
              <w:bottom w:val="single" w:sz="2" w:space="0" w:color="auto"/>
            </w:tcBorders>
          </w:tcPr>
          <w:p w:rsidR="00052A72" w:rsidRPr="00AA336A" w:rsidRDefault="00052A72" w:rsidP="00863650">
            <w:pPr>
              <w:jc w:val="left"/>
              <w:rPr>
                <w:rFonts w:cs="Arial"/>
                <w:sz w:val="18"/>
                <w:szCs w:val="18"/>
              </w:rPr>
            </w:pPr>
            <w:r>
              <w:rPr>
                <w:sz w:val="18"/>
              </w:rPr>
              <w:t>UPOV/EXN/PPM</w:t>
            </w:r>
          </w:p>
        </w:tc>
        <w:tc>
          <w:tcPr>
            <w:tcW w:w="4536" w:type="dxa"/>
            <w:tcBorders>
              <w:bottom w:val="single" w:sz="2" w:space="0" w:color="auto"/>
            </w:tcBorders>
          </w:tcPr>
          <w:p w:rsidR="00052A72" w:rsidRPr="00AA336A" w:rsidRDefault="00052A72" w:rsidP="00863650">
            <w:pPr>
              <w:jc w:val="left"/>
              <w:rPr>
                <w:rFonts w:cs="Arial"/>
                <w:sz w:val="18"/>
                <w:szCs w:val="18"/>
              </w:rPr>
            </w:pPr>
            <w:r>
              <w:rPr>
                <w:sz w:val="18"/>
              </w:rPr>
              <w:t>Vermehrung und Vermehrungsmaterial nach dem UPOV-Übereinkommen</w:t>
            </w:r>
          </w:p>
        </w:tc>
        <w:tc>
          <w:tcPr>
            <w:tcW w:w="4334" w:type="dxa"/>
            <w:tcBorders>
              <w:bottom w:val="single" w:sz="2" w:space="0" w:color="auto"/>
            </w:tcBorders>
          </w:tcPr>
          <w:p w:rsidR="00052A72" w:rsidRPr="00AA336A" w:rsidRDefault="00052A72" w:rsidP="00863650">
            <w:pPr>
              <w:jc w:val="left"/>
              <w:rPr>
                <w:rFonts w:cs="Arial"/>
                <w:spacing w:val="-2"/>
                <w:sz w:val="18"/>
                <w:szCs w:val="18"/>
              </w:rPr>
            </w:pPr>
            <w:r>
              <w:rPr>
                <w:spacing w:val="-2"/>
                <w:sz w:val="18"/>
              </w:rPr>
              <w:t>UPOV/EXN/PPM Draft 2 von der CAJ-AG auf dem Schriftweg geprüft</w:t>
            </w:r>
          </w:p>
          <w:p w:rsidR="00052A72" w:rsidRPr="00AA336A" w:rsidRDefault="00052A72" w:rsidP="00863650">
            <w:pPr>
              <w:jc w:val="left"/>
              <w:rPr>
                <w:rFonts w:cs="Arial"/>
                <w:spacing w:val="-2"/>
                <w:sz w:val="18"/>
                <w:szCs w:val="18"/>
              </w:rPr>
            </w:pPr>
            <w:r>
              <w:rPr>
                <w:spacing w:val="-2"/>
                <w:sz w:val="18"/>
              </w:rPr>
              <w:t>UPOV/EXN/PPM/1 Draft 3 von der CAJ-AG im Oktober 2014 zu prüfen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UPOV/EXN/PRI</w:t>
            </w:r>
          </w:p>
        </w:tc>
        <w:tc>
          <w:tcPr>
            <w:tcW w:w="4536" w:type="dxa"/>
          </w:tcPr>
          <w:p w:rsidR="00052A72" w:rsidRPr="00AA336A" w:rsidRDefault="00052A72" w:rsidP="00863650">
            <w:pPr>
              <w:jc w:val="left"/>
              <w:rPr>
                <w:rFonts w:cs="Arial"/>
                <w:sz w:val="18"/>
                <w:szCs w:val="18"/>
              </w:rPr>
            </w:pPr>
            <w:r>
              <w:rPr>
                <w:sz w:val="18"/>
              </w:rPr>
              <w:t>Prioritätsrecht nach dem UPOV-Übereinkommen</w:t>
            </w:r>
          </w:p>
        </w:tc>
        <w:tc>
          <w:tcPr>
            <w:tcW w:w="4334" w:type="dxa"/>
          </w:tcPr>
          <w:p w:rsidR="00052A72" w:rsidRPr="00AA336A" w:rsidRDefault="00052A72" w:rsidP="00863650">
            <w:pPr>
              <w:jc w:val="left"/>
              <w:rPr>
                <w:rFonts w:cs="Arial"/>
                <w:sz w:val="18"/>
                <w:szCs w:val="18"/>
              </w:rPr>
            </w:pPr>
            <w:r>
              <w:rPr>
                <w:sz w:val="18"/>
              </w:rPr>
              <w:t>UPOV/EXN/PRI/1 im Oktober 2009 angenommen</w:t>
            </w:r>
          </w:p>
        </w:tc>
      </w:tr>
      <w:tr w:rsidR="00052A72" w:rsidRPr="00AA336A" w:rsidTr="001A674E">
        <w:trPr>
          <w:cantSplit/>
          <w:jc w:val="center"/>
        </w:trPr>
        <w:tc>
          <w:tcPr>
            <w:tcW w:w="1500" w:type="dxa"/>
          </w:tcPr>
          <w:p w:rsidR="00052A72" w:rsidRPr="00AA336A" w:rsidRDefault="00052A72" w:rsidP="00863650">
            <w:pPr>
              <w:jc w:val="left"/>
              <w:rPr>
                <w:rFonts w:cs="Arial"/>
                <w:sz w:val="18"/>
                <w:szCs w:val="18"/>
              </w:rPr>
            </w:pPr>
            <w:r>
              <w:rPr>
                <w:sz w:val="18"/>
              </w:rPr>
              <w:t>UPOV/EXN/PRP</w:t>
            </w:r>
          </w:p>
        </w:tc>
        <w:tc>
          <w:tcPr>
            <w:tcW w:w="4536" w:type="dxa"/>
          </w:tcPr>
          <w:p w:rsidR="00052A72" w:rsidRPr="00AA336A" w:rsidRDefault="00052A72" w:rsidP="00863650">
            <w:pPr>
              <w:jc w:val="left"/>
              <w:rPr>
                <w:rFonts w:cs="Arial"/>
                <w:sz w:val="18"/>
                <w:szCs w:val="18"/>
              </w:rPr>
            </w:pPr>
            <w:r>
              <w:rPr>
                <w:sz w:val="18"/>
              </w:rPr>
              <w:t>Vorläufiger Schutz nach dem UPOV-Übereinkommen</w:t>
            </w:r>
          </w:p>
        </w:tc>
        <w:tc>
          <w:tcPr>
            <w:tcW w:w="4334" w:type="dxa"/>
          </w:tcPr>
          <w:p w:rsidR="00052A72" w:rsidRPr="00AA336A" w:rsidRDefault="00052A72" w:rsidP="00863650">
            <w:pPr>
              <w:jc w:val="left"/>
              <w:rPr>
                <w:rFonts w:cs="Arial"/>
                <w:spacing w:val="-2"/>
                <w:sz w:val="18"/>
                <w:szCs w:val="18"/>
              </w:rPr>
            </w:pPr>
            <w:r>
              <w:rPr>
                <w:sz w:val="18"/>
              </w:rPr>
              <w:t>UPOV/EXN/PRP/1 im Oktober 2009 angenommen</w:t>
            </w:r>
            <w:r>
              <w:br/>
            </w:r>
            <w:r>
              <w:rPr>
                <w:spacing w:val="-2"/>
                <w:sz w:val="18"/>
              </w:rPr>
              <w:t>UPOV/EXN/PRP/2 Draft 1 von der CAJ-AG auf dem Schriftweg geprüft</w:t>
            </w:r>
          </w:p>
          <w:p w:rsidR="00052A72" w:rsidRPr="00AA336A" w:rsidRDefault="00052A72" w:rsidP="00863650">
            <w:pPr>
              <w:jc w:val="left"/>
              <w:rPr>
                <w:rFonts w:cs="Arial"/>
                <w:spacing w:val="-2"/>
                <w:sz w:val="18"/>
                <w:szCs w:val="18"/>
              </w:rPr>
            </w:pPr>
            <w:r>
              <w:rPr>
                <w:spacing w:val="-2"/>
                <w:sz w:val="18"/>
              </w:rPr>
              <w:t>UPOV/EXN/PRP/2 Draft 2 von der CAJ-AG im Oktober 2014 zu prüfen</w:t>
            </w:r>
          </w:p>
        </w:tc>
      </w:tr>
      <w:tr w:rsidR="00052A72" w:rsidRPr="00AA336A" w:rsidTr="001A674E">
        <w:trPr>
          <w:cantSplit/>
          <w:jc w:val="center"/>
        </w:trPr>
        <w:tc>
          <w:tcPr>
            <w:tcW w:w="1500" w:type="dxa"/>
            <w:tcBorders>
              <w:bottom w:val="single" w:sz="2" w:space="0" w:color="auto"/>
            </w:tcBorders>
          </w:tcPr>
          <w:p w:rsidR="00052A72" w:rsidRPr="00AA336A" w:rsidRDefault="00052A72" w:rsidP="00863650">
            <w:pPr>
              <w:jc w:val="left"/>
              <w:rPr>
                <w:rFonts w:cs="Arial"/>
                <w:sz w:val="18"/>
                <w:szCs w:val="18"/>
              </w:rPr>
            </w:pPr>
            <w:r>
              <w:rPr>
                <w:sz w:val="18"/>
              </w:rPr>
              <w:t>UPOV/EXN/VAR</w:t>
            </w:r>
          </w:p>
        </w:tc>
        <w:tc>
          <w:tcPr>
            <w:tcW w:w="4536" w:type="dxa"/>
            <w:tcBorders>
              <w:bottom w:val="single" w:sz="2" w:space="0" w:color="auto"/>
            </w:tcBorders>
          </w:tcPr>
          <w:p w:rsidR="00052A72" w:rsidRPr="00AA336A" w:rsidRDefault="00052A72" w:rsidP="00863650">
            <w:pPr>
              <w:jc w:val="left"/>
              <w:rPr>
                <w:rFonts w:cs="Arial"/>
                <w:sz w:val="18"/>
                <w:szCs w:val="18"/>
              </w:rPr>
            </w:pPr>
            <w:r>
              <w:rPr>
                <w:sz w:val="18"/>
              </w:rPr>
              <w:t>Begriffsbestimmung der Sorte nach der Akte von 1991 des UPOV Übereinkommens</w:t>
            </w:r>
          </w:p>
        </w:tc>
        <w:tc>
          <w:tcPr>
            <w:tcW w:w="4334" w:type="dxa"/>
            <w:tcBorders>
              <w:bottom w:val="single" w:sz="2" w:space="0" w:color="auto"/>
            </w:tcBorders>
          </w:tcPr>
          <w:p w:rsidR="00052A72" w:rsidRPr="00AA336A" w:rsidRDefault="00052A72" w:rsidP="00863650">
            <w:pPr>
              <w:jc w:val="left"/>
              <w:rPr>
                <w:rFonts w:cs="Arial"/>
                <w:sz w:val="18"/>
                <w:szCs w:val="18"/>
              </w:rPr>
            </w:pPr>
            <w:r>
              <w:rPr>
                <w:sz w:val="18"/>
              </w:rPr>
              <w:t>UPOV/EXN/VAR/1 im Oktober 2010 angenommen</w:t>
            </w:r>
          </w:p>
        </w:tc>
      </w:tr>
    </w:tbl>
    <w:p w:rsidR="00052A72" w:rsidRPr="00AA336A" w:rsidRDefault="00052A72" w:rsidP="00052A72">
      <w:r>
        <w:br w:type="page"/>
      </w:r>
      <w:r>
        <w:lastRenderedPageBreak/>
        <w:t>INFORMATIONSDOKUMENTE</w:t>
      </w:r>
    </w:p>
    <w:p w:rsidR="00052A72" w:rsidRPr="00AA336A" w:rsidRDefault="00052A72" w:rsidP="00052A72"/>
    <w:tbl>
      <w:tblPr>
        <w:tblW w:w="104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57" w:type="dxa"/>
          <w:right w:w="57" w:type="dxa"/>
        </w:tblCellMar>
        <w:tblLook w:val="0000" w:firstRow="0" w:lastRow="0" w:firstColumn="0" w:lastColumn="0" w:noHBand="0" w:noVBand="0"/>
      </w:tblPr>
      <w:tblGrid>
        <w:gridCol w:w="1524"/>
        <w:gridCol w:w="4678"/>
        <w:gridCol w:w="4216"/>
      </w:tblGrid>
      <w:tr w:rsidR="00052A72" w:rsidRPr="00AA336A" w:rsidTr="001A674E">
        <w:trPr>
          <w:cantSplit/>
          <w:jc w:val="center"/>
        </w:trPr>
        <w:tc>
          <w:tcPr>
            <w:tcW w:w="1524" w:type="dxa"/>
            <w:tcBorders>
              <w:top w:val="single" w:sz="4" w:space="0" w:color="auto"/>
              <w:left w:val="single" w:sz="2" w:space="0" w:color="auto"/>
              <w:bottom w:val="single" w:sz="2" w:space="0" w:color="auto"/>
              <w:right w:val="single" w:sz="2" w:space="0" w:color="auto"/>
            </w:tcBorders>
            <w:shd w:val="clear" w:color="auto" w:fill="D9D9D9"/>
          </w:tcPr>
          <w:p w:rsidR="00052A72" w:rsidRPr="00AA336A" w:rsidRDefault="00052A72" w:rsidP="00863650">
            <w:pPr>
              <w:jc w:val="left"/>
              <w:rPr>
                <w:rFonts w:cs="Arial"/>
                <w:sz w:val="18"/>
                <w:szCs w:val="18"/>
              </w:rPr>
            </w:pPr>
            <w:r>
              <w:rPr>
                <w:sz w:val="18"/>
              </w:rPr>
              <w:t>Jüngstes Verweiszeichen</w:t>
            </w:r>
          </w:p>
        </w:tc>
        <w:tc>
          <w:tcPr>
            <w:tcW w:w="4678" w:type="dxa"/>
            <w:tcBorders>
              <w:top w:val="single" w:sz="4" w:space="0" w:color="auto"/>
              <w:left w:val="single" w:sz="2" w:space="0" w:color="auto"/>
              <w:bottom w:val="single" w:sz="2" w:space="0" w:color="auto"/>
              <w:right w:val="single" w:sz="2" w:space="0" w:color="auto"/>
            </w:tcBorders>
            <w:shd w:val="clear" w:color="auto" w:fill="D9D9D9"/>
          </w:tcPr>
          <w:p w:rsidR="00052A72" w:rsidRPr="00AA336A" w:rsidRDefault="00052A72" w:rsidP="00863650">
            <w:pPr>
              <w:jc w:val="center"/>
              <w:rPr>
                <w:rFonts w:cs="Arial"/>
                <w:sz w:val="18"/>
                <w:szCs w:val="18"/>
              </w:rPr>
            </w:pPr>
            <w:r>
              <w:rPr>
                <w:sz w:val="18"/>
              </w:rPr>
              <w:t>INF-Dokumente</w:t>
            </w:r>
          </w:p>
        </w:tc>
        <w:tc>
          <w:tcPr>
            <w:tcW w:w="4216" w:type="dxa"/>
            <w:tcBorders>
              <w:top w:val="single" w:sz="4" w:space="0" w:color="auto"/>
              <w:left w:val="single" w:sz="2" w:space="0" w:color="auto"/>
              <w:bottom w:val="single" w:sz="2" w:space="0" w:color="auto"/>
              <w:right w:val="single" w:sz="2" w:space="0" w:color="auto"/>
            </w:tcBorders>
            <w:shd w:val="clear" w:color="auto" w:fill="D9D9D9"/>
          </w:tcPr>
          <w:p w:rsidR="00052A72" w:rsidRPr="00AA336A" w:rsidRDefault="00052A72" w:rsidP="00863650">
            <w:pPr>
              <w:jc w:val="left"/>
              <w:rPr>
                <w:rFonts w:cs="Arial"/>
                <w:sz w:val="18"/>
                <w:szCs w:val="18"/>
              </w:rPr>
            </w:pPr>
            <w:r>
              <w:rPr>
                <w:sz w:val="18"/>
              </w:rPr>
              <w:t>Status</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UPOV/INF-EXN</w:t>
            </w:r>
          </w:p>
        </w:tc>
        <w:tc>
          <w:tcPr>
            <w:tcW w:w="4678" w:type="dxa"/>
          </w:tcPr>
          <w:p w:rsidR="00052A72" w:rsidRPr="00AA336A" w:rsidRDefault="00052A72" w:rsidP="00863650">
            <w:pPr>
              <w:jc w:val="left"/>
              <w:rPr>
                <w:rFonts w:cs="Arial"/>
                <w:sz w:val="18"/>
                <w:szCs w:val="18"/>
              </w:rPr>
            </w:pPr>
            <w:r>
              <w:rPr>
                <w:sz w:val="18"/>
              </w:rPr>
              <w:t>Liste der UPOV/INF-EXN-Dokumente und Datum der jüngsten Ausgabe</w:t>
            </w:r>
          </w:p>
        </w:tc>
        <w:tc>
          <w:tcPr>
            <w:tcW w:w="4216" w:type="dxa"/>
          </w:tcPr>
          <w:p w:rsidR="00052A72" w:rsidRPr="00300E70" w:rsidRDefault="00052A72" w:rsidP="00863650">
            <w:pPr>
              <w:jc w:val="left"/>
              <w:rPr>
                <w:sz w:val="18"/>
                <w:szCs w:val="18"/>
              </w:rPr>
            </w:pPr>
            <w:r w:rsidRPr="00300E70">
              <w:rPr>
                <w:sz w:val="18"/>
              </w:rPr>
              <w:t>UPOV/INF-EXN/5 im Oktober 2013 angenommen</w:t>
            </w:r>
          </w:p>
          <w:p w:rsidR="002223B1" w:rsidRPr="00300E70" w:rsidRDefault="002223B1" w:rsidP="002223B1">
            <w:pPr>
              <w:jc w:val="left"/>
              <w:rPr>
                <w:rFonts w:cs="Arial"/>
                <w:sz w:val="18"/>
                <w:szCs w:val="18"/>
              </w:rPr>
            </w:pPr>
            <w:r w:rsidRPr="00300E70">
              <w:rPr>
                <w:sz w:val="18"/>
              </w:rPr>
              <w:t>UPOV/INF-EXN/6 Draft 1 vom Rat im Oktober 2014 zu prüfen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UPOV/INF/4</w:t>
            </w:r>
          </w:p>
        </w:tc>
        <w:tc>
          <w:tcPr>
            <w:tcW w:w="4678" w:type="dxa"/>
          </w:tcPr>
          <w:p w:rsidR="00052A72" w:rsidRPr="00AA336A" w:rsidRDefault="00052A72" w:rsidP="00863650">
            <w:pPr>
              <w:jc w:val="left"/>
              <w:rPr>
                <w:rFonts w:cs="Arial"/>
                <w:sz w:val="18"/>
                <w:szCs w:val="18"/>
              </w:rPr>
            </w:pPr>
            <w:r>
              <w:rPr>
                <w:sz w:val="18"/>
              </w:rPr>
              <w:t>Finanzordnung und ihre Durchführungsbestimmungen der UPOV</w:t>
            </w:r>
          </w:p>
        </w:tc>
        <w:tc>
          <w:tcPr>
            <w:tcW w:w="4216" w:type="dxa"/>
          </w:tcPr>
          <w:p w:rsidR="00052A72" w:rsidRPr="00300E70" w:rsidRDefault="00052A72" w:rsidP="00863650">
            <w:pPr>
              <w:jc w:val="left"/>
              <w:rPr>
                <w:rFonts w:cs="Arial"/>
                <w:sz w:val="18"/>
                <w:szCs w:val="18"/>
              </w:rPr>
            </w:pPr>
            <w:r w:rsidRPr="00300E70">
              <w:rPr>
                <w:sz w:val="18"/>
              </w:rPr>
              <w:t>UPOV/INF/4/3 im März 2013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UPOV/INF/5</w:t>
            </w:r>
          </w:p>
        </w:tc>
        <w:tc>
          <w:tcPr>
            <w:tcW w:w="4678" w:type="dxa"/>
          </w:tcPr>
          <w:p w:rsidR="00052A72" w:rsidRPr="00AA336A" w:rsidRDefault="00052A72" w:rsidP="00863650">
            <w:pPr>
              <w:jc w:val="left"/>
              <w:rPr>
                <w:rFonts w:cs="Arial"/>
                <w:sz w:val="18"/>
                <w:szCs w:val="18"/>
              </w:rPr>
            </w:pPr>
            <w:r>
              <w:rPr>
                <w:sz w:val="18"/>
              </w:rPr>
              <w:t>UPOV-Musteramtsblatt für Sortenschutz</w:t>
            </w:r>
          </w:p>
        </w:tc>
        <w:tc>
          <w:tcPr>
            <w:tcW w:w="4216" w:type="dxa"/>
          </w:tcPr>
          <w:p w:rsidR="00052A72" w:rsidRPr="00300E70" w:rsidRDefault="00052A72" w:rsidP="00863650">
            <w:pPr>
              <w:jc w:val="left"/>
              <w:rPr>
                <w:rFonts w:cs="Arial"/>
                <w:sz w:val="18"/>
                <w:szCs w:val="18"/>
              </w:rPr>
            </w:pPr>
            <w:r w:rsidRPr="00300E70">
              <w:rPr>
                <w:sz w:val="18"/>
              </w:rPr>
              <w:t>UPOV/INF/5 im Oktober 1979 angenommen</w:t>
            </w:r>
          </w:p>
          <w:p w:rsidR="00052A72" w:rsidRPr="00300E70" w:rsidRDefault="002223B1" w:rsidP="00863650">
            <w:pPr>
              <w:jc w:val="left"/>
              <w:rPr>
                <w:rFonts w:cs="Arial"/>
                <w:sz w:val="18"/>
                <w:szCs w:val="18"/>
              </w:rPr>
            </w:pPr>
            <w:r w:rsidRPr="00300E70">
              <w:rPr>
                <w:sz w:val="18"/>
              </w:rPr>
              <w:t>(Überarbeitung von Dokument UPOV/INF/5 vom CAJ im März 2015 zu prüfen – siehe Dokument CAJ/70/3)</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UPOV/INF/6</w:t>
            </w:r>
          </w:p>
        </w:tc>
        <w:tc>
          <w:tcPr>
            <w:tcW w:w="4678" w:type="dxa"/>
          </w:tcPr>
          <w:p w:rsidR="00052A72" w:rsidRPr="00AA336A" w:rsidRDefault="00052A72" w:rsidP="00863650">
            <w:pPr>
              <w:jc w:val="left"/>
              <w:rPr>
                <w:rFonts w:cs="Arial"/>
                <w:sz w:val="18"/>
                <w:szCs w:val="18"/>
              </w:rPr>
            </w:pPr>
            <w:r>
              <w:rPr>
                <w:sz w:val="18"/>
              </w:rPr>
              <w:t>Anleitung zur Ausarbeitung von Rechtsvorschriften aufgrund der Akte von 1991 des UPOV-Übereinkommens</w:t>
            </w:r>
          </w:p>
        </w:tc>
        <w:tc>
          <w:tcPr>
            <w:tcW w:w="4216" w:type="dxa"/>
          </w:tcPr>
          <w:p w:rsidR="00052A72" w:rsidRPr="00AA336A" w:rsidRDefault="00052A72" w:rsidP="00863650">
            <w:pPr>
              <w:jc w:val="left"/>
              <w:rPr>
                <w:rFonts w:cs="Arial"/>
                <w:sz w:val="18"/>
                <w:szCs w:val="18"/>
              </w:rPr>
            </w:pPr>
            <w:r>
              <w:rPr>
                <w:sz w:val="18"/>
              </w:rPr>
              <w:t>UPOV/INF/6/3 im Oktober 2</w:t>
            </w:r>
            <w:bookmarkStart w:id="19" w:name="_GoBack"/>
            <w:bookmarkEnd w:id="19"/>
            <w:r>
              <w:rPr>
                <w:sz w:val="18"/>
              </w:rPr>
              <w:t>013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UPOV/INF/7</w:t>
            </w:r>
          </w:p>
        </w:tc>
        <w:tc>
          <w:tcPr>
            <w:tcW w:w="4678" w:type="dxa"/>
          </w:tcPr>
          <w:p w:rsidR="00052A72" w:rsidRPr="00AA336A" w:rsidRDefault="00052A72" w:rsidP="00863650">
            <w:pPr>
              <w:jc w:val="left"/>
              <w:rPr>
                <w:rFonts w:cs="Arial"/>
                <w:sz w:val="18"/>
                <w:szCs w:val="18"/>
              </w:rPr>
            </w:pPr>
            <w:r>
              <w:rPr>
                <w:sz w:val="18"/>
              </w:rPr>
              <w:t>Geschäftsordnung des Rates</w:t>
            </w:r>
          </w:p>
        </w:tc>
        <w:tc>
          <w:tcPr>
            <w:tcW w:w="4216" w:type="dxa"/>
          </w:tcPr>
          <w:p w:rsidR="00052A72" w:rsidRPr="00AA336A" w:rsidRDefault="00052A72" w:rsidP="00863650">
            <w:pPr>
              <w:jc w:val="left"/>
              <w:rPr>
                <w:rFonts w:cs="Arial"/>
                <w:sz w:val="18"/>
                <w:szCs w:val="18"/>
              </w:rPr>
            </w:pPr>
            <w:r>
              <w:rPr>
                <w:sz w:val="18"/>
              </w:rPr>
              <w:t>UPOV/INF/7 im Oktober 1982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UPOV/INF/8</w:t>
            </w:r>
          </w:p>
        </w:tc>
        <w:tc>
          <w:tcPr>
            <w:tcW w:w="4678" w:type="dxa"/>
          </w:tcPr>
          <w:p w:rsidR="00052A72" w:rsidRPr="00AA336A" w:rsidRDefault="00052A72" w:rsidP="00863650">
            <w:pPr>
              <w:jc w:val="left"/>
              <w:rPr>
                <w:rFonts w:cs="Arial"/>
                <w:sz w:val="18"/>
                <w:szCs w:val="18"/>
              </w:rPr>
            </w:pPr>
            <w:r>
              <w:rPr>
                <w:sz w:val="18"/>
              </w:rPr>
              <w:t>Vereinbarung zwischen der Weltorganisation für geistiges Eigentum und dem Internationalen Verband zum Schutz von Pflanzenzüchtungen</w:t>
            </w:r>
          </w:p>
        </w:tc>
        <w:tc>
          <w:tcPr>
            <w:tcW w:w="4216" w:type="dxa"/>
          </w:tcPr>
          <w:p w:rsidR="00052A72" w:rsidRPr="00AA336A" w:rsidRDefault="00052A72" w:rsidP="00863650">
            <w:pPr>
              <w:jc w:val="left"/>
              <w:rPr>
                <w:rFonts w:cs="Arial"/>
                <w:sz w:val="18"/>
                <w:szCs w:val="18"/>
              </w:rPr>
            </w:pPr>
            <w:r>
              <w:rPr>
                <w:sz w:val="18"/>
              </w:rPr>
              <w:t>UPOV/INF/8/ im November 1982 unterzeichnet</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UPOV/INF/9</w:t>
            </w:r>
          </w:p>
        </w:tc>
        <w:tc>
          <w:tcPr>
            <w:tcW w:w="4678" w:type="dxa"/>
          </w:tcPr>
          <w:p w:rsidR="00052A72" w:rsidRPr="00AA336A" w:rsidRDefault="00052A72" w:rsidP="00863650">
            <w:pPr>
              <w:jc w:val="left"/>
              <w:rPr>
                <w:rFonts w:cs="Arial"/>
                <w:sz w:val="18"/>
                <w:szCs w:val="18"/>
              </w:rPr>
            </w:pPr>
            <w:r>
              <w:rPr>
                <w:sz w:val="18"/>
              </w:rPr>
              <w:t>Abkommen zwischen dem Internationalen Verband zum Schutz von Pflanzenzüchtungen und dem Schweizerischen Bundesrat zur Regelung des rechtlichen Statuts dieses Verbandes in der Schweiz (Sitzabkommen)</w:t>
            </w:r>
          </w:p>
        </w:tc>
        <w:tc>
          <w:tcPr>
            <w:tcW w:w="4216" w:type="dxa"/>
          </w:tcPr>
          <w:p w:rsidR="00052A72" w:rsidRPr="00AA336A" w:rsidRDefault="00052A72" w:rsidP="00863650">
            <w:pPr>
              <w:jc w:val="left"/>
              <w:rPr>
                <w:rFonts w:cs="Arial"/>
                <w:sz w:val="18"/>
                <w:szCs w:val="18"/>
              </w:rPr>
            </w:pPr>
            <w:r>
              <w:rPr>
                <w:sz w:val="18"/>
              </w:rPr>
              <w:t>UPOV/INF/9/ im November 1983 unterzeichnet</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UPOV/INF/10</w:t>
            </w:r>
          </w:p>
        </w:tc>
        <w:tc>
          <w:tcPr>
            <w:tcW w:w="4678" w:type="dxa"/>
          </w:tcPr>
          <w:p w:rsidR="00052A72" w:rsidRPr="00AA336A" w:rsidRDefault="00052A72" w:rsidP="00863650">
            <w:pPr>
              <w:jc w:val="left"/>
              <w:rPr>
                <w:rFonts w:cs="Arial"/>
                <w:sz w:val="18"/>
                <w:szCs w:val="18"/>
              </w:rPr>
            </w:pPr>
            <w:r>
              <w:rPr>
                <w:sz w:val="18"/>
              </w:rPr>
              <w:t>Interne Revision</w:t>
            </w:r>
          </w:p>
        </w:tc>
        <w:tc>
          <w:tcPr>
            <w:tcW w:w="4216" w:type="dxa"/>
          </w:tcPr>
          <w:p w:rsidR="00052A72" w:rsidRPr="00AA336A" w:rsidRDefault="00052A72" w:rsidP="00863650">
            <w:pPr>
              <w:jc w:val="left"/>
              <w:rPr>
                <w:rFonts w:cs="Arial"/>
                <w:sz w:val="18"/>
                <w:szCs w:val="18"/>
              </w:rPr>
            </w:pPr>
            <w:r>
              <w:rPr>
                <w:sz w:val="18"/>
              </w:rPr>
              <w:t>UPOV/INF/10/1 im Oktober 2010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UPOV/INF/12</w:t>
            </w:r>
          </w:p>
        </w:tc>
        <w:tc>
          <w:tcPr>
            <w:tcW w:w="4678" w:type="dxa"/>
          </w:tcPr>
          <w:p w:rsidR="00052A72" w:rsidRPr="00AA336A" w:rsidRDefault="00052A72" w:rsidP="00863650">
            <w:pPr>
              <w:jc w:val="left"/>
              <w:rPr>
                <w:rFonts w:cs="Arial"/>
                <w:sz w:val="18"/>
                <w:szCs w:val="18"/>
              </w:rPr>
            </w:pPr>
            <w:r>
              <w:rPr>
                <w:sz w:val="18"/>
              </w:rPr>
              <w:t>Erläuterungen zu Sortenbezeichnungen nach dem UPOV-Übereinkommen</w:t>
            </w:r>
          </w:p>
        </w:tc>
        <w:tc>
          <w:tcPr>
            <w:tcW w:w="4216" w:type="dxa"/>
          </w:tcPr>
          <w:p w:rsidR="00052A72" w:rsidRPr="00AA336A" w:rsidRDefault="00052A72" w:rsidP="00863650">
            <w:pPr>
              <w:jc w:val="left"/>
              <w:rPr>
                <w:rFonts w:cs="Arial"/>
                <w:sz w:val="18"/>
                <w:szCs w:val="18"/>
              </w:rPr>
            </w:pPr>
            <w:r>
              <w:rPr>
                <w:sz w:val="18"/>
              </w:rPr>
              <w:t>UPOV/INF/12/4 im November 2012 angenommen</w:t>
            </w:r>
          </w:p>
          <w:p w:rsidR="00052A72" w:rsidRPr="00AA336A" w:rsidRDefault="00052A72" w:rsidP="00863650">
            <w:pPr>
              <w:jc w:val="left"/>
              <w:rPr>
                <w:rFonts w:cs="Arial"/>
                <w:spacing w:val="-2"/>
                <w:sz w:val="18"/>
                <w:szCs w:val="18"/>
              </w:rPr>
            </w:pPr>
            <w:r>
              <w:rPr>
                <w:sz w:val="18"/>
              </w:rPr>
              <w:t>UPOV/INF/12/5 Draft 1 von der CAJ-AG auf dem Schriftweg zu prüfen</w:t>
            </w:r>
          </w:p>
          <w:p w:rsidR="00052A72" w:rsidRPr="00AA336A" w:rsidRDefault="00052A72" w:rsidP="00863650">
            <w:pPr>
              <w:jc w:val="left"/>
              <w:rPr>
                <w:rFonts w:cs="Arial"/>
                <w:sz w:val="18"/>
                <w:szCs w:val="18"/>
              </w:rPr>
            </w:pPr>
            <w:r>
              <w:rPr>
                <w:sz w:val="18"/>
              </w:rPr>
              <w:t>UPOV/INF/12/5 Draft 2 von der CAJ-AG im Oktober 2014 zu prüfen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UPOV/INF/13</w:t>
            </w:r>
          </w:p>
        </w:tc>
        <w:tc>
          <w:tcPr>
            <w:tcW w:w="4678" w:type="dxa"/>
          </w:tcPr>
          <w:p w:rsidR="00052A72" w:rsidRPr="00AA336A" w:rsidRDefault="00052A72" w:rsidP="00863650">
            <w:pPr>
              <w:jc w:val="left"/>
              <w:rPr>
                <w:rFonts w:cs="Arial"/>
                <w:sz w:val="18"/>
                <w:szCs w:val="18"/>
              </w:rPr>
            </w:pPr>
            <w:r>
              <w:rPr>
                <w:sz w:val="18"/>
              </w:rPr>
              <w:t>Anleitung zum Verfahren für den Beitritt zur UPOV</w:t>
            </w:r>
          </w:p>
        </w:tc>
        <w:tc>
          <w:tcPr>
            <w:tcW w:w="4216" w:type="dxa"/>
          </w:tcPr>
          <w:p w:rsidR="00052A72" w:rsidRPr="00AA336A" w:rsidRDefault="00052A72" w:rsidP="00863650">
            <w:pPr>
              <w:jc w:val="left"/>
              <w:rPr>
                <w:rFonts w:cs="Arial"/>
                <w:sz w:val="18"/>
                <w:szCs w:val="18"/>
              </w:rPr>
            </w:pPr>
            <w:r>
              <w:rPr>
                <w:sz w:val="18"/>
              </w:rPr>
              <w:t>UPOV/INF/13/1 im Oktober 2009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UPOV/INF/14</w:t>
            </w:r>
          </w:p>
        </w:tc>
        <w:tc>
          <w:tcPr>
            <w:tcW w:w="4678" w:type="dxa"/>
          </w:tcPr>
          <w:p w:rsidR="00052A72" w:rsidRPr="00AA336A" w:rsidRDefault="00052A72" w:rsidP="00863650">
            <w:pPr>
              <w:jc w:val="left"/>
              <w:rPr>
                <w:rFonts w:cs="Arial"/>
                <w:sz w:val="18"/>
                <w:szCs w:val="18"/>
              </w:rPr>
            </w:pPr>
            <w:r>
              <w:rPr>
                <w:sz w:val="18"/>
              </w:rPr>
              <w:t>Anleitung für UPOV-Mitglieder zum Verfahren für die Ratifizierung der oder den Beitritt zur Akte von 1991 des UPOV-Übereinkommens</w:t>
            </w:r>
          </w:p>
        </w:tc>
        <w:tc>
          <w:tcPr>
            <w:tcW w:w="4216" w:type="dxa"/>
          </w:tcPr>
          <w:p w:rsidR="00052A72" w:rsidRPr="00AA336A" w:rsidRDefault="00052A72" w:rsidP="00863650">
            <w:pPr>
              <w:jc w:val="left"/>
              <w:rPr>
                <w:rFonts w:cs="Arial"/>
                <w:sz w:val="18"/>
                <w:szCs w:val="18"/>
              </w:rPr>
            </w:pPr>
            <w:r>
              <w:rPr>
                <w:sz w:val="18"/>
              </w:rPr>
              <w:t>UPOV/INF/14/1 im Oktober 2009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UPOV/INF/15</w:t>
            </w:r>
          </w:p>
        </w:tc>
        <w:tc>
          <w:tcPr>
            <w:tcW w:w="4678" w:type="dxa"/>
          </w:tcPr>
          <w:p w:rsidR="00052A72" w:rsidRPr="00AA336A" w:rsidRDefault="00052A72" w:rsidP="00863650">
            <w:pPr>
              <w:jc w:val="left"/>
              <w:rPr>
                <w:rFonts w:cs="Arial"/>
                <w:sz w:val="18"/>
                <w:szCs w:val="18"/>
              </w:rPr>
            </w:pPr>
            <w:r>
              <w:rPr>
                <w:sz w:val="18"/>
              </w:rPr>
              <w:t>Anleitung über die laufenden Verpflichtungen der Verbandsmitglieder und die damit verbundenen Notifizierungen</w:t>
            </w:r>
          </w:p>
        </w:tc>
        <w:tc>
          <w:tcPr>
            <w:tcW w:w="4216" w:type="dxa"/>
          </w:tcPr>
          <w:p w:rsidR="00052A72" w:rsidRPr="00300E70" w:rsidRDefault="00052A72" w:rsidP="00863650">
            <w:pPr>
              <w:jc w:val="left"/>
              <w:rPr>
                <w:rFonts w:cs="Arial"/>
                <w:sz w:val="18"/>
                <w:szCs w:val="18"/>
              </w:rPr>
            </w:pPr>
            <w:r w:rsidRPr="00300E70">
              <w:rPr>
                <w:sz w:val="18"/>
              </w:rPr>
              <w:t>UPOV/INF/15/2 im März 2013 angenommen</w:t>
            </w:r>
          </w:p>
          <w:p w:rsidR="00052A72" w:rsidRPr="00300E70" w:rsidRDefault="00052A72" w:rsidP="006C1E90">
            <w:pPr>
              <w:jc w:val="left"/>
              <w:rPr>
                <w:rFonts w:cs="Arial"/>
                <w:sz w:val="18"/>
                <w:szCs w:val="18"/>
              </w:rPr>
            </w:pPr>
            <w:r w:rsidRPr="00300E70">
              <w:rPr>
                <w:sz w:val="18"/>
              </w:rPr>
              <w:t>(Überarbeitung von Dokument UPOV/INF/15 vom CAJ im Oktober  2014 zu prüfen - Dokumente CAJ/70/5 und UPOV/INF/15/3 Draft 1)</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UPOV/INF/16</w:t>
            </w:r>
          </w:p>
        </w:tc>
        <w:tc>
          <w:tcPr>
            <w:tcW w:w="4678" w:type="dxa"/>
          </w:tcPr>
          <w:p w:rsidR="00052A72" w:rsidRPr="00AA336A" w:rsidRDefault="00052A72" w:rsidP="00863650">
            <w:pPr>
              <w:jc w:val="left"/>
              <w:rPr>
                <w:rFonts w:cs="Arial"/>
                <w:sz w:val="18"/>
                <w:szCs w:val="18"/>
              </w:rPr>
            </w:pPr>
            <w:r>
              <w:rPr>
                <w:sz w:val="18"/>
              </w:rPr>
              <w:t>Austauschbare Software</w:t>
            </w:r>
          </w:p>
        </w:tc>
        <w:tc>
          <w:tcPr>
            <w:tcW w:w="4216" w:type="dxa"/>
          </w:tcPr>
          <w:p w:rsidR="00052A72" w:rsidRPr="00300E70" w:rsidRDefault="00052A72" w:rsidP="00863650">
            <w:pPr>
              <w:jc w:val="left"/>
              <w:rPr>
                <w:sz w:val="18"/>
                <w:szCs w:val="18"/>
              </w:rPr>
            </w:pPr>
            <w:r w:rsidRPr="00300E70">
              <w:rPr>
                <w:sz w:val="18"/>
              </w:rPr>
              <w:t>UPOV/INF/16/3 im Oktober 2013 angenommen</w:t>
            </w:r>
          </w:p>
          <w:p w:rsidR="00ED187B" w:rsidRPr="00300E70" w:rsidRDefault="00ED187B" w:rsidP="00ED187B">
            <w:pPr>
              <w:jc w:val="left"/>
              <w:rPr>
                <w:rFonts w:cs="Arial"/>
                <w:strike/>
                <w:sz w:val="18"/>
                <w:szCs w:val="18"/>
              </w:rPr>
            </w:pPr>
            <w:r w:rsidRPr="00300E70">
              <w:rPr>
                <w:sz w:val="18"/>
              </w:rPr>
              <w:t>(Annahme von Dokument UPOV/INF/16/4 vom Rat im Oktober 2014 zu prüfen – vergleiche Dokument UPOV/INF/16/4 Draft 1)</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UPOV/INF/17</w:t>
            </w:r>
          </w:p>
        </w:tc>
        <w:tc>
          <w:tcPr>
            <w:tcW w:w="4678" w:type="dxa"/>
          </w:tcPr>
          <w:p w:rsidR="00052A72" w:rsidRPr="00AA336A" w:rsidRDefault="00052A72" w:rsidP="00863650">
            <w:pPr>
              <w:jc w:val="left"/>
              <w:rPr>
                <w:rFonts w:cs="Arial"/>
                <w:sz w:val="18"/>
                <w:szCs w:val="18"/>
              </w:rPr>
            </w:pPr>
            <w:r>
              <w:rPr>
                <w:sz w:val="18"/>
              </w:rPr>
              <w:t>Richtlinien für die DNS-Profilierung: Auswahl molekularer Marker und Aufbau von Datenbanken („BMT-Richtlinien“)</w:t>
            </w:r>
          </w:p>
        </w:tc>
        <w:tc>
          <w:tcPr>
            <w:tcW w:w="4216" w:type="dxa"/>
          </w:tcPr>
          <w:p w:rsidR="00052A72" w:rsidRPr="00AA336A" w:rsidRDefault="00052A72" w:rsidP="00863650">
            <w:pPr>
              <w:jc w:val="left"/>
              <w:rPr>
                <w:rFonts w:cs="Arial"/>
                <w:sz w:val="18"/>
                <w:szCs w:val="18"/>
              </w:rPr>
            </w:pPr>
            <w:r>
              <w:rPr>
                <w:sz w:val="18"/>
              </w:rPr>
              <w:t>UPOV/INF/17/1 im Oktober 2010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UPOV/INF/18</w:t>
            </w:r>
          </w:p>
        </w:tc>
        <w:tc>
          <w:tcPr>
            <w:tcW w:w="4678" w:type="dxa"/>
          </w:tcPr>
          <w:p w:rsidR="00052A72" w:rsidRPr="00AA336A" w:rsidRDefault="00052A72" w:rsidP="00863650">
            <w:pPr>
              <w:jc w:val="left"/>
              <w:rPr>
                <w:rFonts w:cs="Arial"/>
                <w:sz w:val="18"/>
                <w:szCs w:val="18"/>
              </w:rPr>
            </w:pPr>
            <w:r>
              <w:rPr>
                <w:sz w:val="18"/>
              </w:rPr>
              <w:t>Etwaige Verwendung molekularer Marker bei der Prüfung der Unterscheidbarkeit, der Homogenität und der Beständigkeit (DUS)</w:t>
            </w:r>
          </w:p>
        </w:tc>
        <w:tc>
          <w:tcPr>
            <w:tcW w:w="4216" w:type="dxa"/>
          </w:tcPr>
          <w:p w:rsidR="00052A72" w:rsidRPr="00AA336A" w:rsidRDefault="00052A72" w:rsidP="00863650">
            <w:pPr>
              <w:jc w:val="left"/>
              <w:rPr>
                <w:rFonts w:cs="Arial"/>
                <w:sz w:val="18"/>
                <w:szCs w:val="18"/>
              </w:rPr>
            </w:pPr>
            <w:r>
              <w:rPr>
                <w:sz w:val="18"/>
              </w:rPr>
              <w:t>UPOV/INF/18/1 im Oktober 2011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UPOV/INF/19</w:t>
            </w:r>
          </w:p>
        </w:tc>
        <w:tc>
          <w:tcPr>
            <w:tcW w:w="4678" w:type="dxa"/>
          </w:tcPr>
          <w:p w:rsidR="00052A72" w:rsidRPr="00AA336A" w:rsidRDefault="00052A72" w:rsidP="00863650">
            <w:pPr>
              <w:jc w:val="left"/>
              <w:rPr>
                <w:rFonts w:cs="Arial"/>
                <w:sz w:val="18"/>
                <w:szCs w:val="18"/>
              </w:rPr>
            </w:pPr>
            <w:r>
              <w:rPr>
                <w:sz w:val="18"/>
              </w:rPr>
              <w:t>Regeln für die Erteilung des Beobachterstatus an Staaten, zwischenstaatliche Organisationen und internationale Nichtregierungsorganisationen bei UPOV-Organen</w:t>
            </w:r>
          </w:p>
        </w:tc>
        <w:tc>
          <w:tcPr>
            <w:tcW w:w="4216" w:type="dxa"/>
          </w:tcPr>
          <w:p w:rsidR="00052A72" w:rsidRPr="00AA336A" w:rsidRDefault="00052A72" w:rsidP="00863650">
            <w:pPr>
              <w:jc w:val="left"/>
              <w:rPr>
                <w:rFonts w:cs="Arial"/>
                <w:iCs/>
                <w:sz w:val="18"/>
                <w:szCs w:val="18"/>
              </w:rPr>
            </w:pPr>
            <w:r>
              <w:rPr>
                <w:sz w:val="18"/>
              </w:rPr>
              <w:t>UPOV/INF/19/1 im November 2012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UPOV/INF/20</w:t>
            </w:r>
          </w:p>
        </w:tc>
        <w:tc>
          <w:tcPr>
            <w:tcW w:w="4678" w:type="dxa"/>
          </w:tcPr>
          <w:p w:rsidR="00052A72" w:rsidRPr="00AA336A" w:rsidRDefault="00052A72" w:rsidP="00863650">
            <w:pPr>
              <w:jc w:val="left"/>
              <w:rPr>
                <w:rFonts w:cs="Arial"/>
                <w:sz w:val="18"/>
                <w:szCs w:val="18"/>
              </w:rPr>
            </w:pPr>
            <w:r>
              <w:rPr>
                <w:sz w:val="18"/>
              </w:rPr>
              <w:t>Regeln für den Zugang zu UPOV-Dokumenten</w:t>
            </w:r>
          </w:p>
        </w:tc>
        <w:tc>
          <w:tcPr>
            <w:tcW w:w="4216" w:type="dxa"/>
          </w:tcPr>
          <w:p w:rsidR="00052A72" w:rsidRPr="00AA336A" w:rsidRDefault="00052A72" w:rsidP="00863650">
            <w:pPr>
              <w:jc w:val="left"/>
              <w:rPr>
                <w:rFonts w:cs="Arial"/>
                <w:iCs/>
                <w:sz w:val="18"/>
                <w:szCs w:val="18"/>
              </w:rPr>
            </w:pPr>
            <w:r>
              <w:rPr>
                <w:sz w:val="18"/>
              </w:rPr>
              <w:t>UPOV/INF/20/1 im November 2012 angenommen</w:t>
            </w:r>
          </w:p>
        </w:tc>
      </w:tr>
      <w:tr w:rsidR="00052A72" w:rsidRPr="00AA336A" w:rsidTr="001A674E">
        <w:trPr>
          <w:cantSplit/>
          <w:jc w:val="center"/>
        </w:trPr>
        <w:tc>
          <w:tcPr>
            <w:tcW w:w="1524" w:type="dxa"/>
          </w:tcPr>
          <w:p w:rsidR="00052A72" w:rsidRPr="00AA336A" w:rsidRDefault="00052A72" w:rsidP="00863650">
            <w:pPr>
              <w:jc w:val="left"/>
              <w:rPr>
                <w:rFonts w:cs="Arial"/>
                <w:sz w:val="18"/>
                <w:szCs w:val="18"/>
              </w:rPr>
            </w:pPr>
            <w:r>
              <w:rPr>
                <w:sz w:val="18"/>
              </w:rPr>
              <w:t>UPOV/INF/21</w:t>
            </w:r>
          </w:p>
        </w:tc>
        <w:tc>
          <w:tcPr>
            <w:tcW w:w="4678" w:type="dxa"/>
          </w:tcPr>
          <w:p w:rsidR="00052A72" w:rsidRPr="00AA336A" w:rsidRDefault="00052A72" w:rsidP="00863650">
            <w:pPr>
              <w:jc w:val="left"/>
              <w:rPr>
                <w:rFonts w:cs="Arial"/>
                <w:sz w:val="18"/>
                <w:szCs w:val="18"/>
              </w:rPr>
            </w:pPr>
            <w:r>
              <w:rPr>
                <w:sz w:val="18"/>
              </w:rPr>
              <w:t>Alternative Mechanismen zur Streitbeilegung</w:t>
            </w:r>
          </w:p>
        </w:tc>
        <w:tc>
          <w:tcPr>
            <w:tcW w:w="4216" w:type="dxa"/>
          </w:tcPr>
          <w:p w:rsidR="00052A72" w:rsidRPr="00AA336A" w:rsidRDefault="00052A72" w:rsidP="00863650">
            <w:pPr>
              <w:jc w:val="left"/>
              <w:rPr>
                <w:rFonts w:cs="Arial"/>
                <w:sz w:val="18"/>
                <w:szCs w:val="18"/>
              </w:rPr>
            </w:pPr>
            <w:r>
              <w:rPr>
                <w:sz w:val="18"/>
              </w:rPr>
              <w:t>UPOV/INF/21/1 im November 2012 angenommen</w:t>
            </w:r>
          </w:p>
        </w:tc>
      </w:tr>
      <w:tr w:rsidR="005F44C0" w:rsidRPr="00AA336A" w:rsidTr="001A674E">
        <w:trPr>
          <w:cantSplit/>
          <w:jc w:val="center"/>
        </w:trPr>
        <w:tc>
          <w:tcPr>
            <w:tcW w:w="1524" w:type="dxa"/>
          </w:tcPr>
          <w:p w:rsidR="005F44C0" w:rsidRPr="00300E70" w:rsidRDefault="005F44C0" w:rsidP="00863650">
            <w:pPr>
              <w:jc w:val="left"/>
              <w:rPr>
                <w:sz w:val="18"/>
                <w:szCs w:val="18"/>
              </w:rPr>
            </w:pPr>
            <w:r w:rsidRPr="00300E70">
              <w:rPr>
                <w:sz w:val="18"/>
              </w:rPr>
              <w:t>UPOV/INF/22</w:t>
            </w:r>
          </w:p>
        </w:tc>
        <w:tc>
          <w:tcPr>
            <w:tcW w:w="4678" w:type="dxa"/>
          </w:tcPr>
          <w:p w:rsidR="005F44C0" w:rsidRPr="00300E70" w:rsidRDefault="005F44C0" w:rsidP="00863650">
            <w:pPr>
              <w:jc w:val="left"/>
              <w:rPr>
                <w:sz w:val="18"/>
                <w:szCs w:val="18"/>
              </w:rPr>
            </w:pPr>
            <w:r w:rsidRPr="00300E70">
              <w:rPr>
                <w:sz w:val="18"/>
              </w:rPr>
              <w:t>Von Verbandsmitgliedern verwendete Software und Ausrüstung</w:t>
            </w:r>
          </w:p>
        </w:tc>
        <w:tc>
          <w:tcPr>
            <w:tcW w:w="4216" w:type="dxa"/>
          </w:tcPr>
          <w:p w:rsidR="005F44C0" w:rsidRPr="00300E70" w:rsidRDefault="000B4101" w:rsidP="000B4101">
            <w:pPr>
              <w:jc w:val="left"/>
              <w:rPr>
                <w:sz w:val="18"/>
                <w:szCs w:val="18"/>
              </w:rPr>
            </w:pPr>
            <w:r w:rsidRPr="00300E70">
              <w:rPr>
                <w:sz w:val="18"/>
              </w:rPr>
              <w:t>UPOV/INF/22/1 Draft 1 vom Rat im Oktober 2014 zu prüfen</w:t>
            </w:r>
          </w:p>
        </w:tc>
      </w:tr>
    </w:tbl>
    <w:p w:rsidR="00B27C88" w:rsidRDefault="00B27C88" w:rsidP="00B27C88"/>
    <w:p w:rsidR="001161D1" w:rsidRDefault="001161D1">
      <w:pPr>
        <w:jc w:val="left"/>
      </w:pPr>
      <w:r>
        <w:br w:type="page"/>
      </w:r>
    </w:p>
    <w:p w:rsidR="001A674E" w:rsidRPr="000022C4" w:rsidRDefault="001A674E" w:rsidP="00B27C88"/>
    <w:p w:rsidR="00B27C88" w:rsidRPr="00CA53E0" w:rsidRDefault="001161D1" w:rsidP="00B27C88">
      <w:pPr>
        <w:jc w:val="right"/>
      </w:pPr>
      <w:r>
        <w:rPr>
          <w:rFonts w:cs="Arial"/>
          <w:noProof/>
          <w:lang w:val="en-US" w:eastAsia="en-US" w:bidi="ar-SA"/>
        </w:rPr>
        <mc:AlternateContent>
          <mc:Choice Requires="wps">
            <w:drawing>
              <wp:anchor distT="0" distB="0" distL="114300" distR="114300" simplePos="0" relativeHeight="251661312" behindDoc="0" locked="0" layoutInCell="0" allowOverlap="1" wp14:anchorId="74FBF577" wp14:editId="0104D9A9">
                <wp:simplePos x="0" y="0"/>
                <wp:positionH relativeFrom="column">
                  <wp:posOffset>3385185</wp:posOffset>
                </wp:positionH>
                <wp:positionV relativeFrom="paragraph">
                  <wp:posOffset>2368550</wp:posOffset>
                </wp:positionV>
                <wp:extent cx="287337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1D1" w:rsidRPr="009929A5" w:rsidRDefault="001161D1">
                            <w:pPr>
                              <w:ind w:right="53"/>
                              <w:jc w:val="right"/>
                              <w:rPr>
                                <w:rFonts w:cs="Arial"/>
                              </w:rPr>
                            </w:pPr>
                            <w:r>
                              <w:t>[Ende der Anlage und des Dokuments]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6.55pt;margin-top:186.5pt;width:22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Z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" o:allowincell="f" filled="f" stroked="f">
                <v:textbox inset="0,0,0,0">
                  <w:txbxContent>
                    <w:p w:rsidR="001161D1" w:rsidRPr="009929A5" w:rsidRDefault="001161D1">
                      <w:pPr>
                        <w:ind w:right="53"/>
                        <w:jc w:val="right"/>
                        <w:rPr>
                          <w:rFonts w:cs="Arial"/>
                        </w:rPr>
                      </w:pPr>
                      <w:r>
                        <w:t>[Ende der Anlage und des Dokuments]</w:t>
                      </w:r>
                    </w:p>
                  </w:txbxContent>
                </v:textbox>
              </v:shape>
            </w:pict>
          </mc:Fallback>
        </mc:AlternateContent>
      </w:r>
    </w:p>
    <w:sectPr w:rsidR="00B27C88" w:rsidRPr="00CA53E0" w:rsidSect="00476059">
      <w:headerReference w:type="default" r:id="rId15"/>
      <w:headerReference w:type="first" r:id="rId16"/>
      <w:footerReference w:type="first" r:id="rId17"/>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73" w:rsidRPr="000A0C82" w:rsidRDefault="00885673">
      <w:pPr>
        <w:rPr>
          <w:sz w:val="16"/>
        </w:rPr>
      </w:pPr>
      <w:r>
        <w:separator/>
      </w:r>
    </w:p>
  </w:endnote>
  <w:endnote w:type="continuationSeparator" w:id="0">
    <w:p w:rsidR="00885673" w:rsidRDefault="00885673">
      <w:r>
        <w:separator/>
      </w:r>
    </w:p>
    <w:p w:rsidR="00885673" w:rsidRPr="00664515" w:rsidRDefault="00885673">
      <w:pPr>
        <w:pStyle w:val="Footer"/>
        <w:spacing w:after="60"/>
        <w:rPr>
          <w:sz w:val="18"/>
          <w:lang w:val="fr-CH"/>
        </w:rPr>
      </w:pPr>
      <w:r w:rsidRPr="00664515">
        <w:rPr>
          <w:sz w:val="18"/>
          <w:lang w:val="fr-CH"/>
        </w:rPr>
        <w:t>[Suite de la note de la page précédente]</w:t>
      </w:r>
    </w:p>
    <w:p w:rsidR="00885673" w:rsidRPr="00664515" w:rsidRDefault="00885673">
      <w:pPr>
        <w:rPr>
          <w:lang w:val="fr-CH"/>
        </w:rPr>
      </w:pPr>
    </w:p>
    <w:p w:rsidR="00885673" w:rsidRPr="00664515" w:rsidRDefault="00885673">
      <w:pPr>
        <w:rPr>
          <w:lang w:val="fr-CH"/>
        </w:rPr>
      </w:pPr>
    </w:p>
  </w:endnote>
  <w:endnote w:type="continuationNotice" w:id="1">
    <w:p w:rsidR="00885673" w:rsidRPr="00664515" w:rsidRDefault="00885673">
      <w:pPr>
        <w:spacing w:before="60"/>
        <w:jc w:val="right"/>
        <w:rPr>
          <w:sz w:val="18"/>
          <w:lang w:val="fr-CH"/>
        </w:rPr>
      </w:pPr>
      <w:r w:rsidRPr="00664515">
        <w:rPr>
          <w:sz w:val="18"/>
          <w:lang w:val="fr-CH"/>
        </w:rPr>
        <w:t>[Suite de la note page suivante]</w:t>
      </w:r>
    </w:p>
    <w:p w:rsidR="00885673" w:rsidRPr="00664515" w:rsidRDefault="00885673">
      <w:pPr>
        <w:rPr>
          <w:lang w:val="fr-CH"/>
        </w:rPr>
      </w:pPr>
    </w:p>
    <w:p w:rsidR="00885673" w:rsidRPr="00664515" w:rsidRDefault="00885673">
      <w:pPr>
        <w:rPr>
          <w:lang w:val="fr-CH"/>
        </w:rPr>
      </w:pPr>
    </w:p>
  </w:endnote>
  <w:endnote w:id="2">
    <w:p w:rsidR="002132BB" w:rsidRPr="001161D1" w:rsidRDefault="002132BB" w:rsidP="001A674E">
      <w:pPr>
        <w:spacing w:before="60"/>
        <w:ind w:left="284" w:hanging="284"/>
        <w:rPr>
          <w:sz w:val="16"/>
          <w:szCs w:val="16"/>
        </w:rPr>
      </w:pPr>
      <w:r w:rsidRPr="001161D1">
        <w:rPr>
          <w:rStyle w:val="EndnoteReference"/>
          <w:sz w:val="16"/>
          <w:szCs w:val="16"/>
        </w:rPr>
        <w:endnoteRef/>
      </w:r>
      <w:r w:rsidR="003E73AE" w:rsidRPr="001161D1">
        <w:rPr>
          <w:sz w:val="16"/>
          <w:szCs w:val="16"/>
        </w:rPr>
        <w:tab/>
      </w:r>
      <w:r w:rsidRPr="001161D1">
        <w:rPr>
          <w:sz w:val="16"/>
          <w:szCs w:val="16"/>
        </w:rPr>
        <w:t>Auf seiner neunundsechzigsten Tagung am 10. April 2014 stimmte der CAJ der Prüfung der Möglichkeit zu, die CAJ-Dokumente zu ändern, um:</w:t>
      </w:r>
    </w:p>
    <w:p w:rsidR="002132BB" w:rsidRPr="001161D1" w:rsidRDefault="002132BB" w:rsidP="003E73AE">
      <w:pPr>
        <w:pStyle w:val="ListParagraph"/>
        <w:numPr>
          <w:ilvl w:val="0"/>
          <w:numId w:val="8"/>
        </w:numPr>
        <w:ind w:left="851" w:hanging="283"/>
        <w:rPr>
          <w:sz w:val="16"/>
          <w:szCs w:val="16"/>
        </w:rPr>
      </w:pPr>
      <w:r w:rsidRPr="001161D1">
        <w:rPr>
          <w:sz w:val="16"/>
          <w:szCs w:val="16"/>
        </w:rPr>
        <w:t>eine Zusammenfaßung aufzunehmen</w:t>
      </w:r>
    </w:p>
    <w:p w:rsidR="002132BB" w:rsidRPr="001161D1" w:rsidRDefault="002132BB" w:rsidP="003E73AE">
      <w:pPr>
        <w:pStyle w:val="ListParagraph"/>
        <w:numPr>
          <w:ilvl w:val="0"/>
          <w:numId w:val="8"/>
        </w:numPr>
        <w:ind w:left="851" w:hanging="283"/>
        <w:rPr>
          <w:sz w:val="16"/>
          <w:szCs w:val="16"/>
        </w:rPr>
      </w:pPr>
      <w:r w:rsidRPr="001161D1">
        <w:rPr>
          <w:sz w:val="16"/>
          <w:szCs w:val="16"/>
        </w:rPr>
        <w:t>in Fußnoten auf frühere Dokumente zu verweisen</w:t>
      </w:r>
    </w:p>
    <w:p w:rsidR="002132BB" w:rsidRPr="001161D1" w:rsidRDefault="002132BB" w:rsidP="003E73AE">
      <w:pPr>
        <w:pStyle w:val="ListParagraph"/>
        <w:numPr>
          <w:ilvl w:val="0"/>
          <w:numId w:val="8"/>
        </w:numPr>
        <w:ind w:left="851" w:hanging="283"/>
        <w:rPr>
          <w:sz w:val="16"/>
          <w:szCs w:val="16"/>
        </w:rPr>
      </w:pPr>
      <w:r w:rsidRPr="001161D1">
        <w:rPr>
          <w:sz w:val="16"/>
          <w:szCs w:val="16"/>
        </w:rPr>
        <w:t>Präsentationen zu benutzen</w:t>
      </w:r>
    </w:p>
    <w:p w:rsidR="002132BB" w:rsidRPr="001161D1" w:rsidRDefault="002132BB" w:rsidP="003E73AE">
      <w:pPr>
        <w:pStyle w:val="ListParagraph"/>
        <w:numPr>
          <w:ilvl w:val="0"/>
          <w:numId w:val="8"/>
        </w:numPr>
        <w:ind w:left="851" w:hanging="283"/>
        <w:rPr>
          <w:sz w:val="16"/>
          <w:szCs w:val="16"/>
        </w:rPr>
      </w:pPr>
      <w:r w:rsidRPr="001161D1">
        <w:rPr>
          <w:sz w:val="16"/>
          <w:szCs w:val="16"/>
        </w:rPr>
        <w:t>Entscheidungsabsätze, die Angelegenheiten zur Information enthalten, zusammenzufassen.</w:t>
      </w:r>
    </w:p>
    <w:p w:rsidR="002132BB" w:rsidRPr="001161D1" w:rsidRDefault="002132BB" w:rsidP="002132BB">
      <w:pPr>
        <w:rPr>
          <w:sz w:val="16"/>
          <w:szCs w:val="16"/>
        </w:rPr>
      </w:pPr>
    </w:p>
    <w:p w:rsidR="002132BB" w:rsidRPr="001161D1" w:rsidRDefault="002132BB" w:rsidP="003E73AE">
      <w:pPr>
        <w:ind w:left="284"/>
        <w:rPr>
          <w:sz w:val="16"/>
          <w:szCs w:val="16"/>
        </w:rPr>
      </w:pPr>
      <w:r w:rsidRPr="001161D1">
        <w:rPr>
          <w:sz w:val="16"/>
          <w:szCs w:val="16"/>
        </w:rPr>
        <w:t>Der CAJ ersuchte das Verbandsbüro, Beispiele auszuarbeiten, die vom CAJ auf seiner siebzigsten Tagung zu prüfen sind, und Informationen über die Auswirkungen auf die Ressourcen des Verbandsbüros zu erteilen (vergleiche Dokument CAJ/69/12 „Bericht über die Entschließungen“, Absätze 95 und 96).</w:t>
      </w:r>
    </w:p>
    <w:p w:rsidR="002132BB" w:rsidRPr="001161D1" w:rsidRDefault="002132BB" w:rsidP="003E73AE">
      <w:pPr>
        <w:ind w:left="284"/>
        <w:rPr>
          <w:rFonts w:cs="Arial"/>
          <w:snapToGrid w:val="0"/>
          <w:sz w:val="16"/>
          <w:szCs w:val="16"/>
        </w:rPr>
      </w:pPr>
      <w:r w:rsidRPr="001161D1">
        <w:rPr>
          <w:sz w:val="16"/>
          <w:szCs w:val="16"/>
        </w:rPr>
        <w:tab/>
      </w:r>
    </w:p>
    <w:p w:rsidR="002132BB" w:rsidRPr="001161D1" w:rsidRDefault="002132BB" w:rsidP="001A674E">
      <w:pPr>
        <w:ind w:left="284"/>
        <w:rPr>
          <w:sz w:val="16"/>
          <w:szCs w:val="16"/>
        </w:rPr>
      </w:pPr>
      <w:r w:rsidRPr="001161D1">
        <w:rPr>
          <w:snapToGrid w:val="0"/>
          <w:sz w:val="16"/>
          <w:szCs w:val="16"/>
        </w:rPr>
        <w:t xml:space="preserve">Dieses Dokument soll ein Beispiel liefern. </w:t>
      </w:r>
      <w:r w:rsidRPr="001161D1">
        <w:rPr>
          <w:sz w:val="16"/>
          <w:szCs w:val="16"/>
        </w:rPr>
        <w:t>Informationen über die Auswirkungen auf die Ressourcen des Verbandsbüros würde</w:t>
      </w:r>
      <w:r w:rsidR="00300E70" w:rsidRPr="001161D1">
        <w:rPr>
          <w:sz w:val="16"/>
          <w:szCs w:val="16"/>
        </w:rPr>
        <w:t>n</w:t>
      </w:r>
      <w:r w:rsidRPr="001161D1">
        <w:rPr>
          <w:sz w:val="16"/>
          <w:szCs w:val="16"/>
        </w:rPr>
        <w:t xml:space="preserve"> in einem Dokument zur Prüfung auf der Tagung des CAJ im März 2015 erteilt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Pr="00476059" w:rsidRDefault="000022C4" w:rsidP="0047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73" w:rsidRDefault="00885673" w:rsidP="009D690D">
      <w:pPr>
        <w:spacing w:before="120"/>
      </w:pPr>
      <w:r>
        <w:separator/>
      </w:r>
    </w:p>
  </w:footnote>
  <w:footnote w:type="continuationSeparator" w:id="0">
    <w:p w:rsidR="00885673" w:rsidRDefault="00885673" w:rsidP="00520297">
      <w:pPr>
        <w:spacing w:before="120"/>
        <w:jc w:val="left"/>
      </w:pPr>
      <w:r>
        <w:separator/>
      </w:r>
    </w:p>
  </w:footnote>
  <w:footnote w:type="continuationNotice" w:id="1">
    <w:p w:rsidR="00885673" w:rsidRDefault="00885673"/>
  </w:footnote>
  <w:footnote w:id="2">
    <w:p w:rsidR="00AB23F9" w:rsidRDefault="00AB23F9" w:rsidP="004D419E">
      <w:pPr>
        <w:pStyle w:val="FootnoteText"/>
      </w:pPr>
      <w:r>
        <w:rPr>
          <w:rStyle w:val="FootnoteReference"/>
        </w:rPr>
        <w:footnoteRef/>
      </w:r>
      <w:r>
        <w:t xml:space="preserve"> </w:t>
      </w:r>
      <w:r>
        <w:tab/>
        <w:t>Auf seiner zweiundfünfzigsten Tagung am 24. Oktober 2005 in Genf.</w:t>
      </w:r>
    </w:p>
  </w:footnote>
  <w:footnote w:id="3">
    <w:p w:rsidR="000022C4" w:rsidRDefault="000022C4" w:rsidP="004D419E">
      <w:pPr>
        <w:pStyle w:val="FootnoteText"/>
      </w:pPr>
      <w:r>
        <w:rPr>
          <w:rStyle w:val="FootnoteReference"/>
        </w:rPr>
        <w:footnoteRef/>
      </w:r>
      <w:r>
        <w:t xml:space="preserve"> </w:t>
      </w:r>
      <w:r>
        <w:tab/>
        <w:t>Vergleiche Dokument CAJ/52/4 „Vorgehen zur Ausarbeitung von Informationsmaterial betreffend das UPOV-Übereinkommen”, Absätze 8 bis 10.</w:t>
      </w:r>
    </w:p>
  </w:footnote>
  <w:footnote w:id="4">
    <w:p w:rsidR="000022C4" w:rsidRDefault="000022C4" w:rsidP="004D419E">
      <w:pPr>
        <w:pStyle w:val="FootnoteText"/>
      </w:pPr>
      <w:r>
        <w:rPr>
          <w:rStyle w:val="FootnoteReference"/>
        </w:rPr>
        <w:footnoteRef/>
      </w:r>
      <w:r>
        <w:t xml:space="preserve"> </w:t>
      </w:r>
      <w:r>
        <w:tab/>
        <w:t>Vergleiche Dokument CAJ/52/4, Absätze 11 bis 14, und CAJ/52/5 „Bericht“, Absatz 67.</w:t>
      </w:r>
    </w:p>
  </w:footnote>
  <w:footnote w:id="5">
    <w:p w:rsidR="00536A0D" w:rsidRDefault="00536A0D" w:rsidP="004D419E">
      <w:pPr>
        <w:pStyle w:val="FootnoteText"/>
      </w:pPr>
      <w:r>
        <w:rPr>
          <w:rStyle w:val="FootnoteReference"/>
        </w:rPr>
        <w:footnoteRef/>
      </w:r>
      <w:r>
        <w:t xml:space="preserve"> </w:t>
      </w:r>
      <w:r>
        <w:tab/>
        <w:t>Auf seiner neunundsechzigsten Tagung am 10. April 2014 in Genf.</w:t>
      </w:r>
    </w:p>
  </w:footnote>
  <w:footnote w:id="6">
    <w:p w:rsidR="00346346" w:rsidRDefault="00346346" w:rsidP="004D419E">
      <w:pPr>
        <w:pStyle w:val="FootnoteText"/>
      </w:pPr>
      <w:r>
        <w:rPr>
          <w:rStyle w:val="FootnoteReference"/>
        </w:rPr>
        <w:footnoteRef/>
      </w:r>
      <w:r>
        <w:t xml:space="preserve"> </w:t>
      </w:r>
      <w:r>
        <w:tab/>
        <w:t>Am 14. und 17. Oktober 2014.</w:t>
      </w:r>
    </w:p>
  </w:footnote>
  <w:footnote w:id="7">
    <w:p w:rsidR="000022C4" w:rsidRDefault="000022C4" w:rsidP="004D419E">
      <w:pPr>
        <w:pStyle w:val="FootnoteText"/>
      </w:pPr>
      <w:r>
        <w:rPr>
          <w:rStyle w:val="FootnoteReference"/>
        </w:rPr>
        <w:footnoteRef/>
      </w:r>
      <w:r>
        <w:t xml:space="preserve"> </w:t>
      </w:r>
      <w:r>
        <w:tab/>
        <w:t>Vergleiche Dokument CAJ/69/2 „Ausarbeitung von Informationsmaterial betreffend das UPOV-Übereinkommen“, Absätze 65 und 66 und Dokument CAJ/69/12 „Bericht über die Entschließungen“, Absatz 26.</w:t>
      </w:r>
    </w:p>
  </w:footnote>
  <w:footnote w:id="8">
    <w:p w:rsidR="000022C4" w:rsidRDefault="000022C4" w:rsidP="004D419E">
      <w:pPr>
        <w:pStyle w:val="FootnoteText"/>
      </w:pPr>
      <w:r>
        <w:rPr>
          <w:rStyle w:val="FootnoteReference"/>
        </w:rPr>
        <w:footnoteRef/>
      </w:r>
      <w:r>
        <w:t xml:space="preserve"> </w:t>
      </w:r>
      <w:r>
        <w:tab/>
        <w:t>Vergleiche Dokument CAJ/69/12 „Bericht über die Entschließungen“, Absatz 27 und UPOV-Rundschreiben E-14/128 vom 12. Mai 2014, E-14/136 vom 20. Mai 2014 und E-14/143 vom 23. Mai 2014.</w:t>
      </w:r>
    </w:p>
  </w:footnote>
  <w:footnote w:id="9">
    <w:p w:rsidR="000022C4" w:rsidRDefault="000022C4" w:rsidP="004D419E">
      <w:pPr>
        <w:pStyle w:val="FootnoteText"/>
      </w:pPr>
      <w:r>
        <w:rPr>
          <w:rStyle w:val="FootnoteReference"/>
        </w:rPr>
        <w:footnoteRef/>
      </w:r>
      <w:r w:rsidR="00C332C2">
        <w:tab/>
      </w:r>
      <w:r>
        <w:t>Vergleiche Dokument CAJ/69/12 „Bericht über die Entschließungen“, Absatz 28).</w:t>
      </w:r>
    </w:p>
  </w:footnote>
  <w:footnote w:id="10">
    <w:p w:rsidR="000022C4" w:rsidRDefault="000022C4" w:rsidP="004D419E">
      <w:pPr>
        <w:pStyle w:val="FootnoteText"/>
      </w:pPr>
      <w:r>
        <w:rPr>
          <w:rStyle w:val="FootnoteReference"/>
        </w:rPr>
        <w:footnoteRef/>
      </w:r>
      <w:r w:rsidR="004D419E">
        <w:tab/>
      </w:r>
      <w:r>
        <w:t>Siehe UPOV-Rundschreiben E-14/038 vom 25. Februar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Default="000022C4">
    <w:pPr>
      <w:jc w:val="center"/>
    </w:pPr>
    <w:r>
      <w:t>CAJ/70/2</w:t>
    </w:r>
  </w:p>
  <w:p w:rsidR="000022C4" w:rsidRDefault="000022C4">
    <w:pPr>
      <w:jc w:val="center"/>
    </w:pPr>
    <w:r>
      <w:t xml:space="preserve">Seite </w:t>
    </w:r>
    <w:r>
      <w:fldChar w:fldCharType="begin"/>
    </w:r>
    <w:r>
      <w:instrText xml:space="preserve"> PAGE  \* MERGEFORMAT </w:instrText>
    </w:r>
    <w:r>
      <w:fldChar w:fldCharType="separate"/>
    </w:r>
    <w:r w:rsidR="00423BA0">
      <w:rPr>
        <w:noProof/>
      </w:rPr>
      <w:t>5</w:t>
    </w:r>
    <w:r>
      <w:fldChar w:fldCharType="end"/>
    </w:r>
  </w:p>
  <w:p w:rsidR="000022C4" w:rsidRDefault="000022C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Pr="00997029" w:rsidRDefault="000022C4" w:rsidP="00E23920">
    <w:pPr>
      <w:jc w:val="center"/>
      <w:rPr>
        <w:rStyle w:val="PageNumber"/>
      </w:rPr>
    </w:pPr>
    <w:r>
      <w:rPr>
        <w:rStyle w:val="PageNumber"/>
      </w:rPr>
      <w:t>CAJ/70/2</w:t>
    </w:r>
  </w:p>
  <w:p w:rsidR="000022C4" w:rsidRPr="00997029" w:rsidRDefault="000022C4" w:rsidP="00E23920">
    <w:pPr>
      <w:jc w:val="center"/>
    </w:pPr>
    <w:r>
      <w:t xml:space="preserve">Anlage, 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23BA0">
      <w:rPr>
        <w:rStyle w:val="PageNumber"/>
        <w:noProof/>
      </w:rPr>
      <w:t>2</w:t>
    </w:r>
    <w:r w:rsidRPr="00997029">
      <w:rPr>
        <w:rStyle w:val="PageNumber"/>
      </w:rPr>
      <w:fldChar w:fldCharType="end"/>
    </w:r>
  </w:p>
  <w:p w:rsidR="000022C4" w:rsidRPr="00997029" w:rsidRDefault="000022C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Pr="00476059" w:rsidRDefault="000022C4" w:rsidP="00476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3E3"/>
    <w:multiLevelType w:val="multilevel"/>
    <w:tmpl w:val="0186BAAC"/>
    <w:lvl w:ilvl="0">
      <w:start w:val="2"/>
      <w:numFmt w:val="low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E203FE"/>
    <w:multiLevelType w:val="hybridMultilevel"/>
    <w:tmpl w:val="EDF8DA98"/>
    <w:lvl w:ilvl="0" w:tplc="04070017">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2">
    <w:nsid w:val="18FE102A"/>
    <w:multiLevelType w:val="hybridMultilevel"/>
    <w:tmpl w:val="1E02A042"/>
    <w:lvl w:ilvl="0" w:tplc="0407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8334BE"/>
    <w:multiLevelType w:val="hybridMultilevel"/>
    <w:tmpl w:val="551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47E89"/>
    <w:multiLevelType w:val="hybridMultilevel"/>
    <w:tmpl w:val="3DCC2296"/>
    <w:lvl w:ilvl="0" w:tplc="719869DA">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704840"/>
    <w:multiLevelType w:val="hybridMultilevel"/>
    <w:tmpl w:val="918A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92F8B"/>
    <w:multiLevelType w:val="hybridMultilevel"/>
    <w:tmpl w:val="31ECB0D4"/>
    <w:lvl w:ilvl="0" w:tplc="0407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E6B79AA"/>
    <w:multiLevelType w:val="hybridMultilevel"/>
    <w:tmpl w:val="0186BAAC"/>
    <w:lvl w:ilvl="0" w:tplc="6C6E423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12737D"/>
    <w:multiLevelType w:val="hybridMultilevel"/>
    <w:tmpl w:val="D95C239A"/>
    <w:lvl w:ilvl="0" w:tplc="3CE4491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3"/>
  </w:num>
  <w:num w:numId="6">
    <w:abstractNumId w:val="5"/>
  </w:num>
  <w:num w:numId="7">
    <w:abstractNumId w:val="10"/>
  </w:num>
  <w:num w:numId="8">
    <w:abstractNumId w:val="6"/>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022C4"/>
    <w:rsid w:val="00010CF3"/>
    <w:rsid w:val="000118F7"/>
    <w:rsid w:val="00011E27"/>
    <w:rsid w:val="000148BC"/>
    <w:rsid w:val="00015BDE"/>
    <w:rsid w:val="00024AB8"/>
    <w:rsid w:val="00024B58"/>
    <w:rsid w:val="00036028"/>
    <w:rsid w:val="000446B9"/>
    <w:rsid w:val="00047E21"/>
    <w:rsid w:val="00052A72"/>
    <w:rsid w:val="0006472C"/>
    <w:rsid w:val="00076BAF"/>
    <w:rsid w:val="00082B57"/>
    <w:rsid w:val="00085505"/>
    <w:rsid w:val="000A0C82"/>
    <w:rsid w:val="000A6DA0"/>
    <w:rsid w:val="000B4101"/>
    <w:rsid w:val="000C047F"/>
    <w:rsid w:val="000C7021"/>
    <w:rsid w:val="000C7356"/>
    <w:rsid w:val="000D492E"/>
    <w:rsid w:val="000D6BBC"/>
    <w:rsid w:val="000D7780"/>
    <w:rsid w:val="000F337D"/>
    <w:rsid w:val="00105929"/>
    <w:rsid w:val="00110481"/>
    <w:rsid w:val="00110595"/>
    <w:rsid w:val="001131D5"/>
    <w:rsid w:val="001161D1"/>
    <w:rsid w:val="00124B20"/>
    <w:rsid w:val="001374EC"/>
    <w:rsid w:val="00141DB8"/>
    <w:rsid w:val="00155F6F"/>
    <w:rsid w:val="0017474A"/>
    <w:rsid w:val="001758C6"/>
    <w:rsid w:val="00197E84"/>
    <w:rsid w:val="001A674E"/>
    <w:rsid w:val="001B56EB"/>
    <w:rsid w:val="001B640B"/>
    <w:rsid w:val="001C3DF3"/>
    <w:rsid w:val="001D19FB"/>
    <w:rsid w:val="001F1F2A"/>
    <w:rsid w:val="00210134"/>
    <w:rsid w:val="002114E4"/>
    <w:rsid w:val="002132BB"/>
    <w:rsid w:val="0021332C"/>
    <w:rsid w:val="00213982"/>
    <w:rsid w:val="002223B1"/>
    <w:rsid w:val="00222753"/>
    <w:rsid w:val="00237C7D"/>
    <w:rsid w:val="0024416D"/>
    <w:rsid w:val="002514C5"/>
    <w:rsid w:val="00262409"/>
    <w:rsid w:val="00262AEC"/>
    <w:rsid w:val="0027309C"/>
    <w:rsid w:val="002800A0"/>
    <w:rsid w:val="00281060"/>
    <w:rsid w:val="00282985"/>
    <w:rsid w:val="002925E2"/>
    <w:rsid w:val="00292728"/>
    <w:rsid w:val="0029439F"/>
    <w:rsid w:val="002A265D"/>
    <w:rsid w:val="002A6E50"/>
    <w:rsid w:val="002C03CB"/>
    <w:rsid w:val="002C256A"/>
    <w:rsid w:val="002C2B0C"/>
    <w:rsid w:val="002E2A4D"/>
    <w:rsid w:val="002E7BA1"/>
    <w:rsid w:val="002F444E"/>
    <w:rsid w:val="002F78FA"/>
    <w:rsid w:val="00300B1B"/>
    <w:rsid w:val="00300E70"/>
    <w:rsid w:val="00305A7F"/>
    <w:rsid w:val="003152FE"/>
    <w:rsid w:val="00327436"/>
    <w:rsid w:val="003274AC"/>
    <w:rsid w:val="00343346"/>
    <w:rsid w:val="00344A42"/>
    <w:rsid w:val="00344BD6"/>
    <w:rsid w:val="00345C90"/>
    <w:rsid w:val="00346346"/>
    <w:rsid w:val="0035528D"/>
    <w:rsid w:val="00361821"/>
    <w:rsid w:val="003628FD"/>
    <w:rsid w:val="003A17C8"/>
    <w:rsid w:val="003C563E"/>
    <w:rsid w:val="003D227C"/>
    <w:rsid w:val="003D2B4D"/>
    <w:rsid w:val="003E73AE"/>
    <w:rsid w:val="003F6136"/>
    <w:rsid w:val="00416172"/>
    <w:rsid w:val="00423BA0"/>
    <w:rsid w:val="00427139"/>
    <w:rsid w:val="0043721D"/>
    <w:rsid w:val="00437FC7"/>
    <w:rsid w:val="00444A88"/>
    <w:rsid w:val="00473B81"/>
    <w:rsid w:val="00473E16"/>
    <w:rsid w:val="00474DA4"/>
    <w:rsid w:val="00476059"/>
    <w:rsid w:val="004907CA"/>
    <w:rsid w:val="00490999"/>
    <w:rsid w:val="00492BAE"/>
    <w:rsid w:val="004A0697"/>
    <w:rsid w:val="004C3EF4"/>
    <w:rsid w:val="004C51B6"/>
    <w:rsid w:val="004D047D"/>
    <w:rsid w:val="004D419E"/>
    <w:rsid w:val="004D6C1B"/>
    <w:rsid w:val="004F305A"/>
    <w:rsid w:val="00501CCF"/>
    <w:rsid w:val="00512164"/>
    <w:rsid w:val="005155A4"/>
    <w:rsid w:val="00520297"/>
    <w:rsid w:val="005338F9"/>
    <w:rsid w:val="00536A0D"/>
    <w:rsid w:val="0054281C"/>
    <w:rsid w:val="0055268D"/>
    <w:rsid w:val="00566990"/>
    <w:rsid w:val="00572E44"/>
    <w:rsid w:val="00576BE4"/>
    <w:rsid w:val="00585809"/>
    <w:rsid w:val="005A400A"/>
    <w:rsid w:val="005B6F20"/>
    <w:rsid w:val="005B73CE"/>
    <w:rsid w:val="005C5D7E"/>
    <w:rsid w:val="005E3119"/>
    <w:rsid w:val="005F44C0"/>
    <w:rsid w:val="00612379"/>
    <w:rsid w:val="0061555F"/>
    <w:rsid w:val="00641200"/>
    <w:rsid w:val="006628A4"/>
    <w:rsid w:val="00663ED8"/>
    <w:rsid w:val="00664515"/>
    <w:rsid w:val="00677010"/>
    <w:rsid w:val="00681BC6"/>
    <w:rsid w:val="00687EB4"/>
    <w:rsid w:val="006A0ABF"/>
    <w:rsid w:val="006B17D2"/>
    <w:rsid w:val="006B3F92"/>
    <w:rsid w:val="006B45FA"/>
    <w:rsid w:val="006C1E90"/>
    <w:rsid w:val="006C224E"/>
    <w:rsid w:val="006C30CD"/>
    <w:rsid w:val="006E28F5"/>
    <w:rsid w:val="007075EF"/>
    <w:rsid w:val="00732DEC"/>
    <w:rsid w:val="00735BD5"/>
    <w:rsid w:val="0075117E"/>
    <w:rsid w:val="007556F6"/>
    <w:rsid w:val="00760EEF"/>
    <w:rsid w:val="00777EE5"/>
    <w:rsid w:val="00784836"/>
    <w:rsid w:val="0079023E"/>
    <w:rsid w:val="007B6894"/>
    <w:rsid w:val="007C6639"/>
    <w:rsid w:val="007D0B9D"/>
    <w:rsid w:val="007D19B0"/>
    <w:rsid w:val="007E4B39"/>
    <w:rsid w:val="007E4E4E"/>
    <w:rsid w:val="007F24BD"/>
    <w:rsid w:val="007F498F"/>
    <w:rsid w:val="0080679D"/>
    <w:rsid w:val="008108B0"/>
    <w:rsid w:val="00811B20"/>
    <w:rsid w:val="0082296E"/>
    <w:rsid w:val="00824099"/>
    <w:rsid w:val="00826636"/>
    <w:rsid w:val="00836E88"/>
    <w:rsid w:val="00847AF4"/>
    <w:rsid w:val="00855DBD"/>
    <w:rsid w:val="00856E16"/>
    <w:rsid w:val="00867AC1"/>
    <w:rsid w:val="008711F3"/>
    <w:rsid w:val="00885673"/>
    <w:rsid w:val="008A395B"/>
    <w:rsid w:val="008A743F"/>
    <w:rsid w:val="008B51D0"/>
    <w:rsid w:val="008C0970"/>
    <w:rsid w:val="008C38AE"/>
    <w:rsid w:val="008C5178"/>
    <w:rsid w:val="008D2CF7"/>
    <w:rsid w:val="008D7794"/>
    <w:rsid w:val="008E793E"/>
    <w:rsid w:val="00900C26"/>
    <w:rsid w:val="0090197F"/>
    <w:rsid w:val="00906DDC"/>
    <w:rsid w:val="00912BFD"/>
    <w:rsid w:val="00934E09"/>
    <w:rsid w:val="00936253"/>
    <w:rsid w:val="00941A41"/>
    <w:rsid w:val="00941A7E"/>
    <w:rsid w:val="00945F98"/>
    <w:rsid w:val="00954C3C"/>
    <w:rsid w:val="00970FED"/>
    <w:rsid w:val="00997029"/>
    <w:rsid w:val="00997A07"/>
    <w:rsid w:val="009D0DE5"/>
    <w:rsid w:val="009D3769"/>
    <w:rsid w:val="009D690D"/>
    <w:rsid w:val="009E65B6"/>
    <w:rsid w:val="00A10CEC"/>
    <w:rsid w:val="00A16490"/>
    <w:rsid w:val="00A20EDE"/>
    <w:rsid w:val="00A23A85"/>
    <w:rsid w:val="00A4107A"/>
    <w:rsid w:val="00A42AC3"/>
    <w:rsid w:val="00A430CF"/>
    <w:rsid w:val="00A47BFC"/>
    <w:rsid w:val="00A54309"/>
    <w:rsid w:val="00A572D2"/>
    <w:rsid w:val="00A845F1"/>
    <w:rsid w:val="00AB23F9"/>
    <w:rsid w:val="00AB2B93"/>
    <w:rsid w:val="00AD2FEA"/>
    <w:rsid w:val="00AE0EF1"/>
    <w:rsid w:val="00AE3D3F"/>
    <w:rsid w:val="00B07301"/>
    <w:rsid w:val="00B224DE"/>
    <w:rsid w:val="00B27632"/>
    <w:rsid w:val="00B27C88"/>
    <w:rsid w:val="00B84BBD"/>
    <w:rsid w:val="00B94C97"/>
    <w:rsid w:val="00BA43FB"/>
    <w:rsid w:val="00BB3B30"/>
    <w:rsid w:val="00BC127D"/>
    <w:rsid w:val="00BC1FE6"/>
    <w:rsid w:val="00BD4C24"/>
    <w:rsid w:val="00BE4C3B"/>
    <w:rsid w:val="00BE6E69"/>
    <w:rsid w:val="00C061B6"/>
    <w:rsid w:val="00C145A1"/>
    <w:rsid w:val="00C21DBF"/>
    <w:rsid w:val="00C2446C"/>
    <w:rsid w:val="00C332C2"/>
    <w:rsid w:val="00C36AE5"/>
    <w:rsid w:val="00C41F17"/>
    <w:rsid w:val="00C4340E"/>
    <w:rsid w:val="00C53308"/>
    <w:rsid w:val="00C54BF4"/>
    <w:rsid w:val="00C5791C"/>
    <w:rsid w:val="00C57DAB"/>
    <w:rsid w:val="00C620C2"/>
    <w:rsid w:val="00C64852"/>
    <w:rsid w:val="00C66290"/>
    <w:rsid w:val="00C72B57"/>
    <w:rsid w:val="00C72B7A"/>
    <w:rsid w:val="00C76CE8"/>
    <w:rsid w:val="00C84806"/>
    <w:rsid w:val="00C973F2"/>
    <w:rsid w:val="00CA1732"/>
    <w:rsid w:val="00CA774A"/>
    <w:rsid w:val="00CC11B0"/>
    <w:rsid w:val="00CF03BC"/>
    <w:rsid w:val="00CF4D54"/>
    <w:rsid w:val="00CF7E36"/>
    <w:rsid w:val="00D05349"/>
    <w:rsid w:val="00D233D8"/>
    <w:rsid w:val="00D24210"/>
    <w:rsid w:val="00D3708D"/>
    <w:rsid w:val="00D40426"/>
    <w:rsid w:val="00D477FD"/>
    <w:rsid w:val="00D57C96"/>
    <w:rsid w:val="00D91203"/>
    <w:rsid w:val="00D9186E"/>
    <w:rsid w:val="00D95174"/>
    <w:rsid w:val="00D95A5C"/>
    <w:rsid w:val="00DA57AF"/>
    <w:rsid w:val="00DA6F36"/>
    <w:rsid w:val="00DB710F"/>
    <w:rsid w:val="00DC00EA"/>
    <w:rsid w:val="00DC2B79"/>
    <w:rsid w:val="00DD0067"/>
    <w:rsid w:val="00DE7754"/>
    <w:rsid w:val="00E061C9"/>
    <w:rsid w:val="00E23920"/>
    <w:rsid w:val="00E27818"/>
    <w:rsid w:val="00E72D49"/>
    <w:rsid w:val="00E7593C"/>
    <w:rsid w:val="00E7678A"/>
    <w:rsid w:val="00E86D23"/>
    <w:rsid w:val="00E935F1"/>
    <w:rsid w:val="00E94A81"/>
    <w:rsid w:val="00EA1FFB"/>
    <w:rsid w:val="00EB048E"/>
    <w:rsid w:val="00EB3EFA"/>
    <w:rsid w:val="00ED187B"/>
    <w:rsid w:val="00ED415F"/>
    <w:rsid w:val="00ED4F1C"/>
    <w:rsid w:val="00EF2F89"/>
    <w:rsid w:val="00EF40BA"/>
    <w:rsid w:val="00F04DEB"/>
    <w:rsid w:val="00F1237A"/>
    <w:rsid w:val="00F22CBD"/>
    <w:rsid w:val="00F32656"/>
    <w:rsid w:val="00F37961"/>
    <w:rsid w:val="00F40CA2"/>
    <w:rsid w:val="00F52630"/>
    <w:rsid w:val="00F52B73"/>
    <w:rsid w:val="00F62CFD"/>
    <w:rsid w:val="00F6334D"/>
    <w:rsid w:val="00F75CBE"/>
    <w:rsid w:val="00F81DB3"/>
    <w:rsid w:val="00F91E21"/>
    <w:rsid w:val="00F94423"/>
    <w:rsid w:val="00FA49AB"/>
    <w:rsid w:val="00FB0D37"/>
    <w:rsid w:val="00FB68F4"/>
    <w:rsid w:val="00FD4AB9"/>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1374EC"/>
    <w:pPr>
      <w:keepNext/>
      <w:jc w:val="both"/>
      <w:outlineLvl w:val="0"/>
    </w:pPr>
    <w:rPr>
      <w:rFonts w:ascii="Arial" w:hAnsi="Arial"/>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945F98"/>
    <w:pPr>
      <w:keepNext/>
      <w:jc w:val="both"/>
      <w:outlineLvl w:val="2"/>
    </w:pPr>
    <w:rPr>
      <w:rFonts w:ascii="Arial" w:hAnsi="Arial"/>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76059"/>
    <w:pPr>
      <w:tabs>
        <w:tab w:val="center" w:pos="4536"/>
        <w:tab w:val="right" w:pos="9072"/>
      </w:tabs>
      <w:jc w:val="center"/>
    </w:pPr>
    <w:rPr>
      <w:rFonts w:ascii="Arial" w:hAnsi="Arial"/>
      <w:sz w:val="10"/>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4D419E"/>
    <w:pPr>
      <w:spacing w:before="60"/>
      <w:ind w:left="284" w:hanging="284"/>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6B3F92"/>
    <w:pPr>
      <w:tabs>
        <w:tab w:val="right" w:leader="dot" w:pos="9639"/>
      </w:tabs>
      <w:spacing w:after="60"/>
      <w:ind w:left="567" w:right="851"/>
    </w:pPr>
    <w:rPr>
      <w:rFonts w:ascii="Arial" w:hAnsi="Arial"/>
      <w:noProof/>
    </w:rPr>
  </w:style>
  <w:style w:type="paragraph" w:styleId="TOC3">
    <w:name w:val="toc 3"/>
    <w:next w:val="Normal"/>
    <w:autoRedefine/>
    <w:uiPriority w:val="39"/>
    <w:rsid w:val="00B27C88"/>
    <w:pPr>
      <w:tabs>
        <w:tab w:val="right" w:leader="dot" w:pos="9639"/>
      </w:tabs>
      <w:spacing w:after="60"/>
      <w:ind w:left="851" w:right="851"/>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DA57AF"/>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B27C88"/>
    <w:rPr>
      <w:rFonts w:ascii="Arial" w:hAnsi="Arial"/>
      <w:i/>
    </w:rPr>
  </w:style>
  <w:style w:type="paragraph" w:customStyle="1" w:styleId="StyleTOC1Left">
    <w:name w:val="Style TOC 1 + Left"/>
    <w:basedOn w:val="TOC1"/>
    <w:rsid w:val="00B27C88"/>
    <w:pPr>
      <w:spacing w:before="120"/>
      <w:ind w:right="851"/>
    </w:pPr>
    <w:rPr>
      <w:noProof w:val="0"/>
      <w:sz w:val="18"/>
    </w:rPr>
  </w:style>
  <w:style w:type="character" w:customStyle="1" w:styleId="Heading2Char">
    <w:name w:val="Heading 2 Char"/>
    <w:basedOn w:val="DefaultParagraphFont"/>
    <w:link w:val="Heading2"/>
    <w:rsid w:val="00B27C88"/>
    <w:rPr>
      <w:rFonts w:ascii="Arial" w:hAnsi="Arial"/>
      <w:u w:val="single"/>
    </w:rPr>
  </w:style>
  <w:style w:type="table" w:styleId="TableGrid">
    <w:name w:val="Table Grid"/>
    <w:basedOn w:val="TableNormal"/>
    <w:rsid w:val="00B27C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B27C88"/>
    <w:rPr>
      <w:i/>
      <w:iCs/>
      <w:spacing w:val="-2"/>
      <w:u w:val="none"/>
    </w:rPr>
  </w:style>
  <w:style w:type="paragraph" w:styleId="NormalWeb">
    <w:name w:val="Normal (Web)"/>
    <w:basedOn w:val="Normal"/>
    <w:uiPriority w:val="99"/>
    <w:unhideWhenUsed/>
    <w:rsid w:val="00B27C88"/>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27C88"/>
    <w:pPr>
      <w:tabs>
        <w:tab w:val="decimal" w:pos="907"/>
        <w:tab w:val="left" w:pos="1077"/>
      </w:tabs>
    </w:pPr>
    <w:rPr>
      <w:rFonts w:ascii="Times New Roman" w:hAnsi="Times New Roman"/>
      <w:sz w:val="24"/>
    </w:rPr>
  </w:style>
  <w:style w:type="character" w:customStyle="1" w:styleId="FootnoteTextChar">
    <w:name w:val="Footnote Text Char"/>
    <w:link w:val="FootnoteText"/>
    <w:rsid w:val="004D419E"/>
    <w:rPr>
      <w:rFonts w:ascii="Arial" w:hAnsi="Arial"/>
      <w:sz w:val="16"/>
    </w:rPr>
  </w:style>
  <w:style w:type="character" w:customStyle="1" w:styleId="Heading1Char">
    <w:name w:val="Heading 1 Char"/>
    <w:basedOn w:val="DefaultParagraphFont"/>
    <w:link w:val="Heading1"/>
    <w:rsid w:val="001374EC"/>
    <w:rPr>
      <w:rFonts w:ascii="Arial" w:hAnsi="Arial"/>
    </w:rPr>
  </w:style>
  <w:style w:type="paragraph" w:styleId="ListParagraph">
    <w:name w:val="List Paragraph"/>
    <w:basedOn w:val="Normal"/>
    <w:uiPriority w:val="34"/>
    <w:qFormat/>
    <w:rsid w:val="00EF40BA"/>
    <w:pPr>
      <w:ind w:left="720"/>
      <w:contextualSpacing/>
    </w:pPr>
  </w:style>
  <w:style w:type="character" w:styleId="FollowedHyperlink">
    <w:name w:val="FollowedHyperlink"/>
    <w:basedOn w:val="DefaultParagraphFont"/>
    <w:rsid w:val="008C38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1374EC"/>
    <w:pPr>
      <w:keepNext/>
      <w:jc w:val="both"/>
      <w:outlineLvl w:val="0"/>
    </w:pPr>
    <w:rPr>
      <w:rFonts w:ascii="Arial" w:hAnsi="Arial"/>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945F98"/>
    <w:pPr>
      <w:keepNext/>
      <w:jc w:val="both"/>
      <w:outlineLvl w:val="2"/>
    </w:pPr>
    <w:rPr>
      <w:rFonts w:ascii="Arial" w:hAnsi="Arial"/>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76059"/>
    <w:pPr>
      <w:tabs>
        <w:tab w:val="center" w:pos="4536"/>
        <w:tab w:val="right" w:pos="9072"/>
      </w:tabs>
      <w:jc w:val="center"/>
    </w:pPr>
    <w:rPr>
      <w:rFonts w:ascii="Arial" w:hAnsi="Arial"/>
      <w:sz w:val="10"/>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4D419E"/>
    <w:pPr>
      <w:spacing w:before="60"/>
      <w:ind w:left="284" w:hanging="284"/>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6B3F92"/>
    <w:pPr>
      <w:tabs>
        <w:tab w:val="right" w:leader="dot" w:pos="9639"/>
      </w:tabs>
      <w:spacing w:after="60"/>
      <w:ind w:left="567" w:right="851"/>
    </w:pPr>
    <w:rPr>
      <w:rFonts w:ascii="Arial" w:hAnsi="Arial"/>
      <w:noProof/>
    </w:rPr>
  </w:style>
  <w:style w:type="paragraph" w:styleId="TOC3">
    <w:name w:val="toc 3"/>
    <w:next w:val="Normal"/>
    <w:autoRedefine/>
    <w:uiPriority w:val="39"/>
    <w:rsid w:val="00B27C88"/>
    <w:pPr>
      <w:tabs>
        <w:tab w:val="right" w:leader="dot" w:pos="9639"/>
      </w:tabs>
      <w:spacing w:after="60"/>
      <w:ind w:left="851" w:right="851"/>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DA57AF"/>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B27C88"/>
    <w:rPr>
      <w:rFonts w:ascii="Arial" w:hAnsi="Arial"/>
      <w:i/>
    </w:rPr>
  </w:style>
  <w:style w:type="paragraph" w:customStyle="1" w:styleId="StyleTOC1Left">
    <w:name w:val="Style TOC 1 + Left"/>
    <w:basedOn w:val="TOC1"/>
    <w:rsid w:val="00B27C88"/>
    <w:pPr>
      <w:spacing w:before="120"/>
      <w:ind w:right="851"/>
    </w:pPr>
    <w:rPr>
      <w:noProof w:val="0"/>
      <w:sz w:val="18"/>
    </w:rPr>
  </w:style>
  <w:style w:type="character" w:customStyle="1" w:styleId="Heading2Char">
    <w:name w:val="Heading 2 Char"/>
    <w:basedOn w:val="DefaultParagraphFont"/>
    <w:link w:val="Heading2"/>
    <w:rsid w:val="00B27C88"/>
    <w:rPr>
      <w:rFonts w:ascii="Arial" w:hAnsi="Arial"/>
      <w:u w:val="single"/>
    </w:rPr>
  </w:style>
  <w:style w:type="table" w:styleId="TableGrid">
    <w:name w:val="Table Grid"/>
    <w:basedOn w:val="TableNormal"/>
    <w:rsid w:val="00B27C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B27C88"/>
    <w:rPr>
      <w:i/>
      <w:iCs/>
      <w:spacing w:val="-2"/>
      <w:u w:val="none"/>
    </w:rPr>
  </w:style>
  <w:style w:type="paragraph" w:styleId="NormalWeb">
    <w:name w:val="Normal (Web)"/>
    <w:basedOn w:val="Normal"/>
    <w:uiPriority w:val="99"/>
    <w:unhideWhenUsed/>
    <w:rsid w:val="00B27C88"/>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27C88"/>
    <w:pPr>
      <w:tabs>
        <w:tab w:val="decimal" w:pos="907"/>
        <w:tab w:val="left" w:pos="1077"/>
      </w:tabs>
    </w:pPr>
    <w:rPr>
      <w:rFonts w:ascii="Times New Roman" w:hAnsi="Times New Roman"/>
      <w:sz w:val="24"/>
    </w:rPr>
  </w:style>
  <w:style w:type="character" w:customStyle="1" w:styleId="FootnoteTextChar">
    <w:name w:val="Footnote Text Char"/>
    <w:link w:val="FootnoteText"/>
    <w:rsid w:val="004D419E"/>
    <w:rPr>
      <w:rFonts w:ascii="Arial" w:hAnsi="Arial"/>
      <w:sz w:val="16"/>
    </w:rPr>
  </w:style>
  <w:style w:type="character" w:customStyle="1" w:styleId="Heading1Char">
    <w:name w:val="Heading 1 Char"/>
    <w:basedOn w:val="DefaultParagraphFont"/>
    <w:link w:val="Heading1"/>
    <w:rsid w:val="001374EC"/>
    <w:rPr>
      <w:rFonts w:ascii="Arial" w:hAnsi="Arial"/>
    </w:rPr>
  </w:style>
  <w:style w:type="paragraph" w:styleId="ListParagraph">
    <w:name w:val="List Paragraph"/>
    <w:basedOn w:val="Normal"/>
    <w:uiPriority w:val="34"/>
    <w:qFormat/>
    <w:rsid w:val="00EF40BA"/>
    <w:pPr>
      <w:ind w:left="720"/>
      <w:contextualSpacing/>
    </w:pPr>
  </w:style>
  <w:style w:type="character" w:styleId="FollowedHyperlink">
    <w:name w:val="FollowedHyperlink"/>
    <w:basedOn w:val="DefaultParagraphFont"/>
    <w:rsid w:val="008C3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5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de/details.jsp?meeting_id=297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de/details.jsp?meeting_id=297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de/details.jsp?meeting_id=297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meetings/de/details.jsp?meeting_id=29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C4FC-FA1C-4CB9-9E98-633B0F02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56</TotalTime>
  <Pages>8</Pages>
  <Words>2194</Words>
  <Characters>16129</Characters>
  <Application>Microsoft Office Word</Application>
  <DocSecurity>0</DocSecurity>
  <Lines>488</Lines>
  <Paragraphs>241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CAJ/70/</vt:lpstr>
      <vt:lpstr>CAJ/70/</vt:lpstr>
    </vt:vector>
  </TitlesOfParts>
  <Company>UPOV</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37</cp:revision>
  <cp:lastPrinted>2014-09-12T13:24:00Z</cp:lastPrinted>
  <dcterms:created xsi:type="dcterms:W3CDTF">2014-08-25T12:24:00Z</dcterms:created>
  <dcterms:modified xsi:type="dcterms:W3CDTF">2014-09-12T16:23:00Z</dcterms:modified>
</cp:coreProperties>
</file>