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1E064531" wp14:editId="71991BF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992A36" w:rsidP="00AC2883">
            <w:pPr>
              <w:pStyle w:val="Sessiontc"/>
              <w:spacing w:line="240" w:lineRule="auto"/>
            </w:pPr>
            <w:r>
              <w:t>Der Rat</w:t>
            </w:r>
          </w:p>
          <w:p w:rsidR="00EB4E9C" w:rsidRPr="00DC3802" w:rsidRDefault="00992A36" w:rsidP="009F77CF">
            <w:pPr>
              <w:pStyle w:val="Sessiontcplacedate"/>
              <w:rPr>
                <w:sz w:val="22"/>
              </w:rPr>
            </w:pPr>
            <w:r>
              <w:t>Vierunddreißigste außerordentliche Tagung</w:t>
            </w:r>
            <w:r>
              <w:br/>
              <w:t>Genf, 6. April 2017</w:t>
            </w:r>
          </w:p>
        </w:tc>
        <w:tc>
          <w:tcPr>
            <w:tcW w:w="3127" w:type="dxa"/>
          </w:tcPr>
          <w:p w:rsidR="00EB4E9C" w:rsidRPr="003C7FBE" w:rsidRDefault="006A602C" w:rsidP="003C7FBE">
            <w:pPr>
              <w:pStyle w:val="Doccode"/>
            </w:pPr>
            <w:r>
              <w:t>C(Extr.)/34/2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englisch</w:t>
            </w:r>
          </w:p>
          <w:p w:rsidR="00EB4E9C" w:rsidRPr="007C1D92" w:rsidRDefault="00EB4E9C" w:rsidP="00B16EE6">
            <w:pPr>
              <w:pStyle w:val="Docoriginal"/>
            </w:pPr>
            <w:r>
              <w:t>Datum:</w:t>
            </w:r>
            <w:r w:rsidR="00CF4708">
              <w:rPr>
                <w:b w:val="0"/>
                <w:spacing w:val="0"/>
              </w:rPr>
              <w:t xml:space="preserve">  22</w:t>
            </w:r>
            <w:r>
              <w:rPr>
                <w:b w:val="0"/>
                <w:spacing w:val="0"/>
              </w:rPr>
              <w:t>. Februar 2017</w:t>
            </w:r>
          </w:p>
        </w:tc>
      </w:tr>
    </w:tbl>
    <w:p w:rsidR="000D7780" w:rsidRPr="006A644A" w:rsidRDefault="00215CFC" w:rsidP="006A644A">
      <w:pPr>
        <w:pStyle w:val="Titleofdoc0"/>
      </w:pPr>
      <w:bookmarkStart w:id="0" w:name="TitleOfDoc"/>
      <w:bookmarkEnd w:id="0"/>
      <w:r>
        <w:t>Annahme von Dokumenten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:rsidR="005F72F6" w:rsidRPr="00294914" w:rsidRDefault="005F72F6" w:rsidP="005F72F6">
      <w:pPr>
        <w:rPr>
          <w:spacing w:val="-2"/>
        </w:rPr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>
        <w:tab/>
        <w:t>Zweck dieses Dokuments ist es, Informationen zu folgenden Dokumenten zu erteilen, um deren Annahme der Rat auf seiner vierunddreißigsten außerordentlichen Tagung ersucht wird:</w:t>
      </w:r>
    </w:p>
    <w:p w:rsidR="005F72F6" w:rsidRPr="00294914" w:rsidRDefault="005F72F6" w:rsidP="005F72F6"/>
    <w:p w:rsidR="005F72F6" w:rsidRPr="00294914" w:rsidRDefault="005F72F6" w:rsidP="005F72F6">
      <w:pPr>
        <w:ind w:left="567"/>
        <w:rPr>
          <w:bCs/>
          <w:snapToGrid w:val="0"/>
          <w:szCs w:val="24"/>
        </w:rPr>
      </w:pPr>
      <w:r>
        <w:rPr>
          <w:snapToGrid w:val="0"/>
          <w:u w:val="single"/>
        </w:rPr>
        <w:t>Erläuterungen</w:t>
      </w:r>
      <w:r>
        <w:t>:</w:t>
      </w:r>
    </w:p>
    <w:p w:rsidR="005F72F6" w:rsidRPr="00294914" w:rsidRDefault="005F72F6" w:rsidP="005F72F6">
      <w:pPr>
        <w:ind w:left="567"/>
        <w:rPr>
          <w:bCs/>
          <w:snapToGrid w:val="0"/>
          <w:szCs w:val="24"/>
        </w:rPr>
      </w:pPr>
    </w:p>
    <w:p w:rsidR="00624A71" w:rsidRDefault="005F72F6" w:rsidP="005F72F6">
      <w:pPr>
        <w:ind w:left="2552" w:hanging="1985"/>
        <w:jc w:val="left"/>
      </w:pPr>
      <w:r>
        <w:t>UPOV/EXN/EDV/2</w:t>
      </w:r>
      <w:r>
        <w:tab/>
        <w:t xml:space="preserve">Erläuterungen zu den im </w:t>
      </w:r>
      <w:proofErr w:type="gramStart"/>
      <w:r>
        <w:t>wesentlichen</w:t>
      </w:r>
      <w:proofErr w:type="gramEnd"/>
      <w:r>
        <w:t xml:space="preserve"> ab</w:t>
      </w:r>
      <w:r w:rsidR="00CF4708">
        <w:t>geleiteten Sorten nach der Akte von </w:t>
      </w:r>
      <w:r>
        <w:t>1991 des UPOV-Übereinkommens (Ü</w:t>
      </w:r>
      <w:r w:rsidR="00CF4708">
        <w:t>berarbeitung)</w:t>
      </w:r>
    </w:p>
    <w:p w:rsidR="005F72F6" w:rsidRDefault="005F72F6" w:rsidP="00624A71">
      <w:pPr>
        <w:ind w:left="2552"/>
        <w:jc w:val="left"/>
      </w:pPr>
      <w:r>
        <w:t>(Dokument UPOV/EXN/EDV/2 Draft 8)</w:t>
      </w:r>
    </w:p>
    <w:p w:rsidR="005F72F6" w:rsidRDefault="005F72F6" w:rsidP="005F72F6">
      <w:pPr>
        <w:ind w:left="2552" w:hanging="1985"/>
        <w:jc w:val="left"/>
      </w:pPr>
    </w:p>
    <w:p w:rsidR="005F72F6" w:rsidRPr="009549AD" w:rsidRDefault="005F72F6" w:rsidP="005F72F6">
      <w:pPr>
        <w:ind w:left="2552" w:hanging="1985"/>
        <w:jc w:val="left"/>
      </w:pPr>
      <w:r>
        <w:t>UPOV/EXN/PPM/1</w:t>
      </w:r>
      <w:r>
        <w:tab/>
        <w:t>Erläuterungen zu Vermehrungsmaterial nach dem UPOV-Übereinkommen (Dokument UPOV/EXN/PPM/1 Draft 7)</w:t>
      </w:r>
    </w:p>
    <w:p w:rsidR="005F72F6" w:rsidRPr="00294914" w:rsidRDefault="005F72F6" w:rsidP="005F72F6">
      <w:pPr>
        <w:rPr>
          <w:snapToGrid w:val="0"/>
        </w:rPr>
      </w:pPr>
    </w:p>
    <w:p w:rsidR="005F72F6" w:rsidRPr="00294914" w:rsidRDefault="005F72F6" w:rsidP="005F72F6">
      <w:pPr>
        <w:keepNext/>
        <w:ind w:left="567"/>
        <w:rPr>
          <w:bCs/>
          <w:snapToGrid w:val="0"/>
          <w:szCs w:val="24"/>
        </w:rPr>
      </w:pPr>
      <w:r>
        <w:rPr>
          <w:snapToGrid w:val="0"/>
          <w:u w:val="single"/>
        </w:rPr>
        <w:t>Informationsdokumente</w:t>
      </w:r>
      <w:r>
        <w:t>:</w:t>
      </w:r>
    </w:p>
    <w:p w:rsidR="005F72F6" w:rsidRPr="00294914" w:rsidRDefault="005F72F6" w:rsidP="005F72F6">
      <w:pPr>
        <w:keepNext/>
        <w:ind w:left="2268" w:hanging="1701"/>
        <w:rPr>
          <w:bCs/>
          <w:snapToGrid w:val="0"/>
          <w:szCs w:val="24"/>
        </w:rPr>
      </w:pPr>
    </w:p>
    <w:p w:rsidR="00624A71" w:rsidRDefault="005F72F6" w:rsidP="005F72F6">
      <w:pPr>
        <w:ind w:left="2552" w:hanging="1985"/>
        <w:jc w:val="left"/>
      </w:pPr>
      <w:r>
        <w:t>UPOV/INF/6/5</w:t>
      </w:r>
      <w:r>
        <w:tab/>
        <w:t xml:space="preserve">Anleitung zur Ausarbeitung von Rechtsvorschriften aufgrund der Akte von 1991 des UPOV-Übereinkommens (Überarbeitung) </w:t>
      </w:r>
    </w:p>
    <w:p w:rsidR="005F72F6" w:rsidRDefault="005F72F6" w:rsidP="00624A71">
      <w:pPr>
        <w:ind w:left="2552"/>
        <w:jc w:val="left"/>
      </w:pPr>
      <w:r>
        <w:t>(Dokument C(Extr.)/34/2, Anlage)</w:t>
      </w:r>
    </w:p>
    <w:p w:rsidR="005F72F6" w:rsidRDefault="005F72F6" w:rsidP="005F72F6">
      <w:pPr>
        <w:ind w:left="2552" w:hanging="1985"/>
        <w:jc w:val="left"/>
      </w:pPr>
    </w:p>
    <w:p w:rsidR="00624A71" w:rsidRDefault="005F72F6" w:rsidP="005F72F6">
      <w:pPr>
        <w:ind w:left="2552" w:hanging="1985"/>
        <w:jc w:val="left"/>
      </w:pPr>
      <w:r>
        <w:t>UPOV/INF-EXN/10</w:t>
      </w:r>
      <w:r>
        <w:tab/>
        <w:t xml:space="preserve">Liste der UPOV/INF-EXN-Dokumente und Datum der jüngsten Ausgabe (Überarbeitung) </w:t>
      </w:r>
    </w:p>
    <w:p w:rsidR="005F72F6" w:rsidRPr="009549AD" w:rsidRDefault="005F72F6" w:rsidP="00624A71">
      <w:pPr>
        <w:ind w:left="2552"/>
        <w:jc w:val="left"/>
      </w:pPr>
      <w:r>
        <w:t>(Dokument UPOV/INF-EXN/10 Draft 1)</w:t>
      </w:r>
    </w:p>
    <w:p w:rsidR="005F72F6" w:rsidRPr="00294914" w:rsidRDefault="005F72F6" w:rsidP="00584996">
      <w:pPr>
        <w:rPr>
          <w:snapToGrid w:val="0"/>
        </w:rPr>
      </w:pPr>
    </w:p>
    <w:p w:rsidR="005F72F6" w:rsidRPr="00294914" w:rsidRDefault="005F72F6" w:rsidP="005F72F6"/>
    <w:p w:rsidR="005F72F6" w:rsidRPr="00294914" w:rsidRDefault="005F72F6" w:rsidP="005F72F6"/>
    <w:p w:rsidR="005F72F6" w:rsidRPr="00294914" w:rsidRDefault="005F72F6" w:rsidP="005F72F6">
      <w:r>
        <w:t>ERLÄUTERUNGEN</w:t>
      </w:r>
    </w:p>
    <w:p w:rsidR="005F72F6" w:rsidRPr="00294914" w:rsidRDefault="005F72F6" w:rsidP="005F72F6"/>
    <w:p w:rsidR="005F72F6" w:rsidRDefault="005F72F6" w:rsidP="005F72F6">
      <w:pPr>
        <w:pStyle w:val="Heading2"/>
      </w:pPr>
      <w:r>
        <w:t xml:space="preserve">UPOV/EXN/EDV:  Erläuterungen zu den im </w:t>
      </w:r>
      <w:proofErr w:type="gramStart"/>
      <w:r>
        <w:t>wesentlichen</w:t>
      </w:r>
      <w:proofErr w:type="gramEnd"/>
      <w:r>
        <w:t xml:space="preserve"> abgeleiteten Sorten nach der Akte von 1991 des UPOV-Übereinkommens (Überarbeitung) (Dokument UPOV/EXN/EDV/2 </w:t>
      </w:r>
      <w:proofErr w:type="spellStart"/>
      <w:r>
        <w:t>Draft</w:t>
      </w:r>
      <w:proofErr w:type="spellEnd"/>
      <w:r>
        <w:t> 8)</w:t>
      </w:r>
    </w:p>
    <w:p w:rsidR="005F72F6" w:rsidRDefault="005F72F6" w:rsidP="005F72F6"/>
    <w:p w:rsidR="008F58BC" w:rsidRDefault="00D16870" w:rsidP="005F72F6">
      <w:r w:rsidRPr="003C49D6">
        <w:fldChar w:fldCharType="begin"/>
      </w:r>
      <w:r w:rsidRPr="003C49D6">
        <w:instrText xml:space="preserve"> AUTONUM  </w:instrText>
      </w:r>
      <w:r w:rsidRPr="003C49D6">
        <w:fldChar w:fldCharType="end"/>
      </w:r>
      <w:r>
        <w:tab/>
        <w:t>Auf seiner dreiundsiebzigsten Tagung vom 25. Oktober 2016 in Genf vereinbarte der CAJ, die i</w:t>
      </w:r>
      <w:r w:rsidR="00CF4708">
        <w:t>n Dokument UPOV/EXN/EDV/2 </w:t>
      </w:r>
      <w:proofErr w:type="spellStart"/>
      <w:r w:rsidR="00CF4708">
        <w:t>Draft</w:t>
      </w:r>
      <w:proofErr w:type="spellEnd"/>
      <w:r w:rsidR="00CF4708">
        <w:t> </w:t>
      </w:r>
      <w:r>
        <w:t>7 „Erläuterungen zu den im wesentlichen abgeleiteten Sorten nach der Akte von 1991 des UPOV-Übereinkommens (Überarbeitung)“ vorgeschlagenen Änderungen und vereinbarte, daß dem Rat auf seiner vierunddreißigsten außerordentlichen Tagung auf dieser Grundlage ein überarbeiteter Entwurf von Dokument UPOV/EXN/EDV zur Annahme vorgelegt werden soll (vergleiche Dokument CAJ/73/10 „Bericht über die Ents</w:t>
      </w:r>
      <w:r w:rsidR="00624A71">
        <w:t>chließungen“, Absätze 8 und 9).</w:t>
      </w:r>
    </w:p>
    <w:p w:rsidR="008F58BC" w:rsidRDefault="008F58BC" w:rsidP="005F72F6"/>
    <w:p w:rsidR="005F72F6" w:rsidRPr="00B16EE6" w:rsidRDefault="005F72F6" w:rsidP="005F72F6">
      <w:pPr>
        <w:pStyle w:val="DecisionParagraphs"/>
        <w:rPr>
          <w:spacing w:val="-2"/>
        </w:rPr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>
        <w:tab/>
        <w:t xml:space="preserve">Der Rat wird ersucht, auf der Grundlage </w:t>
      </w:r>
      <w:r w:rsidR="00CF4708">
        <w:br/>
      </w:r>
      <w:r>
        <w:t>von Dokument UPOV/EXN/EDV/2</w:t>
      </w:r>
      <w:r w:rsidR="00CF4708">
        <w:t> </w:t>
      </w:r>
      <w:proofErr w:type="spellStart"/>
      <w:r w:rsidR="00CF4708">
        <w:t>Draft</w:t>
      </w:r>
      <w:proofErr w:type="spellEnd"/>
      <w:r w:rsidR="00CF4708">
        <w:t> </w:t>
      </w:r>
      <w:r>
        <w:t>8 eine Überarbeitung von Dokument UPOV/EXN/EDV/1 „Erläuterungen zu den im wesentlichen abgeleiteten Sorten nach der Akte von 1991 des UPOV-Übereinkommens“ (Dokument UPOV/EXN/EDV/2) anzunehmen.</w:t>
      </w:r>
    </w:p>
    <w:p w:rsidR="005F72F6" w:rsidRDefault="005F72F6" w:rsidP="005F72F6"/>
    <w:p w:rsidR="00BD32D8" w:rsidRPr="00294914" w:rsidRDefault="00BD32D8" w:rsidP="005F72F6"/>
    <w:p w:rsidR="005F72F6" w:rsidRPr="00294914" w:rsidRDefault="005F72F6" w:rsidP="005F72F6">
      <w:pPr>
        <w:keepNext/>
        <w:rPr>
          <w:u w:val="single"/>
        </w:rPr>
      </w:pPr>
      <w:r>
        <w:rPr>
          <w:u w:val="single"/>
        </w:rPr>
        <w:lastRenderedPageBreak/>
        <w:t>UPOV/EXN/PPM:  Erläuterungen zu Vermehrungsmaterial nach d</w:t>
      </w:r>
      <w:r w:rsidR="00CF4708">
        <w:rPr>
          <w:u w:val="single"/>
        </w:rPr>
        <w:t>em UPOV-Übereinkommen (Dokument </w:t>
      </w:r>
      <w:r>
        <w:rPr>
          <w:u w:val="single"/>
        </w:rPr>
        <w:t>UPOV/EXN/PPM/1 </w:t>
      </w:r>
      <w:proofErr w:type="spellStart"/>
      <w:r>
        <w:rPr>
          <w:u w:val="single"/>
        </w:rPr>
        <w:t>Draft</w:t>
      </w:r>
      <w:proofErr w:type="spellEnd"/>
      <w:r>
        <w:rPr>
          <w:u w:val="single"/>
        </w:rPr>
        <w:t> 7)</w:t>
      </w:r>
    </w:p>
    <w:p w:rsidR="00BD32D8" w:rsidRDefault="00BD32D8" w:rsidP="00FB0F2B"/>
    <w:p w:rsidR="00BD32D8" w:rsidRDefault="00BD32D8" w:rsidP="00BD32D8">
      <w:r>
        <w:fldChar w:fldCharType="begin"/>
      </w:r>
      <w:r>
        <w:instrText xml:space="preserve"> AUTONUM  </w:instrText>
      </w:r>
      <w:r>
        <w:fldChar w:fldCharType="end"/>
      </w:r>
      <w:r>
        <w:tab/>
        <w:t>Auf seiner dreiundsiebzigsten Tagung vereinbarte der CAJ folgende Änderungen an Dokument UPOV/EXN/PPM/1 Draft 6 „Erläuterungen zu Vermehrungsmaterial nach dem UPOV-Übereinkommen“:</w:t>
      </w:r>
    </w:p>
    <w:p w:rsidR="00BD32D8" w:rsidRPr="00067DA7" w:rsidRDefault="00BD32D8" w:rsidP="00BD32D8">
      <w:pPr>
        <w:rPr>
          <w:highlight w:val="yellow"/>
        </w:rPr>
      </w:pPr>
    </w:p>
    <w:tbl>
      <w:tblPr>
        <w:tblStyle w:val="TableGrid"/>
        <w:tblW w:w="0" w:type="auto"/>
        <w:tblInd w:w="56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32"/>
      </w:tblGrid>
      <w:tr w:rsidR="00BD32D8" w:rsidRPr="004A19D9" w:rsidTr="00940615">
        <w:trPr>
          <w:cantSplit/>
        </w:trPr>
        <w:tc>
          <w:tcPr>
            <w:tcW w:w="8732" w:type="dxa"/>
          </w:tcPr>
          <w:p w:rsidR="00BD32D8" w:rsidRPr="000F0E02" w:rsidRDefault="00BD32D8" w:rsidP="00647813">
            <w:pPr>
              <w:jc w:val="center"/>
              <w:rPr>
                <w:sz w:val="18"/>
                <w:szCs w:val="18"/>
              </w:rPr>
            </w:pPr>
            <w:bookmarkStart w:id="2" w:name="_Toc443307096"/>
            <w:r>
              <w:rPr>
                <w:sz w:val="18"/>
              </w:rPr>
              <w:t xml:space="preserve">„FAKTOREN, DIE IN BEZUG AUF VERMEHRUNGSMATERIAL GEPRÜFT </w:t>
            </w:r>
            <w:r>
              <w:rPr>
                <w:strike/>
                <w:sz w:val="18"/>
              </w:rPr>
              <w:t>WERDEN KÖNNTEN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WORDEN SIND</w:t>
            </w:r>
          </w:p>
          <w:p w:rsidR="00BD32D8" w:rsidRPr="000F0E02" w:rsidRDefault="00BD32D8" w:rsidP="00647813">
            <w:pPr>
              <w:rPr>
                <w:sz w:val="18"/>
                <w:szCs w:val="18"/>
              </w:rPr>
            </w:pPr>
          </w:p>
          <w:bookmarkEnd w:id="2"/>
          <w:p w:rsidR="00BD32D8" w:rsidRPr="000F0E02" w:rsidRDefault="00BD32D8" w:rsidP="00647813">
            <w:pPr>
              <w:rPr>
                <w:sz w:val="18"/>
                <w:szCs w:val="18"/>
              </w:rPr>
            </w:pPr>
            <w:r>
              <w:rPr>
                <w:sz w:val="18"/>
              </w:rPr>
              <w:t>„Das UPOV-Übereinkommen enthält keine Begriffsbestimmung für ‘Vermehrungsmaterial’</w:t>
            </w:r>
            <w:r w:rsidR="00624A71">
              <w:rPr>
                <w:sz w:val="18"/>
              </w:rPr>
              <w:t xml:space="preserve">. </w:t>
            </w:r>
            <w:r>
              <w:rPr>
                <w:sz w:val="18"/>
              </w:rPr>
              <w:t>Vermehrungsmaterial umfaßt reproduktives und vegetatives Vermehrungsmaterial</w:t>
            </w:r>
            <w:r w:rsidR="00624A71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Folgende sind nicht erschöpfende Beispiele für Faktoren, die von Verbandsmitgliedern in Bezug darauf, ob Material Vermehrungsmaterial ist, geprüft wurden:  </w:t>
            </w:r>
            <w:r>
              <w:rPr>
                <w:sz w:val="18"/>
                <w:u w:val="single"/>
              </w:rPr>
              <w:t>Diese Faktoren sollten im Kontext jedes Verbandsmitglieds und den besonderen Umständen geprüft werden</w:t>
            </w:r>
            <w:r>
              <w:rPr>
                <w:sz w:val="18"/>
              </w:rPr>
              <w:t>.</w:t>
            </w:r>
          </w:p>
          <w:p w:rsidR="00BD32D8" w:rsidRPr="000F0E02" w:rsidRDefault="00BD32D8" w:rsidP="00647813">
            <w:pPr>
              <w:rPr>
                <w:sz w:val="18"/>
                <w:szCs w:val="18"/>
              </w:rPr>
            </w:pPr>
          </w:p>
          <w:p w:rsidR="00BD32D8" w:rsidRPr="000F0E02" w:rsidRDefault="00BD32D8" w:rsidP="00647813">
            <w:pPr>
              <w:ind w:left="567"/>
              <w:rPr>
                <w:sz w:val="18"/>
                <w:szCs w:val="18"/>
              </w:rPr>
            </w:pPr>
            <w:r>
              <w:rPr>
                <w:sz w:val="18"/>
              </w:rPr>
              <w:t>[…]</w:t>
            </w:r>
          </w:p>
          <w:p w:rsidR="00BD32D8" w:rsidRPr="000F0E02" w:rsidRDefault="00BD32D8" w:rsidP="00647813">
            <w:pPr>
              <w:ind w:left="567"/>
              <w:rPr>
                <w:sz w:val="18"/>
                <w:szCs w:val="18"/>
              </w:rPr>
            </w:pPr>
          </w:p>
          <w:p w:rsidR="00BD32D8" w:rsidRPr="00624A71" w:rsidRDefault="00BD32D8" w:rsidP="00647813">
            <w:pPr>
              <w:ind w:left="567"/>
              <w:rPr>
                <w:sz w:val="18"/>
                <w:szCs w:val="18"/>
              </w:rPr>
            </w:pPr>
            <w:r>
              <w:t>ii)</w:t>
            </w:r>
            <w:r>
              <w:tab/>
            </w:r>
            <w:r w:rsidRPr="00624A71">
              <w:rPr>
                <w:sz w:val="18"/>
                <w:szCs w:val="18"/>
              </w:rPr>
              <w:t xml:space="preserve">ob das Material zur Vermehrung der Sorte verwendet wurde </w:t>
            </w:r>
            <w:r w:rsidRPr="00624A71">
              <w:rPr>
                <w:sz w:val="18"/>
                <w:szCs w:val="18"/>
                <w:u w:val="single"/>
              </w:rPr>
              <w:t>oder werden könnte</w:t>
            </w:r>
            <w:r w:rsidRPr="00624A71">
              <w:rPr>
                <w:sz w:val="18"/>
                <w:szCs w:val="18"/>
              </w:rPr>
              <w:t>;</w:t>
            </w:r>
          </w:p>
          <w:p w:rsidR="00BD32D8" w:rsidRPr="00624A71" w:rsidRDefault="00BD32D8" w:rsidP="00647813">
            <w:pPr>
              <w:ind w:left="567"/>
              <w:rPr>
                <w:sz w:val="18"/>
                <w:szCs w:val="18"/>
              </w:rPr>
            </w:pPr>
          </w:p>
          <w:p w:rsidR="00BD32D8" w:rsidRPr="00624A71" w:rsidRDefault="00BD32D8" w:rsidP="00647813">
            <w:pPr>
              <w:ind w:left="1134" w:hanging="567"/>
              <w:rPr>
                <w:sz w:val="18"/>
                <w:szCs w:val="18"/>
              </w:rPr>
            </w:pPr>
            <w:r w:rsidRPr="00624A71">
              <w:rPr>
                <w:sz w:val="18"/>
                <w:szCs w:val="18"/>
              </w:rPr>
              <w:t>iii)</w:t>
            </w:r>
            <w:r w:rsidRPr="00624A71">
              <w:rPr>
                <w:sz w:val="18"/>
                <w:szCs w:val="18"/>
              </w:rPr>
              <w:tab/>
              <w:t xml:space="preserve">ob das Material zur Erzeugung ganzer Pflanzen der Sorte in der Lage ist  </w:t>
            </w:r>
            <w:r w:rsidRPr="00624A71">
              <w:rPr>
                <w:strike/>
                <w:sz w:val="18"/>
                <w:szCs w:val="18"/>
              </w:rPr>
              <w:t>und tatsächlich zu Vermehrungszwecken verwendet wird</w:t>
            </w:r>
            <w:r w:rsidRPr="00624A71">
              <w:rPr>
                <w:sz w:val="18"/>
                <w:szCs w:val="18"/>
              </w:rPr>
              <w:t>;</w:t>
            </w:r>
          </w:p>
          <w:p w:rsidR="00BD32D8" w:rsidRPr="000F0E02" w:rsidRDefault="00BD32D8" w:rsidP="00647813">
            <w:pPr>
              <w:ind w:left="567"/>
              <w:rPr>
                <w:sz w:val="18"/>
                <w:szCs w:val="18"/>
              </w:rPr>
            </w:pPr>
            <w:r>
              <w:rPr>
                <w:sz w:val="18"/>
              </w:rPr>
              <w:t>[…]”</w:t>
            </w:r>
          </w:p>
          <w:p w:rsidR="00BD32D8" w:rsidRPr="000F0E02" w:rsidRDefault="00BD32D8" w:rsidP="00647813">
            <w:pPr>
              <w:ind w:left="567"/>
              <w:rPr>
                <w:sz w:val="18"/>
                <w:szCs w:val="18"/>
              </w:rPr>
            </w:pPr>
          </w:p>
          <w:p w:rsidR="00BD32D8" w:rsidRPr="000F0E02" w:rsidRDefault="00BD32D8" w:rsidP="00647813">
            <w:pPr>
              <w:keepNext/>
              <w:rPr>
                <w:i/>
                <w:sz w:val="18"/>
                <w:szCs w:val="18"/>
              </w:rPr>
            </w:pPr>
            <w:r>
              <w:rPr>
                <w:sz w:val="18"/>
                <w:u w:val="single"/>
              </w:rPr>
              <w:t xml:space="preserve">UPOV veranstaltete am 24. Oktober 2016 in Genf ein „Seminar über Vermehrungs- und Erntematerial im Zusammenhang mit dem UPOV-Übereinkommen“. </w:t>
            </w:r>
            <w:r>
              <w:rPr>
                <w:u w:val="single"/>
              </w:rPr>
              <w:t>Die Ergebnisse des Seminars sind zu finden unter</w:t>
            </w:r>
            <w:r>
              <w:t xml:space="preserve"> </w:t>
            </w:r>
            <w:hyperlink r:id="rId8">
              <w:r>
                <w:rPr>
                  <w:rStyle w:val="Hyperlink"/>
                  <w:sz w:val="18"/>
                </w:rPr>
                <w:t>http://www.upov.int/meetings/en/topic.jsp?group_id=73</w:t>
              </w:r>
            </w:hyperlink>
          </w:p>
        </w:tc>
      </w:tr>
    </w:tbl>
    <w:p w:rsidR="00BD32D8" w:rsidRDefault="00BD32D8" w:rsidP="00BD32D8">
      <w:pPr>
        <w:rPr>
          <w:snapToGrid w:val="0"/>
        </w:rPr>
      </w:pPr>
    </w:p>
    <w:p w:rsidR="00BD32D8" w:rsidRDefault="00BD32D8" w:rsidP="00BD32D8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tab/>
        <w:t>Der CAJ vereinbarte, daß dem Rat auf seiner vierunddreißigsten außerordentlichen Tagung vorbehaltlich der Änderungen in Absatz 4 oben auf der Grundlage von Dokument UPOV/EXN/PPM/1 Draft 6 (Dokument UPOV/EXN/PPM/1) ein Entwurf der „Erläuterungen zu Vermehrungsmaterial nach dem UPOV-Übereinkommen“ zur Annahme vorgelegt werden soll (vergleiche Dokument CAJ/73/10 „Bericht über die Entsch</w:t>
      </w:r>
      <w:r w:rsidR="00624A71">
        <w:t>ließungen“, Absätze 15 bis 18).</w:t>
      </w:r>
    </w:p>
    <w:p w:rsidR="00BD32D8" w:rsidRDefault="00BD32D8" w:rsidP="00FB0F2B"/>
    <w:p w:rsidR="005F72F6" w:rsidRPr="00294914" w:rsidRDefault="005F72F6" w:rsidP="005F72F6">
      <w:pPr>
        <w:pStyle w:val="DecisionParagraphs"/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>
        <w:tab/>
        <w:t>Der Rat wird ersucht, Dokument UPOV/EXN/PPM/1 „Erläuterungen zu Vermehrungs</w:t>
      </w:r>
      <w:r w:rsidR="00CF4708">
        <w:t>-</w:t>
      </w:r>
      <w:r>
        <w:t>material nach dem UPOV-Übereinkommen“ auf der Grundlage vo</w:t>
      </w:r>
      <w:r w:rsidR="00CF4708">
        <w:t>n Dokument UPOV/EXN/PPM/1 </w:t>
      </w:r>
      <w:proofErr w:type="spellStart"/>
      <w:r w:rsidR="00CF4708">
        <w:t>Draft</w:t>
      </w:r>
      <w:proofErr w:type="spellEnd"/>
      <w:r w:rsidR="00CF4708">
        <w:t> </w:t>
      </w:r>
      <w:r>
        <w:t>7 anzunehmen.</w:t>
      </w:r>
    </w:p>
    <w:p w:rsidR="005F72F6" w:rsidRPr="00294914" w:rsidRDefault="005F72F6" w:rsidP="005F72F6"/>
    <w:p w:rsidR="005F72F6" w:rsidRPr="00294914" w:rsidRDefault="005F72F6" w:rsidP="005F72F6"/>
    <w:p w:rsidR="005F72F6" w:rsidRPr="00294914" w:rsidRDefault="005F72F6" w:rsidP="005F72F6"/>
    <w:p w:rsidR="005F72F6" w:rsidRPr="00294914" w:rsidRDefault="005F72F6" w:rsidP="005F72F6">
      <w:pPr>
        <w:keepNext/>
        <w:tabs>
          <w:tab w:val="left" w:pos="567"/>
        </w:tabs>
        <w:ind w:left="567" w:hanging="567"/>
      </w:pPr>
      <w:r>
        <w:t>INFORMATIONSDOKUMENTE</w:t>
      </w:r>
    </w:p>
    <w:p w:rsidR="005F72F6" w:rsidRPr="00294914" w:rsidRDefault="005F72F6" w:rsidP="005F72F6">
      <w:pPr>
        <w:keepNext/>
      </w:pPr>
    </w:p>
    <w:p w:rsidR="005F72F6" w:rsidRPr="00294914" w:rsidRDefault="005F72F6" w:rsidP="005F72F6">
      <w:r>
        <w:rPr>
          <w:u w:val="single"/>
        </w:rPr>
        <w:t>UPOV/INF/6:  Anleitung zur Ausarbeitung von Rechtsvorschriften aufgrund der Akte von 1991 des UPOV-Übereinkommens (Überarbeitung) (Dokument C(Extr.)/34/2, Anlage)</w:t>
      </w:r>
    </w:p>
    <w:p w:rsidR="005F72F6" w:rsidRDefault="005F72F6" w:rsidP="005F72F6"/>
    <w:p w:rsidR="00CE1C67" w:rsidRPr="00294914" w:rsidRDefault="00CE1C67" w:rsidP="00CE1C67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>
        <w:tab/>
        <w:t>Dokument UPOV/INF/6, Teil II „Anmerkungen aufgrund von Informationsmaterial zu bestimmten Artikeln der Akte von 1991 des UPOV-Übereinkommens“ enthält Auszüge aus Erläuterungen.</w:t>
      </w:r>
    </w:p>
    <w:p w:rsidR="00CE1C67" w:rsidRPr="00294914" w:rsidRDefault="00CE1C67" w:rsidP="00CE1C67"/>
    <w:p w:rsidR="00B43064" w:rsidRDefault="00CE1C67" w:rsidP="005F72F6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>
        <w:tab/>
        <w:t>In Verbindung mit den Erläuterungen, um deren Annahme der Rat auf seiner vierunddreißigsten außerordentlichen Tagung ersucht werden wird (vergleiche Abschnitt „Erläuterungen“, Absätze 2 bis 5) wird vorgeschlagen, auf der Grundlage der vorgeschlagenen Änderungen an Dokument UPOV/INF/6/4, wie in der Anlage dieses Dokuments dargelegt, eine Überarbeitung von Dokument UPOV/INF/6 „Anleitung zur Ausarbeitung von Rechtsvorschriften aufgrund der Akte von 1991 des UPOV-Übereinkommens“ anzunehmen.</w:t>
      </w:r>
    </w:p>
    <w:p w:rsidR="00CE1C67" w:rsidRDefault="00CE1C67" w:rsidP="005F72F6"/>
    <w:p w:rsidR="005F72F6" w:rsidRPr="00294914" w:rsidRDefault="005F72F6" w:rsidP="005F72F6">
      <w:pPr>
        <w:pStyle w:val="DecisionParagraphs"/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>
        <w:tab/>
        <w:t xml:space="preserve">Der Rat wird ersucht, eine Überarbeitung von Dokument UPOV/INF/6 „Anleitung zur Ausarbeitung von Rechtsvorschriften aufgrund der Akte von 1991 des UPOV-Übereinkommens“ (Dokument UPOV/INF/6/5) auf der Grundlage der an Dokument </w:t>
      </w:r>
      <w:r>
        <w:lastRenderedPageBreak/>
        <w:t xml:space="preserve">UPOV/INF/6/4 vorgeschlagenen Änderungen, wie in </w:t>
      </w:r>
      <w:r w:rsidR="00CF4708">
        <w:t xml:space="preserve">der </w:t>
      </w:r>
      <w:r>
        <w:t>Anlage dieses Dokuments dargelegt, anzunehmen.</w:t>
      </w:r>
    </w:p>
    <w:p w:rsidR="005F72F6" w:rsidRPr="00CF4708" w:rsidRDefault="005F72F6" w:rsidP="00CF4708">
      <w:pPr>
        <w:rPr>
          <w:u w:val="single"/>
        </w:rPr>
      </w:pPr>
      <w:r w:rsidRPr="00CF4708">
        <w:rPr>
          <w:u w:val="single"/>
        </w:rPr>
        <w:t xml:space="preserve">UPOV/INF-EXN:  </w:t>
      </w:r>
      <w:r w:rsidR="00CF4708">
        <w:rPr>
          <w:u w:val="single"/>
        </w:rPr>
        <w:t>Liste der UPOV/INF-</w:t>
      </w:r>
      <w:r w:rsidRPr="00CF4708">
        <w:rPr>
          <w:u w:val="single"/>
        </w:rPr>
        <w:t>EXN-Dokumente und Datum</w:t>
      </w:r>
      <w:r w:rsidR="00CF4708">
        <w:rPr>
          <w:u w:val="single"/>
        </w:rPr>
        <w:t xml:space="preserve"> der jüngsten Ausgabe (Dokument </w:t>
      </w:r>
      <w:r w:rsidRPr="00CF4708">
        <w:rPr>
          <w:u w:val="single"/>
        </w:rPr>
        <w:t>UPOV/INF</w:t>
      </w:r>
      <w:r w:rsidRPr="00CF4708">
        <w:rPr>
          <w:u w:val="single"/>
        </w:rPr>
        <w:noBreakHyphen/>
        <w:t>EXN/10 </w:t>
      </w:r>
      <w:proofErr w:type="spellStart"/>
      <w:r w:rsidRPr="00CF4708">
        <w:rPr>
          <w:u w:val="single"/>
        </w:rPr>
        <w:t>Draft</w:t>
      </w:r>
      <w:proofErr w:type="spellEnd"/>
      <w:r w:rsidRPr="00CF4708">
        <w:rPr>
          <w:u w:val="single"/>
        </w:rPr>
        <w:t> 1)</w:t>
      </w:r>
    </w:p>
    <w:p w:rsidR="005F72F6" w:rsidRPr="00294914" w:rsidRDefault="005F72F6" w:rsidP="005F72F6">
      <w:pPr>
        <w:keepNext/>
      </w:pPr>
    </w:p>
    <w:p w:rsidR="005F72F6" w:rsidRPr="00294914" w:rsidRDefault="005F72F6" w:rsidP="005F72F6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>
        <w:tab/>
        <w:t>In Verbindung mit den Erläuterungen und den Informationsdokumenten, um deren Annahme der Rat auf seiner vierunddreißigsten außerordentlichen Tagung ersucht werden wird, wird die Annahme einer Überarbeitung von Dokument UPOV/INF</w:t>
      </w:r>
      <w:r>
        <w:noBreakHyphen/>
        <w:t>EXN/9 „Liste der UPOV/INF</w:t>
      </w:r>
      <w:r>
        <w:noBreakHyphen/>
        <w:t>EXN-Dokumente und Datum der jüngsten Ausgabe“ auf der Grundlage von Dokument UPOV/INF</w:t>
      </w:r>
      <w:r>
        <w:noBreakHyphen/>
        <w:t>EXN/10 Draft 1 vorgeschlagen.</w:t>
      </w:r>
    </w:p>
    <w:p w:rsidR="005F72F6" w:rsidRPr="00294914" w:rsidRDefault="005F72F6" w:rsidP="005F72F6"/>
    <w:p w:rsidR="005F72F6" w:rsidRPr="00294914" w:rsidRDefault="005F72F6" w:rsidP="005F72F6">
      <w:pPr>
        <w:pStyle w:val="DecisionParagraphs"/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>
        <w:tab/>
        <w:t>Der Rat wird ersucht, eine Überarbeitung von Dokument UPOV/INF-EXN/9 „Liste der INF-EXN-Dokumente und Datum der jüngsten Ausgabe“ (Dokument UPOV/INF</w:t>
      </w:r>
      <w:r>
        <w:noBreakHyphen/>
        <w:t>EXN/10) auf der Grundla</w:t>
      </w:r>
      <w:r w:rsidR="00CF4708">
        <w:t>ge von Dokument UPOV/INF-EXN/10 </w:t>
      </w:r>
      <w:proofErr w:type="spellStart"/>
      <w:r w:rsidR="00CF4708">
        <w:t>Draft</w:t>
      </w:r>
      <w:proofErr w:type="spellEnd"/>
      <w:r w:rsidR="00CF4708">
        <w:t> </w:t>
      </w:r>
      <w:r>
        <w:t>1 anzunehmen.</w:t>
      </w:r>
    </w:p>
    <w:p w:rsidR="005F72F6" w:rsidRPr="00294914" w:rsidRDefault="005F72F6" w:rsidP="005F72F6">
      <w:pPr>
        <w:rPr>
          <w:snapToGrid w:val="0"/>
        </w:rPr>
      </w:pPr>
    </w:p>
    <w:p w:rsidR="005F72F6" w:rsidRPr="00294914" w:rsidRDefault="005F72F6" w:rsidP="005F72F6">
      <w:pPr>
        <w:rPr>
          <w:snapToGrid w:val="0"/>
        </w:rPr>
      </w:pPr>
    </w:p>
    <w:p w:rsidR="005F72F6" w:rsidRPr="00294914" w:rsidRDefault="005F72F6" w:rsidP="005F72F6">
      <w:pPr>
        <w:tabs>
          <w:tab w:val="left" w:pos="1701"/>
        </w:tabs>
        <w:rPr>
          <w:spacing w:val="-2"/>
          <w:szCs w:val="24"/>
          <w:u w:val="single"/>
        </w:rPr>
      </w:pPr>
    </w:p>
    <w:p w:rsidR="005F72F6" w:rsidRPr="00294914" w:rsidRDefault="005F72F6" w:rsidP="005F72F6">
      <w:pPr>
        <w:jc w:val="right"/>
      </w:pPr>
      <w:r>
        <w:t>[Anlage folgt]</w:t>
      </w:r>
    </w:p>
    <w:p w:rsidR="00050E16" w:rsidRPr="00C651CE" w:rsidRDefault="00050E16" w:rsidP="00050E16"/>
    <w:p w:rsidR="00584996" w:rsidRDefault="00584996">
      <w:pPr>
        <w:jc w:val="left"/>
        <w:sectPr w:rsidR="00584996" w:rsidSect="00906DDC">
          <w:headerReference w:type="default" r:id="rId9"/>
          <w:footerReference w:type="firs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C2C7E" w:rsidRDefault="00127FE8" w:rsidP="00127FE8">
      <w:pPr>
        <w:jc w:val="center"/>
      </w:pPr>
      <w:r>
        <w:t>C(Extr.)/34/2</w:t>
      </w:r>
    </w:p>
    <w:p w:rsidR="00127FE8" w:rsidRDefault="00127FE8" w:rsidP="00127FE8">
      <w:pPr>
        <w:jc w:val="center"/>
      </w:pPr>
    </w:p>
    <w:p w:rsidR="00127FE8" w:rsidRDefault="00127FE8" w:rsidP="00127FE8">
      <w:pPr>
        <w:jc w:val="center"/>
      </w:pPr>
    </w:p>
    <w:p w:rsidR="00127FE8" w:rsidRDefault="00127FE8" w:rsidP="00127FE8">
      <w:pPr>
        <w:jc w:val="center"/>
      </w:pPr>
      <w:r>
        <w:t>ANLAGE</w:t>
      </w:r>
    </w:p>
    <w:p w:rsidR="00127FE8" w:rsidRDefault="00127FE8" w:rsidP="00127FE8">
      <w:pPr>
        <w:jc w:val="center"/>
      </w:pPr>
    </w:p>
    <w:p w:rsidR="00127FE8" w:rsidRPr="00294914" w:rsidRDefault="00127FE8" w:rsidP="00127FE8">
      <w:pPr>
        <w:jc w:val="center"/>
      </w:pPr>
      <w:r>
        <w:t>VORGESCHLAGENE ÄNDERUNGEN AN DOKUMENT UPOV/INF/6/4 „ANLEITUNG ZUR AUSARBEITUNG VON RECHTSVORSCHRIFTEN AUFG</w:t>
      </w:r>
      <w:r w:rsidR="009A3DDF">
        <w:t>RUND DER AKTE VON 1991 DES UPOV</w:t>
      </w:r>
      <w:r w:rsidR="009A3DDF">
        <w:noBreakHyphen/>
      </w:r>
      <w:r>
        <w:t>ÜBEREINKOMMENS (DOKUMENT UPOV/INF/6/5)</w:t>
      </w:r>
    </w:p>
    <w:p w:rsidR="00127FE8" w:rsidRPr="00294914" w:rsidRDefault="00127FE8" w:rsidP="00127FE8"/>
    <w:p w:rsidR="00127FE8" w:rsidRDefault="00127FE8" w:rsidP="00127FE8"/>
    <w:p w:rsidR="00127FE8" w:rsidRPr="00294914" w:rsidRDefault="00127FE8" w:rsidP="00127FE8"/>
    <w:p w:rsidR="00127FE8" w:rsidRPr="00294914" w:rsidRDefault="004C03C6" w:rsidP="00127FE8">
      <w:pPr>
        <w:rPr>
          <w:u w:val="single"/>
        </w:rPr>
      </w:pPr>
      <w:r>
        <w:rPr>
          <w:u w:val="single"/>
        </w:rPr>
        <w:t>ANMERK</w:t>
      </w:r>
      <w:r w:rsidR="00127FE8">
        <w:rPr>
          <w:u w:val="single"/>
        </w:rPr>
        <w:t xml:space="preserve">UNGEN ZU ARTIKEL 14 </w:t>
      </w:r>
      <w:r w:rsidR="009A3DDF">
        <w:rPr>
          <w:u w:val="single"/>
        </w:rPr>
        <w:t xml:space="preserve"> </w:t>
      </w:r>
      <w:r w:rsidR="00127FE8">
        <w:rPr>
          <w:u w:val="single"/>
        </w:rPr>
        <w:t>INHALT DES ZÜCHTERRECHTS</w:t>
      </w:r>
    </w:p>
    <w:p w:rsidR="00127FE8" w:rsidRPr="00294914" w:rsidRDefault="00127FE8" w:rsidP="00127FE8"/>
    <w:p w:rsidR="00127FE8" w:rsidRPr="00294914" w:rsidRDefault="00127FE8" w:rsidP="00127FE8">
      <w:r>
        <w:t>Vorbehaltlich der Billigung durch den Rat auf seiner vierunddreißigsten außerordentlichen Tagung, der Überarbeitung von Dokument UPOV/EXN/EDV/1 „Erläuterungen zu den im wesentlichen abgeleiteten Sorten nach der Akte von 1991 des UPOV-Übereinkommens“ (dargelegt in Dokument UPOV/EXN/EDV/2 Draft 8) und Dokument UPOV/EXN/PPM/1 „Erläuterungen zu Vermehrungsmaterial nach dem UPOV-Übereinkommen“ (dargelegt in Dokument UPOV/EXN/PPM/1 Draft 7) ist der Wortlaut von „AN</w:t>
      </w:r>
      <w:r w:rsidR="004C03C6">
        <w:t>MERKUNGEN ZU ARTIKEL 14“ anhand des</w:t>
      </w:r>
      <w:r>
        <w:t xml:space="preserve"> neuen Wortlaut</w:t>
      </w:r>
      <w:r w:rsidR="004C03C6">
        <w:t>s</w:t>
      </w:r>
      <w:r>
        <w:t xml:space="preserve"> der Dokumente UPOV/EXN/EDV/2 und UPOV/EXN/PPM/1 zu aktualisieren.</w:t>
      </w:r>
    </w:p>
    <w:p w:rsidR="00127FE8" w:rsidRPr="00294914" w:rsidRDefault="00127FE8" w:rsidP="00127FE8">
      <w:bookmarkStart w:id="3" w:name="_GoBack"/>
      <w:bookmarkEnd w:id="3"/>
    </w:p>
    <w:p w:rsidR="00127FE8" w:rsidRPr="00294914" w:rsidRDefault="00127FE8" w:rsidP="00127FE8"/>
    <w:p w:rsidR="00127FE8" w:rsidRPr="00294914" w:rsidRDefault="00127FE8" w:rsidP="00127FE8"/>
    <w:p w:rsidR="00050E16" w:rsidRPr="00C5280D" w:rsidRDefault="00B52A57" w:rsidP="00B52A57">
      <w:pPr>
        <w:jc w:val="right"/>
      </w:pPr>
      <w:r>
        <w:t>[Ende der Anlage und des Dokuments]</w:t>
      </w:r>
    </w:p>
    <w:sectPr w:rsidR="00050E16" w:rsidRPr="00C5280D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4E" w:rsidRDefault="009C1C4E" w:rsidP="006655D3">
      <w:r>
        <w:separator/>
      </w:r>
    </w:p>
    <w:p w:rsidR="009C1C4E" w:rsidRDefault="009C1C4E" w:rsidP="006655D3"/>
    <w:p w:rsidR="009C1C4E" w:rsidRDefault="009C1C4E" w:rsidP="006655D3"/>
  </w:endnote>
  <w:endnote w:type="continuationSeparator" w:id="0">
    <w:p w:rsidR="009C1C4E" w:rsidRDefault="009C1C4E" w:rsidP="006655D3">
      <w:r>
        <w:separator/>
      </w:r>
    </w:p>
    <w:p w:rsidR="009C1C4E" w:rsidRPr="00294751" w:rsidRDefault="009C1C4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C1C4E" w:rsidRPr="00294751" w:rsidRDefault="009C1C4E" w:rsidP="006655D3">
      <w:pPr>
        <w:rPr>
          <w:lang w:val="fr-FR"/>
        </w:rPr>
      </w:pPr>
    </w:p>
    <w:p w:rsidR="009C1C4E" w:rsidRPr="00294751" w:rsidRDefault="009C1C4E" w:rsidP="006655D3">
      <w:pPr>
        <w:rPr>
          <w:lang w:val="fr-FR"/>
        </w:rPr>
      </w:pPr>
    </w:p>
  </w:endnote>
  <w:endnote w:type="continuationNotice" w:id="1">
    <w:p w:rsidR="009C1C4E" w:rsidRPr="00294751" w:rsidRDefault="009C1C4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C1C4E" w:rsidRPr="00294751" w:rsidRDefault="009C1C4E" w:rsidP="006655D3">
      <w:pPr>
        <w:rPr>
          <w:lang w:val="fr-FR"/>
        </w:rPr>
      </w:pPr>
    </w:p>
    <w:p w:rsidR="009C1C4E" w:rsidRPr="00294751" w:rsidRDefault="009C1C4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9B" w:rsidRPr="00863B9B" w:rsidRDefault="00863B9B" w:rsidP="00863B9B">
    <w:pPr>
      <w:tabs>
        <w:tab w:val="left" w:pos="2835"/>
      </w:tabs>
      <w:spacing w:after="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4E" w:rsidRDefault="009C1C4E" w:rsidP="006655D3">
      <w:r>
        <w:separator/>
      </w:r>
    </w:p>
  </w:footnote>
  <w:footnote w:type="continuationSeparator" w:id="0">
    <w:p w:rsidR="009C1C4E" w:rsidRDefault="009C1C4E" w:rsidP="006655D3">
      <w:r>
        <w:separator/>
      </w:r>
    </w:p>
  </w:footnote>
  <w:footnote w:type="continuationNotice" w:id="1">
    <w:p w:rsidR="009C1C4E" w:rsidRPr="00AB530F" w:rsidRDefault="009C1C4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03264" w:rsidP="00EB048E">
    <w:pPr>
      <w:pStyle w:val="Header"/>
      <w:rPr>
        <w:rStyle w:val="PageNumber"/>
      </w:rPr>
    </w:pPr>
    <w:r>
      <w:rPr>
        <w:rStyle w:val="PageNumber"/>
      </w:rPr>
      <w:t>C(Extr.)/34/2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F26993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1"/>
    <w:rsid w:val="00010CF3"/>
    <w:rsid w:val="0001141D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489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7FE8"/>
    <w:rsid w:val="00141DB8"/>
    <w:rsid w:val="00172084"/>
    <w:rsid w:val="0017474A"/>
    <w:rsid w:val="001758C6"/>
    <w:rsid w:val="00182B99"/>
    <w:rsid w:val="001A381F"/>
    <w:rsid w:val="001C1525"/>
    <w:rsid w:val="001C2FED"/>
    <w:rsid w:val="001C5A08"/>
    <w:rsid w:val="001D39E7"/>
    <w:rsid w:val="0021332C"/>
    <w:rsid w:val="00213982"/>
    <w:rsid w:val="00215CFC"/>
    <w:rsid w:val="002229EB"/>
    <w:rsid w:val="0024416D"/>
    <w:rsid w:val="0024553E"/>
    <w:rsid w:val="00271911"/>
    <w:rsid w:val="002800A0"/>
    <w:rsid w:val="002801B3"/>
    <w:rsid w:val="00281060"/>
    <w:rsid w:val="00293B23"/>
    <w:rsid w:val="002940E8"/>
    <w:rsid w:val="00294751"/>
    <w:rsid w:val="002A6E50"/>
    <w:rsid w:val="002B4298"/>
    <w:rsid w:val="002C256A"/>
    <w:rsid w:val="002C544D"/>
    <w:rsid w:val="00305A7F"/>
    <w:rsid w:val="003152FE"/>
    <w:rsid w:val="00327436"/>
    <w:rsid w:val="00342E8C"/>
    <w:rsid w:val="00344BD6"/>
    <w:rsid w:val="0035528D"/>
    <w:rsid w:val="00361821"/>
    <w:rsid w:val="00361E9E"/>
    <w:rsid w:val="0039489A"/>
    <w:rsid w:val="003C49D6"/>
    <w:rsid w:val="003C7FBE"/>
    <w:rsid w:val="003D227C"/>
    <w:rsid w:val="003D2B4D"/>
    <w:rsid w:val="00444A88"/>
    <w:rsid w:val="00462EDD"/>
    <w:rsid w:val="00474DA4"/>
    <w:rsid w:val="00476B4D"/>
    <w:rsid w:val="004805FA"/>
    <w:rsid w:val="004864A9"/>
    <w:rsid w:val="004935D2"/>
    <w:rsid w:val="004B1215"/>
    <w:rsid w:val="004C03C6"/>
    <w:rsid w:val="004C135F"/>
    <w:rsid w:val="004D047D"/>
    <w:rsid w:val="004F1E9E"/>
    <w:rsid w:val="004F305A"/>
    <w:rsid w:val="00512164"/>
    <w:rsid w:val="00520297"/>
    <w:rsid w:val="005338F9"/>
    <w:rsid w:val="0054281C"/>
    <w:rsid w:val="00544581"/>
    <w:rsid w:val="005471B4"/>
    <w:rsid w:val="0055268D"/>
    <w:rsid w:val="00576BE4"/>
    <w:rsid w:val="00584996"/>
    <w:rsid w:val="005A400A"/>
    <w:rsid w:val="005C7835"/>
    <w:rsid w:val="005F72F6"/>
    <w:rsid w:val="005F7B92"/>
    <w:rsid w:val="00612379"/>
    <w:rsid w:val="006153B6"/>
    <w:rsid w:val="0061555F"/>
    <w:rsid w:val="00624A71"/>
    <w:rsid w:val="00636CA6"/>
    <w:rsid w:val="00641200"/>
    <w:rsid w:val="00645CA8"/>
    <w:rsid w:val="006655D3"/>
    <w:rsid w:val="00667404"/>
    <w:rsid w:val="00687EB4"/>
    <w:rsid w:val="00695C56"/>
    <w:rsid w:val="006A5CDE"/>
    <w:rsid w:val="006A602C"/>
    <w:rsid w:val="006A644A"/>
    <w:rsid w:val="006B17D2"/>
    <w:rsid w:val="006C224E"/>
    <w:rsid w:val="006C2C7E"/>
    <w:rsid w:val="006D780A"/>
    <w:rsid w:val="006F7888"/>
    <w:rsid w:val="0071271E"/>
    <w:rsid w:val="00732DEC"/>
    <w:rsid w:val="00735BD5"/>
    <w:rsid w:val="00751613"/>
    <w:rsid w:val="00753963"/>
    <w:rsid w:val="007556F6"/>
    <w:rsid w:val="00760EEF"/>
    <w:rsid w:val="00777EE5"/>
    <w:rsid w:val="00784836"/>
    <w:rsid w:val="0079023E"/>
    <w:rsid w:val="007A2854"/>
    <w:rsid w:val="007C1D92"/>
    <w:rsid w:val="007C4CB9"/>
    <w:rsid w:val="007D07BB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3B9B"/>
    <w:rsid w:val="00867AC1"/>
    <w:rsid w:val="00890DF8"/>
    <w:rsid w:val="008A743F"/>
    <w:rsid w:val="008C0970"/>
    <w:rsid w:val="008D0BC5"/>
    <w:rsid w:val="008D1F37"/>
    <w:rsid w:val="008D2CF7"/>
    <w:rsid w:val="008F58BC"/>
    <w:rsid w:val="00900C26"/>
    <w:rsid w:val="0090197F"/>
    <w:rsid w:val="00903264"/>
    <w:rsid w:val="00906DDC"/>
    <w:rsid w:val="00934E09"/>
    <w:rsid w:val="00936253"/>
    <w:rsid w:val="00940615"/>
    <w:rsid w:val="00940D46"/>
    <w:rsid w:val="00952DD4"/>
    <w:rsid w:val="00964334"/>
    <w:rsid w:val="00965AE7"/>
    <w:rsid w:val="00970FED"/>
    <w:rsid w:val="00992A36"/>
    <w:rsid w:val="00992D82"/>
    <w:rsid w:val="00997029"/>
    <w:rsid w:val="009A3DDF"/>
    <w:rsid w:val="009A7339"/>
    <w:rsid w:val="009B2B5D"/>
    <w:rsid w:val="009B440E"/>
    <w:rsid w:val="009C1C4E"/>
    <w:rsid w:val="009C7776"/>
    <w:rsid w:val="009D690D"/>
    <w:rsid w:val="009E65B6"/>
    <w:rsid w:val="009F5372"/>
    <w:rsid w:val="009F77CF"/>
    <w:rsid w:val="00A24C10"/>
    <w:rsid w:val="00A42AC3"/>
    <w:rsid w:val="00A430CF"/>
    <w:rsid w:val="00A54309"/>
    <w:rsid w:val="00AA3EA4"/>
    <w:rsid w:val="00AB1AFD"/>
    <w:rsid w:val="00AB2B93"/>
    <w:rsid w:val="00AB530F"/>
    <w:rsid w:val="00AB7E5B"/>
    <w:rsid w:val="00AC2883"/>
    <w:rsid w:val="00AE0EF1"/>
    <w:rsid w:val="00AE2937"/>
    <w:rsid w:val="00B07301"/>
    <w:rsid w:val="00B11F3E"/>
    <w:rsid w:val="00B16EE6"/>
    <w:rsid w:val="00B224DE"/>
    <w:rsid w:val="00B324D4"/>
    <w:rsid w:val="00B43064"/>
    <w:rsid w:val="00B46575"/>
    <w:rsid w:val="00B52A57"/>
    <w:rsid w:val="00B615BC"/>
    <w:rsid w:val="00B61777"/>
    <w:rsid w:val="00B726EA"/>
    <w:rsid w:val="00B84BBD"/>
    <w:rsid w:val="00BA43FB"/>
    <w:rsid w:val="00BB41B6"/>
    <w:rsid w:val="00BC127D"/>
    <w:rsid w:val="00BC1FE6"/>
    <w:rsid w:val="00BD32D8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6591"/>
    <w:rsid w:val="00CA774A"/>
    <w:rsid w:val="00CC11B0"/>
    <w:rsid w:val="00CC2841"/>
    <w:rsid w:val="00CE1C67"/>
    <w:rsid w:val="00CF1330"/>
    <w:rsid w:val="00CF4708"/>
    <w:rsid w:val="00CF7E36"/>
    <w:rsid w:val="00D16870"/>
    <w:rsid w:val="00D3708D"/>
    <w:rsid w:val="00D40426"/>
    <w:rsid w:val="00D57C96"/>
    <w:rsid w:val="00D57D18"/>
    <w:rsid w:val="00D91203"/>
    <w:rsid w:val="00D938F0"/>
    <w:rsid w:val="00D95174"/>
    <w:rsid w:val="00DA4973"/>
    <w:rsid w:val="00DA6F36"/>
    <w:rsid w:val="00DB092A"/>
    <w:rsid w:val="00DB0BD6"/>
    <w:rsid w:val="00DB596E"/>
    <w:rsid w:val="00DB7773"/>
    <w:rsid w:val="00DC00EA"/>
    <w:rsid w:val="00DC3802"/>
    <w:rsid w:val="00DE718A"/>
    <w:rsid w:val="00DF7B17"/>
    <w:rsid w:val="00E07D87"/>
    <w:rsid w:val="00E32F7E"/>
    <w:rsid w:val="00E421C5"/>
    <w:rsid w:val="00E426C5"/>
    <w:rsid w:val="00E5267B"/>
    <w:rsid w:val="00E63C0E"/>
    <w:rsid w:val="00E72D49"/>
    <w:rsid w:val="00E7593C"/>
    <w:rsid w:val="00E7678A"/>
    <w:rsid w:val="00E935F1"/>
    <w:rsid w:val="00E94A81"/>
    <w:rsid w:val="00EA1FFB"/>
    <w:rsid w:val="00EA71DC"/>
    <w:rsid w:val="00EB048E"/>
    <w:rsid w:val="00EB0DAB"/>
    <w:rsid w:val="00EB4E9C"/>
    <w:rsid w:val="00EE34DF"/>
    <w:rsid w:val="00EE5907"/>
    <w:rsid w:val="00EF2F89"/>
    <w:rsid w:val="00F03E98"/>
    <w:rsid w:val="00F1237A"/>
    <w:rsid w:val="00F22CBD"/>
    <w:rsid w:val="00F26993"/>
    <w:rsid w:val="00F272F1"/>
    <w:rsid w:val="00F2792A"/>
    <w:rsid w:val="00F45372"/>
    <w:rsid w:val="00F560F7"/>
    <w:rsid w:val="00F6334D"/>
    <w:rsid w:val="00F63599"/>
    <w:rsid w:val="00F97C73"/>
    <w:rsid w:val="00FA49AB"/>
    <w:rsid w:val="00FB0F2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  <w:style w:type="character" w:customStyle="1" w:styleId="DecisionParagraphsChar">
    <w:name w:val="DecisionParagraphs Char"/>
    <w:basedOn w:val="DefaultParagraphFont"/>
    <w:link w:val="DecisionParagraphs"/>
    <w:rsid w:val="005F72F6"/>
    <w:rPr>
      <w:rFonts w:ascii="Arial" w:hAnsi="Arial"/>
      <w:i/>
    </w:rPr>
  </w:style>
  <w:style w:type="table" w:styleId="TableGrid">
    <w:name w:val="Table Grid"/>
    <w:basedOn w:val="TableNormal"/>
    <w:rsid w:val="00FB0F2B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  <w:style w:type="character" w:customStyle="1" w:styleId="DecisionParagraphsChar">
    <w:name w:val="DecisionParagraphs Char"/>
    <w:basedOn w:val="DefaultParagraphFont"/>
    <w:link w:val="DecisionParagraphs"/>
    <w:rsid w:val="005F72F6"/>
    <w:rPr>
      <w:rFonts w:ascii="Arial" w:hAnsi="Arial"/>
      <w:i/>
    </w:rPr>
  </w:style>
  <w:style w:type="table" w:styleId="TableGrid">
    <w:name w:val="Table Grid"/>
    <w:basedOn w:val="TableNormal"/>
    <w:rsid w:val="00FB0F2B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meetings/en/topic.jsp?group_id=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c(extr)_34_EN.dotx</Template>
  <TotalTime>6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C(Extr.)/34/1</vt:lpstr>
      <vt:lpstr>C(Extr.)/34/1</vt:lpstr>
    </vt:vector>
  </TitlesOfParts>
  <Company>UPOV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C(Extr.)/34/1</dc:title>
  <dc:creator>SANCHEZ-VIZCAINO GOMEZ Rosa Maria</dc:creator>
  <cp:lastModifiedBy>SANCHEZ-VIZCAINO GOMEZ Rosa Maria</cp:lastModifiedBy>
  <cp:revision>7</cp:revision>
  <cp:lastPrinted>2017-02-22T12:30:00Z</cp:lastPrinted>
  <dcterms:created xsi:type="dcterms:W3CDTF">2017-02-21T08:42:00Z</dcterms:created>
  <dcterms:modified xsi:type="dcterms:W3CDTF">2017-02-22T12:30:00Z</dcterms:modified>
</cp:coreProperties>
</file>