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7B312730" wp14:editId="27B95E9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AA5635" w:rsidRDefault="00AA5635" w:rsidP="00AA5635"/>
    <w:p w:rsidR="00AA5635" w:rsidRDefault="00AA5635" w:rsidP="00AA56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65A" w:rsidP="00AC2883">
            <w:pPr>
              <w:pStyle w:val="Sessiontc"/>
              <w:spacing w:line="240" w:lineRule="auto"/>
            </w:pPr>
            <w:r>
              <w:t>Der Rat</w:t>
            </w:r>
          </w:p>
          <w:p w:rsidR="00EB4E9C" w:rsidRPr="00DC3802" w:rsidRDefault="00A3365A" w:rsidP="007D4635">
            <w:pPr>
              <w:pStyle w:val="Sessiontcplacedate"/>
              <w:rPr>
                <w:sz w:val="22"/>
              </w:rPr>
            </w:pPr>
            <w:r>
              <w:t>Einundfünfzigste ordentliche Tagung</w:t>
            </w:r>
            <w:r>
              <w:br/>
              <w:t>Genf, 26. Oktober 2017</w:t>
            </w:r>
          </w:p>
        </w:tc>
        <w:tc>
          <w:tcPr>
            <w:tcW w:w="3127" w:type="dxa"/>
          </w:tcPr>
          <w:p w:rsidR="00EB4E9C" w:rsidRPr="003C7FBE" w:rsidRDefault="00A3365A" w:rsidP="003C7FBE">
            <w:pPr>
              <w:pStyle w:val="Doccode"/>
            </w:pPr>
            <w:r>
              <w:t>C/51/1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0C6528">
            <w:pPr>
              <w:pStyle w:val="Docoriginal"/>
            </w:pPr>
            <w:r>
              <w:t>Datum</w:t>
            </w:r>
            <w:r w:rsidRPr="000453EF">
              <w:t>:</w:t>
            </w:r>
            <w:r w:rsidRPr="000453EF">
              <w:rPr>
                <w:b w:val="0"/>
                <w:spacing w:val="0"/>
              </w:rPr>
              <w:t xml:space="preserve">  </w:t>
            </w:r>
            <w:r w:rsidR="000C6528">
              <w:rPr>
                <w:b w:val="0"/>
                <w:spacing w:val="0"/>
              </w:rPr>
              <w:t>7</w:t>
            </w:r>
            <w:r w:rsidRPr="000453EF">
              <w:rPr>
                <w:b w:val="0"/>
                <w:spacing w:val="0"/>
              </w:rPr>
              <w:t xml:space="preserve">. </w:t>
            </w:r>
            <w:r w:rsidR="000C6528">
              <w:rPr>
                <w:b w:val="0"/>
                <w:spacing w:val="0"/>
              </w:rPr>
              <w:t xml:space="preserve">Juli </w:t>
            </w:r>
            <w:r w:rsidRPr="000453EF">
              <w:rPr>
                <w:b w:val="0"/>
                <w:spacing w:val="0"/>
              </w:rPr>
              <w:t>2017</w:t>
            </w:r>
          </w:p>
        </w:tc>
      </w:tr>
    </w:tbl>
    <w:p w:rsidR="000D7780" w:rsidRPr="006A644A" w:rsidRDefault="008C38F4" w:rsidP="006A644A">
      <w:pPr>
        <w:pStyle w:val="Titleofdoc0"/>
      </w:pPr>
      <w:bookmarkStart w:id="0" w:name="TitleOfDoc"/>
      <w:bookmarkEnd w:id="0"/>
      <w:r>
        <w:t>ENTWURF EINER</w:t>
      </w:r>
      <w:r w:rsidR="00AA5635">
        <w:t xml:space="preserve"> Tagesordnung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vom Verbandsbüro erstellt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AA5635" w:rsidRPr="00D43868" w:rsidRDefault="00AA5635" w:rsidP="00AA5635">
      <w:pPr>
        <w:ind w:left="567" w:hanging="567"/>
        <w:rPr>
          <w:snapToGrid w:val="0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Eröffnung der Tagung</w:t>
      </w:r>
    </w:p>
    <w:p w:rsidR="00AA5635" w:rsidRPr="00D43868" w:rsidRDefault="00AA5635" w:rsidP="00AA5635">
      <w:pPr>
        <w:ind w:left="567" w:hanging="567"/>
        <w:rPr>
          <w:rFonts w:cs="Arial"/>
          <w:snapToGrid w:val="0"/>
        </w:rPr>
      </w:pPr>
    </w:p>
    <w:p w:rsidR="00AA5635" w:rsidRPr="00D43868" w:rsidRDefault="00AA5635" w:rsidP="00AA5635">
      <w:pPr>
        <w:ind w:left="567" w:hanging="567"/>
        <w:rPr>
          <w:rFonts w:cs="Arial"/>
          <w:snapToGrid w:val="0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Annahme der Tagesordnung</w:t>
      </w:r>
    </w:p>
    <w:p w:rsidR="00AA5635" w:rsidRPr="00D43868" w:rsidRDefault="00AA5635" w:rsidP="00AA5635">
      <w:pPr>
        <w:ind w:left="567" w:hanging="567"/>
        <w:rPr>
          <w:rFonts w:cs="Arial"/>
          <w:snapToGrid w:val="0"/>
        </w:rPr>
      </w:pPr>
      <w:bookmarkStart w:id="2" w:name="_GoBack"/>
      <w:bookmarkEnd w:id="2"/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Verlängerung der Amtszeit des Stellvertretenden Generalsekretärs (Dokument C/51/16)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460B5F">
      <w:pPr>
        <w:ind w:left="567" w:hanging="567"/>
        <w:rPr>
          <w:rFonts w:cs="Arial"/>
        </w:rPr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Vorläufige Prüfung der Vereinbarkeit der Verfügung von 2015 über den Sortenschutz von Brunei Darussalam mit der Akte von 1991 des UPOV-Übereinkommens (Dokument C/51/17)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Prüfung der Vereinbarkeit der Gesetze oder Gesetzentwürfe der Staaten oder Organisationen, die einen Antrag nach Artikel 34 Absatz 3 der Akte von 1991 des UPOV-Übereinkommens gestellt haben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Bericht des Präsidenten über die Arbeiten der vierundneunzigsten Tagung des Beratenden Ausschusses; gegebenenfalls Annahme von Empfehlungen, die dieser Ausschuß ausgearbeitet hat (Dokument C/51/18) </w:t>
      </w:r>
    </w:p>
    <w:p w:rsidR="00AA5635" w:rsidRPr="00D43868" w:rsidRDefault="00AA5635" w:rsidP="00AA5635">
      <w:pPr>
        <w:ind w:left="567" w:hanging="567"/>
      </w:pPr>
    </w:p>
    <w:p w:rsidR="00AA5635" w:rsidRPr="000E5657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0E5657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Annahme von Dokumenten (Dokument C/51/14) </w:t>
      </w:r>
    </w:p>
    <w:p w:rsidR="00AA5635" w:rsidRPr="000E5657" w:rsidRDefault="00AA5635" w:rsidP="00AA5635">
      <w:pPr>
        <w:ind w:left="567" w:hanging="567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2268" w:hanging="1701"/>
        <w:jc w:val="left"/>
        <w:rPr>
          <w:kern w:val="28"/>
        </w:rPr>
      </w:pPr>
      <w:r>
        <w:t>UPOV/INF/16</w:t>
      </w:r>
      <w:r>
        <w:tab/>
        <w:t xml:space="preserve">Austauschbare Software (Überarbeitung) (Dokument UPOV/INF/16/7 Draft 1) </w:t>
      </w: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</w:rPr>
      </w:pPr>
      <w:r>
        <w:t>UPOV/INF/22</w:t>
      </w:r>
      <w:r>
        <w:tab/>
        <w:t xml:space="preserve">Von Verbandsmitgliedern verwendete Software und Ausrüstung (Überarbeitung) </w:t>
      </w:r>
      <w:r>
        <w:br/>
        <w:t xml:space="preserve">(Dokument UPOV/INF/22/4 Draft 1) </w:t>
      </w: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</w:rPr>
      </w:pPr>
    </w:p>
    <w:p w:rsidR="00AA5635" w:rsidRPr="00D43868" w:rsidRDefault="00AA5635" w:rsidP="00AA5635">
      <w:pPr>
        <w:ind w:left="2268" w:hanging="1701"/>
        <w:jc w:val="left"/>
      </w:pPr>
      <w:r>
        <w:t>UPOV/INF-EXN</w:t>
      </w:r>
      <w:r>
        <w:tab/>
        <w:t>Liste der UPOV/INF-EXN-Dokumente und Datum der jüngsten A</w:t>
      </w:r>
      <w:r w:rsidR="00A030B4">
        <w:t xml:space="preserve">usgabe (Überarbeitung) </w:t>
      </w:r>
      <w:r>
        <w:t xml:space="preserve">(Dokument UPOV/INF-EXN/11 Draft 1) </w:t>
      </w:r>
    </w:p>
    <w:p w:rsidR="00AA5635" w:rsidRPr="00D43868" w:rsidRDefault="00AA5635" w:rsidP="00AA5635"/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Prüfung und Annahme des Entwurfs eines Programms und Haushaltsplans des Verbandes für die Rechnungsperiode 2018-2019 (Dokument C/51/4)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Jahresabschluß für 2016 (Dokument C/51/12)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Bericht des Exter</w:t>
      </w:r>
      <w:r w:rsidR="000C6528">
        <w:t>nen Revisors (Dokument C/51/13)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Rückständige Beitragszahlungen zum 30. September 2017 (Dokument C/51/11)</w:t>
      </w:r>
    </w:p>
    <w:p w:rsidR="00AA5635" w:rsidRPr="00D43868" w:rsidRDefault="00AA5635" w:rsidP="00AA5635">
      <w:pPr>
        <w:keepNext/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Jahresbericht des Generalsekretärs für 2016 (Dokument C/51/2); Bericht über die Tätigkeiten in den ersten neun Monaten des Jahres 2017 (Dokument C/51/3)</w:t>
      </w:r>
    </w:p>
    <w:p w:rsidR="00AA5635" w:rsidRPr="00D43868" w:rsidRDefault="00AA5635" w:rsidP="00AA5635">
      <w:pPr>
        <w:ind w:left="567" w:hanging="567"/>
      </w:pPr>
    </w:p>
    <w:p w:rsidR="007D7657" w:rsidRDefault="00AA5635" w:rsidP="007D7657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Bericht über den Fortschritt der Arbeiten des</w:t>
      </w:r>
      <w:r w:rsidR="007D7657">
        <w:t xml:space="preserve"> </w:t>
      </w:r>
      <w:r>
        <w:t xml:space="preserve">Verwaltungs- und Rechtsausschusses </w:t>
      </w:r>
    </w:p>
    <w:p w:rsidR="007D7657" w:rsidRDefault="00AA5635" w:rsidP="007D7657">
      <w:pPr>
        <w:ind w:left="567"/>
      </w:pPr>
      <w:r>
        <w:t>(Dokument C/51/9)</w:t>
      </w:r>
      <w:r w:rsidR="00F06AE5">
        <w:t xml:space="preserve"> </w:t>
      </w:r>
    </w:p>
    <w:p w:rsidR="007D7657" w:rsidRDefault="007D7657">
      <w:pPr>
        <w:jc w:val="left"/>
      </w:pPr>
      <w:r>
        <w:br w:type="page"/>
      </w:r>
    </w:p>
    <w:p w:rsidR="00AA5635" w:rsidRPr="00D43868" w:rsidRDefault="00AA5635" w:rsidP="00AA5635">
      <w:pPr>
        <w:ind w:left="567" w:hanging="567"/>
        <w:rPr>
          <w:b/>
        </w:rPr>
      </w:pPr>
      <w:r w:rsidRPr="00D43868">
        <w:lastRenderedPageBreak/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Bericht über den Fortschritt der Arbeiten des Technischen Ausschusses, der Technischen Arbeitsgruppen und der Arbeitsgruppe für biochemische und molekulare Verfahren und insbesondere für DNS-Profilierungsverfahren (Dokument C/51/10)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D43868">
      <w:pPr>
        <w:keepNext/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Kalender für die Tagungen im Jahr 2018 (Dokument C/51/8) </w:t>
      </w:r>
    </w:p>
    <w:p w:rsidR="00AA5635" w:rsidRPr="00D43868" w:rsidRDefault="00AA5635" w:rsidP="00AA5635">
      <w:pPr>
        <w:ind w:left="567" w:hanging="567"/>
      </w:pPr>
    </w:p>
    <w:p w:rsidR="00DF2ABC" w:rsidRPr="00D43868" w:rsidRDefault="00DF2ABC" w:rsidP="00DF2ABC">
      <w:pPr>
        <w:ind w:left="567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fldChar w:fldCharType="begin"/>
      </w:r>
      <w:r w:rsidRPr="00D43868">
        <w:rPr>
          <w:bCs/>
          <w:snapToGrid w:val="0"/>
          <w:szCs w:val="24"/>
        </w:rPr>
        <w:instrText xml:space="preserve"> AUTONUM  </w:instrText>
      </w:r>
      <w:r w:rsidRPr="00D43868">
        <w:rPr>
          <w:bCs/>
          <w:snapToGrid w:val="0"/>
          <w:szCs w:val="24"/>
        </w:rPr>
        <w:fldChar w:fldCharType="end"/>
      </w:r>
      <w:r>
        <w:tab/>
        <w:t>Wahl des neuen Vorsitzenden der</w:t>
      </w:r>
    </w:p>
    <w:p w:rsidR="00DF2ABC" w:rsidRPr="00D43868" w:rsidRDefault="00DF2ABC" w:rsidP="00DF2ABC">
      <w:pPr>
        <w:ind w:left="567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a)</w:t>
      </w:r>
      <w:r>
        <w:tab/>
        <w:t>Technischen Arbeitsgruppe für landwirtschaftliche Arten (TWA)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b)</w:t>
      </w:r>
      <w:r>
        <w:tab/>
        <w:t>Technischen Arbeitsgruppe für Automatisierung und Computerprogramme (TWC)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c)</w:t>
      </w:r>
      <w:r>
        <w:tab/>
        <w:t>Technischen Arbeitsgruppe für Obstarten (TWF)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d)</w:t>
      </w:r>
      <w:r>
        <w:tab/>
        <w:t>Technischen Arbeitsgruppe für Zierpflanzen und forstliche Baumarten (TWO)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e)</w:t>
      </w:r>
      <w:r>
        <w:tab/>
        <w:t>Technischen Arbeitsgruppe für Gemüsearten (TWV)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f)</w:t>
      </w:r>
      <w:r>
        <w:tab/>
        <w:t>Arbeitsgruppe für biochemische und molekulare Verfahren und insbesondere für DNS-Profilierungsverfahren (BMT)</w:t>
      </w:r>
    </w:p>
    <w:p w:rsidR="00DF2ABC" w:rsidRPr="00D43868" w:rsidRDefault="00DF2ABC" w:rsidP="00DF2ABC">
      <w:pPr>
        <w:ind w:left="1134" w:hanging="567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Lage auf dem Gebiet der Gesetzgebung, der Verwaltung und der Technik:</w:t>
      </w:r>
    </w:p>
    <w:p w:rsidR="00AA5635" w:rsidRPr="00D43868" w:rsidRDefault="00AA5635" w:rsidP="00AA5635"/>
    <w:p w:rsidR="00AA5635" w:rsidRPr="00D43868" w:rsidRDefault="00AA5635" w:rsidP="00AA5635">
      <w:pPr>
        <w:ind w:left="1134" w:hanging="567"/>
      </w:pPr>
      <w:r>
        <w:t>a)</w:t>
      </w:r>
      <w:r>
        <w:tab/>
        <w:t>Berichte der Vertreter von Mitgliedern und Beobachtern  (Dokument C/51/15)</w:t>
      </w:r>
    </w:p>
    <w:p w:rsidR="00AA5635" w:rsidRPr="00D43868" w:rsidRDefault="00AA5635" w:rsidP="00AA5635">
      <w:pPr>
        <w:ind w:left="1134" w:hanging="567"/>
      </w:pPr>
    </w:p>
    <w:p w:rsidR="00AA5635" w:rsidRPr="00D43868" w:rsidRDefault="00AA5635" w:rsidP="00AA5635">
      <w:pPr>
        <w:ind w:left="1134" w:hanging="567"/>
      </w:pPr>
      <w:r>
        <w:t>b)</w:t>
      </w:r>
      <w:r>
        <w:tab/>
        <w:t xml:space="preserve">Zusammenarbeit bei der Prüfung (Dokument C/51/5); Liste der in den Verbandsmitgliedern schutzfähigen Taxa (Dokument C/51/6); Sortenschutzstatistik für den Zeitabschnitt 2012-2016 (Dokument C/51/7) </w:t>
      </w:r>
    </w:p>
    <w:p w:rsidR="00AA5635" w:rsidRPr="00D43868" w:rsidRDefault="00AA5635" w:rsidP="00AA5635">
      <w:pPr>
        <w:ind w:left="1134" w:hanging="567"/>
      </w:pP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Pressemitteilung (Dokument C/51/19) </w:t>
      </w:r>
    </w:p>
    <w:p w:rsidR="00AA5635" w:rsidRPr="00D43868" w:rsidRDefault="00AA5635" w:rsidP="00AA5635">
      <w:pPr>
        <w:ind w:left="567" w:hanging="567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Annahme eines Dokuments über die in der Tagung getroffenen Entscheidungen</w:t>
      </w: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</w:p>
    <w:p w:rsidR="00AA5635" w:rsidRPr="00013051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Schließung der Tagung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9B440E" w:rsidRDefault="00050E16" w:rsidP="00050E16">
      <w:pPr>
        <w:jc w:val="right"/>
      </w:pPr>
      <w:r>
        <w:t>[Ende des Dokuments]</w:t>
      </w:r>
    </w:p>
    <w:p w:rsidR="00903264" w:rsidRDefault="00903264">
      <w:pPr>
        <w:jc w:val="left"/>
      </w:pPr>
    </w:p>
    <w:p w:rsidR="00050E16" w:rsidRDefault="00050E16" w:rsidP="009B440E">
      <w:pPr>
        <w:jc w:val="left"/>
      </w:pPr>
    </w:p>
    <w:sectPr w:rsidR="00050E1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43" w:rsidRDefault="00CD1C43" w:rsidP="006655D3">
      <w:r>
        <w:separator/>
      </w:r>
    </w:p>
    <w:p w:rsidR="00CD1C43" w:rsidRDefault="00CD1C43" w:rsidP="006655D3"/>
    <w:p w:rsidR="00CD1C43" w:rsidRDefault="00CD1C43" w:rsidP="006655D3"/>
  </w:endnote>
  <w:endnote w:type="continuationSeparator" w:id="0">
    <w:p w:rsidR="00CD1C43" w:rsidRDefault="00CD1C43" w:rsidP="006655D3">
      <w:r>
        <w:separator/>
      </w:r>
    </w:p>
    <w:p w:rsidR="00CD1C43" w:rsidRPr="00294751" w:rsidRDefault="00CD1C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D1C43" w:rsidRPr="00294751" w:rsidRDefault="00CD1C43" w:rsidP="006655D3">
      <w:pPr>
        <w:rPr>
          <w:lang w:val="fr-FR"/>
        </w:rPr>
      </w:pPr>
    </w:p>
    <w:p w:rsidR="00CD1C43" w:rsidRPr="00294751" w:rsidRDefault="00CD1C43" w:rsidP="006655D3">
      <w:pPr>
        <w:rPr>
          <w:lang w:val="fr-FR"/>
        </w:rPr>
      </w:pPr>
    </w:p>
  </w:endnote>
  <w:endnote w:type="continuationNotice" w:id="1">
    <w:p w:rsidR="00CD1C43" w:rsidRPr="00294751" w:rsidRDefault="00CD1C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D1C43" w:rsidRPr="00294751" w:rsidRDefault="00CD1C43" w:rsidP="006655D3">
      <w:pPr>
        <w:rPr>
          <w:lang w:val="fr-FR"/>
        </w:rPr>
      </w:pPr>
    </w:p>
    <w:p w:rsidR="00CD1C43" w:rsidRPr="00294751" w:rsidRDefault="00CD1C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4" w:rsidRPr="00CF5D3E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tab/>
    </w:r>
  </w:p>
  <w:p w:rsidR="00FB0F84" w:rsidRPr="00367BEE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rPr>
        <w:sz w:val="15"/>
        <w:u w:val="single"/>
      </w:rPr>
      <w:t>Die Tagung wird am Donnerstag, 26. Oktober 2017 am Hauptsitz der UPOV (34, chemin des Colombettes, Genf (Schweiz)) stattfinden und um 9.30 Uhr beginnen</w:t>
    </w:r>
    <w:r w:rsidRPr="00367BEE">
      <w:rPr>
        <w:sz w:val="15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43" w:rsidRDefault="00CD1C43" w:rsidP="006655D3">
      <w:r>
        <w:separator/>
      </w:r>
    </w:p>
  </w:footnote>
  <w:footnote w:type="continuationSeparator" w:id="0">
    <w:p w:rsidR="00CD1C43" w:rsidRDefault="00CD1C43" w:rsidP="006655D3">
      <w:r>
        <w:separator/>
      </w:r>
    </w:p>
  </w:footnote>
  <w:footnote w:type="continuationNotice" w:id="1">
    <w:p w:rsidR="00CD1C43" w:rsidRPr="00AB530F" w:rsidRDefault="00CD1C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</w:rPr>
    </w:pPr>
    <w:r>
      <w:rPr>
        <w:rStyle w:val="PageNumber"/>
      </w:rPr>
      <w:t>C/51/1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C50F84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5"/>
    <w:rsid w:val="00010CF3"/>
    <w:rsid w:val="00011E27"/>
    <w:rsid w:val="000148BC"/>
    <w:rsid w:val="00024AB8"/>
    <w:rsid w:val="00030854"/>
    <w:rsid w:val="00036028"/>
    <w:rsid w:val="00044642"/>
    <w:rsid w:val="000446B9"/>
    <w:rsid w:val="000453EF"/>
    <w:rsid w:val="00047E21"/>
    <w:rsid w:val="00050E16"/>
    <w:rsid w:val="00085505"/>
    <w:rsid w:val="000C4E25"/>
    <w:rsid w:val="000C6528"/>
    <w:rsid w:val="000C7021"/>
    <w:rsid w:val="000D6BBC"/>
    <w:rsid w:val="000D7780"/>
    <w:rsid w:val="000E37DF"/>
    <w:rsid w:val="000E565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05944"/>
    <w:rsid w:val="0021332C"/>
    <w:rsid w:val="00213982"/>
    <w:rsid w:val="00214C72"/>
    <w:rsid w:val="0024416D"/>
    <w:rsid w:val="002707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666D3"/>
    <w:rsid w:val="00367BEE"/>
    <w:rsid w:val="0039633A"/>
    <w:rsid w:val="003C7FBE"/>
    <w:rsid w:val="003D227C"/>
    <w:rsid w:val="003D2B4D"/>
    <w:rsid w:val="003F5F2B"/>
    <w:rsid w:val="00412FC2"/>
    <w:rsid w:val="00444A88"/>
    <w:rsid w:val="00460B5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720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014A"/>
    <w:rsid w:val="00784836"/>
    <w:rsid w:val="0079023E"/>
    <w:rsid w:val="007A2854"/>
    <w:rsid w:val="007C1D92"/>
    <w:rsid w:val="007C4A68"/>
    <w:rsid w:val="007C4CB9"/>
    <w:rsid w:val="007D0B9D"/>
    <w:rsid w:val="007D19B0"/>
    <w:rsid w:val="007D4635"/>
    <w:rsid w:val="007D7657"/>
    <w:rsid w:val="007F498F"/>
    <w:rsid w:val="0080679D"/>
    <w:rsid w:val="008108B0"/>
    <w:rsid w:val="00811B20"/>
    <w:rsid w:val="008211B5"/>
    <w:rsid w:val="0082296E"/>
    <w:rsid w:val="00824099"/>
    <w:rsid w:val="00846D7C"/>
    <w:rsid w:val="008621AD"/>
    <w:rsid w:val="00867AC1"/>
    <w:rsid w:val="00890DF8"/>
    <w:rsid w:val="008A743F"/>
    <w:rsid w:val="008C0970"/>
    <w:rsid w:val="008C38F4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030B4"/>
    <w:rsid w:val="00A24C10"/>
    <w:rsid w:val="00A3365A"/>
    <w:rsid w:val="00A42AC3"/>
    <w:rsid w:val="00A430CF"/>
    <w:rsid w:val="00A54309"/>
    <w:rsid w:val="00AA5635"/>
    <w:rsid w:val="00AB2B93"/>
    <w:rsid w:val="00AB530F"/>
    <w:rsid w:val="00AB7E5B"/>
    <w:rsid w:val="00AC2883"/>
    <w:rsid w:val="00AD79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197B"/>
    <w:rsid w:val="00BC127D"/>
    <w:rsid w:val="00BC1FE6"/>
    <w:rsid w:val="00C061B6"/>
    <w:rsid w:val="00C2446C"/>
    <w:rsid w:val="00C36AE5"/>
    <w:rsid w:val="00C41F17"/>
    <w:rsid w:val="00C50F84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1C43"/>
    <w:rsid w:val="00CF1330"/>
    <w:rsid w:val="00CF7E36"/>
    <w:rsid w:val="00D3708D"/>
    <w:rsid w:val="00D40426"/>
    <w:rsid w:val="00D4386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2ABC"/>
    <w:rsid w:val="00E07D87"/>
    <w:rsid w:val="00E25BC3"/>
    <w:rsid w:val="00E32F7E"/>
    <w:rsid w:val="00E5267B"/>
    <w:rsid w:val="00E63C0E"/>
    <w:rsid w:val="00E72D49"/>
    <w:rsid w:val="00E7593C"/>
    <w:rsid w:val="00E7678A"/>
    <w:rsid w:val="00E92888"/>
    <w:rsid w:val="00E935F1"/>
    <w:rsid w:val="00E94A81"/>
    <w:rsid w:val="00EA1FFB"/>
    <w:rsid w:val="00EB048E"/>
    <w:rsid w:val="00EB4E9C"/>
    <w:rsid w:val="00EE34DF"/>
    <w:rsid w:val="00EF2F89"/>
    <w:rsid w:val="00F03E98"/>
    <w:rsid w:val="00F06AE5"/>
    <w:rsid w:val="00F1237A"/>
    <w:rsid w:val="00F22CBD"/>
    <w:rsid w:val="00F272F1"/>
    <w:rsid w:val="00F45372"/>
    <w:rsid w:val="00F560F7"/>
    <w:rsid w:val="00F60E96"/>
    <w:rsid w:val="00F6334D"/>
    <w:rsid w:val="00F63599"/>
    <w:rsid w:val="00FA49AB"/>
    <w:rsid w:val="00FB0F84"/>
    <w:rsid w:val="00FE39C7"/>
    <w:rsid w:val="00FF34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4</TotalTime>
  <Pages>2</Pages>
  <Words>408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C/51</vt:lpstr>
      <vt:lpstr>C/51</vt:lpstr>
    </vt:vector>
  </TitlesOfParts>
  <Company>UPOV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</dc:title>
  <cp:lastModifiedBy>BESSE Ariane</cp:lastModifiedBy>
  <cp:revision>11</cp:revision>
  <cp:lastPrinted>2017-07-04T10:50:00Z</cp:lastPrinted>
  <dcterms:created xsi:type="dcterms:W3CDTF">2017-06-14T08:58:00Z</dcterms:created>
  <dcterms:modified xsi:type="dcterms:W3CDTF">2017-07-04T10:50:00Z</dcterms:modified>
</cp:coreProperties>
</file>