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532F43">
        <w:trPr>
          <w:trHeight w:val="1760"/>
        </w:trPr>
        <w:tc>
          <w:tcPr>
            <w:tcW w:w="3993" w:type="dxa"/>
          </w:tcPr>
          <w:p w:rsidR="0067078A" w:rsidRPr="00C5280D" w:rsidRDefault="0067078A" w:rsidP="00DE6FF1">
            <w:bookmarkStart w:id="0" w:name="TitleOfDoc"/>
            <w:bookmarkEnd w:id="0"/>
          </w:p>
        </w:tc>
        <w:tc>
          <w:tcPr>
            <w:tcW w:w="1549" w:type="dxa"/>
            <w:vAlign w:val="center"/>
          </w:tcPr>
          <w:p w:rsidR="0067078A" w:rsidRPr="00C5280D" w:rsidRDefault="0067078A" w:rsidP="00532F43">
            <w:pPr>
              <w:pStyle w:val="LogoUPOV"/>
            </w:pPr>
            <w:r>
              <w:rPr>
                <w:noProof/>
                <w:lang w:val="en-US" w:eastAsia="en-US" w:bidi="ar-SA"/>
              </w:rPr>
              <w:drawing>
                <wp:inline distT="0" distB="0" distL="0" distR="0" wp14:anchorId="403D1F3F" wp14:editId="03E48CC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C5280D" w:rsidRDefault="0067078A" w:rsidP="00532F43">
            <w:pPr>
              <w:pStyle w:val="Lettrine"/>
            </w:pPr>
            <w:r>
              <w:t>G</w:t>
            </w:r>
          </w:p>
          <w:p w:rsidR="0067078A" w:rsidRPr="00C5280D" w:rsidRDefault="0067078A" w:rsidP="00532F43">
            <w:pPr>
              <w:pStyle w:val="Docoriginal"/>
            </w:pPr>
            <w:r>
              <w:t>C/48/</w:t>
            </w:r>
            <w:bookmarkStart w:id="1" w:name="Code"/>
            <w:bookmarkEnd w:id="1"/>
            <w:r>
              <w:t>4</w:t>
            </w:r>
          </w:p>
          <w:p w:rsidR="0067078A" w:rsidRPr="00B46575" w:rsidRDefault="0067078A" w:rsidP="00532F43">
            <w:pPr>
              <w:pStyle w:val="Docoriginal"/>
              <w:rPr>
                <w:b w:val="0"/>
                <w:spacing w:val="0"/>
              </w:rPr>
            </w:pPr>
            <w:r>
              <w:rPr>
                <w:rStyle w:val="StyleDoclangBold"/>
                <w:b/>
                <w:spacing w:val="0"/>
              </w:rPr>
              <w:t>ORIGINAL:</w:t>
            </w:r>
            <w:r>
              <w:rPr>
                <w:rStyle w:val="StyleDocoriginalNotBold1"/>
                <w:spacing w:val="0"/>
              </w:rPr>
              <w:t xml:space="preserve"> </w:t>
            </w:r>
            <w:r>
              <w:t xml:space="preserve"> </w:t>
            </w:r>
            <w:bookmarkStart w:id="2" w:name="Original"/>
            <w:bookmarkEnd w:id="2"/>
            <w:r>
              <w:rPr>
                <w:b w:val="0"/>
                <w:spacing w:val="0"/>
              </w:rPr>
              <w:t>englisch</w:t>
            </w:r>
          </w:p>
          <w:p w:rsidR="0067078A" w:rsidRPr="00C5280D" w:rsidRDefault="0067078A" w:rsidP="004C3F86">
            <w:pPr>
              <w:pStyle w:val="Docoriginal"/>
            </w:pPr>
            <w:r>
              <w:t xml:space="preserve">DATUM: </w:t>
            </w:r>
            <w:r>
              <w:rPr>
                <w:rStyle w:val="StyleDocoriginalNotBold1"/>
                <w:spacing w:val="0"/>
              </w:rPr>
              <w:t xml:space="preserve"> </w:t>
            </w:r>
            <w:bookmarkStart w:id="3" w:name="Date"/>
            <w:bookmarkEnd w:id="3"/>
            <w:r w:rsidR="004C3F86">
              <w:rPr>
                <w:rStyle w:val="StyleDocoriginalNotBold1"/>
                <w:spacing w:val="0"/>
              </w:rPr>
              <w:t>28</w:t>
            </w:r>
            <w:r>
              <w:rPr>
                <w:b w:val="0"/>
                <w:spacing w:val="0"/>
              </w:rPr>
              <w:t>. Juli 2014</w:t>
            </w:r>
          </w:p>
        </w:tc>
      </w:tr>
      <w:tr w:rsidR="0067078A" w:rsidRPr="00C5280D" w:rsidTr="00532F43">
        <w:tc>
          <w:tcPr>
            <w:tcW w:w="9534" w:type="dxa"/>
            <w:gridSpan w:val="3"/>
          </w:tcPr>
          <w:p w:rsidR="0067078A" w:rsidRPr="00C5280D" w:rsidRDefault="0067078A" w:rsidP="00532F43">
            <w:pPr>
              <w:pStyle w:val="upove"/>
              <w:rPr>
                <w:sz w:val="28"/>
              </w:rPr>
            </w:pPr>
            <w:r>
              <w:t xml:space="preserve">INTERNATIONALER VERBAND ZUM SCHUTZ VON PFLANZENZÜCHTUNGEN </w:t>
            </w:r>
          </w:p>
        </w:tc>
      </w:tr>
      <w:tr w:rsidR="0067078A" w:rsidRPr="00C5280D" w:rsidTr="00532F43">
        <w:tc>
          <w:tcPr>
            <w:tcW w:w="9534" w:type="dxa"/>
            <w:gridSpan w:val="3"/>
          </w:tcPr>
          <w:p w:rsidR="0067078A" w:rsidRPr="00C5280D" w:rsidRDefault="0067078A" w:rsidP="00532F43">
            <w:pPr>
              <w:pStyle w:val="Country"/>
            </w:pPr>
            <w:r>
              <w:t>Genf</w:t>
            </w:r>
          </w:p>
        </w:tc>
      </w:tr>
    </w:tbl>
    <w:p w:rsidR="0067078A" w:rsidRPr="00C5280D" w:rsidRDefault="0067078A" w:rsidP="0067078A">
      <w:pPr>
        <w:pStyle w:val="Sessiontc"/>
      </w:pPr>
      <w:r>
        <w:t>DER RAT</w:t>
      </w:r>
    </w:p>
    <w:p w:rsidR="0067078A" w:rsidRPr="00C5280D" w:rsidRDefault="0067078A" w:rsidP="0067078A">
      <w:pPr>
        <w:pStyle w:val="Sessiontcplacedate"/>
      </w:pPr>
      <w:r>
        <w:t>Achtundvierzigste ordentliche Tagung</w:t>
      </w:r>
      <w:r>
        <w:br/>
        <w:t>Genf, 16. Oktober 2014</w:t>
      </w:r>
    </w:p>
    <w:p w:rsidR="000D7780" w:rsidRPr="00C5280D" w:rsidRDefault="003E322A" w:rsidP="006655D3">
      <w:pPr>
        <w:pStyle w:val="Titleofdoc0"/>
      </w:pPr>
      <w:r>
        <w:t>Finanzverwaltungsbericht für die Rechnungsperiode 2012-2013</w:t>
      </w:r>
    </w:p>
    <w:p w:rsidR="000D7780" w:rsidRPr="00C5280D" w:rsidRDefault="00AE0EF1" w:rsidP="006655D3">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bookmarkStart w:id="5" w:name="_GoBack"/>
    <w:p w:rsidR="00532F43" w:rsidRPr="00EF36C3" w:rsidRDefault="00BD5E7F" w:rsidP="00BD5E7F">
      <w:pPr>
        <w:rPr>
          <w:snapToGrid w:val="0"/>
          <w:spacing w:val="-2"/>
        </w:rPr>
      </w:pPr>
      <w:r w:rsidRPr="00EF36C3">
        <w:rPr>
          <w:caps/>
          <w:snapToGrid w:val="0"/>
          <w:spacing w:val="-2"/>
        </w:rPr>
        <w:fldChar w:fldCharType="begin"/>
      </w:r>
      <w:r w:rsidRPr="00EF36C3">
        <w:rPr>
          <w:caps/>
          <w:snapToGrid w:val="0"/>
          <w:spacing w:val="-2"/>
        </w:rPr>
        <w:instrText xml:space="preserve"> AUTONUM  </w:instrText>
      </w:r>
      <w:r w:rsidRPr="00EF36C3">
        <w:rPr>
          <w:caps/>
          <w:snapToGrid w:val="0"/>
          <w:spacing w:val="-2"/>
        </w:rPr>
        <w:fldChar w:fldCharType="end"/>
      </w:r>
      <w:r w:rsidRPr="00EF36C3">
        <w:rPr>
          <w:spacing w:val="-2"/>
        </w:rPr>
        <w:tab/>
        <w:t xml:space="preserve">Die Anlage dieses Dokuments enthält den Finanzverwaltungsbericht des Internationalen Verbandes zum Schutz von Pflanzenzüchtungen (UPOV) für die Rechnungsperiode 2012-2013 gemäß den Regeln 6.6 und 6.7 der Finanzordnung und ihrer Durchführungsbestimmungen der UPOV (vergleiche Dokument UPOV/INF/4/3 „Finanzordnung und ihre Durchführungsbestimmungen der UPOV”) zur Billigung durch den Rat.  </w:t>
      </w:r>
      <w:bookmarkEnd w:id="5"/>
    </w:p>
    <w:p w:rsidR="00532F43" w:rsidRDefault="00532F43" w:rsidP="00BD5E7F">
      <w:pPr>
        <w:rPr>
          <w:snapToGrid w:val="0"/>
        </w:rPr>
      </w:pPr>
    </w:p>
    <w:p w:rsidR="00532F43" w:rsidRPr="00532F43" w:rsidRDefault="00532F43" w:rsidP="00532F43">
      <w:pPr>
        <w:rPr>
          <w:snapToGrid w:val="0"/>
        </w:rPr>
      </w:pPr>
      <w:r>
        <w:rPr>
          <w:snapToGrid w:val="0"/>
        </w:rPr>
        <w:fldChar w:fldCharType="begin"/>
      </w:r>
      <w:r>
        <w:rPr>
          <w:snapToGrid w:val="0"/>
        </w:rPr>
        <w:instrText xml:space="preserve"> AUTONUM  </w:instrText>
      </w:r>
      <w:r>
        <w:rPr>
          <w:snapToGrid w:val="0"/>
        </w:rPr>
        <w:fldChar w:fldCharType="end"/>
      </w:r>
      <w:r>
        <w:tab/>
        <w:t xml:space="preserve">Der Finanzverwaltungsbericht ist nicht Gegenstand einer externen Buchprüfung. </w:t>
      </w:r>
    </w:p>
    <w:p w:rsidR="00532F43" w:rsidRDefault="00532F43" w:rsidP="00BD5E7F">
      <w:pPr>
        <w:rPr>
          <w:snapToGrid w:val="0"/>
        </w:rPr>
      </w:pPr>
    </w:p>
    <w:p w:rsidR="00532F43" w:rsidRDefault="00532F43" w:rsidP="00BD5E7F">
      <w:pPr>
        <w:rPr>
          <w:snapToGrid w:val="0"/>
        </w:rPr>
      </w:pPr>
      <w:r>
        <w:rPr>
          <w:snapToGrid w:val="0"/>
        </w:rPr>
        <w:fldChar w:fldCharType="begin"/>
      </w:r>
      <w:r>
        <w:rPr>
          <w:snapToGrid w:val="0"/>
        </w:rPr>
        <w:instrText xml:space="preserve"> AUTONUM  </w:instrText>
      </w:r>
      <w:r>
        <w:rPr>
          <w:snapToGrid w:val="0"/>
        </w:rPr>
        <w:fldChar w:fldCharType="end"/>
      </w:r>
      <w:r>
        <w:tab/>
        <w:t xml:space="preserve">In den Regeln 6.6 und 6.7 der Finanzordnung heißt es wie folgt: </w:t>
      </w:r>
    </w:p>
    <w:p w:rsidR="00D81BFB" w:rsidRDefault="00D81BFB" w:rsidP="00BD5E7F">
      <w:pPr>
        <w:rPr>
          <w:snapToGrid w:val="0"/>
        </w:rPr>
      </w:pPr>
    </w:p>
    <w:p w:rsidR="00D81BFB" w:rsidRPr="00D81BFB" w:rsidRDefault="00D81BFB" w:rsidP="00D81BFB">
      <w:pPr>
        <w:ind w:left="567"/>
        <w:rPr>
          <w:b/>
          <w:sz w:val="18"/>
        </w:rPr>
      </w:pPr>
      <w:r>
        <w:rPr>
          <w:sz w:val="18"/>
        </w:rPr>
        <w:t>„</w:t>
      </w:r>
      <w:r>
        <w:rPr>
          <w:b/>
          <w:sz w:val="18"/>
        </w:rPr>
        <w:t>Regel 6.6</w:t>
      </w:r>
    </w:p>
    <w:p w:rsidR="00D81BFB" w:rsidRPr="00D81BFB" w:rsidRDefault="00D81BFB" w:rsidP="00D81BFB">
      <w:pPr>
        <w:ind w:left="567"/>
        <w:rPr>
          <w:snapToGrid w:val="0"/>
          <w:sz w:val="18"/>
        </w:rPr>
      </w:pPr>
    </w:p>
    <w:p w:rsidR="00D81BFB" w:rsidRPr="004C331E" w:rsidRDefault="00D81BFB" w:rsidP="00D81BFB">
      <w:pPr>
        <w:ind w:left="567"/>
        <w:rPr>
          <w:snapToGrid w:val="0"/>
          <w:sz w:val="18"/>
          <w:szCs w:val="18"/>
        </w:rPr>
      </w:pPr>
      <w:r w:rsidRPr="004C331E">
        <w:rPr>
          <w:sz w:val="18"/>
          <w:szCs w:val="18"/>
        </w:rPr>
        <w:t>[…]</w:t>
      </w:r>
    </w:p>
    <w:p w:rsidR="00D81BFB" w:rsidRPr="004C331E" w:rsidRDefault="00432C0E" w:rsidP="00D81BFB">
      <w:pPr>
        <w:pStyle w:val="Inf4Heading6"/>
        <w:ind w:left="1134" w:right="567"/>
        <w:rPr>
          <w:sz w:val="18"/>
          <w:szCs w:val="18"/>
        </w:rPr>
      </w:pPr>
      <w:r w:rsidRPr="004C331E">
        <w:rPr>
          <w:sz w:val="18"/>
          <w:szCs w:val="18"/>
        </w:rPr>
        <w:t>Durchführungsbestimmung</w:t>
      </w:r>
      <w:r w:rsidR="00D81BFB" w:rsidRPr="004C331E">
        <w:rPr>
          <w:sz w:val="18"/>
          <w:szCs w:val="18"/>
        </w:rPr>
        <w:t xml:space="preserve"> 106.12</w:t>
      </w:r>
    </w:p>
    <w:p w:rsidR="00D81BFB" w:rsidRPr="004C331E" w:rsidRDefault="00D81BFB" w:rsidP="00D81BFB">
      <w:pPr>
        <w:pStyle w:val="Inf4Normal"/>
        <w:ind w:left="1134" w:right="567"/>
        <w:rPr>
          <w:sz w:val="18"/>
          <w:szCs w:val="18"/>
        </w:rPr>
      </w:pPr>
      <w:r w:rsidRPr="004C331E">
        <w:rPr>
          <w:sz w:val="18"/>
          <w:szCs w:val="18"/>
        </w:rPr>
        <w:t>[…]</w:t>
      </w:r>
    </w:p>
    <w:p w:rsidR="00D81BFB" w:rsidRPr="004C331E" w:rsidRDefault="00D81BFB" w:rsidP="00D81BFB">
      <w:pPr>
        <w:pStyle w:val="Inf4Normal"/>
        <w:ind w:left="1134" w:right="567"/>
        <w:rPr>
          <w:sz w:val="18"/>
          <w:szCs w:val="18"/>
        </w:rPr>
      </w:pPr>
      <w:r w:rsidRPr="004C331E">
        <w:rPr>
          <w:sz w:val="18"/>
          <w:szCs w:val="18"/>
        </w:rPr>
        <w:t>b)</w:t>
      </w:r>
      <w:r w:rsidRPr="004C331E">
        <w:rPr>
          <w:sz w:val="18"/>
          <w:szCs w:val="18"/>
        </w:rPr>
        <w:tab/>
        <w:t>Innerhalb von acht Monaten nach Ende jeder Rechnungsperiode überreicht der Generalsekretär dem Rat den Finanzver</w:t>
      </w:r>
      <w:r w:rsidR="0059409A" w:rsidRPr="004C331E">
        <w:rPr>
          <w:sz w:val="18"/>
          <w:szCs w:val="18"/>
        </w:rPr>
        <w:t>waltungsbericht gemäß Regel 6.3</w:t>
      </w:r>
      <w:r w:rsidRPr="004C331E">
        <w:rPr>
          <w:sz w:val="18"/>
          <w:szCs w:val="18"/>
        </w:rPr>
        <w:t>.</w:t>
      </w:r>
      <w:r w:rsidR="0059409A" w:rsidRPr="004C331E">
        <w:rPr>
          <w:sz w:val="18"/>
          <w:szCs w:val="18"/>
        </w:rPr>
        <w:t>“</w:t>
      </w:r>
    </w:p>
    <w:p w:rsidR="00D81BFB" w:rsidRDefault="00D81BFB" w:rsidP="00BD5E7F">
      <w:pPr>
        <w:rPr>
          <w:snapToGrid w:val="0"/>
        </w:rPr>
      </w:pPr>
    </w:p>
    <w:p w:rsidR="00BD5E7F" w:rsidRPr="0059409A" w:rsidRDefault="00D81BFB" w:rsidP="00D81BFB">
      <w:pPr>
        <w:ind w:left="567"/>
        <w:rPr>
          <w:sz w:val="16"/>
        </w:rPr>
      </w:pPr>
      <w:bookmarkStart w:id="6" w:name="_Toc173661770"/>
      <w:bookmarkStart w:id="7" w:name="_Toc173748751"/>
      <w:bookmarkStart w:id="8" w:name="_Toc355190048"/>
      <w:r>
        <w:rPr>
          <w:sz w:val="18"/>
        </w:rPr>
        <w:t>„</w:t>
      </w:r>
      <w:r>
        <w:rPr>
          <w:b/>
          <w:sz w:val="18"/>
        </w:rPr>
        <w:t>Regel 6</w:t>
      </w:r>
      <w:bookmarkEnd w:id="6"/>
      <w:bookmarkEnd w:id="7"/>
      <w:bookmarkEnd w:id="8"/>
      <w:r>
        <w:rPr>
          <w:b/>
          <w:sz w:val="18"/>
        </w:rPr>
        <w:t>.7</w:t>
      </w:r>
    </w:p>
    <w:p w:rsidR="00E93B7E" w:rsidRDefault="00D81BFB" w:rsidP="00D81BFB">
      <w:pPr>
        <w:pStyle w:val="Inf4Normal"/>
        <w:ind w:left="567" w:right="567"/>
        <w:rPr>
          <w:sz w:val="18"/>
          <w:szCs w:val="18"/>
        </w:rPr>
      </w:pPr>
      <w:r>
        <w:rPr>
          <w:sz w:val="18"/>
        </w:rPr>
        <w:t>Nach der jährlichen Rechnungsprüfung und Überprüfung durch den Rat werden die Jahresabschlüsse und der Bericht des Externen Revisors allen interessierten</w:t>
      </w:r>
      <w:r w:rsidR="0059409A">
        <w:rPr>
          <w:sz w:val="18"/>
        </w:rPr>
        <w:t xml:space="preserve"> UPOV-Mitgliedern übermittelt. </w:t>
      </w:r>
      <w:r>
        <w:rPr>
          <w:sz w:val="18"/>
        </w:rPr>
        <w:t>Alle zwei Jahre wird der Finanzverwaltungsbericht nach Ende der zweijährigen Rechnungsperiode auch an alle interessierten UPOV-Mitglieder übermittelt.“</w:t>
      </w:r>
    </w:p>
    <w:p w:rsidR="00E93B7E" w:rsidRPr="00E93B7E" w:rsidRDefault="00E93B7E" w:rsidP="00E93B7E">
      <w:pPr>
        <w:pStyle w:val="Inf4Normal"/>
        <w:ind w:left="1418" w:right="1179"/>
        <w:rPr>
          <w:sz w:val="18"/>
          <w:szCs w:val="18"/>
        </w:rPr>
      </w:pPr>
    </w:p>
    <w:p w:rsidR="000F305E" w:rsidRDefault="00E93B7E" w:rsidP="000F305E">
      <w:pPr>
        <w:tabs>
          <w:tab w:val="left" w:pos="5387"/>
          <w:tab w:val="left" w:pos="5954"/>
        </w:tabs>
        <w:ind w:left="4820"/>
        <w:rPr>
          <w:i/>
        </w:rPr>
      </w:pPr>
      <w:r w:rsidRPr="00E043A9">
        <w:rPr>
          <w:i/>
        </w:rPr>
        <w:fldChar w:fldCharType="begin"/>
      </w:r>
      <w:r w:rsidRPr="00E043A9">
        <w:rPr>
          <w:i/>
        </w:rPr>
        <w:instrText xml:space="preserve"> AUTONUM  </w:instrText>
      </w:r>
      <w:r w:rsidRPr="00E043A9">
        <w:rPr>
          <w:i/>
        </w:rPr>
        <w:fldChar w:fldCharType="end"/>
      </w:r>
      <w:r>
        <w:tab/>
      </w:r>
      <w:r>
        <w:rPr>
          <w:i/>
        </w:rPr>
        <w:t>Der Rat wird ersucht, den Finanzverwaltungsbericht für die Rechnungsperiode 2012-2013 zu billigen.</w:t>
      </w:r>
    </w:p>
    <w:p w:rsidR="006C4E45" w:rsidRPr="00E043A9" w:rsidRDefault="006C4E45" w:rsidP="00D81BFB">
      <w:pPr>
        <w:tabs>
          <w:tab w:val="left" w:pos="5387"/>
          <w:tab w:val="left" w:pos="5954"/>
        </w:tabs>
        <w:ind w:left="4820" w:hanging="4820"/>
        <w:rPr>
          <w:i/>
        </w:rPr>
      </w:pPr>
    </w:p>
    <w:p w:rsidR="00C651CE" w:rsidRPr="00C651CE" w:rsidRDefault="00C651CE" w:rsidP="00C651CE"/>
    <w:p w:rsidR="000A68B4" w:rsidRPr="000A68B4" w:rsidRDefault="000A68B4" w:rsidP="000A68B4"/>
    <w:p w:rsidR="000F209C" w:rsidRDefault="0061555F" w:rsidP="005F05B6">
      <w:pPr>
        <w:jc w:val="right"/>
      </w:pPr>
      <w:r>
        <w:t>[Anlage folgt]</w:t>
      </w:r>
    </w:p>
    <w:p w:rsidR="005C7018" w:rsidRDefault="005C7018" w:rsidP="005C7018">
      <w:pPr>
        <w:jc w:val="center"/>
      </w:pPr>
    </w:p>
    <w:p w:rsidR="00A4653A" w:rsidRDefault="00A4653A" w:rsidP="005F05B6">
      <w:pPr>
        <w:jc w:val="right"/>
        <w:sectPr w:rsidR="00A4653A" w:rsidSect="00141316">
          <w:headerReference w:type="default" r:id="rId10"/>
          <w:footerReference w:type="first" r:id="rId11"/>
          <w:pgSz w:w="11907" w:h="16840" w:code="9"/>
          <w:pgMar w:top="510" w:right="1134" w:bottom="1134" w:left="1134" w:header="510" w:footer="680" w:gutter="0"/>
          <w:cols w:space="720"/>
          <w:titlePg/>
        </w:sectPr>
      </w:pPr>
    </w:p>
    <w:p w:rsidR="000F209C" w:rsidRDefault="000F209C" w:rsidP="00D81BFB"/>
    <w:p w:rsidR="00A4653A" w:rsidRDefault="00A4653A" w:rsidP="00D81BFB"/>
    <w:p w:rsidR="00A4653A" w:rsidRPr="00E44689" w:rsidRDefault="00A4653A" w:rsidP="00A4653A">
      <w:pPr>
        <w:jc w:val="center"/>
        <w:rPr>
          <w:b/>
        </w:rPr>
      </w:pPr>
      <w:r>
        <w:rPr>
          <w:b/>
          <w:snapToGrid w:val="0"/>
        </w:rPr>
        <w:t>INTERNATIONALER VERBAND ZUM SCHUTZ VON PFLANZENZÜCHTUNGEN</w:t>
      </w:r>
    </w:p>
    <w:p w:rsidR="00A4653A" w:rsidRDefault="00A4653A" w:rsidP="00A4653A">
      <w:pPr>
        <w:jc w:val="center"/>
      </w:pPr>
    </w:p>
    <w:p w:rsidR="00A4653A" w:rsidRDefault="00A4653A" w:rsidP="00A4653A">
      <w:pPr>
        <w:jc w:val="center"/>
      </w:pPr>
      <w:r>
        <w:t>Finanzverwaltungsbericht für die Rechnungsperiode 2012-13</w:t>
      </w:r>
    </w:p>
    <w:p w:rsidR="00A4653A" w:rsidRDefault="00A4653A" w:rsidP="00A4653A">
      <w:pPr>
        <w:jc w:val="center"/>
      </w:pPr>
    </w:p>
    <w:p w:rsidR="00A4653A" w:rsidRDefault="00A4653A" w:rsidP="00A4653A">
      <w:pPr>
        <w:jc w:val="center"/>
      </w:pPr>
    </w:p>
    <w:p w:rsidR="006603C1" w:rsidRDefault="006603C1" w:rsidP="002F4B84">
      <w:pPr>
        <w:tabs>
          <w:tab w:val="right" w:pos="9639"/>
        </w:tabs>
        <w:rPr>
          <w:b/>
        </w:rPr>
      </w:pPr>
    </w:p>
    <w:p w:rsidR="006603C1" w:rsidRDefault="006603C1" w:rsidP="002F4B84">
      <w:pPr>
        <w:tabs>
          <w:tab w:val="right" w:pos="9639"/>
        </w:tabs>
        <w:rPr>
          <w:b/>
        </w:rPr>
      </w:pPr>
    </w:p>
    <w:p w:rsidR="00140793" w:rsidRDefault="00140793" w:rsidP="00D81BFB">
      <w:pPr>
        <w:tabs>
          <w:tab w:val="right" w:pos="9639"/>
        </w:tabs>
      </w:pPr>
      <w:r>
        <w:rPr>
          <w:b/>
        </w:rPr>
        <w:t>INHALT</w:t>
      </w:r>
      <w:r>
        <w:tab/>
      </w:r>
      <w:r>
        <w:rPr>
          <w:rFonts w:ascii="Arial Bold" w:hAnsi="Arial Bold"/>
          <w:b/>
          <w:caps/>
        </w:rPr>
        <w:t>Seite</w:t>
      </w:r>
    </w:p>
    <w:p w:rsidR="002B4E59" w:rsidRDefault="002B4E59">
      <w:pPr>
        <w:jc w:val="left"/>
      </w:pPr>
    </w:p>
    <w:p w:rsidR="002B4E59" w:rsidRPr="002B4E59" w:rsidRDefault="002B4E59" w:rsidP="00D97C66">
      <w:pPr>
        <w:pStyle w:val="TOC1"/>
        <w:rPr>
          <w:rFonts w:asciiTheme="minorHAnsi" w:eastAsiaTheme="minorEastAsia" w:hAnsiTheme="minorHAnsi" w:cstheme="minorBidi"/>
          <w:sz w:val="22"/>
          <w:szCs w:val="22"/>
          <w:lang w:eastAsia="en-US" w:bidi="ar-SA"/>
        </w:rPr>
      </w:pPr>
      <w:r>
        <w:rPr>
          <w:rFonts w:asciiTheme="minorHAnsi" w:eastAsiaTheme="minorEastAsia" w:hAnsiTheme="minorHAnsi" w:cstheme="minorBidi"/>
          <w:sz w:val="22"/>
          <w:szCs w:val="22"/>
        </w:rPr>
        <w:fldChar w:fldCharType="begin"/>
      </w:r>
      <w:r>
        <w:rPr>
          <w:rFonts w:asciiTheme="minorHAnsi" w:eastAsiaTheme="minorEastAsia" w:hAnsiTheme="minorHAnsi" w:cstheme="minorBidi"/>
          <w:sz w:val="22"/>
          <w:szCs w:val="22"/>
        </w:rPr>
        <w:instrText xml:space="preserve"> TOC \o "1-5" \u </w:instrText>
      </w:r>
      <w:r>
        <w:rPr>
          <w:rFonts w:asciiTheme="minorHAnsi" w:eastAsiaTheme="minorEastAsia" w:hAnsiTheme="minorHAnsi" w:cstheme="minorBidi"/>
          <w:sz w:val="22"/>
          <w:szCs w:val="22"/>
        </w:rPr>
        <w:fldChar w:fldCharType="separate"/>
      </w:r>
      <w:r>
        <w:t>ZUSAMMENFASSUNG UND AUSWERTUNG DER ERGEBNISSE</w:t>
      </w:r>
      <w:r>
        <w:tab/>
      </w:r>
      <w:r>
        <w:fldChar w:fldCharType="begin"/>
      </w:r>
      <w:r>
        <w:instrText xml:space="preserve"> PAGEREF _Toc397086061 \h </w:instrText>
      </w:r>
      <w:r>
        <w:fldChar w:fldCharType="separate"/>
      </w:r>
      <w:r w:rsidR="003B24FC">
        <w:t>2</w:t>
      </w:r>
      <w:r>
        <w:fldChar w:fldCharType="end"/>
      </w:r>
    </w:p>
    <w:p w:rsidR="002B4E59" w:rsidRPr="002B4E59" w:rsidRDefault="002B4E59" w:rsidP="00D97C66">
      <w:pPr>
        <w:pStyle w:val="TOC3"/>
        <w:rPr>
          <w:rFonts w:asciiTheme="minorHAnsi" w:eastAsiaTheme="minorEastAsia" w:hAnsiTheme="minorHAnsi" w:cstheme="minorBidi"/>
          <w:sz w:val="22"/>
          <w:szCs w:val="22"/>
          <w:lang w:eastAsia="en-US" w:bidi="ar-SA"/>
        </w:rPr>
      </w:pPr>
      <w:r>
        <w:t>Tabelle 1. Einnahmen, Ausgaben und Reserve- und Betriebsmittelfonds für 2012/13</w:t>
      </w:r>
      <w:r>
        <w:tab/>
      </w:r>
      <w:r>
        <w:fldChar w:fldCharType="begin"/>
      </w:r>
      <w:r>
        <w:instrText xml:space="preserve"> PAGEREF _Toc397086062 \h </w:instrText>
      </w:r>
      <w:r>
        <w:fldChar w:fldCharType="separate"/>
      </w:r>
      <w:r w:rsidR="003B24FC">
        <w:t>2</w:t>
      </w:r>
      <w:r>
        <w:fldChar w:fldCharType="end"/>
      </w:r>
    </w:p>
    <w:p w:rsidR="002B4E59" w:rsidRPr="002B4E59" w:rsidRDefault="002B4E59" w:rsidP="00D97C66">
      <w:pPr>
        <w:pStyle w:val="TOC3"/>
        <w:rPr>
          <w:rFonts w:asciiTheme="minorHAnsi" w:eastAsiaTheme="minorEastAsia" w:hAnsiTheme="minorHAnsi" w:cstheme="minorBidi"/>
          <w:sz w:val="22"/>
          <w:szCs w:val="22"/>
          <w:lang w:eastAsia="en-US" w:bidi="ar-SA"/>
        </w:rPr>
      </w:pPr>
      <w:r>
        <w:t>Tabelle 2. 2012/13 veranschlagte und tatsächliche Einnahmen nach Quellen</w:t>
      </w:r>
      <w:r>
        <w:tab/>
      </w:r>
      <w:r>
        <w:fldChar w:fldCharType="begin"/>
      </w:r>
      <w:r>
        <w:instrText xml:space="preserve"> PAGEREF _Toc397086063 \h </w:instrText>
      </w:r>
      <w:r>
        <w:fldChar w:fldCharType="separate"/>
      </w:r>
      <w:r w:rsidR="003B24FC">
        <w:t>3</w:t>
      </w:r>
      <w:r>
        <w:fldChar w:fldCharType="end"/>
      </w:r>
    </w:p>
    <w:p w:rsidR="002B4E59" w:rsidRPr="002B4E59" w:rsidRDefault="002B4E59" w:rsidP="00D97C66">
      <w:pPr>
        <w:pStyle w:val="TOC3"/>
        <w:rPr>
          <w:rFonts w:asciiTheme="minorHAnsi" w:eastAsiaTheme="minorEastAsia" w:hAnsiTheme="minorHAnsi" w:cstheme="minorBidi"/>
          <w:sz w:val="22"/>
          <w:szCs w:val="22"/>
          <w:lang w:eastAsia="en-US" w:bidi="ar-SA"/>
        </w:rPr>
      </w:pPr>
      <w:r>
        <w:t>Tabelle 3. Für 2012/13 angenommener Haushaltsplan und Ausgaben nach Ausgabeposten</w:t>
      </w:r>
      <w:r>
        <w:tab/>
      </w:r>
      <w:r>
        <w:fldChar w:fldCharType="begin"/>
      </w:r>
      <w:r>
        <w:instrText xml:space="preserve"> PAGEREF _Toc397086064 \h </w:instrText>
      </w:r>
      <w:r>
        <w:fldChar w:fldCharType="separate"/>
      </w:r>
      <w:r w:rsidR="003B24FC">
        <w:t>4</w:t>
      </w:r>
      <w:r>
        <w:fldChar w:fldCharType="end"/>
      </w:r>
    </w:p>
    <w:p w:rsidR="002B4E59" w:rsidRPr="002B4E59" w:rsidRDefault="002B4E59" w:rsidP="00D97C66">
      <w:pPr>
        <w:pStyle w:val="TOC3"/>
        <w:rPr>
          <w:rFonts w:asciiTheme="minorHAnsi" w:eastAsiaTheme="minorEastAsia" w:hAnsiTheme="minorHAnsi" w:cstheme="minorBidi"/>
          <w:sz w:val="22"/>
          <w:szCs w:val="22"/>
          <w:lang w:eastAsia="en-US" w:bidi="ar-SA"/>
        </w:rPr>
      </w:pPr>
      <w:r>
        <w:t>Tabelle 4. Für 2012/13 angenommener Haushaltsplan und Ausgaben nach Unterprogrammen</w:t>
      </w:r>
      <w:r>
        <w:tab/>
      </w:r>
      <w:r>
        <w:fldChar w:fldCharType="begin"/>
      </w:r>
      <w:r>
        <w:instrText xml:space="preserve"> PAGEREF _Toc397086065 \h </w:instrText>
      </w:r>
      <w:r>
        <w:fldChar w:fldCharType="separate"/>
      </w:r>
      <w:r w:rsidR="003B24FC">
        <w:t>4</w:t>
      </w:r>
      <w:r>
        <w:fldChar w:fldCharType="end"/>
      </w:r>
    </w:p>
    <w:p w:rsidR="002B4E59" w:rsidRPr="002B4E59" w:rsidRDefault="002B4E59" w:rsidP="00D97C66">
      <w:pPr>
        <w:pStyle w:val="TOC3"/>
        <w:rPr>
          <w:rFonts w:asciiTheme="minorHAnsi" w:eastAsiaTheme="minorEastAsia" w:hAnsiTheme="minorHAnsi" w:cstheme="minorBidi"/>
          <w:sz w:val="22"/>
          <w:szCs w:val="22"/>
          <w:lang w:eastAsia="en-US" w:bidi="ar-SA"/>
        </w:rPr>
      </w:pPr>
      <w:r>
        <w:t>Tabelle 5. Einzelheiten der Ausgaben 2012/13 nach Unterprogrammen</w:t>
      </w:r>
      <w:r>
        <w:tab/>
      </w:r>
      <w:r>
        <w:fldChar w:fldCharType="begin"/>
      </w:r>
      <w:r>
        <w:instrText xml:space="preserve"> PAGEREF _Toc397086066 \h </w:instrText>
      </w:r>
      <w:r>
        <w:fldChar w:fldCharType="separate"/>
      </w:r>
      <w:r w:rsidR="003B24FC">
        <w:t>6</w:t>
      </w:r>
      <w:r>
        <w:fldChar w:fldCharType="end"/>
      </w:r>
    </w:p>
    <w:p w:rsidR="002B4E59" w:rsidRPr="002B4E59" w:rsidRDefault="002B4E59" w:rsidP="00D97C66">
      <w:pPr>
        <w:pStyle w:val="TOC3"/>
        <w:rPr>
          <w:rFonts w:asciiTheme="minorHAnsi" w:eastAsiaTheme="minorEastAsia" w:hAnsiTheme="minorHAnsi" w:cstheme="minorBidi"/>
          <w:sz w:val="22"/>
          <w:szCs w:val="22"/>
          <w:lang w:eastAsia="en-US" w:bidi="ar-SA"/>
        </w:rPr>
      </w:pPr>
      <w:r>
        <w:t>Tabelle 6. 2012/13 veranschlagte und tatsächliche Posten</w:t>
      </w:r>
      <w:r>
        <w:tab/>
      </w:r>
      <w:r>
        <w:fldChar w:fldCharType="begin"/>
      </w:r>
      <w:r>
        <w:instrText xml:space="preserve"> PAGEREF _Toc397086067 \h </w:instrText>
      </w:r>
      <w:r>
        <w:fldChar w:fldCharType="separate"/>
      </w:r>
      <w:r w:rsidR="003B24FC">
        <w:t>6</w:t>
      </w:r>
      <w:r>
        <w:fldChar w:fldCharType="end"/>
      </w:r>
    </w:p>
    <w:p w:rsidR="002B4E59" w:rsidRPr="002B4E59" w:rsidRDefault="002B4E59" w:rsidP="00D97C66">
      <w:pPr>
        <w:pStyle w:val="TOC3"/>
        <w:rPr>
          <w:rFonts w:asciiTheme="minorHAnsi" w:eastAsiaTheme="minorEastAsia" w:hAnsiTheme="minorHAnsi" w:cstheme="minorBidi"/>
          <w:sz w:val="22"/>
          <w:szCs w:val="22"/>
          <w:lang w:eastAsia="en-US" w:bidi="ar-SA"/>
        </w:rPr>
      </w:pPr>
      <w:r>
        <w:t>Tabelle 7. Entwicklung der tatsächlichen Einnahmen und Ausgaben im Zeitraum 2008-2013</w:t>
      </w:r>
      <w:r>
        <w:tab/>
      </w:r>
      <w:r>
        <w:fldChar w:fldCharType="begin"/>
      </w:r>
      <w:r>
        <w:instrText xml:space="preserve"> PAGEREF _Toc397086068 \h </w:instrText>
      </w:r>
      <w:r>
        <w:fldChar w:fldCharType="separate"/>
      </w:r>
      <w:r w:rsidR="003B24FC">
        <w:t>7</w:t>
      </w:r>
      <w:r>
        <w:fldChar w:fldCharType="end"/>
      </w:r>
    </w:p>
    <w:p w:rsidR="002B4E59" w:rsidRPr="002B4E59" w:rsidRDefault="002B4E59" w:rsidP="00D97C66">
      <w:pPr>
        <w:pStyle w:val="TOC1"/>
        <w:rPr>
          <w:rFonts w:asciiTheme="minorHAnsi" w:eastAsiaTheme="minorEastAsia" w:hAnsiTheme="minorHAnsi" w:cstheme="minorBidi"/>
          <w:sz w:val="22"/>
          <w:szCs w:val="22"/>
          <w:lang w:eastAsia="en-US" w:bidi="ar-SA"/>
        </w:rPr>
      </w:pPr>
      <w:r>
        <w:t>ANLAGEN</w:t>
      </w:r>
      <w:r>
        <w:tab/>
      </w:r>
      <w:r>
        <w:fldChar w:fldCharType="begin"/>
      </w:r>
      <w:r>
        <w:instrText xml:space="preserve"> PAGEREF _Toc397086069 \h </w:instrText>
      </w:r>
      <w:r>
        <w:fldChar w:fldCharType="separate"/>
      </w:r>
      <w:r w:rsidR="003B24FC">
        <w:t>8</w:t>
      </w:r>
      <w:r>
        <w:fldChar w:fldCharType="end"/>
      </w:r>
    </w:p>
    <w:p w:rsidR="002B4E59" w:rsidRPr="002B4E59" w:rsidRDefault="002B4E59" w:rsidP="00D97C66">
      <w:pPr>
        <w:pStyle w:val="TOC1"/>
        <w:rPr>
          <w:rFonts w:asciiTheme="minorHAnsi" w:eastAsiaTheme="minorEastAsia" w:hAnsiTheme="minorHAnsi" w:cstheme="minorBidi"/>
          <w:sz w:val="22"/>
          <w:szCs w:val="22"/>
          <w:lang w:eastAsia="en-US" w:bidi="ar-SA"/>
        </w:rPr>
      </w:pPr>
      <w:r>
        <w:t>JAHRESABSCHLUSS</w:t>
      </w:r>
      <w:r>
        <w:tab/>
      </w:r>
      <w:r>
        <w:fldChar w:fldCharType="begin"/>
      </w:r>
      <w:r>
        <w:instrText xml:space="preserve"> PAGEREF _Toc397086070 \h </w:instrText>
      </w:r>
      <w:r>
        <w:fldChar w:fldCharType="separate"/>
      </w:r>
      <w:r w:rsidR="003B24FC">
        <w:t>9</w:t>
      </w:r>
      <w:r>
        <w:fldChar w:fldCharType="end"/>
      </w:r>
    </w:p>
    <w:p w:rsidR="002B4E59" w:rsidRPr="002B4E59" w:rsidRDefault="002B4E59">
      <w:pPr>
        <w:pStyle w:val="TOC4"/>
        <w:rPr>
          <w:rFonts w:asciiTheme="minorHAnsi" w:eastAsiaTheme="minorEastAsia" w:hAnsiTheme="minorHAnsi" w:cstheme="minorBidi"/>
          <w:sz w:val="22"/>
          <w:szCs w:val="22"/>
          <w:lang w:eastAsia="en-US" w:bidi="ar-SA"/>
        </w:rPr>
      </w:pPr>
      <w:r>
        <w:t>Darstellung der Finanzlage</w:t>
      </w:r>
      <w:r>
        <w:tab/>
      </w:r>
      <w:r>
        <w:fldChar w:fldCharType="begin"/>
      </w:r>
      <w:r>
        <w:instrText xml:space="preserve"> PAGEREF _Toc397086071 \h </w:instrText>
      </w:r>
      <w:r>
        <w:fldChar w:fldCharType="separate"/>
      </w:r>
      <w:r w:rsidR="003B24FC">
        <w:t>11</w:t>
      </w:r>
      <w:r>
        <w:fldChar w:fldCharType="end"/>
      </w:r>
    </w:p>
    <w:p w:rsidR="002B4E59" w:rsidRPr="002B4E59" w:rsidRDefault="002B4E59">
      <w:pPr>
        <w:pStyle w:val="TOC4"/>
        <w:rPr>
          <w:rFonts w:asciiTheme="minorHAnsi" w:eastAsiaTheme="minorEastAsia" w:hAnsiTheme="minorHAnsi" w:cstheme="minorBidi"/>
          <w:sz w:val="22"/>
          <w:szCs w:val="22"/>
          <w:lang w:eastAsia="en-US" w:bidi="ar-SA"/>
        </w:rPr>
      </w:pPr>
      <w:r>
        <w:t>Darstellung der Erfolgsrechnung</w:t>
      </w:r>
      <w:r>
        <w:tab/>
      </w:r>
      <w:r>
        <w:fldChar w:fldCharType="begin"/>
      </w:r>
      <w:r>
        <w:instrText xml:space="preserve"> PAGEREF _Toc397086072 \h </w:instrText>
      </w:r>
      <w:r>
        <w:fldChar w:fldCharType="separate"/>
      </w:r>
      <w:r w:rsidR="003B24FC">
        <w:t>12</w:t>
      </w:r>
      <w:r>
        <w:fldChar w:fldCharType="end"/>
      </w:r>
    </w:p>
    <w:p w:rsidR="002B4E59" w:rsidRPr="002B4E59" w:rsidRDefault="002B4E59">
      <w:pPr>
        <w:pStyle w:val="TOC4"/>
        <w:rPr>
          <w:rFonts w:asciiTheme="minorHAnsi" w:eastAsiaTheme="minorEastAsia" w:hAnsiTheme="minorHAnsi" w:cstheme="minorBidi"/>
          <w:sz w:val="22"/>
          <w:szCs w:val="22"/>
          <w:lang w:eastAsia="en-US" w:bidi="ar-SA"/>
        </w:rPr>
      </w:pPr>
      <w:r>
        <w:t>Darstellung der Entwicklungen des Nettovermögens</w:t>
      </w:r>
      <w:r>
        <w:tab/>
      </w:r>
      <w:r>
        <w:fldChar w:fldCharType="begin"/>
      </w:r>
      <w:r>
        <w:instrText xml:space="preserve"> PAGEREF _Toc397086073 \h </w:instrText>
      </w:r>
      <w:r>
        <w:fldChar w:fldCharType="separate"/>
      </w:r>
      <w:r w:rsidR="003B24FC">
        <w:t>13</w:t>
      </w:r>
      <w:r>
        <w:fldChar w:fldCharType="end"/>
      </w:r>
    </w:p>
    <w:p w:rsidR="002B4E59" w:rsidRPr="002B4E59" w:rsidRDefault="002B4E59">
      <w:pPr>
        <w:pStyle w:val="TOC4"/>
        <w:rPr>
          <w:rFonts w:asciiTheme="minorHAnsi" w:eastAsiaTheme="minorEastAsia" w:hAnsiTheme="minorHAnsi" w:cstheme="minorBidi"/>
          <w:sz w:val="22"/>
          <w:szCs w:val="22"/>
          <w:lang w:eastAsia="en-US" w:bidi="ar-SA"/>
        </w:rPr>
      </w:pPr>
      <w:r>
        <w:t>Darstellung der Kapitalflußrechnung</w:t>
      </w:r>
      <w:r>
        <w:tab/>
      </w:r>
      <w:r>
        <w:fldChar w:fldCharType="begin"/>
      </w:r>
      <w:r>
        <w:instrText xml:space="preserve"> PAGEREF _Toc397086074 \h </w:instrText>
      </w:r>
      <w:r>
        <w:fldChar w:fldCharType="separate"/>
      </w:r>
      <w:r w:rsidR="003B24FC">
        <w:t>14</w:t>
      </w:r>
      <w:r>
        <w:fldChar w:fldCharType="end"/>
      </w:r>
    </w:p>
    <w:p w:rsidR="002B4E59" w:rsidRPr="002B4E59" w:rsidRDefault="002B4E59">
      <w:pPr>
        <w:pStyle w:val="TOC4"/>
        <w:rPr>
          <w:rFonts w:asciiTheme="minorHAnsi" w:eastAsiaTheme="minorEastAsia" w:hAnsiTheme="minorHAnsi" w:cstheme="minorBidi"/>
          <w:sz w:val="22"/>
          <w:szCs w:val="22"/>
          <w:lang w:eastAsia="en-US" w:bidi="ar-SA"/>
        </w:rPr>
      </w:pPr>
      <w:r>
        <w:t>Darstellung der Gegenüberstellung von budgetierten und tatsächlichen Beträgen</w:t>
      </w:r>
      <w:r>
        <w:tab/>
      </w:r>
      <w:r>
        <w:fldChar w:fldCharType="begin"/>
      </w:r>
      <w:r>
        <w:instrText xml:space="preserve"> PAGEREF _Toc397086075 \h </w:instrText>
      </w:r>
      <w:r>
        <w:fldChar w:fldCharType="separate"/>
      </w:r>
      <w:r w:rsidR="003B24FC">
        <w:t>15</w:t>
      </w:r>
      <w:r>
        <w:fldChar w:fldCharType="end"/>
      </w:r>
    </w:p>
    <w:p w:rsidR="002B4E59" w:rsidRPr="002B4E59" w:rsidRDefault="002B4E59">
      <w:pPr>
        <w:pStyle w:val="TOC4"/>
        <w:rPr>
          <w:rFonts w:asciiTheme="minorHAnsi" w:eastAsiaTheme="minorEastAsia" w:hAnsiTheme="minorHAnsi" w:cstheme="minorBidi"/>
          <w:sz w:val="22"/>
          <w:szCs w:val="22"/>
          <w:lang w:eastAsia="en-US" w:bidi="ar-SA"/>
        </w:rPr>
      </w:pPr>
      <w:r>
        <w:t>Analyse der Darstellung der Finanzlage</w:t>
      </w:r>
      <w:r>
        <w:tab/>
      </w:r>
      <w:r>
        <w:fldChar w:fldCharType="begin"/>
      </w:r>
      <w:r>
        <w:instrText xml:space="preserve"> PAGEREF _Toc397086076 \h </w:instrText>
      </w:r>
      <w:r>
        <w:fldChar w:fldCharType="separate"/>
      </w:r>
      <w:r w:rsidR="003B24FC">
        <w:t>16</w:t>
      </w:r>
      <w:r>
        <w:fldChar w:fldCharType="end"/>
      </w:r>
    </w:p>
    <w:p w:rsidR="002B4E59" w:rsidRPr="002B4E59" w:rsidRDefault="002B4E59">
      <w:pPr>
        <w:pStyle w:val="TOC4"/>
        <w:rPr>
          <w:rFonts w:asciiTheme="minorHAnsi" w:eastAsiaTheme="minorEastAsia" w:hAnsiTheme="minorHAnsi" w:cstheme="minorBidi"/>
          <w:sz w:val="22"/>
          <w:szCs w:val="22"/>
          <w:lang w:eastAsia="en-US" w:bidi="ar-SA"/>
        </w:rPr>
      </w:pPr>
      <w:r>
        <w:t>Analyse der Darstellung der Erfolgsrechnung</w:t>
      </w:r>
      <w:r>
        <w:tab/>
      </w:r>
      <w:r>
        <w:fldChar w:fldCharType="begin"/>
      </w:r>
      <w:r>
        <w:instrText xml:space="preserve"> PAGEREF _Toc397086077 \h </w:instrText>
      </w:r>
      <w:r>
        <w:fldChar w:fldCharType="separate"/>
      </w:r>
      <w:r w:rsidR="003B24FC">
        <w:t>20</w:t>
      </w:r>
      <w:r>
        <w:fldChar w:fldCharType="end"/>
      </w:r>
    </w:p>
    <w:p w:rsidR="002B4E59" w:rsidRPr="002B4E59" w:rsidRDefault="002B4E59" w:rsidP="00D97C66">
      <w:pPr>
        <w:pStyle w:val="TOC1"/>
        <w:rPr>
          <w:rFonts w:asciiTheme="minorHAnsi" w:eastAsiaTheme="minorEastAsia" w:hAnsiTheme="minorHAnsi" w:cstheme="minorBidi"/>
          <w:sz w:val="22"/>
          <w:szCs w:val="22"/>
          <w:lang w:eastAsia="en-US" w:bidi="ar-SA"/>
        </w:rPr>
      </w:pPr>
      <w:r>
        <w:t>BETRIEBSMITTELFONDS UND BEITRÄGE</w:t>
      </w:r>
      <w:r>
        <w:tab/>
      </w:r>
      <w:r>
        <w:fldChar w:fldCharType="begin"/>
      </w:r>
      <w:r>
        <w:instrText xml:space="preserve"> PAGEREF _Toc397086078 \h </w:instrText>
      </w:r>
      <w:r>
        <w:fldChar w:fldCharType="separate"/>
      </w:r>
      <w:r w:rsidR="003B24FC">
        <w:t>21</w:t>
      </w:r>
      <w:r>
        <w:fldChar w:fldCharType="end"/>
      </w:r>
    </w:p>
    <w:p w:rsidR="002B4E59" w:rsidRPr="002B4E59" w:rsidRDefault="002B4E59" w:rsidP="00D97C66">
      <w:pPr>
        <w:pStyle w:val="TOC5"/>
        <w:rPr>
          <w:rFonts w:asciiTheme="minorHAnsi" w:eastAsiaTheme="minorEastAsia" w:hAnsiTheme="minorHAnsi" w:cstheme="minorBidi"/>
          <w:sz w:val="22"/>
          <w:szCs w:val="22"/>
          <w:lang w:eastAsia="en-US" w:bidi="ar-SA"/>
        </w:rPr>
      </w:pPr>
      <w:r>
        <w:t>Betriebsmittelfonds zum 31. Dezember 2013</w:t>
      </w:r>
      <w:r>
        <w:tab/>
      </w:r>
      <w:r>
        <w:fldChar w:fldCharType="begin"/>
      </w:r>
      <w:r>
        <w:instrText xml:space="preserve"> PAGEREF _Toc397086079 \h </w:instrText>
      </w:r>
      <w:r>
        <w:fldChar w:fldCharType="separate"/>
      </w:r>
      <w:r w:rsidR="003B24FC">
        <w:t>21</w:t>
      </w:r>
      <w:r>
        <w:fldChar w:fldCharType="end"/>
      </w:r>
    </w:p>
    <w:p w:rsidR="002B4E59" w:rsidRPr="002B4E59" w:rsidRDefault="002B4E59" w:rsidP="00D97C66">
      <w:pPr>
        <w:pStyle w:val="TOC5"/>
        <w:rPr>
          <w:rFonts w:asciiTheme="minorHAnsi" w:eastAsiaTheme="minorEastAsia" w:hAnsiTheme="minorHAnsi" w:cstheme="minorBidi"/>
          <w:sz w:val="22"/>
          <w:szCs w:val="22"/>
          <w:lang w:eastAsia="en-US" w:bidi="ar-SA"/>
        </w:rPr>
      </w:pPr>
      <w:r>
        <w:t>Beiträge von Verbandsmitgliedern</w:t>
      </w:r>
      <w:r>
        <w:tab/>
      </w:r>
      <w:r>
        <w:fldChar w:fldCharType="begin"/>
      </w:r>
      <w:r>
        <w:instrText xml:space="preserve"> PAGEREF _Toc397086080 \h </w:instrText>
      </w:r>
      <w:r>
        <w:fldChar w:fldCharType="separate"/>
      </w:r>
      <w:r w:rsidR="003B24FC">
        <w:t>22</w:t>
      </w:r>
      <w:r>
        <w:fldChar w:fldCharType="end"/>
      </w:r>
    </w:p>
    <w:p w:rsidR="002B4E59" w:rsidRPr="002B4E59" w:rsidRDefault="002B4E59" w:rsidP="00D97C66">
      <w:pPr>
        <w:pStyle w:val="TOC5"/>
        <w:rPr>
          <w:rFonts w:asciiTheme="minorHAnsi" w:eastAsiaTheme="minorEastAsia" w:hAnsiTheme="minorHAnsi" w:cstheme="minorBidi"/>
          <w:sz w:val="22"/>
          <w:szCs w:val="22"/>
          <w:lang w:eastAsia="en-US" w:bidi="ar-SA"/>
        </w:rPr>
      </w:pPr>
      <w:r>
        <w:t>Im Voraus entrichtete Beiträge</w:t>
      </w:r>
      <w:r>
        <w:tab/>
      </w:r>
      <w:r>
        <w:fldChar w:fldCharType="begin"/>
      </w:r>
      <w:r>
        <w:instrText xml:space="preserve"> PAGEREF _Toc397086081 \h </w:instrText>
      </w:r>
      <w:r>
        <w:fldChar w:fldCharType="separate"/>
      </w:r>
      <w:r w:rsidR="003B24FC">
        <w:t>25</w:t>
      </w:r>
      <w:r>
        <w:fldChar w:fldCharType="end"/>
      </w:r>
    </w:p>
    <w:p w:rsidR="002B4E59" w:rsidRDefault="002B4E59" w:rsidP="00D97C66">
      <w:pPr>
        <w:pStyle w:val="TOC5"/>
        <w:rPr>
          <w:rFonts w:asciiTheme="minorHAnsi" w:eastAsiaTheme="minorEastAsia" w:hAnsiTheme="minorHAnsi" w:cstheme="minorBidi"/>
          <w:sz w:val="22"/>
          <w:szCs w:val="22"/>
          <w:lang w:val="en-US" w:eastAsia="en-US" w:bidi="ar-SA"/>
        </w:rPr>
      </w:pPr>
      <w:r>
        <w:t>Höhe der fälligen Beiträge und Betriebsmittel zum 31. Dezember 2013</w:t>
      </w:r>
      <w:r>
        <w:tab/>
      </w:r>
      <w:r>
        <w:fldChar w:fldCharType="begin"/>
      </w:r>
      <w:r>
        <w:instrText xml:space="preserve"> PAGEREF _Toc397086082 \h </w:instrText>
      </w:r>
      <w:r>
        <w:fldChar w:fldCharType="separate"/>
      </w:r>
      <w:r w:rsidR="003B24FC">
        <w:t>26</w:t>
      </w:r>
      <w:r>
        <w:fldChar w:fldCharType="end"/>
      </w:r>
    </w:p>
    <w:p w:rsidR="002B4E59" w:rsidRDefault="002B4E59" w:rsidP="00D97C66">
      <w:pPr>
        <w:pStyle w:val="TOC1"/>
        <w:rPr>
          <w:rFonts w:asciiTheme="minorHAnsi" w:eastAsiaTheme="minorEastAsia" w:hAnsiTheme="minorHAnsi" w:cstheme="minorBidi"/>
          <w:sz w:val="22"/>
          <w:szCs w:val="22"/>
          <w:lang w:val="en-US" w:eastAsia="en-US" w:bidi="ar-SA"/>
        </w:rPr>
      </w:pPr>
      <w:r>
        <w:t>Außeretatmäßige Mittel (Treuhandgelder)</w:t>
      </w:r>
      <w:r>
        <w:tab/>
      </w:r>
      <w:r>
        <w:fldChar w:fldCharType="begin"/>
      </w:r>
      <w:r>
        <w:instrText xml:space="preserve"> PAGEREF _Toc397086083 \h </w:instrText>
      </w:r>
      <w:r>
        <w:fldChar w:fldCharType="separate"/>
      </w:r>
      <w:r w:rsidR="003B24FC">
        <w:t>28</w:t>
      </w:r>
      <w:r>
        <w:fldChar w:fldCharType="end"/>
      </w:r>
    </w:p>
    <w:p w:rsidR="00D12AAF" w:rsidRDefault="002B4E59" w:rsidP="00D97C66">
      <w:pPr>
        <w:pStyle w:val="TOC1"/>
        <w:rPr>
          <w:rFonts w:eastAsiaTheme="minorEastAsia"/>
        </w:rPr>
      </w:pPr>
      <w:r>
        <w:rPr>
          <w:rFonts w:eastAsiaTheme="minorEastAsia"/>
        </w:rPr>
        <w:fldChar w:fldCharType="end"/>
      </w:r>
    </w:p>
    <w:p w:rsidR="0018246F" w:rsidRDefault="0018246F" w:rsidP="002F09F3">
      <w:pPr>
        <w:jc w:val="center"/>
      </w:pPr>
    </w:p>
    <w:p w:rsidR="0018246F" w:rsidRDefault="0018246F" w:rsidP="005C7018"/>
    <w:p w:rsidR="007A5B7C" w:rsidRDefault="007A5B7C" w:rsidP="005C7018">
      <w:pPr>
        <w:sectPr w:rsidR="007A5B7C" w:rsidSect="00141316">
          <w:head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917841" w:rsidRDefault="003D5268" w:rsidP="00D81BFB">
      <w:pPr>
        <w:pStyle w:val="Heading1"/>
        <w:jc w:val="both"/>
      </w:pPr>
      <w:bookmarkStart w:id="9" w:name="_Toc393377909"/>
      <w:bookmarkStart w:id="10" w:name="_Toc397085716"/>
      <w:bookmarkStart w:id="11" w:name="_Toc397086061"/>
      <w:r>
        <w:lastRenderedPageBreak/>
        <w:t>ZUSAMMENFASSUNG UND AUSWERTUNG DER ERGEBNISSE</w:t>
      </w:r>
      <w:bookmarkEnd w:id="9"/>
      <w:bookmarkEnd w:id="10"/>
      <w:bookmarkEnd w:id="11"/>
    </w:p>
    <w:p w:rsidR="003D5268" w:rsidRDefault="003D5268" w:rsidP="006360C1"/>
    <w:p w:rsidR="00917841" w:rsidRPr="00FC1403" w:rsidRDefault="00917841" w:rsidP="00D81BFB">
      <w:pPr>
        <w:spacing w:after="200" w:line="276" w:lineRule="auto"/>
        <w:rPr>
          <w:rFonts w:eastAsiaTheme="minorHAnsi" w:cs="Arial"/>
        </w:rPr>
      </w:pPr>
      <w:r w:rsidRPr="00FC1403">
        <w:rPr>
          <w:rFonts w:cs="Arial"/>
        </w:rPr>
        <w:t>Tabelle 1</w:t>
      </w:r>
      <w:r w:rsidRPr="00FC1403">
        <w:rPr>
          <w:rFonts w:eastAsiaTheme="minorHAnsi" w:cs="Arial"/>
          <w:vertAlign w:val="superscript"/>
        </w:rPr>
        <w:footnoteReference w:id="2"/>
      </w:r>
      <w:r w:rsidRPr="00FC1403">
        <w:rPr>
          <w:rFonts w:eastAsiaTheme="minorHAnsi" w:cs="Arial"/>
        </w:rPr>
        <w:t xml:space="preserve"> unten zeigt das Gesamthaushaltsergebnis für die UPOV in der Rechnungsperiode </w:t>
      </w:r>
      <w:r w:rsidRPr="00FC1403">
        <w:rPr>
          <w:rFonts w:cs="Arial"/>
        </w:rPr>
        <w:t>2012/13 sowie auch den Reserve- und den Betr</w:t>
      </w:r>
      <w:r w:rsidR="0059409A" w:rsidRPr="00FC1403">
        <w:rPr>
          <w:rFonts w:cs="Arial"/>
        </w:rPr>
        <w:t xml:space="preserve">iebsmittelfonds zum Ende 2013. </w:t>
      </w:r>
      <w:r w:rsidR="00FC1403">
        <w:rPr>
          <w:rFonts w:cs="Arial"/>
        </w:rPr>
        <w:t>Die H</w:t>
      </w:r>
      <w:r w:rsidRPr="00FC1403">
        <w:rPr>
          <w:rFonts w:cs="Arial"/>
        </w:rPr>
        <w:t xml:space="preserve">aushaltseinnahmen beliefen sich </w:t>
      </w:r>
      <w:r w:rsidR="00FC1403">
        <w:rPr>
          <w:rFonts w:cs="Arial"/>
        </w:rPr>
        <w:t xml:space="preserve">insgesamt </w:t>
      </w:r>
      <w:r w:rsidRPr="00FC1403">
        <w:rPr>
          <w:rFonts w:cs="Arial"/>
        </w:rPr>
        <w:t>auf 6,8 Millionen Schweizer Franken und die Gesamthaushaltsausgaben betrugen 6,3 Millionen Schweizer Franken, woraus sich ein Haushaltsergebnis von 0,5 Millionen Schweizer Franken für die Rec</w:t>
      </w:r>
      <w:r w:rsidR="0059409A" w:rsidRPr="00FC1403">
        <w:rPr>
          <w:rFonts w:cs="Arial"/>
        </w:rPr>
        <w:t xml:space="preserve">hnungsperiode 2012/13 ergibt. </w:t>
      </w:r>
      <w:r w:rsidRPr="00FC1403">
        <w:rPr>
          <w:rFonts w:cs="Arial"/>
        </w:rPr>
        <w:t xml:space="preserve">Dies steht dem im angenommenen Haushaltsplan 2012/13 veranschlagten </w:t>
      </w:r>
      <w:r w:rsidR="0059409A" w:rsidRPr="00FC1403">
        <w:rPr>
          <w:rFonts w:cs="Arial"/>
        </w:rPr>
        <w:t>Nettonullergebnis</w:t>
      </w:r>
      <w:r w:rsidRPr="00FC1403">
        <w:rPr>
          <w:rFonts w:cs="Arial"/>
        </w:rPr>
        <w:t xml:space="preserve"> gegenüber (vergleiche Dokument C/45/4 Rev.2 „Programm und Haushaltsplan für die Finanzperiode 2012-2013“).</w:t>
      </w:r>
    </w:p>
    <w:p w:rsidR="00917841" w:rsidRPr="00917841" w:rsidRDefault="00917841" w:rsidP="00D81BFB">
      <w:pPr>
        <w:spacing w:after="200" w:line="276" w:lineRule="auto"/>
        <w:rPr>
          <w:rFonts w:eastAsiaTheme="minorHAnsi" w:cs="Arial"/>
        </w:rPr>
      </w:pPr>
      <w:r>
        <w:t xml:space="preserve">Insgesamt beliefen sich der Reserve- und der Betriebsmittelfonds auf IPSAS-Grundlage auf 1,7 Millionen Schweizer Franken, was 1,2 Millionen Schweizer Franken des Reservefonds und 0,5 Millionen Schweizer Franken des Betriebsmittelfonds umfaßt.  </w:t>
      </w:r>
    </w:p>
    <w:p w:rsidR="00917841" w:rsidRPr="003D5268" w:rsidRDefault="00917841" w:rsidP="008518D2">
      <w:pPr>
        <w:pStyle w:val="Heading3"/>
      </w:pPr>
      <w:bookmarkStart w:id="12" w:name="_Toc397085717"/>
      <w:bookmarkStart w:id="13" w:name="_Toc397086062"/>
      <w:bookmarkStart w:id="14" w:name="_Toc393377910"/>
      <w:r>
        <w:t>Tabelle 1. Einnahmen, Ausgaben und Reserve- und Betriebsmittelfonds für 2012/13</w:t>
      </w:r>
      <w:bookmarkEnd w:id="12"/>
      <w:bookmarkEnd w:id="13"/>
      <w:r>
        <w:t xml:space="preserve"> </w:t>
      </w:r>
      <w:bookmarkEnd w:id="14"/>
    </w:p>
    <w:p w:rsidR="00917841" w:rsidRPr="00917841" w:rsidRDefault="00917841" w:rsidP="00917841">
      <w:pPr>
        <w:spacing w:after="200" w:line="276" w:lineRule="auto"/>
        <w:jc w:val="center"/>
        <w:rPr>
          <w:rFonts w:eastAsiaTheme="minorHAnsi" w:cs="Arial"/>
          <w:i/>
        </w:rPr>
      </w:pPr>
      <w:r>
        <w:rPr>
          <w:rFonts w:eastAsiaTheme="minorHAnsi"/>
          <w:i/>
        </w:rPr>
        <w:t>(in Tausend Schweizer Franken)</w:t>
      </w:r>
    </w:p>
    <w:p w:rsidR="004A4D0E" w:rsidRPr="00917841" w:rsidRDefault="009903F2" w:rsidP="00917841">
      <w:pPr>
        <w:spacing w:after="200" w:line="276" w:lineRule="auto"/>
        <w:jc w:val="center"/>
        <w:rPr>
          <w:rFonts w:asciiTheme="minorHAnsi" w:eastAsiaTheme="minorHAnsi" w:hAnsiTheme="minorHAnsi" w:cstheme="minorBidi"/>
          <w:i/>
          <w:sz w:val="22"/>
          <w:szCs w:val="22"/>
        </w:rPr>
      </w:pPr>
      <w:r w:rsidRPr="009903F2">
        <w:rPr>
          <w:rFonts w:eastAsiaTheme="minorHAnsi"/>
          <w:noProof/>
          <w:lang w:val="en-US" w:eastAsia="en-US" w:bidi="ar-SA"/>
        </w:rPr>
        <w:drawing>
          <wp:inline distT="0" distB="0" distL="0" distR="0" wp14:anchorId="060038E2" wp14:editId="5192E096">
            <wp:extent cx="5582285" cy="2243455"/>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2285" cy="2243455"/>
                    </a:xfrm>
                    <a:prstGeom prst="rect">
                      <a:avLst/>
                    </a:prstGeom>
                    <a:noFill/>
                    <a:ln>
                      <a:noFill/>
                    </a:ln>
                  </pic:spPr>
                </pic:pic>
              </a:graphicData>
            </a:graphic>
          </wp:inline>
        </w:drawing>
      </w:r>
    </w:p>
    <w:p w:rsidR="00917841" w:rsidRPr="00917841" w:rsidRDefault="009903F2" w:rsidP="00917841">
      <w:pPr>
        <w:spacing w:after="200" w:line="276" w:lineRule="auto"/>
        <w:jc w:val="center"/>
        <w:rPr>
          <w:rFonts w:asciiTheme="minorHAnsi" w:eastAsiaTheme="minorHAnsi" w:hAnsiTheme="minorHAnsi" w:cstheme="minorBidi"/>
          <w:i/>
          <w:sz w:val="22"/>
          <w:szCs w:val="22"/>
        </w:rPr>
      </w:pPr>
      <w:r>
        <w:rPr>
          <w:noProof/>
          <w:lang w:val="en-US" w:eastAsia="en-US" w:bidi="ar-SA"/>
        </w:rPr>
        <w:drawing>
          <wp:inline distT="0" distB="0" distL="0" distR="0" wp14:anchorId="0ABEB3F6" wp14:editId="510A9332">
            <wp:extent cx="4752975" cy="2743200"/>
            <wp:effectExtent l="0" t="0" r="0" b="0"/>
            <wp:docPr id="12" name="Diagram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7841" w:rsidRPr="00917841" w:rsidRDefault="00917841" w:rsidP="00917841">
      <w:pPr>
        <w:spacing w:after="200" w:line="276" w:lineRule="auto"/>
        <w:jc w:val="center"/>
        <w:rPr>
          <w:rFonts w:asciiTheme="minorHAnsi" w:eastAsiaTheme="minorHAnsi" w:hAnsiTheme="minorHAnsi" w:cstheme="minorBidi"/>
          <w:i/>
          <w:sz w:val="22"/>
          <w:szCs w:val="22"/>
        </w:rPr>
      </w:pPr>
    </w:p>
    <w:p w:rsidR="00917841" w:rsidRPr="00917841" w:rsidRDefault="00917841" w:rsidP="00D81BFB">
      <w:pPr>
        <w:spacing w:after="200" w:line="276" w:lineRule="auto"/>
      </w:pPr>
      <w:r>
        <w:lastRenderedPageBreak/>
        <w:t>Das tatsächliche Haushaltseinkommen belief sich in der Rechnungsperiode 2012/13 entsprechend dem veranschlagten Ziel auf 6,8 Millionen Schweizer Franken (Tabelle 2 unten)</w:t>
      </w:r>
      <w:r w:rsidR="0059409A">
        <w:t xml:space="preserve">. </w:t>
      </w:r>
      <w:r>
        <w:t>Die Einnahmen aus Beiträgen, die die größte Einzeleinnahmequelle darstellen (98% des Gesamtbetrags), lagen um 11 Tausend Schweizer Franken unter dem im Haushaltsplan veranschlagten Betrag</w:t>
      </w:r>
      <w:r w:rsidR="0059409A">
        <w:t xml:space="preserve">. </w:t>
      </w:r>
      <w:r>
        <w:t xml:space="preserve">In dem für 2012/13 angenommenen </w:t>
      </w:r>
      <w:r w:rsidR="00FC1403">
        <w:t>Haushaltsplan war man</w:t>
      </w:r>
      <w:r>
        <w:t xml:space="preserve"> von einem neuen Verbandsmitglied pro Jahr ausgegangen</w:t>
      </w:r>
      <w:r w:rsidR="0059409A">
        <w:t xml:space="preserve">. </w:t>
      </w:r>
      <w:r>
        <w:t>Allerdings ist in der Rechnungsperiode 2012/13 lediglich ein neues Verbandsmitglied hinzugekommen</w:t>
      </w:r>
      <w:r w:rsidR="0059409A">
        <w:t xml:space="preserve">. </w:t>
      </w:r>
      <w:r>
        <w:t>Die Einnahmen aus Veröffentlichungen lagen um 6 Tausend Schweizer Franken unter dem veranschlagten Betrag</w:t>
      </w:r>
      <w:r w:rsidR="0059409A">
        <w:t xml:space="preserve">. </w:t>
      </w:r>
      <w:r>
        <w:t>Die Mindereinnahmen sind auf den Ersatz der UPOV-ROM-Datenbank für Pflanzensorten mit ihren zahlenden Abonnenten durch die PLUTO-Datenbank, die für alle Nutzer kostenfrei ist, zurückzuführen</w:t>
      </w:r>
      <w:r w:rsidR="0059409A">
        <w:t xml:space="preserve">. </w:t>
      </w:r>
      <w:r>
        <w:t xml:space="preserve">Die Zinseinnahmen lagen </w:t>
      </w:r>
      <w:r w:rsidR="00FC1403">
        <w:t>um 41 Tausend</w:t>
      </w:r>
      <w:r>
        <w:t xml:space="preserve"> Schweizer Franken unter dem veranschlagten Betrag, da die Zinsen auf die bei der Schweizerischen Eidgenossenschaft hinterlegten Gelder geringer als erwartet ausfielen</w:t>
      </w:r>
      <w:r w:rsidR="0059409A">
        <w:t xml:space="preserve">. </w:t>
      </w:r>
      <w:r>
        <w:t>Die sonstigen Einnahmen lagen um 51 Tausend Schweizer Franken über dem veranschlagten Betrag</w:t>
      </w:r>
      <w:r w:rsidR="0059409A">
        <w:t>. Sonstige</w:t>
      </w:r>
      <w:r>
        <w:t xml:space="preserve"> Einnahmen </w:t>
      </w:r>
      <w:r w:rsidR="0059409A">
        <w:t>umfassen</w:t>
      </w:r>
      <w:r>
        <w:t xml:space="preserve"> administrative Unterstützungskosten im Rahmen der Treuhandfonds, Einnahmen durch die Teilnahmegebühren am UPOV-Fernlehrgang und Buchhaltungsberichtigungen für frühere Jahre. </w:t>
      </w:r>
    </w:p>
    <w:p w:rsidR="00917841" w:rsidRPr="00917841" w:rsidRDefault="00917841" w:rsidP="008518D2">
      <w:pPr>
        <w:pStyle w:val="Heading3"/>
      </w:pPr>
      <w:bookmarkStart w:id="15" w:name="_Toc393377911"/>
      <w:bookmarkStart w:id="16" w:name="_Toc397085718"/>
      <w:bookmarkStart w:id="17" w:name="_Toc397086063"/>
      <w:r>
        <w:t>Tabelle 2. 2012/13 veranschlagte und tatsächliche Einnahmen nach Quellen</w:t>
      </w:r>
      <w:bookmarkEnd w:id="15"/>
      <w:bookmarkEnd w:id="16"/>
      <w:bookmarkEnd w:id="17"/>
    </w:p>
    <w:p w:rsidR="00917841" w:rsidRPr="00917841" w:rsidRDefault="00917841" w:rsidP="00917841">
      <w:pPr>
        <w:spacing w:after="200" w:line="276" w:lineRule="auto"/>
        <w:jc w:val="center"/>
        <w:rPr>
          <w:rFonts w:eastAsiaTheme="minorHAnsi" w:cs="Arial"/>
          <w:i/>
        </w:rPr>
      </w:pPr>
      <w:r>
        <w:rPr>
          <w:rFonts w:eastAsiaTheme="minorHAnsi"/>
          <w:i/>
        </w:rPr>
        <w:t>(in Tausend Schweizer Franken)</w:t>
      </w:r>
    </w:p>
    <w:p w:rsidR="004A4D0E" w:rsidRPr="00917841" w:rsidRDefault="001F30A3" w:rsidP="00917841">
      <w:pPr>
        <w:spacing w:after="200" w:line="276" w:lineRule="auto"/>
        <w:jc w:val="center"/>
        <w:rPr>
          <w:rFonts w:asciiTheme="minorHAnsi" w:eastAsiaTheme="minorHAnsi" w:hAnsiTheme="minorHAnsi" w:cstheme="minorBidi"/>
          <w:b/>
          <w:sz w:val="22"/>
          <w:szCs w:val="22"/>
        </w:rPr>
      </w:pPr>
      <w:r w:rsidRPr="001F30A3">
        <w:rPr>
          <w:rFonts w:eastAsiaTheme="minorHAnsi"/>
          <w:noProof/>
          <w:lang w:val="en-US" w:eastAsia="en-US" w:bidi="ar-SA"/>
        </w:rPr>
        <w:drawing>
          <wp:inline distT="0" distB="0" distL="0" distR="0" wp14:anchorId="1DBDD329" wp14:editId="165A9840">
            <wp:extent cx="4625340" cy="1573530"/>
            <wp:effectExtent l="0" t="0" r="381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5340" cy="1573530"/>
                    </a:xfrm>
                    <a:prstGeom prst="rect">
                      <a:avLst/>
                    </a:prstGeom>
                    <a:noFill/>
                    <a:ln>
                      <a:noFill/>
                    </a:ln>
                  </pic:spPr>
                </pic:pic>
              </a:graphicData>
            </a:graphic>
          </wp:inline>
        </w:drawing>
      </w:r>
    </w:p>
    <w:p w:rsidR="00917841" w:rsidRPr="00917841" w:rsidRDefault="001F30A3" w:rsidP="00917841">
      <w:pPr>
        <w:spacing w:after="200" w:line="276" w:lineRule="auto"/>
        <w:jc w:val="center"/>
        <w:rPr>
          <w:rFonts w:asciiTheme="minorHAnsi" w:eastAsiaTheme="minorHAnsi" w:hAnsiTheme="minorHAnsi" w:cstheme="minorBidi"/>
          <w:b/>
          <w:sz w:val="22"/>
          <w:szCs w:val="22"/>
        </w:rPr>
      </w:pPr>
      <w:r>
        <w:rPr>
          <w:noProof/>
          <w:lang w:val="en-US" w:eastAsia="en-US" w:bidi="ar-SA"/>
        </w:rPr>
        <w:drawing>
          <wp:inline distT="0" distB="0" distL="0" distR="0" wp14:anchorId="2C8F8640" wp14:editId="191E052B">
            <wp:extent cx="4572000" cy="2743200"/>
            <wp:effectExtent l="0" t="0" r="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7841" w:rsidRPr="00917841" w:rsidRDefault="00917841" w:rsidP="00D81BFB">
      <w:pPr>
        <w:spacing w:after="200" w:line="276" w:lineRule="auto"/>
        <w:rPr>
          <w:rFonts w:asciiTheme="minorHAnsi" w:eastAsiaTheme="minorHAnsi" w:hAnsiTheme="minorHAnsi" w:cstheme="minorBidi"/>
          <w:sz w:val="22"/>
          <w:szCs w:val="22"/>
        </w:rPr>
      </w:pPr>
    </w:p>
    <w:p w:rsidR="00EE7438" w:rsidRPr="00EE7438" w:rsidRDefault="00917841" w:rsidP="00D81BFB">
      <w:pPr>
        <w:spacing w:after="200" w:line="276" w:lineRule="auto"/>
      </w:pPr>
      <w:r>
        <w:t xml:space="preserve">Vergleiche zwischen den tatsächlichen Haushaltsausgaben und dem für 2012/13 angenommenen Haushaltsplan sind unten in Tabelle 3 nach Kostenkategorien und Tabelle 4 nach Unterprogrammen dargestellt.   </w:t>
      </w:r>
    </w:p>
    <w:p w:rsidR="00EE7438" w:rsidRDefault="00EE7438" w:rsidP="00D81BFB">
      <w:pPr>
        <w:rPr>
          <w:rFonts w:asciiTheme="minorHAnsi" w:eastAsiaTheme="minorHAnsi" w:hAnsiTheme="minorHAnsi" w:cstheme="minorBidi"/>
          <w:sz w:val="22"/>
          <w:szCs w:val="22"/>
        </w:rPr>
      </w:pPr>
      <w:r>
        <w:br w:type="page"/>
      </w:r>
    </w:p>
    <w:p w:rsidR="00917841" w:rsidRPr="00917841" w:rsidRDefault="00917841" w:rsidP="008518D2">
      <w:pPr>
        <w:pStyle w:val="Heading3"/>
      </w:pPr>
      <w:bookmarkStart w:id="18" w:name="_Toc393377912"/>
      <w:bookmarkStart w:id="19" w:name="_Toc397085719"/>
      <w:bookmarkStart w:id="20" w:name="_Toc397086064"/>
      <w:r>
        <w:lastRenderedPageBreak/>
        <w:t xml:space="preserve">Tabelle 3. Für 2012/13 angenommener </w:t>
      </w:r>
      <w:r w:rsidR="0059409A">
        <w:t>Haushaltsplan</w:t>
      </w:r>
      <w:r>
        <w:t xml:space="preserve"> und Ausgaben nach Ausgabeposten</w:t>
      </w:r>
      <w:bookmarkEnd w:id="18"/>
      <w:bookmarkEnd w:id="19"/>
      <w:bookmarkEnd w:id="20"/>
    </w:p>
    <w:p w:rsidR="00917841" w:rsidRPr="00917841" w:rsidRDefault="00917841" w:rsidP="00917841">
      <w:pPr>
        <w:spacing w:after="200" w:line="276" w:lineRule="auto"/>
        <w:jc w:val="center"/>
        <w:rPr>
          <w:rFonts w:eastAsiaTheme="minorHAnsi" w:cs="Arial"/>
          <w:i/>
        </w:rPr>
      </w:pPr>
      <w:r>
        <w:rPr>
          <w:rFonts w:eastAsiaTheme="minorHAnsi"/>
          <w:i/>
        </w:rPr>
        <w:t>(in Tausend Schweizer Franken)</w:t>
      </w:r>
    </w:p>
    <w:tbl>
      <w:tblPr>
        <w:tblW w:w="9620" w:type="dxa"/>
        <w:tblInd w:w="55" w:type="dxa"/>
        <w:tblCellMar>
          <w:left w:w="70" w:type="dxa"/>
          <w:right w:w="70" w:type="dxa"/>
        </w:tblCellMar>
        <w:tblLook w:val="04A0" w:firstRow="1" w:lastRow="0" w:firstColumn="1" w:lastColumn="0" w:noHBand="0" w:noVBand="1"/>
      </w:tblPr>
      <w:tblGrid>
        <w:gridCol w:w="400"/>
        <w:gridCol w:w="4377"/>
        <w:gridCol w:w="1408"/>
        <w:gridCol w:w="1420"/>
        <w:gridCol w:w="1005"/>
        <w:gridCol w:w="1098"/>
      </w:tblGrid>
      <w:tr w:rsidR="00ED0869" w:rsidRPr="00ED0869" w:rsidTr="00ED0869">
        <w:trPr>
          <w:trHeight w:val="255"/>
        </w:trPr>
        <w:tc>
          <w:tcPr>
            <w:tcW w:w="400" w:type="dxa"/>
            <w:tcBorders>
              <w:top w:val="single" w:sz="4" w:space="0" w:color="auto"/>
              <w:left w:val="single" w:sz="4" w:space="0" w:color="auto"/>
              <w:bottom w:val="nil"/>
              <w:right w:val="nil"/>
            </w:tcBorders>
            <w:shd w:val="clear" w:color="000000" w:fill="D1FFA3"/>
            <w:noWrap/>
            <w:vAlign w:val="bottom"/>
            <w:hideMark/>
          </w:tcPr>
          <w:p w:rsidR="00ED0869" w:rsidRPr="00ED0869" w:rsidRDefault="00ED0869" w:rsidP="00ED0869">
            <w:pPr>
              <w:jc w:val="left"/>
              <w:rPr>
                <w:rFonts w:cs="Arial"/>
                <w:b/>
                <w:bCs/>
                <w:lang w:bidi="ar-SA"/>
              </w:rPr>
            </w:pPr>
            <w:r w:rsidRPr="00ED0869">
              <w:rPr>
                <w:rFonts w:cs="Arial"/>
                <w:b/>
                <w:bCs/>
                <w:lang w:bidi="ar-SA"/>
              </w:rPr>
              <w:t> </w:t>
            </w:r>
          </w:p>
        </w:tc>
        <w:tc>
          <w:tcPr>
            <w:tcW w:w="4377" w:type="dxa"/>
            <w:tcBorders>
              <w:top w:val="single" w:sz="4" w:space="0" w:color="auto"/>
              <w:left w:val="nil"/>
              <w:bottom w:val="nil"/>
              <w:right w:val="single" w:sz="4" w:space="0" w:color="auto"/>
            </w:tcBorders>
            <w:shd w:val="clear" w:color="000000" w:fill="D1FFA3"/>
            <w:noWrap/>
            <w:vAlign w:val="bottom"/>
            <w:hideMark/>
          </w:tcPr>
          <w:p w:rsidR="00ED0869" w:rsidRPr="00ED0869" w:rsidRDefault="00ED0869" w:rsidP="00ED0869">
            <w:pPr>
              <w:jc w:val="left"/>
              <w:rPr>
                <w:rFonts w:cs="Arial"/>
                <w:b/>
                <w:bCs/>
                <w:lang w:bidi="ar-SA"/>
              </w:rPr>
            </w:pPr>
            <w:r w:rsidRPr="00ED0869">
              <w:rPr>
                <w:rFonts w:cs="Arial"/>
                <w:b/>
                <w:bCs/>
                <w:lang w:bidi="ar-SA"/>
              </w:rPr>
              <w:t> </w:t>
            </w:r>
          </w:p>
        </w:tc>
        <w:tc>
          <w:tcPr>
            <w:tcW w:w="1320" w:type="dxa"/>
            <w:tcBorders>
              <w:top w:val="single" w:sz="4" w:space="0" w:color="auto"/>
              <w:left w:val="nil"/>
              <w:bottom w:val="nil"/>
              <w:right w:val="single" w:sz="4" w:space="0" w:color="auto"/>
            </w:tcBorders>
            <w:shd w:val="clear" w:color="000000" w:fill="D1FFA3"/>
            <w:noWrap/>
            <w:vAlign w:val="center"/>
            <w:hideMark/>
          </w:tcPr>
          <w:p w:rsidR="00ED0869" w:rsidRPr="00ED0869" w:rsidRDefault="00ED0869" w:rsidP="00ED0869">
            <w:pPr>
              <w:jc w:val="center"/>
              <w:rPr>
                <w:rFonts w:cs="Arial"/>
                <w:i/>
                <w:iCs/>
                <w:color w:val="000000"/>
                <w:lang w:bidi="ar-SA"/>
              </w:rPr>
            </w:pPr>
            <w:r w:rsidRPr="00ED0869">
              <w:rPr>
                <w:rFonts w:cs="Arial"/>
                <w:i/>
                <w:iCs/>
                <w:color w:val="000000"/>
                <w:lang w:bidi="ar-SA"/>
              </w:rPr>
              <w:t>2012/13</w:t>
            </w:r>
          </w:p>
        </w:tc>
        <w:tc>
          <w:tcPr>
            <w:tcW w:w="1420" w:type="dxa"/>
            <w:tcBorders>
              <w:top w:val="single" w:sz="4" w:space="0" w:color="auto"/>
              <w:left w:val="nil"/>
              <w:bottom w:val="nil"/>
              <w:right w:val="single" w:sz="4" w:space="0" w:color="auto"/>
            </w:tcBorders>
            <w:shd w:val="clear" w:color="000000" w:fill="D1FFA3"/>
            <w:noWrap/>
            <w:vAlign w:val="center"/>
            <w:hideMark/>
          </w:tcPr>
          <w:p w:rsidR="00ED0869" w:rsidRPr="00ED0869" w:rsidRDefault="00ED0869" w:rsidP="00ED0869">
            <w:pPr>
              <w:jc w:val="center"/>
              <w:rPr>
                <w:rFonts w:cs="Arial"/>
                <w:i/>
                <w:iCs/>
                <w:color w:val="000000"/>
                <w:lang w:bidi="ar-SA"/>
              </w:rPr>
            </w:pPr>
            <w:r w:rsidRPr="00ED0869">
              <w:rPr>
                <w:rFonts w:cs="Arial"/>
                <w:i/>
                <w:iCs/>
                <w:color w:val="000000"/>
                <w:lang w:bidi="ar-SA"/>
              </w:rPr>
              <w:t>2012/13</w:t>
            </w:r>
          </w:p>
        </w:tc>
        <w:tc>
          <w:tcPr>
            <w:tcW w:w="2103" w:type="dxa"/>
            <w:gridSpan w:val="2"/>
            <w:tcBorders>
              <w:top w:val="single" w:sz="4" w:space="0" w:color="auto"/>
              <w:left w:val="nil"/>
              <w:bottom w:val="single" w:sz="4" w:space="0" w:color="auto"/>
              <w:right w:val="single" w:sz="4" w:space="0" w:color="000000"/>
            </w:tcBorders>
            <w:shd w:val="clear" w:color="000000" w:fill="D1FFA3"/>
            <w:vAlign w:val="center"/>
            <w:hideMark/>
          </w:tcPr>
          <w:p w:rsidR="00ED0869" w:rsidRPr="00ED0869" w:rsidRDefault="00ED0869" w:rsidP="00ED0869">
            <w:pPr>
              <w:jc w:val="center"/>
              <w:rPr>
                <w:rFonts w:cs="Arial"/>
                <w:i/>
                <w:iCs/>
                <w:color w:val="000000"/>
                <w:lang w:bidi="ar-SA"/>
              </w:rPr>
            </w:pPr>
            <w:r w:rsidRPr="00ED0869">
              <w:rPr>
                <w:rFonts w:cs="Arial"/>
                <w:i/>
                <w:iCs/>
                <w:color w:val="000000"/>
                <w:lang w:bidi="ar-SA"/>
              </w:rPr>
              <w:t>Differenz</w:t>
            </w:r>
          </w:p>
        </w:tc>
      </w:tr>
      <w:tr w:rsidR="00ED0869" w:rsidRPr="00ED0869" w:rsidTr="00ED0869">
        <w:trPr>
          <w:trHeight w:val="255"/>
        </w:trPr>
        <w:tc>
          <w:tcPr>
            <w:tcW w:w="400" w:type="dxa"/>
            <w:tcBorders>
              <w:top w:val="nil"/>
              <w:left w:val="single" w:sz="4" w:space="0" w:color="auto"/>
              <w:bottom w:val="nil"/>
              <w:right w:val="nil"/>
            </w:tcBorders>
            <w:shd w:val="clear" w:color="000000" w:fill="D1FFA3"/>
            <w:noWrap/>
            <w:vAlign w:val="bottom"/>
            <w:hideMark/>
          </w:tcPr>
          <w:p w:rsidR="00ED0869" w:rsidRPr="00ED0869" w:rsidRDefault="00ED0869" w:rsidP="00ED0869">
            <w:pPr>
              <w:jc w:val="left"/>
              <w:rPr>
                <w:rFonts w:cs="Arial"/>
                <w:b/>
                <w:bCs/>
                <w:lang w:bidi="ar-SA"/>
              </w:rPr>
            </w:pPr>
            <w:r w:rsidRPr="00ED0869">
              <w:rPr>
                <w:rFonts w:cs="Arial"/>
                <w:b/>
                <w:bCs/>
                <w:lang w:bidi="ar-SA"/>
              </w:rPr>
              <w:t> </w:t>
            </w:r>
          </w:p>
        </w:tc>
        <w:tc>
          <w:tcPr>
            <w:tcW w:w="4377" w:type="dxa"/>
            <w:tcBorders>
              <w:top w:val="nil"/>
              <w:left w:val="nil"/>
              <w:bottom w:val="nil"/>
              <w:right w:val="single" w:sz="4" w:space="0" w:color="auto"/>
            </w:tcBorders>
            <w:shd w:val="clear" w:color="000000" w:fill="D1FFA3"/>
            <w:noWrap/>
            <w:vAlign w:val="bottom"/>
            <w:hideMark/>
          </w:tcPr>
          <w:p w:rsidR="00ED0869" w:rsidRPr="00ED0869" w:rsidRDefault="00ED0869" w:rsidP="00ED0869">
            <w:pPr>
              <w:jc w:val="left"/>
              <w:rPr>
                <w:rFonts w:cs="Arial"/>
                <w:b/>
                <w:bCs/>
                <w:i/>
                <w:iCs/>
                <w:lang w:bidi="ar-SA"/>
              </w:rPr>
            </w:pPr>
            <w:r w:rsidRPr="00ED0869">
              <w:rPr>
                <w:rFonts w:cs="Arial"/>
                <w:b/>
                <w:bCs/>
                <w:i/>
                <w:iCs/>
                <w:lang w:bidi="ar-SA"/>
              </w:rPr>
              <w:t> </w:t>
            </w:r>
          </w:p>
        </w:tc>
        <w:tc>
          <w:tcPr>
            <w:tcW w:w="1320" w:type="dxa"/>
            <w:tcBorders>
              <w:top w:val="nil"/>
              <w:left w:val="nil"/>
              <w:bottom w:val="nil"/>
              <w:right w:val="single" w:sz="4" w:space="0" w:color="auto"/>
            </w:tcBorders>
            <w:shd w:val="clear" w:color="000000" w:fill="D1FFA3"/>
            <w:noWrap/>
            <w:vAlign w:val="center"/>
            <w:hideMark/>
          </w:tcPr>
          <w:p w:rsidR="00ED0869" w:rsidRPr="00ED0869" w:rsidRDefault="00ED0869" w:rsidP="00ED0869">
            <w:pPr>
              <w:jc w:val="center"/>
              <w:rPr>
                <w:rFonts w:cs="Arial"/>
                <w:i/>
                <w:iCs/>
                <w:color w:val="000000"/>
                <w:lang w:bidi="ar-SA"/>
              </w:rPr>
            </w:pPr>
            <w:r w:rsidRPr="00ED0869">
              <w:rPr>
                <w:rFonts w:cs="Arial"/>
                <w:i/>
                <w:iCs/>
                <w:color w:val="000000"/>
                <w:lang w:bidi="ar-SA"/>
              </w:rPr>
              <w:t>Haushaltsplan</w:t>
            </w:r>
          </w:p>
        </w:tc>
        <w:tc>
          <w:tcPr>
            <w:tcW w:w="1420" w:type="dxa"/>
            <w:tcBorders>
              <w:top w:val="nil"/>
              <w:left w:val="nil"/>
              <w:bottom w:val="nil"/>
              <w:right w:val="single" w:sz="4" w:space="0" w:color="auto"/>
            </w:tcBorders>
            <w:shd w:val="clear" w:color="000000" w:fill="D1FFA3"/>
            <w:noWrap/>
            <w:vAlign w:val="center"/>
            <w:hideMark/>
          </w:tcPr>
          <w:p w:rsidR="00ED0869" w:rsidRPr="00ED0869" w:rsidRDefault="00ED0869" w:rsidP="00ED0869">
            <w:pPr>
              <w:jc w:val="center"/>
              <w:rPr>
                <w:rFonts w:cs="Arial"/>
                <w:i/>
                <w:iCs/>
                <w:color w:val="000000"/>
                <w:lang w:bidi="ar-SA"/>
              </w:rPr>
            </w:pPr>
            <w:r w:rsidRPr="00ED0869">
              <w:rPr>
                <w:rFonts w:cs="Arial"/>
                <w:i/>
                <w:iCs/>
                <w:color w:val="000000"/>
                <w:lang w:bidi="ar-SA"/>
              </w:rPr>
              <w:t>Ist</w:t>
            </w:r>
          </w:p>
        </w:tc>
        <w:tc>
          <w:tcPr>
            <w:tcW w:w="1005" w:type="dxa"/>
            <w:tcBorders>
              <w:top w:val="nil"/>
              <w:left w:val="nil"/>
              <w:bottom w:val="nil"/>
              <w:right w:val="single" w:sz="4" w:space="0" w:color="auto"/>
            </w:tcBorders>
            <w:shd w:val="clear" w:color="000000" w:fill="D1FFA3"/>
            <w:vAlign w:val="center"/>
            <w:hideMark/>
          </w:tcPr>
          <w:p w:rsidR="00ED0869" w:rsidRPr="00ED0869" w:rsidRDefault="00ED0869" w:rsidP="00ED0869">
            <w:pPr>
              <w:jc w:val="center"/>
              <w:rPr>
                <w:rFonts w:cs="Arial"/>
                <w:i/>
                <w:iCs/>
                <w:color w:val="000000"/>
                <w:lang w:bidi="ar-SA"/>
              </w:rPr>
            </w:pPr>
            <w:r w:rsidRPr="00ED0869">
              <w:rPr>
                <w:rFonts w:cs="Arial"/>
                <w:i/>
                <w:iCs/>
                <w:color w:val="000000"/>
                <w:lang w:bidi="ar-SA"/>
              </w:rPr>
              <w:t>Betrag</w:t>
            </w:r>
          </w:p>
        </w:tc>
        <w:tc>
          <w:tcPr>
            <w:tcW w:w="1098" w:type="dxa"/>
            <w:tcBorders>
              <w:top w:val="nil"/>
              <w:left w:val="nil"/>
              <w:bottom w:val="nil"/>
              <w:right w:val="single" w:sz="4" w:space="0" w:color="auto"/>
            </w:tcBorders>
            <w:shd w:val="clear" w:color="000000" w:fill="D1FFA3"/>
            <w:vAlign w:val="center"/>
            <w:hideMark/>
          </w:tcPr>
          <w:p w:rsidR="00ED0869" w:rsidRPr="00ED0869" w:rsidRDefault="00ED0869" w:rsidP="00ED0869">
            <w:pPr>
              <w:jc w:val="center"/>
              <w:rPr>
                <w:rFonts w:cs="Arial"/>
                <w:i/>
                <w:iCs/>
                <w:color w:val="000000"/>
                <w:lang w:bidi="ar-SA"/>
              </w:rPr>
            </w:pPr>
            <w:r w:rsidRPr="00ED0869">
              <w:rPr>
                <w:rFonts w:cs="Arial"/>
                <w:i/>
                <w:iCs/>
                <w:color w:val="000000"/>
                <w:lang w:bidi="ar-SA"/>
              </w:rPr>
              <w:t>Prozent</w:t>
            </w:r>
          </w:p>
        </w:tc>
      </w:tr>
      <w:tr w:rsidR="00ED0869" w:rsidRPr="00ED0869" w:rsidTr="00ED0869">
        <w:trPr>
          <w:trHeight w:val="255"/>
        </w:trPr>
        <w:tc>
          <w:tcPr>
            <w:tcW w:w="400" w:type="dxa"/>
            <w:tcBorders>
              <w:top w:val="nil"/>
              <w:left w:val="single" w:sz="4" w:space="0" w:color="auto"/>
              <w:bottom w:val="single" w:sz="4" w:space="0" w:color="auto"/>
              <w:right w:val="nil"/>
            </w:tcBorders>
            <w:shd w:val="clear" w:color="000000" w:fill="D1FFA3"/>
            <w:noWrap/>
            <w:vAlign w:val="bottom"/>
            <w:hideMark/>
          </w:tcPr>
          <w:p w:rsidR="00ED0869" w:rsidRPr="00ED0869" w:rsidRDefault="00ED0869" w:rsidP="00ED0869">
            <w:pPr>
              <w:jc w:val="left"/>
              <w:rPr>
                <w:rFonts w:cs="Arial"/>
                <w:b/>
                <w:bCs/>
                <w:lang w:bidi="ar-SA"/>
              </w:rPr>
            </w:pPr>
            <w:r w:rsidRPr="00ED0869">
              <w:rPr>
                <w:rFonts w:cs="Arial"/>
                <w:b/>
                <w:bCs/>
                <w:lang w:bidi="ar-SA"/>
              </w:rPr>
              <w:t> </w:t>
            </w:r>
          </w:p>
        </w:tc>
        <w:tc>
          <w:tcPr>
            <w:tcW w:w="4377" w:type="dxa"/>
            <w:tcBorders>
              <w:top w:val="nil"/>
              <w:left w:val="nil"/>
              <w:bottom w:val="single" w:sz="4" w:space="0" w:color="auto"/>
              <w:right w:val="single" w:sz="4" w:space="0" w:color="auto"/>
            </w:tcBorders>
            <w:shd w:val="clear" w:color="000000" w:fill="D1FFA3"/>
            <w:noWrap/>
            <w:vAlign w:val="bottom"/>
            <w:hideMark/>
          </w:tcPr>
          <w:p w:rsidR="00ED0869" w:rsidRPr="00ED0869" w:rsidRDefault="00ED0869" w:rsidP="00ED0869">
            <w:pPr>
              <w:jc w:val="left"/>
              <w:rPr>
                <w:rFonts w:cs="Arial"/>
                <w:b/>
                <w:bCs/>
                <w:lang w:bidi="ar-SA"/>
              </w:rPr>
            </w:pPr>
            <w:r w:rsidRPr="00ED0869">
              <w:rPr>
                <w:rFonts w:cs="Arial"/>
                <w:b/>
                <w:bCs/>
                <w:lang w:bidi="ar-SA"/>
              </w:rPr>
              <w:t> </w:t>
            </w:r>
          </w:p>
        </w:tc>
        <w:tc>
          <w:tcPr>
            <w:tcW w:w="1320" w:type="dxa"/>
            <w:tcBorders>
              <w:top w:val="nil"/>
              <w:left w:val="nil"/>
              <w:bottom w:val="single" w:sz="4" w:space="0" w:color="auto"/>
              <w:right w:val="single" w:sz="4" w:space="0" w:color="auto"/>
            </w:tcBorders>
            <w:shd w:val="clear" w:color="000000" w:fill="D1FFA3"/>
            <w:noWrap/>
            <w:vAlign w:val="bottom"/>
            <w:hideMark/>
          </w:tcPr>
          <w:p w:rsidR="00ED0869" w:rsidRPr="00ED0869" w:rsidRDefault="00ED0869" w:rsidP="00ED0869">
            <w:pPr>
              <w:jc w:val="right"/>
              <w:rPr>
                <w:rFonts w:cs="Arial"/>
                <w:b/>
                <w:bCs/>
                <w:lang w:bidi="ar-SA"/>
              </w:rPr>
            </w:pPr>
            <w:r w:rsidRPr="00ED0869">
              <w:rPr>
                <w:rFonts w:cs="Arial"/>
                <w:b/>
                <w:bCs/>
                <w:lang w:bidi="ar-SA"/>
              </w:rPr>
              <w:t> </w:t>
            </w:r>
          </w:p>
        </w:tc>
        <w:tc>
          <w:tcPr>
            <w:tcW w:w="1420" w:type="dxa"/>
            <w:tcBorders>
              <w:top w:val="nil"/>
              <w:left w:val="nil"/>
              <w:bottom w:val="single" w:sz="4" w:space="0" w:color="auto"/>
              <w:right w:val="single" w:sz="4" w:space="0" w:color="auto"/>
            </w:tcBorders>
            <w:shd w:val="clear" w:color="000000" w:fill="D1FFA3"/>
            <w:noWrap/>
            <w:vAlign w:val="bottom"/>
            <w:hideMark/>
          </w:tcPr>
          <w:p w:rsidR="00ED0869" w:rsidRPr="00ED0869" w:rsidRDefault="00ED0869" w:rsidP="00ED0869">
            <w:pPr>
              <w:jc w:val="left"/>
              <w:rPr>
                <w:rFonts w:cs="Arial"/>
                <w:lang w:bidi="ar-SA"/>
              </w:rPr>
            </w:pPr>
            <w:r w:rsidRPr="00ED0869">
              <w:rPr>
                <w:rFonts w:cs="Arial"/>
                <w:lang w:bidi="ar-SA"/>
              </w:rPr>
              <w:t> </w:t>
            </w:r>
          </w:p>
        </w:tc>
        <w:tc>
          <w:tcPr>
            <w:tcW w:w="1005" w:type="dxa"/>
            <w:tcBorders>
              <w:top w:val="nil"/>
              <w:left w:val="nil"/>
              <w:bottom w:val="single" w:sz="4" w:space="0" w:color="auto"/>
              <w:right w:val="single" w:sz="4" w:space="0" w:color="auto"/>
            </w:tcBorders>
            <w:shd w:val="clear" w:color="000000" w:fill="D1FFA3"/>
            <w:noWrap/>
            <w:vAlign w:val="bottom"/>
            <w:hideMark/>
          </w:tcPr>
          <w:p w:rsidR="00ED0869" w:rsidRPr="00ED0869" w:rsidRDefault="00ED0869" w:rsidP="00ED0869">
            <w:pPr>
              <w:jc w:val="left"/>
              <w:rPr>
                <w:rFonts w:cs="Arial"/>
                <w:lang w:bidi="ar-SA"/>
              </w:rPr>
            </w:pPr>
            <w:r w:rsidRPr="00ED0869">
              <w:rPr>
                <w:rFonts w:cs="Arial"/>
                <w:lang w:bidi="ar-SA"/>
              </w:rPr>
              <w:t> </w:t>
            </w:r>
          </w:p>
        </w:tc>
        <w:tc>
          <w:tcPr>
            <w:tcW w:w="1098" w:type="dxa"/>
            <w:tcBorders>
              <w:top w:val="nil"/>
              <w:left w:val="nil"/>
              <w:bottom w:val="single" w:sz="4" w:space="0" w:color="auto"/>
              <w:right w:val="single" w:sz="4" w:space="0" w:color="auto"/>
            </w:tcBorders>
            <w:shd w:val="clear" w:color="000000" w:fill="D1FFA3"/>
            <w:noWrap/>
            <w:vAlign w:val="bottom"/>
            <w:hideMark/>
          </w:tcPr>
          <w:p w:rsidR="00ED0869" w:rsidRPr="00ED0869" w:rsidRDefault="00ED0869" w:rsidP="00ED0869">
            <w:pPr>
              <w:jc w:val="left"/>
              <w:rPr>
                <w:rFonts w:cs="Arial"/>
                <w:lang w:bidi="ar-SA"/>
              </w:rPr>
            </w:pPr>
            <w:r w:rsidRPr="00ED0869">
              <w:rPr>
                <w:rFonts w:cs="Arial"/>
                <w:lang w:bidi="ar-SA"/>
              </w:rPr>
              <w:t> </w:t>
            </w:r>
          </w:p>
        </w:tc>
      </w:tr>
      <w:tr w:rsidR="00ED0869" w:rsidRPr="00ED0869" w:rsidTr="00ED0869">
        <w:trPr>
          <w:trHeight w:val="510"/>
        </w:trPr>
        <w:tc>
          <w:tcPr>
            <w:tcW w:w="4777" w:type="dxa"/>
            <w:gridSpan w:val="2"/>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r w:rsidRPr="00ED0869">
              <w:rPr>
                <w:rFonts w:cs="Arial"/>
                <w:b/>
                <w:bCs/>
                <w:lang w:bidi="ar-SA"/>
              </w:rPr>
              <w:t>A.  Personalkosten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Posten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4.382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3.385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-997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-23%</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Befristete Stellen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160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663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503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315%</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r w:rsidRPr="00ED0869">
              <w:rPr>
                <w:rFonts w:cs="Arial"/>
                <w:b/>
                <w:bCs/>
                <w:lang w:bidi="ar-SA"/>
              </w:rPr>
              <w:t>Personalkosten insgesamt</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 xml:space="preserve">           4.542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 xml:space="preserve">             4.048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r w:rsidRPr="00ED0869">
              <w:rPr>
                <w:rFonts w:cs="Arial"/>
                <w:b/>
                <w:bCs/>
                <w:lang w:bidi="ar-SA"/>
              </w:rPr>
              <w:t xml:space="preserve">        -494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-11%</w:t>
            </w:r>
          </w:p>
        </w:tc>
      </w:tr>
      <w:tr w:rsidR="00ED0869" w:rsidRPr="00ED0869" w:rsidTr="00ED0869">
        <w:trPr>
          <w:trHeight w:val="180"/>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r>
      <w:tr w:rsidR="00ED0869" w:rsidRPr="00ED0869" w:rsidTr="00ED0869">
        <w:trPr>
          <w:trHeight w:val="255"/>
        </w:trPr>
        <w:tc>
          <w:tcPr>
            <w:tcW w:w="4777" w:type="dxa"/>
            <w:gridSpan w:val="2"/>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r w:rsidRPr="00ED0869">
              <w:rPr>
                <w:rFonts w:cs="Arial"/>
                <w:b/>
                <w:bCs/>
                <w:lang w:bidi="ar-SA"/>
              </w:rPr>
              <w:t>B.  Nichtpersonalkosten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r>
      <w:tr w:rsidR="00ED0869" w:rsidRPr="00ED0869" w:rsidTr="00ED0869">
        <w:trPr>
          <w:trHeight w:val="255"/>
        </w:trPr>
        <w:tc>
          <w:tcPr>
            <w:tcW w:w="4777" w:type="dxa"/>
            <w:gridSpan w:val="2"/>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i/>
                <w:iCs/>
                <w:lang w:bidi="ar-SA"/>
              </w:rPr>
            </w:pPr>
            <w:r w:rsidRPr="00ED0869">
              <w:rPr>
                <w:rFonts w:cs="Arial"/>
                <w:b/>
                <w:bCs/>
                <w:i/>
                <w:iCs/>
                <w:lang w:bidi="ar-SA"/>
              </w:rPr>
              <w:t>Dienstreisen und Stipendien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Dienstreisen von Mitarbeitern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470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430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-40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-9%</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Reisen Dritter</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90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100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10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11%</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ind w:firstLineChars="100" w:firstLine="200"/>
              <w:jc w:val="left"/>
              <w:rPr>
                <w:rFonts w:cs="Arial"/>
                <w:i/>
                <w:iCs/>
                <w:lang w:bidi="ar-SA"/>
              </w:rPr>
            </w:pPr>
            <w:r w:rsidRPr="00ED0869">
              <w:rPr>
                <w:rFonts w:cs="Arial"/>
                <w:i/>
                <w:iCs/>
                <w:lang w:bidi="ar-SA"/>
              </w:rPr>
              <w:t>Zwischensumme Reisen und Stipendien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 xml:space="preserve">              560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 xml:space="preserve">               530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r w:rsidRPr="00ED0869">
              <w:rPr>
                <w:rFonts w:cs="Arial"/>
                <w:i/>
                <w:iCs/>
                <w:lang w:bidi="ar-SA"/>
              </w:rPr>
              <w:t xml:space="preserve">          -30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-5%</w:t>
            </w:r>
          </w:p>
        </w:tc>
      </w:tr>
      <w:tr w:rsidR="00ED0869" w:rsidRPr="00ED0869" w:rsidTr="00ED0869">
        <w:trPr>
          <w:trHeight w:val="270"/>
        </w:trPr>
        <w:tc>
          <w:tcPr>
            <w:tcW w:w="4777" w:type="dxa"/>
            <w:gridSpan w:val="2"/>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i/>
                <w:iCs/>
                <w:lang w:bidi="ar-SA"/>
              </w:rPr>
            </w:pPr>
            <w:r w:rsidRPr="00ED0869">
              <w:rPr>
                <w:rFonts w:cs="Arial"/>
                <w:b/>
                <w:bCs/>
                <w:i/>
                <w:iCs/>
                <w:lang w:bidi="ar-SA"/>
              </w:rPr>
              <w:t>Vertraglich vereinbarte Dienstleistungen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Konferenzen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250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175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-75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-30%</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Sachverständige</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100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5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-95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-95%</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Veröffentlichungen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70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33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-37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-53%</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Sonstige vertraglich vereinbarte Dienstleistungen</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10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224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214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n/a</w:t>
            </w:r>
          </w:p>
        </w:tc>
      </w:tr>
      <w:tr w:rsidR="00ED0869" w:rsidRPr="00ED0869" w:rsidTr="00ED0869">
        <w:trPr>
          <w:trHeight w:val="300"/>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ind w:firstLineChars="100" w:firstLine="200"/>
              <w:jc w:val="left"/>
              <w:rPr>
                <w:rFonts w:cs="Arial"/>
                <w:i/>
                <w:iCs/>
                <w:lang w:bidi="ar-SA"/>
              </w:rPr>
            </w:pPr>
            <w:r w:rsidRPr="00ED0869">
              <w:rPr>
                <w:rFonts w:cs="Arial"/>
                <w:i/>
                <w:iCs/>
                <w:lang w:bidi="ar-SA"/>
              </w:rPr>
              <w:t>Zwischensumme vertragl. vereinb. Dienstl.</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 xml:space="preserve">              430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 xml:space="preserve">               437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r w:rsidRPr="00ED0869">
              <w:rPr>
                <w:rFonts w:cs="Arial"/>
                <w:i/>
                <w:iCs/>
                <w:lang w:bidi="ar-SA"/>
              </w:rPr>
              <w:t xml:space="preserve">            7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2%</w:t>
            </w:r>
          </w:p>
        </w:tc>
      </w:tr>
      <w:tr w:rsidR="00ED0869" w:rsidRPr="00ED0869" w:rsidTr="00ED0869">
        <w:trPr>
          <w:trHeight w:val="270"/>
        </w:trPr>
        <w:tc>
          <w:tcPr>
            <w:tcW w:w="4777" w:type="dxa"/>
            <w:gridSpan w:val="2"/>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i/>
                <w:iCs/>
                <w:lang w:bidi="ar-SA"/>
              </w:rPr>
            </w:pPr>
            <w:r w:rsidRPr="00ED0869">
              <w:rPr>
                <w:rFonts w:cs="Arial"/>
                <w:b/>
                <w:bCs/>
                <w:i/>
                <w:iCs/>
                <w:lang w:bidi="ar-SA"/>
              </w:rPr>
              <w:t>Betriebsaufwand</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p>
        </w:tc>
      </w:tr>
      <w:tr w:rsidR="00ED0869" w:rsidRPr="00ED0869" w:rsidTr="00ED0869">
        <w:trPr>
          <w:trHeight w:val="270"/>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i/>
                <w:iCs/>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ind w:firstLineChars="100" w:firstLine="200"/>
              <w:jc w:val="left"/>
              <w:rPr>
                <w:rFonts w:cs="Arial"/>
                <w:i/>
                <w:iCs/>
                <w:lang w:bidi="ar-SA"/>
              </w:rPr>
            </w:pPr>
            <w:r w:rsidRPr="00ED0869">
              <w:rPr>
                <w:rFonts w:cs="Arial"/>
                <w:i/>
                <w:iCs/>
                <w:lang w:bidi="ar-SA"/>
              </w:rPr>
              <w:t>Zwischensumme Betriebsaufwand</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 xml:space="preserve">           1.236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r w:rsidRPr="00ED0869">
              <w:rPr>
                <w:rFonts w:cs="Arial"/>
                <w:i/>
                <w:iCs/>
                <w:lang w:bidi="ar-SA"/>
              </w:rPr>
              <w:t xml:space="preserve">            1.243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r w:rsidRPr="00ED0869">
              <w:rPr>
                <w:rFonts w:cs="Arial"/>
                <w:i/>
                <w:iCs/>
                <w:lang w:bidi="ar-SA"/>
              </w:rPr>
              <w:t xml:space="preserve">            7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1%</w:t>
            </w:r>
          </w:p>
        </w:tc>
      </w:tr>
      <w:tr w:rsidR="00ED0869" w:rsidRPr="00ED0869" w:rsidTr="00ED0869">
        <w:trPr>
          <w:trHeight w:val="270"/>
        </w:trPr>
        <w:tc>
          <w:tcPr>
            <w:tcW w:w="4777" w:type="dxa"/>
            <w:gridSpan w:val="2"/>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i/>
                <w:iCs/>
                <w:lang w:bidi="ar-SA"/>
              </w:rPr>
            </w:pPr>
            <w:r w:rsidRPr="00ED0869">
              <w:rPr>
                <w:rFonts w:cs="Arial"/>
                <w:b/>
                <w:bCs/>
                <w:i/>
                <w:iCs/>
                <w:lang w:bidi="ar-SA"/>
              </w:rPr>
              <w:t>Gerät und Bürobedarf</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Mobiliar und Gerät</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10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4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-6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-62%</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Bürobedarf und Material</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 xml:space="preserve">                20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23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xml:space="preserve">             3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r w:rsidRPr="00ED0869">
              <w:rPr>
                <w:rFonts w:cs="Arial"/>
                <w:lang w:bidi="ar-SA"/>
              </w:rPr>
              <w:t>16%</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ind w:firstLineChars="100" w:firstLine="200"/>
              <w:jc w:val="left"/>
              <w:rPr>
                <w:rFonts w:cs="Arial"/>
                <w:i/>
                <w:iCs/>
                <w:lang w:bidi="ar-SA"/>
              </w:rPr>
            </w:pPr>
            <w:r w:rsidRPr="00ED0869">
              <w:rPr>
                <w:rFonts w:cs="Arial"/>
                <w:i/>
                <w:iCs/>
                <w:lang w:bidi="ar-SA"/>
              </w:rPr>
              <w:t>Zwischensumme Gerät und Bürobedarf</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 xml:space="preserve">               30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 xml:space="preserve">                 27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i/>
                <w:iCs/>
                <w:lang w:bidi="ar-SA"/>
              </w:rPr>
            </w:pPr>
            <w:r w:rsidRPr="00ED0869">
              <w:rPr>
                <w:rFonts w:cs="Arial"/>
                <w:i/>
                <w:iCs/>
                <w:lang w:bidi="ar-SA"/>
              </w:rPr>
              <w:t xml:space="preserve">           -3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i/>
                <w:iCs/>
                <w:lang w:bidi="ar-SA"/>
              </w:rPr>
            </w:pPr>
            <w:r w:rsidRPr="00ED0869">
              <w:rPr>
                <w:rFonts w:cs="Arial"/>
                <w:i/>
                <w:iCs/>
                <w:lang w:bidi="ar-SA"/>
              </w:rPr>
              <w:t>-10%</w:t>
            </w: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r w:rsidRPr="00ED0869">
              <w:rPr>
                <w:rFonts w:cs="Arial"/>
                <w:b/>
                <w:bCs/>
                <w:lang w:bidi="ar-SA"/>
              </w:rPr>
              <w:t>Nichtpersonalkosten insgesamt</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 xml:space="preserve">           2.256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 xml:space="preserve">             2.237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r w:rsidRPr="00ED0869">
              <w:rPr>
                <w:rFonts w:cs="Arial"/>
                <w:b/>
                <w:bCs/>
                <w:lang w:bidi="ar-SA"/>
              </w:rPr>
              <w:t xml:space="preserve">          -19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-1%</w:t>
            </w:r>
          </w:p>
        </w:tc>
      </w:tr>
      <w:tr w:rsidR="00ED0869" w:rsidRPr="00ED0869" w:rsidTr="00ED0869">
        <w:trPr>
          <w:trHeight w:val="13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lang w:bidi="ar-SA"/>
              </w:rPr>
            </w:pP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lang w:bidi="ar-SA"/>
              </w:rPr>
            </w:pPr>
          </w:p>
        </w:tc>
      </w:tr>
      <w:tr w:rsidR="00ED0869" w:rsidRPr="00ED0869" w:rsidTr="00ED0869">
        <w:trPr>
          <w:trHeight w:val="255"/>
        </w:trPr>
        <w:tc>
          <w:tcPr>
            <w:tcW w:w="400"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p>
        </w:tc>
        <w:tc>
          <w:tcPr>
            <w:tcW w:w="4377"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r w:rsidRPr="00ED0869">
              <w:rPr>
                <w:rFonts w:cs="Arial"/>
                <w:b/>
                <w:bCs/>
                <w:lang w:bidi="ar-SA"/>
              </w:rPr>
              <w:t>INSGESAMT</w:t>
            </w:r>
          </w:p>
        </w:tc>
        <w:tc>
          <w:tcPr>
            <w:tcW w:w="13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 xml:space="preserve">           6.798 </w:t>
            </w:r>
          </w:p>
        </w:tc>
        <w:tc>
          <w:tcPr>
            <w:tcW w:w="1420"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 xml:space="preserve">             6.285 </w:t>
            </w:r>
          </w:p>
        </w:tc>
        <w:tc>
          <w:tcPr>
            <w:tcW w:w="1005" w:type="dxa"/>
            <w:tcBorders>
              <w:top w:val="nil"/>
              <w:left w:val="nil"/>
              <w:bottom w:val="nil"/>
              <w:right w:val="nil"/>
            </w:tcBorders>
            <w:shd w:val="clear" w:color="auto" w:fill="auto"/>
            <w:noWrap/>
            <w:vAlign w:val="bottom"/>
            <w:hideMark/>
          </w:tcPr>
          <w:p w:rsidR="00ED0869" w:rsidRPr="00ED0869" w:rsidRDefault="00ED0869" w:rsidP="00ED0869">
            <w:pPr>
              <w:jc w:val="left"/>
              <w:rPr>
                <w:rFonts w:cs="Arial"/>
                <w:b/>
                <w:bCs/>
                <w:lang w:bidi="ar-SA"/>
              </w:rPr>
            </w:pPr>
            <w:r w:rsidRPr="00ED0869">
              <w:rPr>
                <w:rFonts w:cs="Arial"/>
                <w:b/>
                <w:bCs/>
                <w:lang w:bidi="ar-SA"/>
              </w:rPr>
              <w:t xml:space="preserve">        -513 </w:t>
            </w:r>
          </w:p>
        </w:tc>
        <w:tc>
          <w:tcPr>
            <w:tcW w:w="1098" w:type="dxa"/>
            <w:tcBorders>
              <w:top w:val="nil"/>
              <w:left w:val="nil"/>
              <w:bottom w:val="nil"/>
              <w:right w:val="nil"/>
            </w:tcBorders>
            <w:shd w:val="clear" w:color="auto" w:fill="auto"/>
            <w:noWrap/>
            <w:vAlign w:val="bottom"/>
            <w:hideMark/>
          </w:tcPr>
          <w:p w:rsidR="00ED0869" w:rsidRPr="00ED0869" w:rsidRDefault="00ED0869" w:rsidP="00ED0869">
            <w:pPr>
              <w:jc w:val="right"/>
              <w:rPr>
                <w:rFonts w:cs="Arial"/>
                <w:b/>
                <w:bCs/>
                <w:lang w:bidi="ar-SA"/>
              </w:rPr>
            </w:pPr>
            <w:r w:rsidRPr="00ED0869">
              <w:rPr>
                <w:rFonts w:cs="Arial"/>
                <w:b/>
                <w:bCs/>
                <w:lang w:bidi="ar-SA"/>
              </w:rPr>
              <w:t>-8%</w:t>
            </w:r>
          </w:p>
        </w:tc>
      </w:tr>
      <w:tr w:rsidR="00ED0869" w:rsidRPr="00ED0869" w:rsidTr="00ED0869">
        <w:trPr>
          <w:trHeight w:val="150"/>
        </w:trPr>
        <w:tc>
          <w:tcPr>
            <w:tcW w:w="400" w:type="dxa"/>
            <w:tcBorders>
              <w:top w:val="nil"/>
              <w:left w:val="nil"/>
              <w:bottom w:val="single" w:sz="4" w:space="0" w:color="auto"/>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w:t>
            </w:r>
          </w:p>
        </w:tc>
        <w:tc>
          <w:tcPr>
            <w:tcW w:w="4377" w:type="dxa"/>
            <w:tcBorders>
              <w:top w:val="nil"/>
              <w:left w:val="nil"/>
              <w:bottom w:val="single" w:sz="4" w:space="0" w:color="auto"/>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w:t>
            </w:r>
          </w:p>
        </w:tc>
        <w:tc>
          <w:tcPr>
            <w:tcW w:w="1320" w:type="dxa"/>
            <w:tcBorders>
              <w:top w:val="nil"/>
              <w:left w:val="nil"/>
              <w:bottom w:val="single" w:sz="4" w:space="0" w:color="auto"/>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w:t>
            </w:r>
          </w:p>
        </w:tc>
        <w:tc>
          <w:tcPr>
            <w:tcW w:w="1420" w:type="dxa"/>
            <w:tcBorders>
              <w:top w:val="nil"/>
              <w:left w:val="nil"/>
              <w:bottom w:val="single" w:sz="4" w:space="0" w:color="auto"/>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w:t>
            </w:r>
          </w:p>
        </w:tc>
        <w:tc>
          <w:tcPr>
            <w:tcW w:w="1005" w:type="dxa"/>
            <w:tcBorders>
              <w:top w:val="nil"/>
              <w:left w:val="nil"/>
              <w:bottom w:val="single" w:sz="4" w:space="0" w:color="auto"/>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w:t>
            </w:r>
          </w:p>
        </w:tc>
        <w:tc>
          <w:tcPr>
            <w:tcW w:w="1098" w:type="dxa"/>
            <w:tcBorders>
              <w:top w:val="nil"/>
              <w:left w:val="nil"/>
              <w:bottom w:val="single" w:sz="4" w:space="0" w:color="auto"/>
              <w:right w:val="nil"/>
            </w:tcBorders>
            <w:shd w:val="clear" w:color="auto" w:fill="auto"/>
            <w:noWrap/>
            <w:vAlign w:val="bottom"/>
            <w:hideMark/>
          </w:tcPr>
          <w:p w:rsidR="00ED0869" w:rsidRPr="00ED0869" w:rsidRDefault="00ED0869" w:rsidP="00ED0869">
            <w:pPr>
              <w:jc w:val="left"/>
              <w:rPr>
                <w:rFonts w:cs="Arial"/>
                <w:lang w:bidi="ar-SA"/>
              </w:rPr>
            </w:pPr>
            <w:r w:rsidRPr="00ED0869">
              <w:rPr>
                <w:rFonts w:cs="Arial"/>
                <w:lang w:bidi="ar-SA"/>
              </w:rPr>
              <w:t> </w:t>
            </w:r>
          </w:p>
        </w:tc>
      </w:tr>
    </w:tbl>
    <w:p w:rsidR="00FC393E" w:rsidRPr="00917841" w:rsidRDefault="00FC393E" w:rsidP="00917841">
      <w:pPr>
        <w:spacing w:after="200" w:line="276" w:lineRule="auto"/>
        <w:jc w:val="center"/>
        <w:rPr>
          <w:rFonts w:asciiTheme="minorHAnsi" w:eastAsiaTheme="minorHAnsi" w:hAnsiTheme="minorHAnsi" w:cstheme="minorBidi"/>
          <w:sz w:val="22"/>
          <w:szCs w:val="22"/>
        </w:rPr>
      </w:pPr>
    </w:p>
    <w:p w:rsidR="00235388" w:rsidRDefault="00235388" w:rsidP="008518D2">
      <w:pPr>
        <w:pStyle w:val="Heading3"/>
      </w:pPr>
      <w:bookmarkStart w:id="21" w:name="_Toc393377913"/>
    </w:p>
    <w:p w:rsidR="00917841" w:rsidRPr="00917841" w:rsidRDefault="00917841" w:rsidP="008518D2">
      <w:pPr>
        <w:pStyle w:val="Heading3"/>
      </w:pPr>
      <w:bookmarkStart w:id="22" w:name="_Toc397085720"/>
      <w:bookmarkStart w:id="23" w:name="_Toc397086065"/>
      <w:r>
        <w:t>Tabelle 4. Für 2012/13 angenommener Haushaltsplan und Ausgaben nach Unterprogrammen</w:t>
      </w:r>
      <w:bookmarkEnd w:id="21"/>
      <w:bookmarkEnd w:id="22"/>
      <w:bookmarkEnd w:id="23"/>
    </w:p>
    <w:p w:rsidR="00917841" w:rsidRPr="00917841" w:rsidRDefault="00917841" w:rsidP="00917841">
      <w:pPr>
        <w:spacing w:after="200" w:line="276" w:lineRule="auto"/>
        <w:jc w:val="center"/>
        <w:rPr>
          <w:rFonts w:eastAsiaTheme="minorHAnsi" w:cs="Arial"/>
          <w:i/>
        </w:rPr>
      </w:pPr>
      <w:r>
        <w:rPr>
          <w:rFonts w:eastAsiaTheme="minorHAnsi"/>
          <w:i/>
        </w:rPr>
        <w:t>(in Tausend Schweizer Franken)</w:t>
      </w:r>
    </w:p>
    <w:p w:rsidR="00AC64EA" w:rsidRDefault="00AC64EA" w:rsidP="00D81BFB">
      <w:pPr>
        <w:rPr>
          <w:rFonts w:asciiTheme="minorHAnsi" w:eastAsiaTheme="minorHAnsi" w:hAnsiTheme="minorHAnsi" w:cstheme="minorBidi"/>
          <w:b/>
          <w:sz w:val="22"/>
          <w:szCs w:val="22"/>
        </w:rPr>
      </w:pPr>
    </w:p>
    <w:tbl>
      <w:tblPr>
        <w:tblW w:w="9580" w:type="dxa"/>
        <w:tblInd w:w="55" w:type="dxa"/>
        <w:tblCellMar>
          <w:left w:w="70" w:type="dxa"/>
          <w:right w:w="70" w:type="dxa"/>
        </w:tblCellMar>
        <w:tblLook w:val="04A0" w:firstRow="1" w:lastRow="0" w:firstColumn="1" w:lastColumn="0" w:noHBand="0" w:noVBand="1"/>
      </w:tblPr>
      <w:tblGrid>
        <w:gridCol w:w="4600"/>
        <w:gridCol w:w="1408"/>
        <w:gridCol w:w="1420"/>
        <w:gridCol w:w="1040"/>
        <w:gridCol w:w="1200"/>
      </w:tblGrid>
      <w:tr w:rsidR="00AC64EA" w:rsidRPr="00AC64EA" w:rsidTr="00AC64EA">
        <w:trPr>
          <w:trHeight w:val="255"/>
        </w:trPr>
        <w:tc>
          <w:tcPr>
            <w:tcW w:w="4600" w:type="dxa"/>
            <w:tcBorders>
              <w:top w:val="single" w:sz="4" w:space="0" w:color="auto"/>
              <w:left w:val="nil"/>
              <w:bottom w:val="nil"/>
              <w:right w:val="single" w:sz="4" w:space="0" w:color="auto"/>
            </w:tcBorders>
            <w:shd w:val="clear" w:color="000000" w:fill="D1FFA3"/>
            <w:noWrap/>
            <w:vAlign w:val="center"/>
            <w:hideMark/>
          </w:tcPr>
          <w:p w:rsidR="00AC64EA" w:rsidRPr="00AC64EA" w:rsidRDefault="00AC64EA" w:rsidP="00AC64EA">
            <w:pPr>
              <w:jc w:val="left"/>
              <w:rPr>
                <w:rFonts w:cs="Arial"/>
                <w:b/>
                <w:bCs/>
                <w:lang w:bidi="ar-SA"/>
              </w:rPr>
            </w:pPr>
            <w:r w:rsidRPr="00AC64EA">
              <w:rPr>
                <w:rFonts w:cs="Arial"/>
                <w:b/>
                <w:bCs/>
                <w:lang w:bidi="ar-SA"/>
              </w:rPr>
              <w:t> </w:t>
            </w:r>
          </w:p>
        </w:tc>
        <w:tc>
          <w:tcPr>
            <w:tcW w:w="1320" w:type="dxa"/>
            <w:tcBorders>
              <w:top w:val="single" w:sz="4" w:space="0" w:color="auto"/>
              <w:left w:val="nil"/>
              <w:bottom w:val="nil"/>
              <w:right w:val="single" w:sz="4" w:space="0" w:color="auto"/>
            </w:tcBorders>
            <w:shd w:val="clear" w:color="000000" w:fill="D1FFA3"/>
            <w:noWrap/>
            <w:vAlign w:val="center"/>
            <w:hideMark/>
          </w:tcPr>
          <w:p w:rsidR="00AC64EA" w:rsidRPr="00AC64EA" w:rsidRDefault="00AC64EA" w:rsidP="00AC64EA">
            <w:pPr>
              <w:jc w:val="center"/>
              <w:rPr>
                <w:rFonts w:cs="Arial"/>
                <w:i/>
                <w:iCs/>
                <w:color w:val="000000"/>
                <w:lang w:bidi="ar-SA"/>
              </w:rPr>
            </w:pPr>
            <w:r w:rsidRPr="00AC64EA">
              <w:rPr>
                <w:rFonts w:cs="Arial"/>
                <w:i/>
                <w:iCs/>
                <w:color w:val="000000"/>
                <w:lang w:bidi="ar-SA"/>
              </w:rPr>
              <w:t>2012/13</w:t>
            </w:r>
          </w:p>
        </w:tc>
        <w:tc>
          <w:tcPr>
            <w:tcW w:w="1420" w:type="dxa"/>
            <w:tcBorders>
              <w:top w:val="single" w:sz="4" w:space="0" w:color="auto"/>
              <w:left w:val="nil"/>
              <w:bottom w:val="nil"/>
              <w:right w:val="single" w:sz="4" w:space="0" w:color="auto"/>
            </w:tcBorders>
            <w:shd w:val="clear" w:color="000000" w:fill="D1FFA3"/>
            <w:noWrap/>
            <w:vAlign w:val="center"/>
            <w:hideMark/>
          </w:tcPr>
          <w:p w:rsidR="00AC64EA" w:rsidRPr="00AC64EA" w:rsidRDefault="00AC64EA" w:rsidP="00AC64EA">
            <w:pPr>
              <w:jc w:val="center"/>
              <w:rPr>
                <w:rFonts w:cs="Arial"/>
                <w:i/>
                <w:iCs/>
                <w:color w:val="000000"/>
                <w:lang w:bidi="ar-SA"/>
              </w:rPr>
            </w:pPr>
            <w:r w:rsidRPr="00AC64EA">
              <w:rPr>
                <w:rFonts w:cs="Arial"/>
                <w:i/>
                <w:iCs/>
                <w:color w:val="000000"/>
                <w:lang w:bidi="ar-SA"/>
              </w:rPr>
              <w:t>2012/13</w:t>
            </w:r>
          </w:p>
        </w:tc>
        <w:tc>
          <w:tcPr>
            <w:tcW w:w="2240" w:type="dxa"/>
            <w:gridSpan w:val="2"/>
            <w:tcBorders>
              <w:top w:val="single" w:sz="4" w:space="0" w:color="auto"/>
              <w:left w:val="nil"/>
              <w:bottom w:val="single" w:sz="4" w:space="0" w:color="auto"/>
              <w:right w:val="single" w:sz="4" w:space="0" w:color="000000"/>
            </w:tcBorders>
            <w:shd w:val="clear" w:color="000000" w:fill="D1FFA3"/>
            <w:vAlign w:val="center"/>
            <w:hideMark/>
          </w:tcPr>
          <w:p w:rsidR="00AC64EA" w:rsidRPr="00AC64EA" w:rsidRDefault="00AC64EA" w:rsidP="00AC64EA">
            <w:pPr>
              <w:jc w:val="center"/>
              <w:rPr>
                <w:rFonts w:cs="Arial"/>
                <w:i/>
                <w:iCs/>
                <w:color w:val="000000"/>
                <w:lang w:bidi="ar-SA"/>
              </w:rPr>
            </w:pPr>
            <w:r w:rsidRPr="00AC64EA">
              <w:rPr>
                <w:rFonts w:cs="Arial"/>
                <w:i/>
                <w:iCs/>
                <w:color w:val="000000"/>
                <w:lang w:bidi="ar-SA"/>
              </w:rPr>
              <w:t>Differenz</w:t>
            </w:r>
          </w:p>
        </w:tc>
      </w:tr>
      <w:tr w:rsidR="00AC64EA" w:rsidRPr="00AC64EA" w:rsidTr="00AC64EA">
        <w:trPr>
          <w:trHeight w:val="255"/>
        </w:trPr>
        <w:tc>
          <w:tcPr>
            <w:tcW w:w="4600" w:type="dxa"/>
            <w:tcBorders>
              <w:top w:val="nil"/>
              <w:left w:val="nil"/>
              <w:bottom w:val="nil"/>
              <w:right w:val="single" w:sz="4" w:space="0" w:color="auto"/>
            </w:tcBorders>
            <w:shd w:val="clear" w:color="000000" w:fill="D1FFA3"/>
            <w:noWrap/>
            <w:vAlign w:val="center"/>
            <w:hideMark/>
          </w:tcPr>
          <w:p w:rsidR="00AC64EA" w:rsidRPr="00AC64EA" w:rsidRDefault="00AC64EA" w:rsidP="00AC64EA">
            <w:pPr>
              <w:jc w:val="left"/>
              <w:rPr>
                <w:rFonts w:cs="Arial"/>
                <w:b/>
                <w:bCs/>
                <w:i/>
                <w:iCs/>
                <w:lang w:bidi="ar-SA"/>
              </w:rPr>
            </w:pPr>
            <w:r w:rsidRPr="00AC64EA">
              <w:rPr>
                <w:rFonts w:cs="Arial"/>
                <w:b/>
                <w:bCs/>
                <w:i/>
                <w:iCs/>
                <w:lang w:bidi="ar-SA"/>
              </w:rPr>
              <w:t> </w:t>
            </w:r>
          </w:p>
        </w:tc>
        <w:tc>
          <w:tcPr>
            <w:tcW w:w="1320" w:type="dxa"/>
            <w:tcBorders>
              <w:top w:val="nil"/>
              <w:left w:val="nil"/>
              <w:bottom w:val="nil"/>
              <w:right w:val="single" w:sz="4" w:space="0" w:color="auto"/>
            </w:tcBorders>
            <w:shd w:val="clear" w:color="000000" w:fill="D1FFA3"/>
            <w:noWrap/>
            <w:vAlign w:val="center"/>
            <w:hideMark/>
          </w:tcPr>
          <w:p w:rsidR="00AC64EA" w:rsidRPr="00AC64EA" w:rsidRDefault="00AC64EA" w:rsidP="00AC64EA">
            <w:pPr>
              <w:jc w:val="center"/>
              <w:rPr>
                <w:rFonts w:cs="Arial"/>
                <w:i/>
                <w:iCs/>
                <w:color w:val="000000"/>
                <w:lang w:bidi="ar-SA"/>
              </w:rPr>
            </w:pPr>
            <w:r w:rsidRPr="00AC64EA">
              <w:rPr>
                <w:rFonts w:cs="Arial"/>
                <w:i/>
                <w:iCs/>
                <w:color w:val="000000"/>
                <w:lang w:bidi="ar-SA"/>
              </w:rPr>
              <w:t>Haushaltsplan</w:t>
            </w:r>
          </w:p>
        </w:tc>
        <w:tc>
          <w:tcPr>
            <w:tcW w:w="1420" w:type="dxa"/>
            <w:tcBorders>
              <w:top w:val="nil"/>
              <w:left w:val="nil"/>
              <w:bottom w:val="nil"/>
              <w:right w:val="single" w:sz="4" w:space="0" w:color="auto"/>
            </w:tcBorders>
            <w:shd w:val="clear" w:color="000000" w:fill="D1FFA3"/>
            <w:noWrap/>
            <w:vAlign w:val="center"/>
            <w:hideMark/>
          </w:tcPr>
          <w:p w:rsidR="00AC64EA" w:rsidRPr="00AC64EA" w:rsidRDefault="00AC64EA" w:rsidP="00AC64EA">
            <w:pPr>
              <w:jc w:val="center"/>
              <w:rPr>
                <w:rFonts w:cs="Arial"/>
                <w:i/>
                <w:iCs/>
                <w:color w:val="000000"/>
                <w:lang w:bidi="ar-SA"/>
              </w:rPr>
            </w:pPr>
            <w:r w:rsidRPr="00AC64EA">
              <w:rPr>
                <w:rFonts w:cs="Arial"/>
                <w:i/>
                <w:iCs/>
                <w:color w:val="000000"/>
                <w:lang w:bidi="ar-SA"/>
              </w:rPr>
              <w:t>Ist</w:t>
            </w:r>
          </w:p>
        </w:tc>
        <w:tc>
          <w:tcPr>
            <w:tcW w:w="1040" w:type="dxa"/>
            <w:tcBorders>
              <w:top w:val="nil"/>
              <w:left w:val="nil"/>
              <w:bottom w:val="nil"/>
              <w:right w:val="single" w:sz="4" w:space="0" w:color="auto"/>
            </w:tcBorders>
            <w:shd w:val="clear" w:color="000000" w:fill="D1FFA3"/>
            <w:vAlign w:val="center"/>
            <w:hideMark/>
          </w:tcPr>
          <w:p w:rsidR="00AC64EA" w:rsidRPr="00AC64EA" w:rsidRDefault="00AC64EA" w:rsidP="00AC64EA">
            <w:pPr>
              <w:jc w:val="center"/>
              <w:rPr>
                <w:rFonts w:cs="Arial"/>
                <w:i/>
                <w:iCs/>
                <w:color w:val="000000"/>
                <w:lang w:bidi="ar-SA"/>
              </w:rPr>
            </w:pPr>
            <w:r w:rsidRPr="00AC64EA">
              <w:rPr>
                <w:rFonts w:cs="Arial"/>
                <w:i/>
                <w:iCs/>
                <w:color w:val="000000"/>
                <w:lang w:bidi="ar-SA"/>
              </w:rPr>
              <w:t>Betrag</w:t>
            </w:r>
          </w:p>
        </w:tc>
        <w:tc>
          <w:tcPr>
            <w:tcW w:w="1200" w:type="dxa"/>
            <w:tcBorders>
              <w:top w:val="nil"/>
              <w:left w:val="nil"/>
              <w:bottom w:val="nil"/>
              <w:right w:val="single" w:sz="4" w:space="0" w:color="auto"/>
            </w:tcBorders>
            <w:shd w:val="clear" w:color="000000" w:fill="D1FFA3"/>
            <w:vAlign w:val="center"/>
            <w:hideMark/>
          </w:tcPr>
          <w:p w:rsidR="00AC64EA" w:rsidRPr="00AC64EA" w:rsidRDefault="00AC64EA" w:rsidP="00AC64EA">
            <w:pPr>
              <w:jc w:val="center"/>
              <w:rPr>
                <w:rFonts w:cs="Arial"/>
                <w:i/>
                <w:iCs/>
                <w:color w:val="000000"/>
                <w:lang w:bidi="ar-SA"/>
              </w:rPr>
            </w:pPr>
            <w:r w:rsidRPr="00AC64EA">
              <w:rPr>
                <w:rFonts w:cs="Arial"/>
                <w:i/>
                <w:iCs/>
                <w:color w:val="000000"/>
                <w:lang w:bidi="ar-SA"/>
              </w:rPr>
              <w:t>Prozent</w:t>
            </w:r>
          </w:p>
        </w:tc>
      </w:tr>
      <w:tr w:rsidR="00AC64EA" w:rsidRPr="00AC64EA" w:rsidTr="00AC64EA">
        <w:trPr>
          <w:trHeight w:val="255"/>
        </w:trPr>
        <w:tc>
          <w:tcPr>
            <w:tcW w:w="4600" w:type="dxa"/>
            <w:tcBorders>
              <w:top w:val="nil"/>
              <w:left w:val="nil"/>
              <w:bottom w:val="single" w:sz="4" w:space="0" w:color="auto"/>
              <w:right w:val="single" w:sz="4" w:space="0" w:color="auto"/>
            </w:tcBorders>
            <w:shd w:val="clear" w:color="000000" w:fill="D1FFA3"/>
            <w:noWrap/>
            <w:vAlign w:val="center"/>
            <w:hideMark/>
          </w:tcPr>
          <w:p w:rsidR="00AC64EA" w:rsidRPr="00AC64EA" w:rsidRDefault="00AC64EA" w:rsidP="00AC64EA">
            <w:pPr>
              <w:jc w:val="left"/>
              <w:rPr>
                <w:rFonts w:cs="Arial"/>
                <w:b/>
                <w:bCs/>
                <w:lang w:bidi="ar-SA"/>
              </w:rPr>
            </w:pPr>
            <w:r w:rsidRPr="00AC64EA">
              <w:rPr>
                <w:rFonts w:cs="Arial"/>
                <w:b/>
                <w:bCs/>
                <w:lang w:bidi="ar-SA"/>
              </w:rPr>
              <w:t> </w:t>
            </w:r>
          </w:p>
        </w:tc>
        <w:tc>
          <w:tcPr>
            <w:tcW w:w="1320" w:type="dxa"/>
            <w:tcBorders>
              <w:top w:val="nil"/>
              <w:left w:val="nil"/>
              <w:bottom w:val="single" w:sz="4" w:space="0" w:color="auto"/>
              <w:right w:val="single" w:sz="4" w:space="0" w:color="auto"/>
            </w:tcBorders>
            <w:shd w:val="clear" w:color="000000" w:fill="D1FFA3"/>
            <w:noWrap/>
            <w:vAlign w:val="center"/>
            <w:hideMark/>
          </w:tcPr>
          <w:p w:rsidR="00AC64EA" w:rsidRPr="00AC64EA" w:rsidRDefault="00AC64EA" w:rsidP="00AC64EA">
            <w:pPr>
              <w:jc w:val="right"/>
              <w:rPr>
                <w:rFonts w:cs="Arial"/>
                <w:b/>
                <w:bCs/>
                <w:lang w:bidi="ar-SA"/>
              </w:rPr>
            </w:pPr>
            <w:r w:rsidRPr="00AC64EA">
              <w:rPr>
                <w:rFonts w:cs="Arial"/>
                <w:b/>
                <w:bCs/>
                <w:lang w:bidi="ar-SA"/>
              </w:rPr>
              <w:t> </w:t>
            </w:r>
          </w:p>
        </w:tc>
        <w:tc>
          <w:tcPr>
            <w:tcW w:w="1420" w:type="dxa"/>
            <w:tcBorders>
              <w:top w:val="nil"/>
              <w:left w:val="nil"/>
              <w:bottom w:val="single" w:sz="4" w:space="0" w:color="auto"/>
              <w:right w:val="single" w:sz="4" w:space="0" w:color="auto"/>
            </w:tcBorders>
            <w:shd w:val="clear" w:color="000000" w:fill="D1FFA3"/>
            <w:noWrap/>
            <w:vAlign w:val="center"/>
            <w:hideMark/>
          </w:tcPr>
          <w:p w:rsidR="00AC64EA" w:rsidRPr="00AC64EA" w:rsidRDefault="00AC64EA" w:rsidP="00AC64EA">
            <w:pPr>
              <w:jc w:val="left"/>
              <w:rPr>
                <w:rFonts w:cs="Arial"/>
                <w:lang w:bidi="ar-SA"/>
              </w:rPr>
            </w:pPr>
            <w:r w:rsidRPr="00AC64EA">
              <w:rPr>
                <w:rFonts w:cs="Arial"/>
                <w:lang w:bidi="ar-SA"/>
              </w:rPr>
              <w:t> </w:t>
            </w:r>
          </w:p>
        </w:tc>
        <w:tc>
          <w:tcPr>
            <w:tcW w:w="1040" w:type="dxa"/>
            <w:tcBorders>
              <w:top w:val="nil"/>
              <w:left w:val="nil"/>
              <w:bottom w:val="single" w:sz="4" w:space="0" w:color="auto"/>
              <w:right w:val="single" w:sz="4" w:space="0" w:color="auto"/>
            </w:tcBorders>
            <w:shd w:val="clear" w:color="000000" w:fill="D1FFA3"/>
            <w:noWrap/>
            <w:vAlign w:val="center"/>
            <w:hideMark/>
          </w:tcPr>
          <w:p w:rsidR="00AC64EA" w:rsidRPr="00AC64EA" w:rsidRDefault="00AC64EA" w:rsidP="00AC64EA">
            <w:pPr>
              <w:jc w:val="left"/>
              <w:rPr>
                <w:rFonts w:cs="Arial"/>
                <w:lang w:bidi="ar-SA"/>
              </w:rPr>
            </w:pPr>
            <w:r w:rsidRPr="00AC64EA">
              <w:rPr>
                <w:rFonts w:cs="Arial"/>
                <w:lang w:bidi="ar-SA"/>
              </w:rPr>
              <w:t> </w:t>
            </w:r>
          </w:p>
        </w:tc>
        <w:tc>
          <w:tcPr>
            <w:tcW w:w="1200" w:type="dxa"/>
            <w:tcBorders>
              <w:top w:val="nil"/>
              <w:left w:val="nil"/>
              <w:bottom w:val="single" w:sz="4" w:space="0" w:color="auto"/>
              <w:right w:val="single" w:sz="4" w:space="0" w:color="auto"/>
            </w:tcBorders>
            <w:shd w:val="clear" w:color="000000" w:fill="D1FFA3"/>
            <w:noWrap/>
            <w:vAlign w:val="center"/>
            <w:hideMark/>
          </w:tcPr>
          <w:p w:rsidR="00AC64EA" w:rsidRPr="00AC64EA" w:rsidRDefault="00AC64EA" w:rsidP="00AC64EA">
            <w:pPr>
              <w:jc w:val="left"/>
              <w:rPr>
                <w:rFonts w:cs="Arial"/>
                <w:lang w:bidi="ar-SA"/>
              </w:rPr>
            </w:pPr>
            <w:r w:rsidRPr="00AC64EA">
              <w:rPr>
                <w:rFonts w:cs="Arial"/>
                <w:lang w:bidi="ar-SA"/>
              </w:rPr>
              <w:t> </w:t>
            </w:r>
          </w:p>
        </w:tc>
      </w:tr>
      <w:tr w:rsidR="00AC64EA" w:rsidRPr="00AC64EA" w:rsidTr="00AC64EA">
        <w:trPr>
          <w:trHeight w:val="180"/>
        </w:trPr>
        <w:tc>
          <w:tcPr>
            <w:tcW w:w="460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b/>
                <w:bCs/>
                <w:lang w:bidi="ar-SA"/>
              </w:rPr>
            </w:pPr>
          </w:p>
        </w:tc>
        <w:tc>
          <w:tcPr>
            <w:tcW w:w="13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b/>
                <w:bCs/>
                <w:lang w:bidi="ar-SA"/>
              </w:rPr>
            </w:pPr>
          </w:p>
        </w:tc>
        <w:tc>
          <w:tcPr>
            <w:tcW w:w="142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p>
        </w:tc>
        <w:tc>
          <w:tcPr>
            <w:tcW w:w="104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p>
        </w:tc>
        <w:tc>
          <w:tcPr>
            <w:tcW w:w="120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p>
        </w:tc>
      </w:tr>
      <w:tr w:rsidR="00AC64EA" w:rsidRPr="00AC64EA" w:rsidTr="00AC64EA">
        <w:trPr>
          <w:trHeight w:val="255"/>
        </w:trPr>
        <w:tc>
          <w:tcPr>
            <w:tcW w:w="4600" w:type="dxa"/>
            <w:tcBorders>
              <w:top w:val="nil"/>
              <w:left w:val="nil"/>
              <w:bottom w:val="nil"/>
              <w:right w:val="nil"/>
            </w:tcBorders>
            <w:shd w:val="clear" w:color="auto" w:fill="auto"/>
            <w:vAlign w:val="center"/>
            <w:hideMark/>
          </w:tcPr>
          <w:p w:rsidR="00AC64EA" w:rsidRPr="00AC64EA" w:rsidRDefault="00AC64EA" w:rsidP="00AC64EA">
            <w:pPr>
              <w:jc w:val="left"/>
              <w:rPr>
                <w:rFonts w:cs="Arial"/>
                <w:lang w:bidi="ar-SA"/>
              </w:rPr>
            </w:pPr>
            <w:r w:rsidRPr="00AC64EA">
              <w:rPr>
                <w:rFonts w:cs="Arial"/>
                <w:lang w:bidi="ar-SA"/>
              </w:rPr>
              <w:t>UV.1 Allgemeine Sortenschutzpolitik</w:t>
            </w:r>
          </w:p>
        </w:tc>
        <w:tc>
          <w:tcPr>
            <w:tcW w:w="13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 xml:space="preserve">              729 </w:t>
            </w:r>
          </w:p>
        </w:tc>
        <w:tc>
          <w:tcPr>
            <w:tcW w:w="142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r w:rsidRPr="00AC64EA">
              <w:rPr>
                <w:rFonts w:cs="Arial"/>
                <w:lang w:bidi="ar-SA"/>
              </w:rPr>
              <w:t xml:space="preserve">                609 </w:t>
            </w:r>
          </w:p>
        </w:tc>
        <w:tc>
          <w:tcPr>
            <w:tcW w:w="104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r w:rsidRPr="00AC64EA">
              <w:rPr>
                <w:rFonts w:cs="Arial"/>
                <w:lang w:bidi="ar-SA"/>
              </w:rPr>
              <w:t xml:space="preserve">        -120 </w:t>
            </w:r>
          </w:p>
        </w:tc>
        <w:tc>
          <w:tcPr>
            <w:tcW w:w="120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-16%</w:t>
            </w:r>
          </w:p>
        </w:tc>
      </w:tr>
      <w:tr w:rsidR="00AC64EA" w:rsidRPr="00AC64EA" w:rsidTr="00AC64EA">
        <w:trPr>
          <w:trHeight w:val="660"/>
        </w:trPr>
        <w:tc>
          <w:tcPr>
            <w:tcW w:w="4600" w:type="dxa"/>
            <w:tcBorders>
              <w:top w:val="nil"/>
              <w:left w:val="nil"/>
              <w:bottom w:val="nil"/>
              <w:right w:val="nil"/>
            </w:tcBorders>
            <w:shd w:val="clear" w:color="auto" w:fill="auto"/>
            <w:vAlign w:val="center"/>
            <w:hideMark/>
          </w:tcPr>
          <w:p w:rsidR="00AC64EA" w:rsidRPr="00AC64EA" w:rsidRDefault="00AC64EA" w:rsidP="00AC64EA">
            <w:pPr>
              <w:jc w:val="left"/>
              <w:rPr>
                <w:rFonts w:cs="Arial"/>
                <w:lang w:bidi="ar-SA"/>
              </w:rPr>
            </w:pPr>
            <w:r w:rsidRPr="00AC64EA">
              <w:rPr>
                <w:rFonts w:cs="Arial"/>
                <w:lang w:bidi="ar-SA"/>
              </w:rPr>
              <w:t>UV.2 Dienstleistungen für den Verband zur Verbesserung der Wirksamkeit des UPOV-Systems</w:t>
            </w:r>
          </w:p>
        </w:tc>
        <w:tc>
          <w:tcPr>
            <w:tcW w:w="13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 xml:space="preserve">           3.801 </w:t>
            </w:r>
          </w:p>
        </w:tc>
        <w:tc>
          <w:tcPr>
            <w:tcW w:w="142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r w:rsidRPr="00AC64EA">
              <w:rPr>
                <w:rFonts w:cs="Arial"/>
                <w:lang w:bidi="ar-SA"/>
              </w:rPr>
              <w:t xml:space="preserve">             3.639 </w:t>
            </w:r>
          </w:p>
        </w:tc>
        <w:tc>
          <w:tcPr>
            <w:tcW w:w="104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r w:rsidRPr="00AC64EA">
              <w:rPr>
                <w:rFonts w:cs="Arial"/>
                <w:lang w:bidi="ar-SA"/>
              </w:rPr>
              <w:t xml:space="preserve">        -162 </w:t>
            </w:r>
          </w:p>
        </w:tc>
        <w:tc>
          <w:tcPr>
            <w:tcW w:w="120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-4%</w:t>
            </w:r>
          </w:p>
        </w:tc>
      </w:tr>
      <w:tr w:rsidR="00AC64EA" w:rsidRPr="00AC64EA" w:rsidTr="00AC64EA">
        <w:trPr>
          <w:trHeight w:val="570"/>
        </w:trPr>
        <w:tc>
          <w:tcPr>
            <w:tcW w:w="4600" w:type="dxa"/>
            <w:tcBorders>
              <w:top w:val="nil"/>
              <w:left w:val="nil"/>
              <w:bottom w:val="nil"/>
              <w:right w:val="nil"/>
            </w:tcBorders>
            <w:shd w:val="clear" w:color="auto" w:fill="auto"/>
            <w:vAlign w:val="center"/>
            <w:hideMark/>
          </w:tcPr>
          <w:p w:rsidR="00AC64EA" w:rsidRPr="00AC64EA" w:rsidRDefault="00AC64EA" w:rsidP="00AC64EA">
            <w:pPr>
              <w:jc w:val="left"/>
              <w:rPr>
                <w:rFonts w:cs="Arial"/>
                <w:lang w:bidi="ar-SA"/>
              </w:rPr>
            </w:pPr>
            <w:r w:rsidRPr="00AC64EA">
              <w:rPr>
                <w:rFonts w:cs="Arial"/>
                <w:lang w:bidi="ar-SA"/>
              </w:rPr>
              <w:t>UV.3 Unterstützung bei der Einführung und Umsetzung des UPOV-Systems</w:t>
            </w:r>
          </w:p>
        </w:tc>
        <w:tc>
          <w:tcPr>
            <w:tcW w:w="13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 xml:space="preserve">           1.631 </w:t>
            </w:r>
          </w:p>
        </w:tc>
        <w:tc>
          <w:tcPr>
            <w:tcW w:w="14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 xml:space="preserve">             1.436 </w:t>
            </w:r>
          </w:p>
        </w:tc>
        <w:tc>
          <w:tcPr>
            <w:tcW w:w="104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r w:rsidRPr="00AC64EA">
              <w:rPr>
                <w:rFonts w:cs="Arial"/>
                <w:lang w:bidi="ar-SA"/>
              </w:rPr>
              <w:t xml:space="preserve">        -195 </w:t>
            </w:r>
          </w:p>
        </w:tc>
        <w:tc>
          <w:tcPr>
            <w:tcW w:w="120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-12%</w:t>
            </w:r>
          </w:p>
        </w:tc>
      </w:tr>
      <w:tr w:rsidR="00AC64EA" w:rsidRPr="00AC64EA" w:rsidTr="00AC64EA">
        <w:trPr>
          <w:trHeight w:val="390"/>
        </w:trPr>
        <w:tc>
          <w:tcPr>
            <w:tcW w:w="4600" w:type="dxa"/>
            <w:tcBorders>
              <w:top w:val="nil"/>
              <w:left w:val="nil"/>
              <w:bottom w:val="nil"/>
              <w:right w:val="nil"/>
            </w:tcBorders>
            <w:shd w:val="clear" w:color="auto" w:fill="auto"/>
            <w:vAlign w:val="center"/>
            <w:hideMark/>
          </w:tcPr>
          <w:p w:rsidR="00AC64EA" w:rsidRPr="00AC64EA" w:rsidRDefault="00AC64EA" w:rsidP="00AC64EA">
            <w:pPr>
              <w:jc w:val="left"/>
              <w:rPr>
                <w:rFonts w:cs="Arial"/>
                <w:lang w:bidi="ar-SA"/>
              </w:rPr>
            </w:pPr>
            <w:r w:rsidRPr="00AC64EA">
              <w:rPr>
                <w:rFonts w:cs="Arial"/>
                <w:lang w:bidi="ar-SA"/>
              </w:rPr>
              <w:t>UV.4 Externe Beziehungen</w:t>
            </w:r>
          </w:p>
        </w:tc>
        <w:tc>
          <w:tcPr>
            <w:tcW w:w="13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 xml:space="preserve">              637 </w:t>
            </w:r>
          </w:p>
        </w:tc>
        <w:tc>
          <w:tcPr>
            <w:tcW w:w="142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r w:rsidRPr="00AC64EA">
              <w:rPr>
                <w:rFonts w:cs="Arial"/>
                <w:lang w:bidi="ar-SA"/>
              </w:rPr>
              <w:t xml:space="preserve">                601 </w:t>
            </w:r>
          </w:p>
        </w:tc>
        <w:tc>
          <w:tcPr>
            <w:tcW w:w="104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r w:rsidRPr="00AC64EA">
              <w:rPr>
                <w:rFonts w:cs="Arial"/>
                <w:lang w:bidi="ar-SA"/>
              </w:rPr>
              <w:t xml:space="preserve">          -36 </w:t>
            </w:r>
          </w:p>
        </w:tc>
        <w:tc>
          <w:tcPr>
            <w:tcW w:w="120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r w:rsidRPr="00AC64EA">
              <w:rPr>
                <w:rFonts w:cs="Arial"/>
                <w:lang w:bidi="ar-SA"/>
              </w:rPr>
              <w:t>-6%</w:t>
            </w:r>
          </w:p>
        </w:tc>
      </w:tr>
      <w:tr w:rsidR="00AC64EA" w:rsidRPr="00AC64EA" w:rsidTr="00AC64EA">
        <w:trPr>
          <w:trHeight w:val="150"/>
        </w:trPr>
        <w:tc>
          <w:tcPr>
            <w:tcW w:w="460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p>
        </w:tc>
        <w:tc>
          <w:tcPr>
            <w:tcW w:w="13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lang w:bidi="ar-SA"/>
              </w:rPr>
            </w:pPr>
          </w:p>
        </w:tc>
        <w:tc>
          <w:tcPr>
            <w:tcW w:w="142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p>
        </w:tc>
        <w:tc>
          <w:tcPr>
            <w:tcW w:w="104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p>
        </w:tc>
        <w:tc>
          <w:tcPr>
            <w:tcW w:w="120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lang w:bidi="ar-SA"/>
              </w:rPr>
            </w:pPr>
          </w:p>
        </w:tc>
      </w:tr>
      <w:tr w:rsidR="00AC64EA" w:rsidRPr="00AC64EA" w:rsidTr="00AC64EA">
        <w:trPr>
          <w:trHeight w:val="255"/>
        </w:trPr>
        <w:tc>
          <w:tcPr>
            <w:tcW w:w="460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b/>
                <w:bCs/>
                <w:lang w:bidi="ar-SA"/>
              </w:rPr>
            </w:pPr>
            <w:r w:rsidRPr="00AC64EA">
              <w:rPr>
                <w:rFonts w:cs="Arial"/>
                <w:b/>
                <w:bCs/>
                <w:lang w:bidi="ar-SA"/>
              </w:rPr>
              <w:t>INSGESAMT</w:t>
            </w:r>
          </w:p>
        </w:tc>
        <w:tc>
          <w:tcPr>
            <w:tcW w:w="13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b/>
                <w:bCs/>
                <w:lang w:bidi="ar-SA"/>
              </w:rPr>
            </w:pPr>
            <w:r w:rsidRPr="00AC64EA">
              <w:rPr>
                <w:rFonts w:cs="Arial"/>
                <w:b/>
                <w:bCs/>
                <w:lang w:bidi="ar-SA"/>
              </w:rPr>
              <w:t xml:space="preserve">           6.798 </w:t>
            </w:r>
          </w:p>
        </w:tc>
        <w:tc>
          <w:tcPr>
            <w:tcW w:w="142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b/>
                <w:bCs/>
                <w:lang w:bidi="ar-SA"/>
              </w:rPr>
            </w:pPr>
            <w:r w:rsidRPr="00AC64EA">
              <w:rPr>
                <w:rFonts w:cs="Arial"/>
                <w:b/>
                <w:bCs/>
                <w:lang w:bidi="ar-SA"/>
              </w:rPr>
              <w:t xml:space="preserve">             6.285 </w:t>
            </w:r>
          </w:p>
        </w:tc>
        <w:tc>
          <w:tcPr>
            <w:tcW w:w="1040" w:type="dxa"/>
            <w:tcBorders>
              <w:top w:val="nil"/>
              <w:left w:val="nil"/>
              <w:bottom w:val="nil"/>
              <w:right w:val="nil"/>
            </w:tcBorders>
            <w:shd w:val="clear" w:color="auto" w:fill="auto"/>
            <w:noWrap/>
            <w:vAlign w:val="center"/>
            <w:hideMark/>
          </w:tcPr>
          <w:p w:rsidR="00AC64EA" w:rsidRPr="00AC64EA" w:rsidRDefault="00AC64EA" w:rsidP="00AC64EA">
            <w:pPr>
              <w:jc w:val="left"/>
              <w:rPr>
                <w:rFonts w:cs="Arial"/>
                <w:b/>
                <w:bCs/>
                <w:lang w:bidi="ar-SA"/>
              </w:rPr>
            </w:pPr>
            <w:r w:rsidRPr="00AC64EA">
              <w:rPr>
                <w:rFonts w:cs="Arial"/>
                <w:b/>
                <w:bCs/>
                <w:lang w:bidi="ar-SA"/>
              </w:rPr>
              <w:t xml:space="preserve">        -513 </w:t>
            </w:r>
          </w:p>
        </w:tc>
        <w:tc>
          <w:tcPr>
            <w:tcW w:w="1200" w:type="dxa"/>
            <w:tcBorders>
              <w:top w:val="nil"/>
              <w:left w:val="nil"/>
              <w:bottom w:val="nil"/>
              <w:right w:val="nil"/>
            </w:tcBorders>
            <w:shd w:val="clear" w:color="auto" w:fill="auto"/>
            <w:noWrap/>
            <w:vAlign w:val="center"/>
            <w:hideMark/>
          </w:tcPr>
          <w:p w:rsidR="00AC64EA" w:rsidRPr="00AC64EA" w:rsidRDefault="00AC64EA" w:rsidP="00AC64EA">
            <w:pPr>
              <w:jc w:val="right"/>
              <w:rPr>
                <w:rFonts w:cs="Arial"/>
                <w:b/>
                <w:bCs/>
                <w:lang w:bidi="ar-SA"/>
              </w:rPr>
            </w:pPr>
            <w:r w:rsidRPr="00AC64EA">
              <w:rPr>
                <w:rFonts w:cs="Arial"/>
                <w:b/>
                <w:bCs/>
                <w:lang w:bidi="ar-SA"/>
              </w:rPr>
              <w:t>-8%</w:t>
            </w:r>
          </w:p>
        </w:tc>
      </w:tr>
    </w:tbl>
    <w:p w:rsidR="000E15D4" w:rsidRDefault="000E15D4" w:rsidP="00D81BFB">
      <w:pPr>
        <w:rPr>
          <w:rFonts w:asciiTheme="minorHAnsi" w:eastAsiaTheme="minorHAnsi" w:hAnsiTheme="minorHAnsi" w:cstheme="minorBidi"/>
          <w:b/>
          <w:sz w:val="22"/>
          <w:szCs w:val="22"/>
        </w:rPr>
      </w:pPr>
    </w:p>
    <w:p w:rsidR="00E209FB" w:rsidRDefault="00E209FB" w:rsidP="00D81BFB">
      <w:pPr>
        <w:spacing w:after="200" w:line="276" w:lineRule="auto"/>
        <w:rPr>
          <w:u w:val="single"/>
        </w:rPr>
      </w:pPr>
    </w:p>
    <w:p w:rsidR="00917841" w:rsidRPr="00917841" w:rsidRDefault="00917841" w:rsidP="00D81BFB">
      <w:pPr>
        <w:spacing w:after="200" w:line="276" w:lineRule="auto"/>
        <w:rPr>
          <w:u w:val="single"/>
        </w:rPr>
      </w:pPr>
      <w:r>
        <w:rPr>
          <w:u w:val="single"/>
        </w:rPr>
        <w:lastRenderedPageBreak/>
        <w:t>Personalkosten</w:t>
      </w:r>
    </w:p>
    <w:p w:rsidR="00917841" w:rsidRPr="00917841" w:rsidRDefault="00917841" w:rsidP="00D81BFB">
      <w:pPr>
        <w:spacing w:after="200" w:line="276" w:lineRule="auto"/>
      </w:pPr>
      <w:r>
        <w:t>Die Personalkosten beliefen sich in der Periode 2012/13 auf 4,1 Millionen Schweizer Franken, 0,5 Millionen Schweizer Franken weniger als im angenommen Haushaltsplan 2012/13 veranschlagt</w:t>
      </w:r>
      <w:r w:rsidR="0059409A">
        <w:t xml:space="preserve">. </w:t>
      </w:r>
      <w:r>
        <w:t>Dieser Rückgang ergab sich aus der Vakanz eines Postens in der Kategorie „Höherer Dienst“ und aus Änderungen des Dienstgrades infolge personeller Veränderungen</w:t>
      </w:r>
      <w:r w:rsidR="0059409A">
        <w:t xml:space="preserve">. </w:t>
      </w:r>
      <w:r>
        <w:t>Dem Rückgang von 1,0 Millionen Schweizer Franken in der Kategorie Posten stand ein Anstieg um 0,5 Millionen Schweizer Franken in der Kategorie befristete Mitarbeiter gegenüber</w:t>
      </w:r>
      <w:r w:rsidR="0059409A">
        <w:t xml:space="preserve">. </w:t>
      </w:r>
      <w:r>
        <w:t xml:space="preserve">Zwei zuvor zu 80% beschäftigte Mitarbeiter nahmen ihre Tätigkeiten in der Rechnungsperiode 2012/13 wieder zu 100% auf. </w:t>
      </w:r>
    </w:p>
    <w:p w:rsidR="00917841" w:rsidRPr="00917841" w:rsidRDefault="00917841" w:rsidP="00D81BFB">
      <w:pPr>
        <w:spacing w:after="200" w:line="276" w:lineRule="auto"/>
        <w:rPr>
          <w:u w:val="single"/>
        </w:rPr>
      </w:pPr>
      <w:r>
        <w:rPr>
          <w:u w:val="single"/>
        </w:rPr>
        <w:t>Nichtpersonalkosten</w:t>
      </w:r>
    </w:p>
    <w:p w:rsidR="00917841" w:rsidRPr="00917841" w:rsidRDefault="00917841" w:rsidP="00D81BFB">
      <w:pPr>
        <w:spacing w:after="200" w:line="276" w:lineRule="auto"/>
        <w:rPr>
          <w:rFonts w:eastAsiaTheme="minorHAnsi" w:cs="Arial"/>
        </w:rPr>
      </w:pPr>
      <w:r>
        <w:t>Insgesamt beliefen sich die Nichtpersonalkosten auf 2,2 Millionen Schweizer Franken, was dem im Haushaltsplan veranschlagten Ziel (99% des Budgets) entsprach</w:t>
      </w:r>
      <w:r w:rsidR="0059409A">
        <w:t xml:space="preserve">. </w:t>
      </w:r>
      <w:r>
        <w:t xml:space="preserve">Erklärungen nach Kostenkategorien sind unten </w:t>
      </w:r>
      <w:r w:rsidR="0059409A">
        <w:t>aufgeführt</w:t>
      </w:r>
      <w:r>
        <w:t xml:space="preserve">. </w:t>
      </w:r>
    </w:p>
    <w:p w:rsidR="00917841" w:rsidRPr="00917841" w:rsidRDefault="00917841" w:rsidP="00D81BFB">
      <w:pPr>
        <w:spacing w:after="200" w:line="276" w:lineRule="auto"/>
        <w:rPr>
          <w:rFonts w:eastAsiaTheme="minorHAnsi" w:cs="Arial"/>
          <w:i/>
        </w:rPr>
      </w:pPr>
      <w:r>
        <w:rPr>
          <w:rFonts w:eastAsiaTheme="minorHAnsi"/>
          <w:i/>
        </w:rPr>
        <w:t>Reisen</w:t>
      </w:r>
    </w:p>
    <w:p w:rsidR="00917841" w:rsidRPr="00917841" w:rsidRDefault="00917841" w:rsidP="00D81BFB">
      <w:pPr>
        <w:spacing w:after="200" w:line="276" w:lineRule="auto"/>
        <w:rPr>
          <w:rFonts w:eastAsiaTheme="minorHAnsi" w:cs="Arial"/>
        </w:rPr>
      </w:pPr>
      <w:r>
        <w:t>Die Reisekosten entsprachen weitgehend den im Haushaltsplan 2012/13 veranschlagten Kosten (95% des Budgets).</w:t>
      </w:r>
    </w:p>
    <w:p w:rsidR="00917841" w:rsidRPr="00917841" w:rsidRDefault="00917841" w:rsidP="00D81BFB">
      <w:pPr>
        <w:spacing w:after="200" w:line="276" w:lineRule="auto"/>
        <w:rPr>
          <w:rFonts w:eastAsiaTheme="minorHAnsi" w:cs="Arial"/>
          <w:i/>
        </w:rPr>
      </w:pPr>
      <w:r>
        <w:rPr>
          <w:rFonts w:eastAsiaTheme="minorHAnsi"/>
          <w:i/>
        </w:rPr>
        <w:t>Vertraglich vereinbarte Dienstleistungen</w:t>
      </w:r>
    </w:p>
    <w:p w:rsidR="00917841" w:rsidRPr="00917841" w:rsidRDefault="00917841" w:rsidP="00D81BFB">
      <w:pPr>
        <w:spacing w:after="200" w:line="276" w:lineRule="auto"/>
        <w:rPr>
          <w:rFonts w:eastAsiaTheme="minorHAnsi" w:cs="Arial"/>
        </w:rPr>
      </w:pPr>
      <w:r>
        <w:t>Die Gesamtkosten für vertraglich vereinbarte Dienstleistungen entsprachen den veranschlagten Kosten (102% des Budgets)</w:t>
      </w:r>
      <w:r w:rsidR="0059409A">
        <w:t xml:space="preserve">. </w:t>
      </w:r>
      <w:r>
        <w:t>Die Kosten für Konferenzen lagen deutlich unter den veranschlagten Kosten, nämlich bei 175 Tausend Schweizer Franken gegenüber 250 Tausend Schweizer Franken (70% des Budgets)</w:t>
      </w:r>
      <w:r w:rsidR="0059409A">
        <w:t xml:space="preserve">. </w:t>
      </w:r>
      <w:r>
        <w:t>Die übrigen vertraglich vereinbarten Kosten lagen deutlich über den veranschlagten Kosten, nämlich bei 262 Tausend Schweizer Franken gegenüber 180 Tausend Schweizer Franken (146% des Haushalts)</w:t>
      </w:r>
      <w:r w:rsidR="0059409A">
        <w:t xml:space="preserve">. </w:t>
      </w:r>
      <w:r>
        <w:t>Die meisten der ursprünglich unter „Sachverständige“ veranschlagten Kosten wurden infolge von Veränderungen bei den Kostenkategorien in der Kategorie „Sonstige vertraglich vereinbarte Dienstleistungen“ verbucht</w:t>
      </w:r>
      <w:r w:rsidR="0059409A">
        <w:t xml:space="preserve">. </w:t>
      </w:r>
      <w:r>
        <w:t xml:space="preserve">Die Ausgaben für „Sonstige vertraglich vereinbarte Ausgaben“ umfassen die Ausgaben für Sachverständige für Informationstechnologie (IT) bezüglich der Entwicklung eines elektronischen Antragsformblatts und einer elektronischen Mustervorlage für Prüfungsrichtlinien, Sachverständige, die in bezug auf die Entwicklung des fortgeschrittenen Fernlehrgangs „Prüfung von Anträgen auf Erteilung von Züchterrechten“ (DL-305) und die Verwaltung des Lehrgangs DL-205 „Einführung in das UPOV-Sortenschutzsystem nach dem UPOV-Übereinkommen“ ergänzend zum Personal der UPOV tätig werden.  </w:t>
      </w:r>
    </w:p>
    <w:p w:rsidR="00917841" w:rsidRPr="00917841" w:rsidRDefault="00917841" w:rsidP="00D81BFB">
      <w:pPr>
        <w:spacing w:after="200" w:line="276" w:lineRule="auto"/>
        <w:rPr>
          <w:rFonts w:eastAsiaTheme="minorHAnsi" w:cs="Arial"/>
          <w:i/>
        </w:rPr>
      </w:pPr>
      <w:r>
        <w:rPr>
          <w:rFonts w:eastAsiaTheme="minorHAnsi"/>
          <w:i/>
        </w:rPr>
        <w:t>Betriebsaufwand</w:t>
      </w:r>
    </w:p>
    <w:p w:rsidR="00917841" w:rsidRPr="00917841" w:rsidRDefault="00917841" w:rsidP="00D81BFB">
      <w:pPr>
        <w:spacing w:after="200" w:line="276" w:lineRule="auto"/>
        <w:rPr>
          <w:rFonts w:eastAsiaTheme="minorHAnsi" w:cs="Arial"/>
        </w:rPr>
      </w:pPr>
      <w:r>
        <w:t>Der Betriebsaufwand entsprach den im Haushaltsplan 2012/13 veranschlagten Kosten (101% des Budgets).</w:t>
      </w:r>
    </w:p>
    <w:p w:rsidR="00917841" w:rsidRPr="00917841" w:rsidRDefault="00917841" w:rsidP="00D81BFB">
      <w:pPr>
        <w:spacing w:after="200" w:line="276" w:lineRule="auto"/>
        <w:rPr>
          <w:rFonts w:eastAsiaTheme="minorHAnsi" w:cs="Arial"/>
          <w:i/>
        </w:rPr>
      </w:pPr>
      <w:r>
        <w:rPr>
          <w:rFonts w:eastAsiaTheme="minorHAnsi"/>
          <w:i/>
        </w:rPr>
        <w:t>Gerät und Bürobedarf</w:t>
      </w:r>
    </w:p>
    <w:p w:rsidR="00917841" w:rsidRPr="00917841" w:rsidRDefault="00917841" w:rsidP="00D81BFB">
      <w:pPr>
        <w:spacing w:after="200" w:line="276" w:lineRule="auto"/>
        <w:rPr>
          <w:rFonts w:eastAsiaTheme="minorHAnsi" w:cs="Arial"/>
        </w:rPr>
      </w:pPr>
      <w:r>
        <w:t>Die Ausgaben für Gerät und Bürobedarf für die Rechnungsperiode 2012/13 entsprachen im Großen und Ganzen den veranschlagten Kosten (90%).</w:t>
      </w:r>
    </w:p>
    <w:p w:rsidR="00EE7438" w:rsidRDefault="00EE7438" w:rsidP="00D81BFB">
      <w:pPr>
        <w:rPr>
          <w:rFonts w:asciiTheme="minorHAnsi" w:eastAsiaTheme="minorHAnsi" w:hAnsiTheme="minorHAnsi" w:cstheme="minorBidi"/>
          <w:sz w:val="22"/>
          <w:szCs w:val="22"/>
        </w:rPr>
      </w:pPr>
      <w:r>
        <w:br w:type="page"/>
      </w:r>
    </w:p>
    <w:p w:rsidR="00917841" w:rsidRPr="00917841" w:rsidRDefault="00917841" w:rsidP="00D81BFB">
      <w:pPr>
        <w:spacing w:after="200" w:line="276" w:lineRule="auto"/>
        <w:rPr>
          <w:rFonts w:eastAsiaTheme="minorHAnsi" w:cs="Arial"/>
        </w:rPr>
      </w:pPr>
      <w:r>
        <w:lastRenderedPageBreak/>
        <w:t>Die Aufschlüsselung der Ausgaben 2012/13 nach Unterprogramme</w:t>
      </w:r>
      <w:r w:rsidR="00FC1403">
        <w:t>n und Kostenkategorien ist nachfolgend</w:t>
      </w:r>
      <w:r>
        <w:t xml:space="preserve"> in Tabelle 5 dargestellt.  </w:t>
      </w:r>
    </w:p>
    <w:p w:rsidR="00917841" w:rsidRPr="00917841" w:rsidRDefault="00917841" w:rsidP="008518D2">
      <w:pPr>
        <w:pStyle w:val="Heading3"/>
      </w:pPr>
      <w:bookmarkStart w:id="24" w:name="_Toc393377914"/>
      <w:bookmarkStart w:id="25" w:name="_Toc397085721"/>
      <w:bookmarkStart w:id="26" w:name="_Toc397086066"/>
      <w:r>
        <w:t>Tabelle 5. Einzelheiten der Ausgaben 2012/13 nach Unterprogrammen</w:t>
      </w:r>
      <w:bookmarkEnd w:id="24"/>
      <w:bookmarkEnd w:id="25"/>
      <w:bookmarkEnd w:id="26"/>
    </w:p>
    <w:p w:rsidR="00917841" w:rsidRPr="00BA6252" w:rsidRDefault="00917841" w:rsidP="00917841">
      <w:pPr>
        <w:spacing w:after="200" w:line="276" w:lineRule="auto"/>
        <w:jc w:val="center"/>
        <w:rPr>
          <w:rFonts w:eastAsiaTheme="minorHAnsi" w:cs="Arial"/>
          <w:i/>
        </w:rPr>
      </w:pPr>
      <w:r>
        <w:rPr>
          <w:rFonts w:eastAsiaTheme="minorHAnsi"/>
          <w:i/>
        </w:rPr>
        <w:t>(in Tausend Schweizer Franken)</w:t>
      </w:r>
    </w:p>
    <w:p w:rsidR="00965A10" w:rsidRDefault="00A54674" w:rsidP="00D81BFB">
      <w:pPr>
        <w:spacing w:after="200" w:line="276" w:lineRule="auto"/>
        <w:rPr>
          <w:rFonts w:eastAsiaTheme="minorHAnsi" w:cs="Arial"/>
        </w:rPr>
      </w:pPr>
      <w:r w:rsidRPr="00A54674">
        <w:rPr>
          <w:rFonts w:eastAsiaTheme="minorHAnsi"/>
          <w:noProof/>
          <w:lang w:val="en-US" w:eastAsia="en-US" w:bidi="ar-SA"/>
        </w:rPr>
        <w:drawing>
          <wp:inline distT="0" distB="0" distL="0" distR="0" wp14:anchorId="2FB8F3C6" wp14:editId="656CD2C3">
            <wp:extent cx="6120765" cy="429870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4298704"/>
                    </a:xfrm>
                    <a:prstGeom prst="rect">
                      <a:avLst/>
                    </a:prstGeom>
                    <a:noFill/>
                    <a:ln>
                      <a:noFill/>
                    </a:ln>
                  </pic:spPr>
                </pic:pic>
              </a:graphicData>
            </a:graphic>
          </wp:inline>
        </w:drawing>
      </w:r>
    </w:p>
    <w:p w:rsidR="00965A10" w:rsidRDefault="00965A10" w:rsidP="00D81BFB">
      <w:pPr>
        <w:spacing w:after="200" w:line="276" w:lineRule="auto"/>
        <w:rPr>
          <w:rFonts w:eastAsiaTheme="minorHAnsi" w:cs="Arial"/>
        </w:rPr>
      </w:pPr>
    </w:p>
    <w:p w:rsidR="00917841" w:rsidRPr="00917841" w:rsidRDefault="00917841" w:rsidP="00D81BFB">
      <w:pPr>
        <w:spacing w:after="200" w:line="276" w:lineRule="auto"/>
        <w:rPr>
          <w:rFonts w:eastAsiaTheme="minorHAnsi" w:cs="Arial"/>
        </w:rPr>
      </w:pPr>
      <w:r w:rsidRPr="00825887">
        <w:rPr>
          <w:rFonts w:eastAsiaTheme="minorHAnsi" w:cs="Arial"/>
        </w:rPr>
        <w:fldChar w:fldCharType="begin"/>
      </w:r>
      <w:r w:rsidRPr="00825887">
        <w:rPr>
          <w:rFonts w:eastAsiaTheme="minorHAnsi" w:cs="Arial"/>
        </w:rPr>
        <w:instrText xml:space="preserve"> AUTONUM  </w:instrText>
      </w:r>
      <w:r w:rsidRPr="00825887">
        <w:rPr>
          <w:rFonts w:eastAsiaTheme="minorHAnsi" w:cs="Arial"/>
        </w:rPr>
        <w:fldChar w:fldCharType="end"/>
      </w:r>
      <w:r>
        <w:tab/>
        <w:t xml:space="preserve">Wie aus Tabelle 6 unten hervorgeht, gab es keine Änderung im Hinblick auf die Gesamtzahl der Posten und deren Aufschlüsselung nach Kategorie in der Rechnungsperiode 2012/13. </w:t>
      </w:r>
    </w:p>
    <w:p w:rsidR="00917841" w:rsidRPr="00780E2C" w:rsidRDefault="00917841" w:rsidP="00780E2C">
      <w:pPr>
        <w:pStyle w:val="Heading3"/>
      </w:pPr>
      <w:bookmarkStart w:id="27" w:name="_Toc393377915"/>
      <w:bookmarkStart w:id="28" w:name="_Toc397085722"/>
      <w:bookmarkStart w:id="29" w:name="_Toc397086067"/>
      <w:r>
        <w:t>Tabelle 6. 2012/13 veranschlagte und tatsächliche Posten</w:t>
      </w:r>
      <w:bookmarkEnd w:id="27"/>
      <w:bookmarkEnd w:id="28"/>
      <w:bookmarkEnd w:id="29"/>
    </w:p>
    <w:p w:rsidR="00BA6252" w:rsidRPr="00BA6252" w:rsidRDefault="00BA6252" w:rsidP="00BA6252">
      <w:pPr>
        <w:rPr>
          <w:rFonts w:eastAsiaTheme="minorHAnsi"/>
        </w:rPr>
      </w:pPr>
    </w:p>
    <w:tbl>
      <w:tblPr>
        <w:tblW w:w="5880" w:type="dxa"/>
        <w:jc w:val="center"/>
        <w:tblInd w:w="55" w:type="dxa"/>
        <w:tblCellMar>
          <w:left w:w="70" w:type="dxa"/>
          <w:right w:w="70" w:type="dxa"/>
        </w:tblCellMar>
        <w:tblLook w:val="04A0" w:firstRow="1" w:lastRow="0" w:firstColumn="1" w:lastColumn="0" w:noHBand="0" w:noVBand="1"/>
      </w:tblPr>
      <w:tblGrid>
        <w:gridCol w:w="2000"/>
        <w:gridCol w:w="1419"/>
        <w:gridCol w:w="1380"/>
        <w:gridCol w:w="1191"/>
      </w:tblGrid>
      <w:tr w:rsidR="00AA478C" w:rsidRPr="00AA478C" w:rsidTr="00A54674">
        <w:trPr>
          <w:trHeight w:val="255"/>
          <w:jc w:val="center"/>
        </w:trPr>
        <w:tc>
          <w:tcPr>
            <w:tcW w:w="2000" w:type="dxa"/>
            <w:tcBorders>
              <w:top w:val="single" w:sz="4" w:space="0" w:color="auto"/>
              <w:left w:val="nil"/>
              <w:bottom w:val="nil"/>
              <w:right w:val="single" w:sz="4" w:space="0" w:color="auto"/>
            </w:tcBorders>
            <w:shd w:val="clear" w:color="000000" w:fill="D1FFA3"/>
            <w:noWrap/>
            <w:vAlign w:val="center"/>
            <w:hideMark/>
          </w:tcPr>
          <w:p w:rsidR="00AA478C" w:rsidRPr="00AA478C" w:rsidRDefault="00AA478C" w:rsidP="00AA478C">
            <w:pPr>
              <w:jc w:val="left"/>
              <w:rPr>
                <w:rFonts w:cs="Arial"/>
                <w:b/>
                <w:bCs/>
                <w:lang w:bidi="ar-SA"/>
              </w:rPr>
            </w:pPr>
            <w:r w:rsidRPr="00AA478C">
              <w:rPr>
                <w:rFonts w:cs="Arial"/>
                <w:b/>
                <w:bCs/>
                <w:lang w:bidi="ar-SA"/>
              </w:rPr>
              <w:t> </w:t>
            </w:r>
          </w:p>
        </w:tc>
        <w:tc>
          <w:tcPr>
            <w:tcW w:w="1309" w:type="dxa"/>
            <w:tcBorders>
              <w:top w:val="single" w:sz="4" w:space="0" w:color="auto"/>
              <w:left w:val="nil"/>
              <w:bottom w:val="nil"/>
              <w:right w:val="single" w:sz="4" w:space="0" w:color="auto"/>
            </w:tcBorders>
            <w:shd w:val="clear" w:color="000000" w:fill="D1FFA3"/>
            <w:noWrap/>
            <w:vAlign w:val="center"/>
            <w:hideMark/>
          </w:tcPr>
          <w:p w:rsidR="00AA478C" w:rsidRPr="00AA478C" w:rsidRDefault="00AA478C" w:rsidP="00AA478C">
            <w:pPr>
              <w:jc w:val="center"/>
              <w:rPr>
                <w:rFonts w:cs="Arial"/>
                <w:i/>
                <w:iCs/>
                <w:color w:val="000000"/>
                <w:lang w:bidi="ar-SA"/>
              </w:rPr>
            </w:pPr>
            <w:r w:rsidRPr="00AA478C">
              <w:rPr>
                <w:rFonts w:cs="Arial"/>
                <w:i/>
                <w:iCs/>
                <w:color w:val="000000"/>
                <w:lang w:bidi="ar-SA"/>
              </w:rPr>
              <w:t>2012/13</w:t>
            </w:r>
          </w:p>
        </w:tc>
        <w:tc>
          <w:tcPr>
            <w:tcW w:w="1380" w:type="dxa"/>
            <w:tcBorders>
              <w:top w:val="single" w:sz="4" w:space="0" w:color="auto"/>
              <w:left w:val="nil"/>
              <w:bottom w:val="nil"/>
              <w:right w:val="nil"/>
            </w:tcBorders>
            <w:shd w:val="clear" w:color="000000" w:fill="D1FFA3"/>
            <w:noWrap/>
            <w:vAlign w:val="center"/>
            <w:hideMark/>
          </w:tcPr>
          <w:p w:rsidR="00AA478C" w:rsidRPr="00AA478C" w:rsidRDefault="00AA478C" w:rsidP="00AA478C">
            <w:pPr>
              <w:jc w:val="center"/>
              <w:rPr>
                <w:rFonts w:cs="Arial"/>
                <w:i/>
                <w:iCs/>
                <w:color w:val="000000"/>
                <w:lang w:bidi="ar-SA"/>
              </w:rPr>
            </w:pPr>
            <w:r w:rsidRPr="00AA478C">
              <w:rPr>
                <w:rFonts w:cs="Arial"/>
                <w:i/>
                <w:iCs/>
                <w:color w:val="000000"/>
                <w:lang w:bidi="ar-SA"/>
              </w:rPr>
              <w:t>2012/13</w:t>
            </w:r>
          </w:p>
        </w:tc>
        <w:tc>
          <w:tcPr>
            <w:tcW w:w="1191" w:type="dxa"/>
            <w:tcBorders>
              <w:top w:val="single" w:sz="4" w:space="0" w:color="auto"/>
              <w:left w:val="single" w:sz="4" w:space="0" w:color="auto"/>
              <w:bottom w:val="nil"/>
              <w:right w:val="single" w:sz="4" w:space="0" w:color="auto"/>
            </w:tcBorders>
            <w:shd w:val="clear" w:color="000000" w:fill="D1FFA3"/>
            <w:vAlign w:val="center"/>
            <w:hideMark/>
          </w:tcPr>
          <w:p w:rsidR="00AA478C" w:rsidRPr="00AA478C" w:rsidRDefault="00AA478C" w:rsidP="00AA478C">
            <w:pPr>
              <w:jc w:val="center"/>
              <w:rPr>
                <w:rFonts w:cs="Arial"/>
                <w:i/>
                <w:iCs/>
                <w:color w:val="000000"/>
                <w:lang w:bidi="ar-SA"/>
              </w:rPr>
            </w:pPr>
            <w:r w:rsidRPr="00AA478C">
              <w:rPr>
                <w:rFonts w:cs="Arial"/>
                <w:i/>
                <w:iCs/>
                <w:color w:val="000000"/>
                <w:lang w:bidi="ar-SA"/>
              </w:rPr>
              <w:t>Differenz</w:t>
            </w:r>
          </w:p>
        </w:tc>
      </w:tr>
      <w:tr w:rsidR="00AA478C" w:rsidRPr="00AA478C" w:rsidTr="00A54674">
        <w:trPr>
          <w:trHeight w:val="255"/>
          <w:jc w:val="center"/>
        </w:trPr>
        <w:tc>
          <w:tcPr>
            <w:tcW w:w="2000" w:type="dxa"/>
            <w:tcBorders>
              <w:top w:val="nil"/>
              <w:left w:val="nil"/>
              <w:bottom w:val="nil"/>
              <w:right w:val="single" w:sz="4" w:space="0" w:color="auto"/>
            </w:tcBorders>
            <w:shd w:val="clear" w:color="000000" w:fill="D1FFA3"/>
            <w:noWrap/>
            <w:vAlign w:val="center"/>
            <w:hideMark/>
          </w:tcPr>
          <w:p w:rsidR="00AA478C" w:rsidRPr="00AA478C" w:rsidRDefault="00AA478C" w:rsidP="00AA478C">
            <w:pPr>
              <w:jc w:val="left"/>
              <w:rPr>
                <w:rFonts w:cs="Arial"/>
                <w:i/>
                <w:iCs/>
                <w:lang w:bidi="ar-SA"/>
              </w:rPr>
            </w:pPr>
            <w:r w:rsidRPr="00AA478C">
              <w:rPr>
                <w:rFonts w:cs="Arial"/>
                <w:i/>
                <w:iCs/>
                <w:lang w:bidi="ar-SA"/>
              </w:rPr>
              <w:t>Postenkategorie</w:t>
            </w:r>
          </w:p>
        </w:tc>
        <w:tc>
          <w:tcPr>
            <w:tcW w:w="1309" w:type="dxa"/>
            <w:tcBorders>
              <w:top w:val="nil"/>
              <w:left w:val="nil"/>
              <w:bottom w:val="nil"/>
              <w:right w:val="single" w:sz="4" w:space="0" w:color="auto"/>
            </w:tcBorders>
            <w:shd w:val="clear" w:color="000000" w:fill="D1FFA3"/>
            <w:noWrap/>
            <w:vAlign w:val="center"/>
            <w:hideMark/>
          </w:tcPr>
          <w:p w:rsidR="00AA478C" w:rsidRPr="00AA478C" w:rsidRDefault="00AA478C" w:rsidP="00AA478C">
            <w:pPr>
              <w:jc w:val="center"/>
              <w:rPr>
                <w:rFonts w:cs="Arial"/>
                <w:i/>
                <w:iCs/>
                <w:color w:val="000000"/>
                <w:lang w:bidi="ar-SA"/>
              </w:rPr>
            </w:pPr>
            <w:r w:rsidRPr="00AA478C">
              <w:rPr>
                <w:rFonts w:cs="Arial"/>
                <w:i/>
                <w:iCs/>
                <w:color w:val="000000"/>
                <w:lang w:bidi="ar-SA"/>
              </w:rPr>
              <w:t>Veranschlagte</w:t>
            </w:r>
          </w:p>
        </w:tc>
        <w:tc>
          <w:tcPr>
            <w:tcW w:w="1380" w:type="dxa"/>
            <w:tcBorders>
              <w:top w:val="nil"/>
              <w:left w:val="nil"/>
              <w:bottom w:val="nil"/>
              <w:right w:val="nil"/>
            </w:tcBorders>
            <w:shd w:val="clear" w:color="000000" w:fill="D1FFA3"/>
            <w:noWrap/>
            <w:vAlign w:val="center"/>
            <w:hideMark/>
          </w:tcPr>
          <w:p w:rsidR="00AA478C" w:rsidRPr="00AA478C" w:rsidRDefault="00AA478C" w:rsidP="00AA478C">
            <w:pPr>
              <w:jc w:val="center"/>
              <w:rPr>
                <w:rFonts w:cs="Arial"/>
                <w:i/>
                <w:iCs/>
                <w:color w:val="000000"/>
                <w:lang w:bidi="ar-SA"/>
              </w:rPr>
            </w:pPr>
            <w:r w:rsidRPr="00AA478C">
              <w:rPr>
                <w:rFonts w:cs="Arial"/>
                <w:i/>
                <w:iCs/>
                <w:color w:val="000000"/>
                <w:lang w:bidi="ar-SA"/>
              </w:rPr>
              <w:t>Tatsächliche</w:t>
            </w:r>
          </w:p>
        </w:tc>
        <w:tc>
          <w:tcPr>
            <w:tcW w:w="1191" w:type="dxa"/>
            <w:tcBorders>
              <w:top w:val="nil"/>
              <w:left w:val="single" w:sz="4" w:space="0" w:color="auto"/>
              <w:bottom w:val="nil"/>
              <w:right w:val="single" w:sz="4" w:space="0" w:color="auto"/>
            </w:tcBorders>
            <w:shd w:val="clear" w:color="000000" w:fill="D1FFA3"/>
            <w:vAlign w:val="center"/>
            <w:hideMark/>
          </w:tcPr>
          <w:p w:rsidR="00AA478C" w:rsidRPr="00AA478C" w:rsidRDefault="00AA478C" w:rsidP="00AA478C">
            <w:pPr>
              <w:jc w:val="center"/>
              <w:rPr>
                <w:rFonts w:cs="Arial"/>
                <w:i/>
                <w:iCs/>
                <w:color w:val="000000"/>
                <w:lang w:bidi="ar-SA"/>
              </w:rPr>
            </w:pPr>
            <w:r w:rsidRPr="00AA478C">
              <w:rPr>
                <w:rFonts w:cs="Arial"/>
                <w:i/>
                <w:iCs/>
                <w:color w:val="000000"/>
                <w:lang w:bidi="ar-SA"/>
              </w:rPr>
              <w:t> </w:t>
            </w:r>
          </w:p>
        </w:tc>
      </w:tr>
      <w:tr w:rsidR="00AA478C" w:rsidRPr="00AA478C" w:rsidTr="00A54674">
        <w:trPr>
          <w:trHeight w:val="255"/>
          <w:jc w:val="center"/>
        </w:trPr>
        <w:tc>
          <w:tcPr>
            <w:tcW w:w="2000" w:type="dxa"/>
            <w:tcBorders>
              <w:top w:val="nil"/>
              <w:left w:val="nil"/>
              <w:bottom w:val="single" w:sz="4" w:space="0" w:color="auto"/>
              <w:right w:val="single" w:sz="4" w:space="0" w:color="auto"/>
            </w:tcBorders>
            <w:shd w:val="clear" w:color="000000" w:fill="D1FFA3"/>
            <w:noWrap/>
            <w:vAlign w:val="center"/>
            <w:hideMark/>
          </w:tcPr>
          <w:p w:rsidR="00AA478C" w:rsidRPr="00A54674" w:rsidRDefault="00AA478C" w:rsidP="00AA478C">
            <w:pPr>
              <w:jc w:val="left"/>
              <w:rPr>
                <w:rFonts w:cs="Arial"/>
                <w:bCs/>
                <w:lang w:bidi="ar-SA"/>
              </w:rPr>
            </w:pPr>
            <w:r w:rsidRPr="00A54674">
              <w:rPr>
                <w:rFonts w:cs="Arial"/>
                <w:bCs/>
                <w:lang w:bidi="ar-SA"/>
              </w:rPr>
              <w:t> </w:t>
            </w:r>
          </w:p>
        </w:tc>
        <w:tc>
          <w:tcPr>
            <w:tcW w:w="1309" w:type="dxa"/>
            <w:tcBorders>
              <w:top w:val="nil"/>
              <w:left w:val="nil"/>
              <w:bottom w:val="single" w:sz="4" w:space="0" w:color="auto"/>
              <w:right w:val="single" w:sz="4" w:space="0" w:color="auto"/>
            </w:tcBorders>
            <w:shd w:val="clear" w:color="000000" w:fill="D1FFA3"/>
            <w:noWrap/>
            <w:vAlign w:val="center"/>
            <w:hideMark/>
          </w:tcPr>
          <w:p w:rsidR="00AA478C" w:rsidRPr="00AA478C" w:rsidRDefault="00AA478C" w:rsidP="00AA478C">
            <w:pPr>
              <w:jc w:val="center"/>
              <w:rPr>
                <w:rFonts w:cs="Arial"/>
                <w:i/>
                <w:iCs/>
                <w:lang w:bidi="ar-SA"/>
              </w:rPr>
            </w:pPr>
            <w:r w:rsidRPr="00AA478C">
              <w:rPr>
                <w:rFonts w:cs="Arial"/>
                <w:i/>
                <w:iCs/>
                <w:lang w:bidi="ar-SA"/>
              </w:rPr>
              <w:t>Posten</w:t>
            </w:r>
          </w:p>
        </w:tc>
        <w:tc>
          <w:tcPr>
            <w:tcW w:w="1380" w:type="dxa"/>
            <w:tcBorders>
              <w:top w:val="nil"/>
              <w:left w:val="nil"/>
              <w:bottom w:val="single" w:sz="4" w:space="0" w:color="auto"/>
              <w:right w:val="nil"/>
            </w:tcBorders>
            <w:shd w:val="clear" w:color="000000" w:fill="D1FFA3"/>
            <w:noWrap/>
            <w:vAlign w:val="center"/>
            <w:hideMark/>
          </w:tcPr>
          <w:p w:rsidR="00AA478C" w:rsidRPr="00AA478C" w:rsidRDefault="00AA478C" w:rsidP="00AA478C">
            <w:pPr>
              <w:jc w:val="center"/>
              <w:rPr>
                <w:rFonts w:cs="Arial"/>
                <w:i/>
                <w:iCs/>
                <w:lang w:bidi="ar-SA"/>
              </w:rPr>
            </w:pPr>
            <w:r w:rsidRPr="00AA478C">
              <w:rPr>
                <w:rFonts w:cs="Arial"/>
                <w:i/>
                <w:iCs/>
                <w:lang w:bidi="ar-SA"/>
              </w:rPr>
              <w:t>Posten</w:t>
            </w:r>
          </w:p>
        </w:tc>
        <w:tc>
          <w:tcPr>
            <w:tcW w:w="1191" w:type="dxa"/>
            <w:tcBorders>
              <w:top w:val="nil"/>
              <w:left w:val="single" w:sz="4" w:space="0" w:color="auto"/>
              <w:bottom w:val="single" w:sz="4" w:space="0" w:color="auto"/>
              <w:right w:val="single" w:sz="4" w:space="0" w:color="auto"/>
            </w:tcBorders>
            <w:shd w:val="clear" w:color="000000" w:fill="D1FFA3"/>
            <w:noWrap/>
            <w:vAlign w:val="center"/>
            <w:hideMark/>
          </w:tcPr>
          <w:p w:rsidR="00AA478C" w:rsidRPr="00AA478C" w:rsidRDefault="00AA478C" w:rsidP="00AA478C">
            <w:pPr>
              <w:jc w:val="left"/>
              <w:rPr>
                <w:rFonts w:cs="Arial"/>
                <w:lang w:bidi="ar-SA"/>
              </w:rPr>
            </w:pPr>
            <w:r w:rsidRPr="00AA478C">
              <w:rPr>
                <w:rFonts w:cs="Arial"/>
                <w:lang w:bidi="ar-SA"/>
              </w:rPr>
              <w:t> </w:t>
            </w:r>
          </w:p>
        </w:tc>
      </w:tr>
      <w:tr w:rsidR="00AA478C" w:rsidRPr="00AA478C" w:rsidTr="00A54674">
        <w:trPr>
          <w:trHeight w:val="180"/>
          <w:jc w:val="center"/>
        </w:trPr>
        <w:tc>
          <w:tcPr>
            <w:tcW w:w="2000" w:type="dxa"/>
            <w:tcBorders>
              <w:top w:val="nil"/>
              <w:left w:val="nil"/>
              <w:bottom w:val="nil"/>
              <w:right w:val="nil"/>
            </w:tcBorders>
            <w:shd w:val="clear" w:color="auto" w:fill="auto"/>
            <w:noWrap/>
            <w:vAlign w:val="center"/>
            <w:hideMark/>
          </w:tcPr>
          <w:p w:rsidR="00AA478C" w:rsidRPr="00AA478C" w:rsidRDefault="00AA478C" w:rsidP="00AA478C">
            <w:pPr>
              <w:jc w:val="left"/>
              <w:rPr>
                <w:rFonts w:cs="Arial"/>
                <w:b/>
                <w:bCs/>
                <w:lang w:bidi="ar-SA"/>
              </w:rPr>
            </w:pPr>
          </w:p>
        </w:tc>
        <w:tc>
          <w:tcPr>
            <w:tcW w:w="1309" w:type="dxa"/>
            <w:tcBorders>
              <w:top w:val="nil"/>
              <w:left w:val="nil"/>
              <w:bottom w:val="nil"/>
              <w:right w:val="nil"/>
            </w:tcBorders>
            <w:shd w:val="clear" w:color="auto" w:fill="auto"/>
            <w:noWrap/>
            <w:vAlign w:val="center"/>
            <w:hideMark/>
          </w:tcPr>
          <w:p w:rsidR="00AA478C" w:rsidRPr="00AA478C" w:rsidRDefault="00AA478C" w:rsidP="00AA478C">
            <w:pPr>
              <w:jc w:val="right"/>
              <w:rPr>
                <w:rFonts w:cs="Arial"/>
                <w:b/>
                <w:bCs/>
                <w:lang w:bidi="ar-SA"/>
              </w:rPr>
            </w:pPr>
          </w:p>
        </w:tc>
        <w:tc>
          <w:tcPr>
            <w:tcW w:w="1380" w:type="dxa"/>
            <w:tcBorders>
              <w:top w:val="nil"/>
              <w:left w:val="nil"/>
              <w:bottom w:val="nil"/>
              <w:right w:val="nil"/>
            </w:tcBorders>
            <w:shd w:val="clear" w:color="auto" w:fill="auto"/>
            <w:noWrap/>
            <w:vAlign w:val="center"/>
            <w:hideMark/>
          </w:tcPr>
          <w:p w:rsidR="00AA478C" w:rsidRPr="00AA478C" w:rsidRDefault="00AA478C" w:rsidP="00AA478C">
            <w:pPr>
              <w:jc w:val="left"/>
              <w:rPr>
                <w:rFonts w:cs="Arial"/>
                <w:lang w:bidi="ar-SA"/>
              </w:rPr>
            </w:pPr>
          </w:p>
        </w:tc>
        <w:tc>
          <w:tcPr>
            <w:tcW w:w="1191" w:type="dxa"/>
            <w:tcBorders>
              <w:top w:val="nil"/>
              <w:left w:val="nil"/>
              <w:bottom w:val="nil"/>
              <w:right w:val="nil"/>
            </w:tcBorders>
            <w:shd w:val="clear" w:color="auto" w:fill="auto"/>
            <w:noWrap/>
            <w:vAlign w:val="center"/>
            <w:hideMark/>
          </w:tcPr>
          <w:p w:rsidR="00AA478C" w:rsidRPr="00AA478C" w:rsidRDefault="00AA478C" w:rsidP="00AA478C">
            <w:pPr>
              <w:jc w:val="left"/>
              <w:rPr>
                <w:rFonts w:cs="Arial"/>
                <w:lang w:bidi="ar-SA"/>
              </w:rPr>
            </w:pPr>
          </w:p>
        </w:tc>
      </w:tr>
      <w:tr w:rsidR="00AA478C" w:rsidRPr="00AA478C" w:rsidTr="00A54674">
        <w:trPr>
          <w:trHeight w:val="255"/>
          <w:jc w:val="center"/>
        </w:trPr>
        <w:tc>
          <w:tcPr>
            <w:tcW w:w="2000" w:type="dxa"/>
            <w:tcBorders>
              <w:top w:val="nil"/>
              <w:left w:val="nil"/>
              <w:bottom w:val="nil"/>
              <w:right w:val="nil"/>
            </w:tcBorders>
            <w:shd w:val="clear" w:color="auto" w:fill="auto"/>
            <w:vAlign w:val="center"/>
            <w:hideMark/>
          </w:tcPr>
          <w:p w:rsidR="00AA478C" w:rsidRPr="00AA478C" w:rsidRDefault="00AA478C" w:rsidP="00AA478C">
            <w:pPr>
              <w:jc w:val="left"/>
              <w:rPr>
                <w:rFonts w:cs="Arial"/>
                <w:lang w:bidi="ar-SA"/>
              </w:rPr>
            </w:pPr>
            <w:r w:rsidRPr="00AA478C">
              <w:rPr>
                <w:rFonts w:cs="Arial"/>
                <w:lang w:bidi="ar-SA"/>
              </w:rPr>
              <w:t>Direktorendienst</w:t>
            </w:r>
          </w:p>
        </w:tc>
        <w:tc>
          <w:tcPr>
            <w:tcW w:w="1309" w:type="dxa"/>
            <w:tcBorders>
              <w:top w:val="nil"/>
              <w:left w:val="nil"/>
              <w:bottom w:val="nil"/>
              <w:right w:val="nil"/>
            </w:tcBorders>
            <w:shd w:val="clear" w:color="auto" w:fill="auto"/>
            <w:noWrap/>
            <w:vAlign w:val="center"/>
            <w:hideMark/>
          </w:tcPr>
          <w:p w:rsidR="00AA478C" w:rsidRPr="00AA478C" w:rsidRDefault="00AA478C" w:rsidP="00AA478C">
            <w:pPr>
              <w:jc w:val="right"/>
              <w:rPr>
                <w:rFonts w:cs="Arial"/>
                <w:lang w:bidi="ar-SA"/>
              </w:rPr>
            </w:pPr>
            <w:r w:rsidRPr="00AA478C">
              <w:rPr>
                <w:rFonts w:cs="Arial"/>
                <w:lang w:bidi="ar-SA"/>
              </w:rPr>
              <w:t xml:space="preserve">3 </w:t>
            </w:r>
          </w:p>
        </w:tc>
        <w:tc>
          <w:tcPr>
            <w:tcW w:w="1380" w:type="dxa"/>
            <w:tcBorders>
              <w:top w:val="nil"/>
              <w:left w:val="nil"/>
              <w:bottom w:val="nil"/>
              <w:right w:val="nil"/>
            </w:tcBorders>
            <w:shd w:val="clear" w:color="auto" w:fill="auto"/>
            <w:noWrap/>
            <w:vAlign w:val="center"/>
            <w:hideMark/>
          </w:tcPr>
          <w:p w:rsidR="00AA478C" w:rsidRPr="00AA478C" w:rsidRDefault="00AA478C" w:rsidP="007D35A8">
            <w:pPr>
              <w:jc w:val="right"/>
              <w:rPr>
                <w:rFonts w:cs="Arial"/>
                <w:lang w:bidi="ar-SA"/>
              </w:rPr>
            </w:pPr>
            <w:r w:rsidRPr="00AA478C">
              <w:rPr>
                <w:rFonts w:cs="Arial"/>
                <w:lang w:bidi="ar-SA"/>
              </w:rPr>
              <w:t xml:space="preserve">2 </w:t>
            </w:r>
          </w:p>
        </w:tc>
        <w:tc>
          <w:tcPr>
            <w:tcW w:w="1191" w:type="dxa"/>
            <w:tcBorders>
              <w:top w:val="nil"/>
              <w:left w:val="nil"/>
              <w:bottom w:val="nil"/>
              <w:right w:val="nil"/>
            </w:tcBorders>
            <w:shd w:val="clear" w:color="auto" w:fill="auto"/>
            <w:noWrap/>
            <w:vAlign w:val="center"/>
            <w:hideMark/>
          </w:tcPr>
          <w:p w:rsidR="00AA478C" w:rsidRPr="00AA478C" w:rsidRDefault="00E92E0D" w:rsidP="007D35A8">
            <w:pPr>
              <w:jc w:val="right"/>
              <w:rPr>
                <w:rFonts w:cs="Arial"/>
                <w:lang w:bidi="ar-SA"/>
              </w:rPr>
            </w:pPr>
            <w:r>
              <w:rPr>
                <w:rFonts w:cs="Arial"/>
                <w:lang w:bidi="ar-SA"/>
              </w:rPr>
              <w:t>-1</w:t>
            </w:r>
          </w:p>
        </w:tc>
      </w:tr>
      <w:tr w:rsidR="00AA478C" w:rsidRPr="00AA478C" w:rsidTr="007D35A8">
        <w:trPr>
          <w:trHeight w:val="279"/>
          <w:jc w:val="center"/>
        </w:trPr>
        <w:tc>
          <w:tcPr>
            <w:tcW w:w="2000" w:type="dxa"/>
            <w:tcBorders>
              <w:top w:val="nil"/>
              <w:left w:val="nil"/>
              <w:bottom w:val="nil"/>
              <w:right w:val="nil"/>
            </w:tcBorders>
            <w:shd w:val="clear" w:color="auto" w:fill="auto"/>
            <w:vAlign w:val="center"/>
            <w:hideMark/>
          </w:tcPr>
          <w:p w:rsidR="00AA478C" w:rsidRPr="00AA478C" w:rsidRDefault="00AA478C" w:rsidP="00AA478C">
            <w:pPr>
              <w:jc w:val="left"/>
              <w:rPr>
                <w:rFonts w:cs="Arial"/>
                <w:lang w:bidi="ar-SA"/>
              </w:rPr>
            </w:pPr>
            <w:r w:rsidRPr="00AA478C">
              <w:rPr>
                <w:rFonts w:cs="Arial"/>
                <w:lang w:bidi="ar-SA"/>
              </w:rPr>
              <w:t>Höherer Dienst</w:t>
            </w:r>
          </w:p>
        </w:tc>
        <w:tc>
          <w:tcPr>
            <w:tcW w:w="1309" w:type="dxa"/>
            <w:tcBorders>
              <w:top w:val="nil"/>
              <w:left w:val="nil"/>
              <w:bottom w:val="nil"/>
              <w:right w:val="nil"/>
            </w:tcBorders>
            <w:shd w:val="clear" w:color="auto" w:fill="auto"/>
            <w:noWrap/>
            <w:vAlign w:val="center"/>
            <w:hideMark/>
          </w:tcPr>
          <w:p w:rsidR="00AA478C" w:rsidRPr="00AA478C" w:rsidRDefault="00AA478C" w:rsidP="00AA478C">
            <w:pPr>
              <w:jc w:val="right"/>
              <w:rPr>
                <w:rFonts w:cs="Arial"/>
                <w:lang w:bidi="ar-SA"/>
              </w:rPr>
            </w:pPr>
            <w:r w:rsidRPr="00AA478C">
              <w:rPr>
                <w:rFonts w:cs="Arial"/>
                <w:lang w:bidi="ar-SA"/>
              </w:rPr>
              <w:t xml:space="preserve">3 </w:t>
            </w:r>
          </w:p>
        </w:tc>
        <w:tc>
          <w:tcPr>
            <w:tcW w:w="1380" w:type="dxa"/>
            <w:tcBorders>
              <w:top w:val="nil"/>
              <w:left w:val="nil"/>
              <w:bottom w:val="nil"/>
              <w:right w:val="nil"/>
            </w:tcBorders>
            <w:shd w:val="clear" w:color="auto" w:fill="auto"/>
            <w:noWrap/>
            <w:vAlign w:val="center"/>
            <w:hideMark/>
          </w:tcPr>
          <w:p w:rsidR="00AA478C" w:rsidRPr="00AA478C" w:rsidRDefault="00AA478C" w:rsidP="007D35A8">
            <w:pPr>
              <w:jc w:val="right"/>
              <w:rPr>
                <w:rFonts w:cs="Arial"/>
                <w:lang w:bidi="ar-SA"/>
              </w:rPr>
            </w:pPr>
            <w:r w:rsidRPr="00AA478C">
              <w:rPr>
                <w:rFonts w:cs="Arial"/>
                <w:lang w:bidi="ar-SA"/>
              </w:rPr>
              <w:t xml:space="preserve">4 </w:t>
            </w:r>
          </w:p>
        </w:tc>
        <w:tc>
          <w:tcPr>
            <w:tcW w:w="1191" w:type="dxa"/>
            <w:tcBorders>
              <w:top w:val="nil"/>
              <w:left w:val="nil"/>
              <w:bottom w:val="nil"/>
              <w:right w:val="nil"/>
            </w:tcBorders>
            <w:shd w:val="clear" w:color="auto" w:fill="auto"/>
            <w:noWrap/>
            <w:vAlign w:val="center"/>
            <w:hideMark/>
          </w:tcPr>
          <w:p w:rsidR="00AA478C" w:rsidRPr="00AA478C" w:rsidRDefault="00FB3843" w:rsidP="00FB3843">
            <w:pPr>
              <w:ind w:firstLineChars="500" w:firstLine="1000"/>
              <w:jc w:val="right"/>
              <w:rPr>
                <w:rFonts w:cs="Arial"/>
                <w:lang w:bidi="ar-SA"/>
              </w:rPr>
            </w:pPr>
            <w:r>
              <w:rPr>
                <w:rFonts w:cs="Arial"/>
                <w:lang w:bidi="ar-SA"/>
              </w:rPr>
              <w:t>1</w:t>
            </w:r>
          </w:p>
        </w:tc>
      </w:tr>
      <w:tr w:rsidR="00AA478C" w:rsidRPr="00AA478C" w:rsidTr="00A54674">
        <w:trPr>
          <w:trHeight w:val="255"/>
          <w:jc w:val="center"/>
        </w:trPr>
        <w:tc>
          <w:tcPr>
            <w:tcW w:w="2000" w:type="dxa"/>
            <w:tcBorders>
              <w:top w:val="nil"/>
              <w:left w:val="nil"/>
              <w:bottom w:val="nil"/>
              <w:right w:val="nil"/>
            </w:tcBorders>
            <w:shd w:val="clear" w:color="auto" w:fill="auto"/>
            <w:vAlign w:val="center"/>
            <w:hideMark/>
          </w:tcPr>
          <w:p w:rsidR="00AA478C" w:rsidRPr="00AA478C" w:rsidRDefault="00AA478C" w:rsidP="00AA478C">
            <w:pPr>
              <w:jc w:val="left"/>
              <w:rPr>
                <w:rFonts w:cs="Arial"/>
                <w:lang w:bidi="ar-SA"/>
              </w:rPr>
            </w:pPr>
            <w:r w:rsidRPr="00AA478C">
              <w:rPr>
                <w:rFonts w:cs="Arial"/>
                <w:lang w:bidi="ar-SA"/>
              </w:rPr>
              <w:t>Allgemeiner Dienst</w:t>
            </w:r>
          </w:p>
        </w:tc>
        <w:tc>
          <w:tcPr>
            <w:tcW w:w="1309" w:type="dxa"/>
            <w:tcBorders>
              <w:top w:val="nil"/>
              <w:left w:val="nil"/>
              <w:bottom w:val="nil"/>
              <w:right w:val="nil"/>
            </w:tcBorders>
            <w:shd w:val="clear" w:color="auto" w:fill="auto"/>
            <w:noWrap/>
            <w:vAlign w:val="center"/>
            <w:hideMark/>
          </w:tcPr>
          <w:p w:rsidR="00AA478C" w:rsidRPr="00AA478C" w:rsidRDefault="00AA478C" w:rsidP="00AA478C">
            <w:pPr>
              <w:jc w:val="right"/>
              <w:rPr>
                <w:rFonts w:cs="Arial"/>
                <w:lang w:bidi="ar-SA"/>
              </w:rPr>
            </w:pPr>
            <w:r w:rsidRPr="00AA478C">
              <w:rPr>
                <w:rFonts w:cs="Arial"/>
                <w:lang w:bidi="ar-SA"/>
              </w:rPr>
              <w:t xml:space="preserve">5 </w:t>
            </w:r>
          </w:p>
        </w:tc>
        <w:tc>
          <w:tcPr>
            <w:tcW w:w="1380" w:type="dxa"/>
            <w:tcBorders>
              <w:top w:val="nil"/>
              <w:left w:val="nil"/>
              <w:bottom w:val="nil"/>
              <w:right w:val="nil"/>
            </w:tcBorders>
            <w:shd w:val="clear" w:color="auto" w:fill="auto"/>
            <w:noWrap/>
            <w:vAlign w:val="center"/>
            <w:hideMark/>
          </w:tcPr>
          <w:p w:rsidR="00AA478C" w:rsidRPr="00AA478C" w:rsidRDefault="00AA478C" w:rsidP="00AA478C">
            <w:pPr>
              <w:jc w:val="right"/>
              <w:rPr>
                <w:rFonts w:cs="Arial"/>
                <w:lang w:bidi="ar-SA"/>
              </w:rPr>
            </w:pPr>
            <w:r w:rsidRPr="00AA478C">
              <w:rPr>
                <w:rFonts w:cs="Arial"/>
                <w:lang w:bidi="ar-SA"/>
              </w:rPr>
              <w:t xml:space="preserve">5 </w:t>
            </w:r>
          </w:p>
        </w:tc>
        <w:tc>
          <w:tcPr>
            <w:tcW w:w="1191" w:type="dxa"/>
            <w:tcBorders>
              <w:top w:val="nil"/>
              <w:left w:val="nil"/>
              <w:bottom w:val="nil"/>
              <w:right w:val="nil"/>
            </w:tcBorders>
            <w:shd w:val="clear" w:color="auto" w:fill="auto"/>
            <w:noWrap/>
            <w:vAlign w:val="center"/>
            <w:hideMark/>
          </w:tcPr>
          <w:p w:rsidR="00AA478C" w:rsidRPr="00AA478C" w:rsidRDefault="00AA478C" w:rsidP="007D35A8">
            <w:pPr>
              <w:ind w:firstLineChars="500" w:firstLine="1000"/>
              <w:jc w:val="right"/>
              <w:rPr>
                <w:rFonts w:cs="Arial"/>
                <w:lang w:bidi="ar-SA"/>
              </w:rPr>
            </w:pPr>
            <w:r w:rsidRPr="00AA478C">
              <w:rPr>
                <w:rFonts w:cs="Arial"/>
                <w:lang w:bidi="ar-SA"/>
              </w:rPr>
              <w:t>-</w:t>
            </w:r>
          </w:p>
        </w:tc>
      </w:tr>
      <w:tr w:rsidR="00AA478C" w:rsidRPr="00AA478C" w:rsidTr="00A54674">
        <w:trPr>
          <w:trHeight w:val="150"/>
          <w:jc w:val="center"/>
        </w:trPr>
        <w:tc>
          <w:tcPr>
            <w:tcW w:w="2000" w:type="dxa"/>
            <w:tcBorders>
              <w:top w:val="nil"/>
              <w:left w:val="nil"/>
              <w:bottom w:val="nil"/>
              <w:right w:val="nil"/>
            </w:tcBorders>
            <w:shd w:val="clear" w:color="auto" w:fill="auto"/>
            <w:noWrap/>
            <w:vAlign w:val="center"/>
            <w:hideMark/>
          </w:tcPr>
          <w:p w:rsidR="00AA478C" w:rsidRPr="00AA478C" w:rsidRDefault="00AA478C" w:rsidP="00AA478C">
            <w:pPr>
              <w:jc w:val="left"/>
              <w:rPr>
                <w:rFonts w:cs="Arial"/>
                <w:lang w:bidi="ar-SA"/>
              </w:rPr>
            </w:pPr>
          </w:p>
        </w:tc>
        <w:tc>
          <w:tcPr>
            <w:tcW w:w="1309" w:type="dxa"/>
            <w:tcBorders>
              <w:top w:val="nil"/>
              <w:left w:val="nil"/>
              <w:bottom w:val="nil"/>
              <w:right w:val="nil"/>
            </w:tcBorders>
            <w:shd w:val="clear" w:color="auto" w:fill="auto"/>
            <w:noWrap/>
            <w:vAlign w:val="center"/>
            <w:hideMark/>
          </w:tcPr>
          <w:p w:rsidR="00AA478C" w:rsidRPr="00AA478C" w:rsidRDefault="00AA478C" w:rsidP="00AA478C">
            <w:pPr>
              <w:jc w:val="right"/>
              <w:rPr>
                <w:rFonts w:cs="Arial"/>
                <w:lang w:bidi="ar-SA"/>
              </w:rPr>
            </w:pPr>
          </w:p>
        </w:tc>
        <w:tc>
          <w:tcPr>
            <w:tcW w:w="1380" w:type="dxa"/>
            <w:tcBorders>
              <w:top w:val="nil"/>
              <w:left w:val="nil"/>
              <w:bottom w:val="nil"/>
              <w:right w:val="nil"/>
            </w:tcBorders>
            <w:shd w:val="clear" w:color="auto" w:fill="auto"/>
            <w:noWrap/>
            <w:vAlign w:val="center"/>
            <w:hideMark/>
          </w:tcPr>
          <w:p w:rsidR="00AA478C" w:rsidRPr="00AA478C" w:rsidRDefault="00AA478C" w:rsidP="00AA478C">
            <w:pPr>
              <w:jc w:val="left"/>
              <w:rPr>
                <w:rFonts w:cs="Arial"/>
                <w:lang w:bidi="ar-SA"/>
              </w:rPr>
            </w:pPr>
          </w:p>
        </w:tc>
        <w:tc>
          <w:tcPr>
            <w:tcW w:w="1191" w:type="dxa"/>
            <w:tcBorders>
              <w:top w:val="nil"/>
              <w:left w:val="nil"/>
              <w:bottom w:val="nil"/>
              <w:right w:val="nil"/>
            </w:tcBorders>
            <w:shd w:val="clear" w:color="auto" w:fill="auto"/>
            <w:noWrap/>
            <w:vAlign w:val="center"/>
            <w:hideMark/>
          </w:tcPr>
          <w:p w:rsidR="00AA478C" w:rsidRPr="00AA478C" w:rsidRDefault="00AA478C" w:rsidP="00AA478C">
            <w:pPr>
              <w:jc w:val="left"/>
              <w:rPr>
                <w:rFonts w:cs="Arial"/>
                <w:lang w:bidi="ar-SA"/>
              </w:rPr>
            </w:pPr>
          </w:p>
        </w:tc>
      </w:tr>
      <w:tr w:rsidR="00AA478C" w:rsidRPr="00AA478C" w:rsidTr="00A54674">
        <w:trPr>
          <w:trHeight w:val="255"/>
          <w:jc w:val="center"/>
        </w:trPr>
        <w:tc>
          <w:tcPr>
            <w:tcW w:w="2000" w:type="dxa"/>
            <w:tcBorders>
              <w:top w:val="nil"/>
              <w:left w:val="nil"/>
              <w:bottom w:val="nil"/>
              <w:right w:val="nil"/>
            </w:tcBorders>
            <w:shd w:val="clear" w:color="auto" w:fill="auto"/>
            <w:noWrap/>
            <w:vAlign w:val="center"/>
            <w:hideMark/>
          </w:tcPr>
          <w:p w:rsidR="00AA478C" w:rsidRPr="00AA478C" w:rsidRDefault="00AA478C" w:rsidP="00AA478C">
            <w:pPr>
              <w:jc w:val="left"/>
              <w:rPr>
                <w:rFonts w:cs="Arial"/>
                <w:b/>
                <w:bCs/>
                <w:lang w:bidi="ar-SA"/>
              </w:rPr>
            </w:pPr>
            <w:r w:rsidRPr="00AA478C">
              <w:rPr>
                <w:rFonts w:cs="Arial"/>
                <w:b/>
                <w:bCs/>
                <w:lang w:bidi="ar-SA"/>
              </w:rPr>
              <w:t>INSGESAMT</w:t>
            </w:r>
          </w:p>
        </w:tc>
        <w:tc>
          <w:tcPr>
            <w:tcW w:w="1309" w:type="dxa"/>
            <w:tcBorders>
              <w:top w:val="nil"/>
              <w:left w:val="nil"/>
              <w:bottom w:val="nil"/>
              <w:right w:val="nil"/>
            </w:tcBorders>
            <w:shd w:val="clear" w:color="auto" w:fill="auto"/>
            <w:noWrap/>
            <w:vAlign w:val="center"/>
            <w:hideMark/>
          </w:tcPr>
          <w:p w:rsidR="00AA478C" w:rsidRPr="00AA478C" w:rsidRDefault="00AA478C" w:rsidP="00AA478C">
            <w:pPr>
              <w:jc w:val="right"/>
              <w:rPr>
                <w:rFonts w:cs="Arial"/>
                <w:b/>
                <w:bCs/>
                <w:lang w:bidi="ar-SA"/>
              </w:rPr>
            </w:pPr>
            <w:r w:rsidRPr="00AA478C">
              <w:rPr>
                <w:rFonts w:cs="Arial"/>
                <w:b/>
                <w:bCs/>
                <w:lang w:bidi="ar-SA"/>
              </w:rPr>
              <w:t xml:space="preserve">11 </w:t>
            </w:r>
          </w:p>
        </w:tc>
        <w:tc>
          <w:tcPr>
            <w:tcW w:w="1380" w:type="dxa"/>
            <w:tcBorders>
              <w:top w:val="nil"/>
              <w:left w:val="nil"/>
              <w:bottom w:val="nil"/>
              <w:right w:val="nil"/>
            </w:tcBorders>
            <w:shd w:val="clear" w:color="auto" w:fill="auto"/>
            <w:noWrap/>
            <w:vAlign w:val="center"/>
            <w:hideMark/>
          </w:tcPr>
          <w:p w:rsidR="00AA478C" w:rsidRPr="00AA478C" w:rsidRDefault="00AA478C" w:rsidP="00AA478C">
            <w:pPr>
              <w:jc w:val="right"/>
              <w:rPr>
                <w:rFonts w:cs="Arial"/>
                <w:b/>
                <w:bCs/>
                <w:lang w:bidi="ar-SA"/>
              </w:rPr>
            </w:pPr>
            <w:r w:rsidRPr="00AA478C">
              <w:rPr>
                <w:rFonts w:cs="Arial"/>
                <w:b/>
                <w:bCs/>
                <w:lang w:bidi="ar-SA"/>
              </w:rPr>
              <w:t xml:space="preserve">11 </w:t>
            </w:r>
          </w:p>
        </w:tc>
        <w:tc>
          <w:tcPr>
            <w:tcW w:w="1191" w:type="dxa"/>
            <w:tcBorders>
              <w:top w:val="nil"/>
              <w:left w:val="nil"/>
              <w:bottom w:val="nil"/>
              <w:right w:val="nil"/>
            </w:tcBorders>
            <w:shd w:val="clear" w:color="auto" w:fill="auto"/>
            <w:noWrap/>
            <w:vAlign w:val="center"/>
            <w:hideMark/>
          </w:tcPr>
          <w:p w:rsidR="00AA478C" w:rsidRPr="00AA478C" w:rsidRDefault="00AA478C" w:rsidP="00FB3843">
            <w:pPr>
              <w:ind w:firstLineChars="500" w:firstLine="1000"/>
              <w:jc w:val="right"/>
              <w:rPr>
                <w:rFonts w:cs="Arial"/>
                <w:lang w:bidi="ar-SA"/>
              </w:rPr>
            </w:pPr>
            <w:r w:rsidRPr="00AA478C">
              <w:rPr>
                <w:rFonts w:cs="Arial"/>
                <w:lang w:bidi="ar-SA"/>
              </w:rPr>
              <w:t>-</w:t>
            </w:r>
          </w:p>
        </w:tc>
      </w:tr>
      <w:tr w:rsidR="00AA478C" w:rsidRPr="00AA478C" w:rsidTr="00A54674">
        <w:trPr>
          <w:trHeight w:val="90"/>
          <w:jc w:val="center"/>
        </w:trPr>
        <w:tc>
          <w:tcPr>
            <w:tcW w:w="2000" w:type="dxa"/>
            <w:tcBorders>
              <w:top w:val="nil"/>
              <w:left w:val="nil"/>
              <w:bottom w:val="single" w:sz="4" w:space="0" w:color="auto"/>
              <w:right w:val="nil"/>
            </w:tcBorders>
            <w:shd w:val="clear" w:color="auto" w:fill="auto"/>
            <w:noWrap/>
            <w:vAlign w:val="center"/>
            <w:hideMark/>
          </w:tcPr>
          <w:p w:rsidR="00AA478C" w:rsidRPr="00AA478C" w:rsidRDefault="00AA478C" w:rsidP="00AA478C">
            <w:pPr>
              <w:jc w:val="left"/>
              <w:rPr>
                <w:rFonts w:cs="Arial"/>
                <w:lang w:bidi="ar-SA"/>
              </w:rPr>
            </w:pPr>
            <w:r w:rsidRPr="00AA478C">
              <w:rPr>
                <w:rFonts w:cs="Arial"/>
                <w:lang w:bidi="ar-SA"/>
              </w:rPr>
              <w:t> </w:t>
            </w:r>
          </w:p>
        </w:tc>
        <w:tc>
          <w:tcPr>
            <w:tcW w:w="1309" w:type="dxa"/>
            <w:tcBorders>
              <w:top w:val="nil"/>
              <w:left w:val="nil"/>
              <w:bottom w:val="single" w:sz="4" w:space="0" w:color="auto"/>
              <w:right w:val="nil"/>
            </w:tcBorders>
            <w:shd w:val="clear" w:color="auto" w:fill="auto"/>
            <w:noWrap/>
            <w:vAlign w:val="center"/>
            <w:hideMark/>
          </w:tcPr>
          <w:p w:rsidR="00AA478C" w:rsidRPr="00AA478C" w:rsidRDefault="00AA478C" w:rsidP="00AA478C">
            <w:pPr>
              <w:jc w:val="left"/>
              <w:rPr>
                <w:rFonts w:cs="Arial"/>
                <w:lang w:bidi="ar-SA"/>
              </w:rPr>
            </w:pPr>
            <w:r w:rsidRPr="00AA478C">
              <w:rPr>
                <w:rFonts w:cs="Arial"/>
                <w:lang w:bidi="ar-SA"/>
              </w:rPr>
              <w:t> </w:t>
            </w:r>
          </w:p>
        </w:tc>
        <w:tc>
          <w:tcPr>
            <w:tcW w:w="1380" w:type="dxa"/>
            <w:tcBorders>
              <w:top w:val="nil"/>
              <w:left w:val="nil"/>
              <w:bottom w:val="single" w:sz="4" w:space="0" w:color="auto"/>
              <w:right w:val="nil"/>
            </w:tcBorders>
            <w:shd w:val="clear" w:color="auto" w:fill="auto"/>
            <w:noWrap/>
            <w:vAlign w:val="center"/>
            <w:hideMark/>
          </w:tcPr>
          <w:p w:rsidR="00AA478C" w:rsidRPr="00AA478C" w:rsidRDefault="00AA478C" w:rsidP="00AA478C">
            <w:pPr>
              <w:jc w:val="left"/>
              <w:rPr>
                <w:rFonts w:cs="Arial"/>
                <w:lang w:bidi="ar-SA"/>
              </w:rPr>
            </w:pPr>
            <w:r w:rsidRPr="00AA478C">
              <w:rPr>
                <w:rFonts w:cs="Arial"/>
                <w:lang w:bidi="ar-SA"/>
              </w:rPr>
              <w:t> </w:t>
            </w:r>
          </w:p>
        </w:tc>
        <w:tc>
          <w:tcPr>
            <w:tcW w:w="1191" w:type="dxa"/>
            <w:tcBorders>
              <w:top w:val="nil"/>
              <w:left w:val="nil"/>
              <w:bottom w:val="single" w:sz="4" w:space="0" w:color="auto"/>
              <w:right w:val="nil"/>
            </w:tcBorders>
            <w:shd w:val="clear" w:color="auto" w:fill="auto"/>
            <w:noWrap/>
            <w:vAlign w:val="center"/>
            <w:hideMark/>
          </w:tcPr>
          <w:p w:rsidR="00AA478C" w:rsidRPr="00AA478C" w:rsidRDefault="00AA478C" w:rsidP="00AA478C">
            <w:pPr>
              <w:jc w:val="left"/>
              <w:rPr>
                <w:rFonts w:cs="Arial"/>
                <w:lang w:bidi="ar-SA"/>
              </w:rPr>
            </w:pPr>
            <w:r w:rsidRPr="00AA478C">
              <w:rPr>
                <w:rFonts w:cs="Arial"/>
                <w:lang w:bidi="ar-SA"/>
              </w:rPr>
              <w:t> </w:t>
            </w:r>
          </w:p>
        </w:tc>
      </w:tr>
    </w:tbl>
    <w:p w:rsidR="00965A10" w:rsidRDefault="00965A10" w:rsidP="00965A10">
      <w:pPr>
        <w:spacing w:after="200" w:line="276" w:lineRule="auto"/>
        <w:jc w:val="center"/>
        <w:rPr>
          <w:rFonts w:eastAsiaTheme="minorHAnsi" w:cs="Arial"/>
        </w:rPr>
      </w:pPr>
    </w:p>
    <w:p w:rsidR="00917841" w:rsidRPr="00917841" w:rsidRDefault="00A35F93" w:rsidP="00D81BFB">
      <w:pPr>
        <w:spacing w:after="200" w:line="276" w:lineRule="auto"/>
        <w:rPr>
          <w:rFonts w:eastAsiaTheme="minorHAnsi" w:cs="Arial"/>
        </w:rPr>
      </w:pPr>
      <w:r>
        <w:t>In</w:t>
      </w:r>
      <w:r w:rsidR="00917841">
        <w:t xml:space="preserve"> Programm und Haus</w:t>
      </w:r>
      <w:r>
        <w:t>haltsplan für die Rechnungs</w:t>
      </w:r>
      <w:r w:rsidR="00FC1403">
        <w:t>periode</w:t>
      </w:r>
      <w:r w:rsidR="00917841">
        <w:t xml:space="preserve"> 2012</w:t>
      </w:r>
      <w:r w:rsidR="00FC1403">
        <w:t>/</w:t>
      </w:r>
      <w:r w:rsidR="00917841">
        <w:softHyphen/>
        <w:t>2013 sin</w:t>
      </w:r>
      <w:r w:rsidR="00BF007F">
        <w:t xml:space="preserve">d drei Posten in der Kategorie </w:t>
      </w:r>
      <w:r w:rsidR="00BF007F">
        <w:rPr>
          <w:rFonts w:cs="Arial"/>
        </w:rPr>
        <w:t>ˈ</w:t>
      </w:r>
      <w:r w:rsidR="00917841">
        <w:t>Direktorendienst</w:t>
      </w:r>
      <w:r w:rsidR="00BF007F">
        <w:rPr>
          <w:rFonts w:cs="Arial"/>
        </w:rPr>
        <w:t>ˈ</w:t>
      </w:r>
      <w:r w:rsidR="00917841">
        <w:t xml:space="preserve"> un</w:t>
      </w:r>
      <w:r w:rsidR="00BF007F">
        <w:t xml:space="preserve">d drei Posten in der Kategorie </w:t>
      </w:r>
      <w:r w:rsidR="00BF007F">
        <w:rPr>
          <w:rFonts w:cs="Arial"/>
        </w:rPr>
        <w:t>ˈ</w:t>
      </w:r>
      <w:r w:rsidR="00BF007F">
        <w:t>Höherer Dienst</w:t>
      </w:r>
      <w:r w:rsidR="00BF007F">
        <w:rPr>
          <w:rFonts w:cs="Arial"/>
        </w:rPr>
        <w:t>ˈ</w:t>
      </w:r>
      <w:r w:rsidR="00917841">
        <w:t xml:space="preserve"> vorgesehen</w:t>
      </w:r>
      <w:r w:rsidR="0059409A">
        <w:t xml:space="preserve">. </w:t>
      </w:r>
      <w:r w:rsidR="00917841">
        <w:t>Aufgrund unvorhergesehener personeller Verände</w:t>
      </w:r>
      <w:r>
        <w:t>rungen betrug die tatsächliche Anz</w:t>
      </w:r>
      <w:r w:rsidR="00917841">
        <w:t xml:space="preserve">ahl der Posten in der Kategorie </w:t>
      </w:r>
      <w:r>
        <w:rPr>
          <w:rFonts w:cs="Arial"/>
        </w:rPr>
        <w:t>ˈ</w:t>
      </w:r>
      <w:r w:rsidR="00917841">
        <w:t>Direktorendienst</w:t>
      </w:r>
      <w:r>
        <w:rPr>
          <w:rFonts w:cs="Arial"/>
        </w:rPr>
        <w:t>ˈ</w:t>
      </w:r>
      <w:r w:rsidR="00917841">
        <w:t xml:space="preserve"> allerdings lediglich zwei und in der Kategorie </w:t>
      </w:r>
      <w:r>
        <w:rPr>
          <w:rFonts w:cs="Arial"/>
        </w:rPr>
        <w:t>ˈ</w:t>
      </w:r>
      <w:r w:rsidR="00917841">
        <w:t>Höherer Dienst</w:t>
      </w:r>
      <w:r>
        <w:rPr>
          <w:rFonts w:cs="Arial"/>
        </w:rPr>
        <w:t>ˈ</w:t>
      </w:r>
      <w:r>
        <w:t xml:space="preserve"> vier</w:t>
      </w:r>
      <w:r w:rsidR="00917841">
        <w:t xml:space="preserve">. </w:t>
      </w:r>
      <w:r w:rsidR="00917841">
        <w:br/>
      </w:r>
    </w:p>
    <w:p w:rsidR="00917841" w:rsidRPr="00917841" w:rsidRDefault="00917841" w:rsidP="00D81BFB">
      <w:pPr>
        <w:keepNext/>
        <w:spacing w:after="200" w:line="276" w:lineRule="auto"/>
        <w:rPr>
          <w:rFonts w:eastAsiaTheme="minorHAnsi" w:cs="Arial"/>
        </w:rPr>
      </w:pPr>
      <w:r>
        <w:lastRenderedPageBreak/>
        <w:t xml:space="preserve">Die Gesamtentwicklung der tatsächlichen Einnahmen und Ausgaben auf Grundlage des Haushalts ist in Tabelle 7 </w:t>
      </w:r>
      <w:r w:rsidR="0059409A">
        <w:t>unten für</w:t>
      </w:r>
      <w:r>
        <w:t xml:space="preserve"> den Zeitraum 2008 bis 2013 aufgezeigt. </w:t>
      </w:r>
    </w:p>
    <w:p w:rsidR="00917841" w:rsidRPr="00917841" w:rsidRDefault="00917841" w:rsidP="008518D2">
      <w:pPr>
        <w:pStyle w:val="Heading3"/>
      </w:pPr>
      <w:bookmarkStart w:id="30" w:name="_Toc393377916"/>
      <w:bookmarkStart w:id="31" w:name="_Toc397085723"/>
      <w:bookmarkStart w:id="32" w:name="_Toc397086068"/>
      <w:r>
        <w:t>Tabelle 7. Entwicklung der tatsächlichen Einnahmen und Ausgaben im Zeitraum 2008-2013</w:t>
      </w:r>
      <w:bookmarkEnd w:id="30"/>
      <w:bookmarkEnd w:id="31"/>
      <w:bookmarkEnd w:id="32"/>
    </w:p>
    <w:p w:rsidR="00917841" w:rsidRPr="00917841" w:rsidRDefault="00917841" w:rsidP="00917841">
      <w:pPr>
        <w:spacing w:after="200" w:line="276" w:lineRule="auto"/>
        <w:jc w:val="center"/>
        <w:rPr>
          <w:rFonts w:eastAsiaTheme="minorHAnsi" w:cs="Arial"/>
          <w:i/>
        </w:rPr>
      </w:pPr>
      <w:r>
        <w:rPr>
          <w:rFonts w:eastAsiaTheme="minorHAnsi"/>
          <w:i/>
        </w:rPr>
        <w:t>(in Tausend Schweizer Franken)</w:t>
      </w:r>
    </w:p>
    <w:p w:rsidR="001377BE" w:rsidRPr="00917841" w:rsidRDefault="00040DB6" w:rsidP="00917841">
      <w:pPr>
        <w:spacing w:after="200" w:line="276" w:lineRule="auto"/>
        <w:jc w:val="center"/>
        <w:rPr>
          <w:rFonts w:asciiTheme="minorHAnsi" w:eastAsiaTheme="minorHAnsi" w:hAnsiTheme="minorHAnsi" w:cstheme="minorBidi"/>
          <w:b/>
          <w:sz w:val="22"/>
          <w:szCs w:val="22"/>
        </w:rPr>
      </w:pPr>
      <w:r w:rsidRPr="00040DB6">
        <w:rPr>
          <w:rFonts w:eastAsiaTheme="minorHAnsi"/>
          <w:noProof/>
          <w:lang w:val="en-US" w:eastAsia="en-US" w:bidi="ar-SA"/>
        </w:rPr>
        <w:drawing>
          <wp:inline distT="0" distB="0" distL="0" distR="0" wp14:anchorId="1ADE68E5" wp14:editId="616ADBCD">
            <wp:extent cx="5060950" cy="431673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0950" cy="4316730"/>
                    </a:xfrm>
                    <a:prstGeom prst="rect">
                      <a:avLst/>
                    </a:prstGeom>
                    <a:noFill/>
                    <a:ln>
                      <a:noFill/>
                    </a:ln>
                  </pic:spPr>
                </pic:pic>
              </a:graphicData>
            </a:graphic>
          </wp:inline>
        </w:drawing>
      </w:r>
    </w:p>
    <w:p w:rsidR="00917841" w:rsidRPr="00917841" w:rsidRDefault="00917841" w:rsidP="00917841">
      <w:pPr>
        <w:spacing w:after="200" w:line="276" w:lineRule="auto"/>
        <w:jc w:val="center"/>
        <w:rPr>
          <w:rFonts w:asciiTheme="minorHAnsi" w:eastAsiaTheme="minorHAnsi" w:hAnsiTheme="minorHAnsi" w:cstheme="minorBidi"/>
          <w:b/>
          <w:sz w:val="22"/>
          <w:szCs w:val="22"/>
        </w:rPr>
      </w:pPr>
    </w:p>
    <w:p w:rsidR="00917841" w:rsidRDefault="00917841" w:rsidP="00D81BFB">
      <w:pPr>
        <w:spacing w:after="200" w:line="276" w:lineRule="auto"/>
      </w:pPr>
    </w:p>
    <w:p w:rsidR="00917841" w:rsidRDefault="00917841" w:rsidP="006360C1"/>
    <w:p w:rsidR="00917841" w:rsidRDefault="00917841" w:rsidP="006360C1"/>
    <w:p w:rsidR="00917841" w:rsidRDefault="00917841" w:rsidP="006360C1"/>
    <w:p w:rsidR="00917841" w:rsidRDefault="00917841" w:rsidP="006360C1"/>
    <w:p w:rsidR="00917841" w:rsidRDefault="00917841" w:rsidP="006360C1"/>
    <w:p w:rsidR="00917841" w:rsidRDefault="00917841" w:rsidP="006360C1"/>
    <w:p w:rsidR="00917841" w:rsidRDefault="00917841" w:rsidP="006360C1"/>
    <w:p w:rsidR="00917841" w:rsidRDefault="00917841" w:rsidP="006360C1"/>
    <w:p w:rsidR="005C7018" w:rsidRDefault="005C7018" w:rsidP="00D81BFB">
      <w:r>
        <w:br w:type="page"/>
      </w:r>
    </w:p>
    <w:p w:rsidR="00CE47DD" w:rsidRDefault="00CE47DD" w:rsidP="00D81BFB">
      <w:pPr>
        <w:pStyle w:val="Heading1"/>
        <w:jc w:val="both"/>
      </w:pPr>
      <w:bookmarkStart w:id="33" w:name="_Toc393377917"/>
      <w:bookmarkStart w:id="34" w:name="_Toc397085724"/>
      <w:bookmarkStart w:id="35" w:name="_Toc397086069"/>
      <w:r>
        <w:lastRenderedPageBreak/>
        <w:t>ANLAGEN</w:t>
      </w:r>
      <w:bookmarkEnd w:id="33"/>
      <w:bookmarkEnd w:id="34"/>
      <w:bookmarkEnd w:id="35"/>
    </w:p>
    <w:p w:rsidR="00CE47DD" w:rsidRDefault="00CE47DD" w:rsidP="006360C1"/>
    <w:p w:rsidR="00073668" w:rsidRDefault="00073668" w:rsidP="00D81BFB">
      <w:pPr>
        <w:spacing w:after="200" w:line="276" w:lineRule="auto"/>
      </w:pPr>
      <w:r>
        <w:t>Nach Regel 4.10 der UPOV-Finanzordnung und ihrer Durchführungsbestimmungen kann der Generalsekretär gemäß den vom Rat gebilligten Anlagegrundsätzen der UPOV kurzfristig Gelder anlegen, die für den unmittelbaren Bedarf nicht benötigt werden, und unterrichtet den Beratenden Ausschuß regelmäßig über diese Anlagen.</w:t>
      </w:r>
    </w:p>
    <w:p w:rsidR="00CE47DD" w:rsidRDefault="00073668" w:rsidP="00D81BFB">
      <w:pPr>
        <w:spacing w:after="200" w:line="276" w:lineRule="auto"/>
      </w:pPr>
      <w:r>
        <w:t xml:space="preserve">Zudem kann der Generalsekretär nach Regel 4.11 gemäß den von den Mitgliedstaaten vom Rat gebilligten Anlagegrundsätzen der UPOV langfristig Gelder anlegen, die </w:t>
      </w:r>
      <w:r w:rsidR="00BF007F">
        <w:t xml:space="preserve">auf den Konten der </w:t>
      </w:r>
      <w:r>
        <w:t>UPOV stehen, und unterrichtet den Beratenden Ausschuß regelmäßig über diese Anlagen</w:t>
      </w:r>
      <w:r w:rsidR="0059409A">
        <w:t xml:space="preserve">. </w:t>
      </w:r>
      <w:r>
        <w:t>Die Anlagegrundsätze der UPOV entsprechen denjenigen der WIPO, weshalb Investitionen wie folgt getätigt werden:</w:t>
      </w:r>
    </w:p>
    <w:p w:rsidR="00073668" w:rsidRDefault="00073668" w:rsidP="00073668">
      <w:pPr>
        <w:ind w:left="567" w:hanging="567"/>
      </w:pPr>
      <w:r>
        <w:t>a)</w:t>
      </w:r>
      <w:r>
        <w:tab/>
        <w:t>Alle Anlagen in Schweizer Franken der UPOV werden bei der Schweizer Nationalbank (SNB) gehalten, vorausgesetzt der gebotene Zinssatz liegt über demjenigen kommerzieller Banken, die die erforderliche Bonität aufweisen.</w:t>
      </w:r>
    </w:p>
    <w:p w:rsidR="00073668" w:rsidRDefault="00073668" w:rsidP="00073668"/>
    <w:p w:rsidR="00073668" w:rsidRDefault="00073668" w:rsidP="00073668">
      <w:pPr>
        <w:ind w:left="567" w:hanging="567"/>
      </w:pPr>
      <w:r>
        <w:t>b)</w:t>
      </w:r>
      <w:r>
        <w:tab/>
        <w:t>Ander</w:t>
      </w:r>
      <w:r w:rsidR="00BF007F">
        <w:t>e als die bei der SNB getätigte</w:t>
      </w:r>
      <w:r>
        <w:t xml:space="preserve"> Anlagen beziehen sich auf Geldmarktfonds und Festgelder, die bei Banken mit einem Rating von AA-/Aa3 (Standard and Poor’s / Moody’</w:t>
      </w:r>
      <w:r w:rsidR="0081211E">
        <w:t>s) oder höher und bei hochwertig</w:t>
      </w:r>
      <w:r>
        <w:t xml:space="preserve">en </w:t>
      </w:r>
      <w:r w:rsidR="0081211E" w:rsidRPr="0081211E">
        <w:t>Geschäft</w:t>
      </w:r>
      <w:r w:rsidRPr="0081211E">
        <w:t>s- oder Regierungsbanken</w:t>
      </w:r>
      <w:r>
        <w:t xml:space="preserve"> mit einem Rating von AA-/Aa3 oder höher gehalten werden.</w:t>
      </w:r>
    </w:p>
    <w:p w:rsidR="00073668" w:rsidRDefault="00073668" w:rsidP="00073668"/>
    <w:p w:rsidR="00073668" w:rsidRDefault="00073668" w:rsidP="00073668">
      <w:pPr>
        <w:ind w:left="567" w:hanging="567"/>
      </w:pPr>
      <w:r>
        <w:t>c)</w:t>
      </w:r>
      <w:r>
        <w:tab/>
        <w:t xml:space="preserve">Gelder, die für Treuhandfonds (Sonderkonten) gehalten werden, werden bei Banken, </w:t>
      </w:r>
      <w:r w:rsidR="0081211E">
        <w:t>die dem erforderlichen R</w:t>
      </w:r>
      <w:r>
        <w:t>ating entsprechen, in Geldmarktfonds und Festgelder angelegt.</w:t>
      </w:r>
    </w:p>
    <w:p w:rsidR="00073668" w:rsidRDefault="00073668" w:rsidP="00073668"/>
    <w:p w:rsidR="00CE47DD" w:rsidRDefault="00AE793E" w:rsidP="00073668">
      <w:r>
        <w:t>Untenstehende Tabelle zeigt die während der Rechnungsperiode getätigten Anlagen</w:t>
      </w:r>
      <w:r w:rsidR="0059409A">
        <w:t xml:space="preserve">. </w:t>
      </w:r>
      <w:r>
        <w:t>Dazu muß angemerkt werden, daß die Organisation nach den Anlagegrundsätzen derzeit nicht in der Lage ist, mit einer der zwei Banken, mit denen sie in erster Linie Geschäftsbeziehungen unterhält, nämlich UBS und Crédit Suisse, Anlagen zu tätigen, da deren langfristige Ratings unter dem in den Grundsätzen festgesetzten Mindestniveau liegen.</w:t>
      </w:r>
    </w:p>
    <w:p w:rsidR="00CE47DD" w:rsidRDefault="00CE47DD" w:rsidP="006360C1"/>
    <w:tbl>
      <w:tblPr>
        <w:tblW w:w="0" w:type="auto"/>
        <w:tblLook w:val="0000" w:firstRow="0" w:lastRow="0" w:firstColumn="0" w:lastColumn="0" w:noHBand="0" w:noVBand="0"/>
      </w:tblPr>
      <w:tblGrid>
        <w:gridCol w:w="88"/>
        <w:gridCol w:w="1007"/>
        <w:gridCol w:w="1480"/>
        <w:gridCol w:w="2740"/>
        <w:gridCol w:w="1340"/>
        <w:gridCol w:w="1040"/>
        <w:gridCol w:w="1420"/>
        <w:gridCol w:w="740"/>
      </w:tblGrid>
      <w:tr w:rsidR="00FD7918" w:rsidTr="00840145">
        <w:tc>
          <w:tcPr>
            <w:tcW w:w="9855" w:type="dxa"/>
            <w:gridSpan w:val="8"/>
          </w:tcPr>
          <w:p w:rsidR="00FD7918" w:rsidRDefault="00FD7918" w:rsidP="00FD7918">
            <w:pPr>
              <w:jc w:val="center"/>
            </w:pP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765"/>
        </w:trPr>
        <w:tc>
          <w:tcPr>
            <w:tcW w:w="960" w:type="dxa"/>
            <w:tcBorders>
              <w:top w:val="nil"/>
              <w:left w:val="nil"/>
              <w:bottom w:val="nil"/>
              <w:right w:val="nil"/>
            </w:tcBorders>
            <w:shd w:val="clear" w:color="auto" w:fill="auto"/>
            <w:noWrap/>
            <w:vAlign w:val="bottom"/>
            <w:hideMark/>
          </w:tcPr>
          <w:p w:rsidR="00840145" w:rsidRPr="00840145" w:rsidRDefault="00840145" w:rsidP="00840145">
            <w:pPr>
              <w:jc w:val="left"/>
              <w:rPr>
                <w:rFonts w:cs="Arial"/>
                <w:lang w:bidi="ar-SA"/>
              </w:rPr>
            </w:pPr>
            <w:bookmarkStart w:id="36" w:name="RANGE!A2:F26"/>
            <w:bookmarkEnd w:id="36"/>
          </w:p>
        </w:tc>
        <w:tc>
          <w:tcPr>
            <w:tcW w:w="8020" w:type="dxa"/>
            <w:gridSpan w:val="5"/>
            <w:tcBorders>
              <w:top w:val="single" w:sz="4" w:space="0" w:color="auto"/>
              <w:left w:val="single" w:sz="4" w:space="0" w:color="auto"/>
              <w:bottom w:val="single" w:sz="4" w:space="0" w:color="auto"/>
              <w:right w:val="single" w:sz="4" w:space="0" w:color="000000"/>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Anlagen der UPOV 2012- 2013</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255"/>
        </w:trPr>
        <w:tc>
          <w:tcPr>
            <w:tcW w:w="960" w:type="dxa"/>
            <w:tcBorders>
              <w:top w:val="single" w:sz="4" w:space="0" w:color="auto"/>
              <w:left w:val="single" w:sz="4" w:space="0" w:color="auto"/>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148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274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134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104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142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Bench-</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510"/>
        </w:trPr>
        <w:tc>
          <w:tcPr>
            <w:tcW w:w="960" w:type="dxa"/>
            <w:tcBorders>
              <w:top w:val="nil"/>
              <w:left w:val="single" w:sz="4" w:space="0" w:color="auto"/>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Währung</w:t>
            </w:r>
          </w:p>
        </w:tc>
        <w:tc>
          <w:tcPr>
            <w:tcW w:w="148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Betrag</w:t>
            </w:r>
          </w:p>
        </w:tc>
        <w:tc>
          <w:tcPr>
            <w:tcW w:w="274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Anlagezeitraum</w:t>
            </w:r>
          </w:p>
        </w:tc>
        <w:tc>
          <w:tcPr>
            <w:tcW w:w="134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Bank</w:t>
            </w:r>
          </w:p>
        </w:tc>
        <w:tc>
          <w:tcPr>
            <w:tcW w:w="104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Zinssatz %</w:t>
            </w:r>
          </w:p>
        </w:tc>
        <w:tc>
          <w:tcPr>
            <w:tcW w:w="142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mark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510"/>
        </w:trPr>
        <w:tc>
          <w:tcPr>
            <w:tcW w:w="960" w:type="dxa"/>
            <w:tcBorders>
              <w:top w:val="nil"/>
              <w:left w:val="single" w:sz="4" w:space="0" w:color="auto"/>
              <w:bottom w:val="single" w:sz="4" w:space="0" w:color="auto"/>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1480" w:type="dxa"/>
            <w:tcBorders>
              <w:top w:val="nil"/>
              <w:left w:val="nil"/>
              <w:bottom w:val="single" w:sz="4" w:space="0" w:color="auto"/>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2740" w:type="dxa"/>
            <w:tcBorders>
              <w:top w:val="nil"/>
              <w:left w:val="nil"/>
              <w:bottom w:val="single" w:sz="4" w:space="0" w:color="auto"/>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134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104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c>
          <w:tcPr>
            <w:tcW w:w="1420" w:type="dxa"/>
            <w:tcBorders>
              <w:top w:val="nil"/>
              <w:left w:val="nil"/>
              <w:bottom w:val="nil"/>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val="restart"/>
            <w:tcBorders>
              <w:top w:val="nil"/>
              <w:left w:val="single" w:sz="4" w:space="0" w:color="auto"/>
              <w:bottom w:val="single" w:sz="4" w:space="0" w:color="000000"/>
              <w:right w:val="single" w:sz="4" w:space="0" w:color="auto"/>
            </w:tcBorders>
            <w:shd w:val="clear" w:color="000000" w:fill="D1FFA3"/>
            <w:vAlign w:val="center"/>
            <w:hideMark/>
          </w:tcPr>
          <w:p w:rsidR="00840145" w:rsidRPr="00840145" w:rsidRDefault="00840145" w:rsidP="00840145">
            <w:pPr>
              <w:jc w:val="center"/>
              <w:rPr>
                <w:rFonts w:cs="Arial"/>
                <w:b/>
                <w:bCs/>
                <w:lang w:bidi="ar-SA"/>
              </w:rPr>
            </w:pPr>
            <w:r w:rsidRPr="00840145">
              <w:rPr>
                <w:rFonts w:cs="Arial"/>
                <w:b/>
                <w:bCs/>
                <w:lang w:bidi="ar-SA"/>
              </w:rPr>
              <w:t>CHF</w:t>
            </w: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2 668 348,15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Jan. - 29. Feb. 2012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0,500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0,500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2 668 348,15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März - 27. März 2012</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0,500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0,500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3 418 348,15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28. März - 31. März 2012</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0,375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0,375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3 418 348,15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April - 30. April 2012</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0,625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0,625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3 418 348,15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Mai - 31. Mai 2012</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0,500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0,500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3 418 348,15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Juni - 31. Juli 2012</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0,375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0,375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3 418 348,15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Aug. - 31. Aug. 2012</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0,250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0,250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2 418 348,15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Sept. - 30. Dez. 2012</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0,250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0,250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2 429 567,10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31. Dez - 31. Dez. 2012</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0,250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0,250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2 429 567,10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Jan. - 31. Jan.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0,250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0,250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2 429 567,10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Feb. - 28. Feb.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0,500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0,500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2 429 567,10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März - 13. März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0,400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0,400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3 179 567,10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14. März - 30. April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0,400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0,400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3 179 567,10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Mai - 31. Mai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0,300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0,300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3 179 567,10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Juni - 30. Juni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0,450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0,450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3 179 567,10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Juli - 31. Aug.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0,750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0,750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3 179 567,10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Sept. - 30. Sept.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0,800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0,800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3 179 567,10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Okt. - 31. Okt.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0,750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0,750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3 179 567,10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Nov. - 30. Nov.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0,700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0,700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3 179 567,10</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1. Dez. - 30. Dez.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0,650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0,650 </w:t>
            </w:r>
          </w:p>
        </w:tc>
      </w:tr>
      <w:tr w:rsidR="00840145" w:rsidRPr="00840145" w:rsidTr="00840145">
        <w:tblPrEx>
          <w:tblCellMar>
            <w:left w:w="70" w:type="dxa"/>
            <w:right w:w="70" w:type="dxa"/>
          </w:tblCellMar>
          <w:tblLook w:val="04A0" w:firstRow="1" w:lastRow="0" w:firstColumn="1" w:lastColumn="0" w:noHBand="0" w:noVBand="1"/>
        </w:tblPrEx>
        <w:trPr>
          <w:gridBefore w:val="1"/>
          <w:gridAfter w:val="1"/>
          <w:wBefore w:w="93" w:type="dxa"/>
          <w:wAfter w:w="782" w:type="dxa"/>
          <w:trHeight w:val="319"/>
        </w:trPr>
        <w:tc>
          <w:tcPr>
            <w:tcW w:w="960" w:type="dxa"/>
            <w:vMerge/>
            <w:tcBorders>
              <w:top w:val="nil"/>
              <w:left w:val="single" w:sz="4" w:space="0" w:color="auto"/>
              <w:bottom w:val="single" w:sz="4" w:space="0" w:color="000000"/>
              <w:right w:val="single" w:sz="4" w:space="0" w:color="auto"/>
            </w:tcBorders>
            <w:vAlign w:val="center"/>
            <w:hideMark/>
          </w:tcPr>
          <w:p w:rsidR="00840145" w:rsidRPr="00840145" w:rsidRDefault="00840145" w:rsidP="00840145">
            <w:pPr>
              <w:jc w:val="left"/>
              <w:rPr>
                <w:rFonts w:cs="Arial"/>
                <w:b/>
                <w:bCs/>
                <w:lang w:bidi="ar-SA"/>
              </w:rPr>
            </w:pPr>
          </w:p>
        </w:tc>
        <w:tc>
          <w:tcPr>
            <w:tcW w:w="148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right"/>
              <w:rPr>
                <w:rFonts w:cs="Arial"/>
                <w:lang w:bidi="ar-SA"/>
              </w:rPr>
            </w:pPr>
            <w:r w:rsidRPr="00840145">
              <w:rPr>
                <w:rFonts w:cs="Arial"/>
                <w:lang w:bidi="ar-SA"/>
              </w:rPr>
              <w:t>3 196 734,25</w:t>
            </w:r>
          </w:p>
        </w:tc>
        <w:tc>
          <w:tcPr>
            <w:tcW w:w="27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31. Dez. - 31. Dez. 2013</w:t>
            </w:r>
          </w:p>
        </w:tc>
        <w:tc>
          <w:tcPr>
            <w:tcW w:w="13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BNS</w:t>
            </w:r>
          </w:p>
        </w:tc>
        <w:tc>
          <w:tcPr>
            <w:tcW w:w="104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0,650 </w:t>
            </w:r>
          </w:p>
        </w:tc>
        <w:tc>
          <w:tcPr>
            <w:tcW w:w="1420" w:type="dxa"/>
            <w:tcBorders>
              <w:top w:val="nil"/>
              <w:left w:val="nil"/>
              <w:bottom w:val="single" w:sz="4" w:space="0" w:color="auto"/>
              <w:right w:val="single" w:sz="4" w:space="0" w:color="auto"/>
            </w:tcBorders>
            <w:shd w:val="clear" w:color="auto" w:fill="auto"/>
            <w:noWrap/>
            <w:vAlign w:val="bottom"/>
            <w:hideMark/>
          </w:tcPr>
          <w:p w:rsidR="00840145" w:rsidRPr="00840145" w:rsidRDefault="00840145" w:rsidP="00840145">
            <w:pPr>
              <w:jc w:val="left"/>
              <w:rPr>
                <w:rFonts w:cs="Arial"/>
                <w:lang w:bidi="ar-SA"/>
              </w:rPr>
            </w:pPr>
            <w:r w:rsidRPr="00840145">
              <w:rPr>
                <w:rFonts w:cs="Arial"/>
                <w:lang w:bidi="ar-SA"/>
              </w:rPr>
              <w:t xml:space="preserve">             0,650 </w:t>
            </w:r>
          </w:p>
        </w:tc>
      </w:tr>
    </w:tbl>
    <w:p w:rsidR="00D4237F" w:rsidRDefault="00D4237F" w:rsidP="006360C1"/>
    <w:p w:rsidR="00D4237F" w:rsidRDefault="00D4237F" w:rsidP="006360C1"/>
    <w:p w:rsidR="002F09F3" w:rsidRDefault="002F09F3" w:rsidP="00D81BFB">
      <w:pPr>
        <w:pStyle w:val="Heading1"/>
        <w:jc w:val="both"/>
      </w:pPr>
      <w:bookmarkStart w:id="37" w:name="_Toc393377918"/>
      <w:bookmarkStart w:id="38" w:name="_Toc397085725"/>
      <w:bookmarkStart w:id="39" w:name="_Toc397086070"/>
      <w:r>
        <w:t>JAHRESABSCHLUSS</w:t>
      </w:r>
      <w:bookmarkEnd w:id="37"/>
      <w:bookmarkEnd w:id="38"/>
      <w:bookmarkEnd w:id="39"/>
    </w:p>
    <w:p w:rsidR="002F09F3" w:rsidRDefault="002F09F3" w:rsidP="00532F43">
      <w:pPr>
        <w:spacing w:after="200" w:line="276" w:lineRule="auto"/>
        <w:jc w:val="center"/>
        <w:rPr>
          <w:b/>
          <w:u w:val="single"/>
        </w:rPr>
      </w:pPr>
    </w:p>
    <w:p w:rsidR="002F09F3" w:rsidRDefault="002F09F3" w:rsidP="00532F43">
      <w:pPr>
        <w:spacing w:after="200" w:line="276" w:lineRule="auto"/>
      </w:pPr>
      <w:r>
        <w:t>Für jedes der beiden Jahre der Rechnungsperiode 2012/13 wurde der Jahresabschluß der UPOV nach den Internationalen Rechnungslegungsstandards für den öffentlichen Sektor (IPSAS) erstellt. Bis zur Rechnungsperiode 2010/11 wurden die Jahresabschlüsse nach den Rechnungslegungsnormen des Systems der Vereinten Nationen (UNSAS) erstellt und alle zwei Jahre geprüft.</w:t>
      </w:r>
    </w:p>
    <w:p w:rsidR="002F09F3" w:rsidRPr="00CA0F1B" w:rsidRDefault="002F09F3" w:rsidP="00532F43">
      <w:pPr>
        <w:spacing w:after="200" w:line="276" w:lineRule="auto"/>
        <w:rPr>
          <w:b/>
        </w:rPr>
      </w:pPr>
      <w:r>
        <w:rPr>
          <w:b/>
        </w:rPr>
        <w:t>Übergang zu den IPSAS</w:t>
      </w:r>
    </w:p>
    <w:p w:rsidR="002F09F3" w:rsidRDefault="002F09F3" w:rsidP="00532F43">
      <w:pPr>
        <w:spacing w:after="200" w:line="276" w:lineRule="auto"/>
        <w:rPr>
          <w:szCs w:val="22"/>
        </w:rPr>
      </w:pPr>
      <w:r>
        <w:t>Auf seiner fünfundvierzigsten ordentlichen Tagung am 20. Oktober 2011 in Genf vereinbarte der Rat den Übergang der UPOV zu den IPSAS ab dem 2012 beginnenden Rechnungsjahr (Dokument C/45/18 „Bericht”, Absatz 9 Buchstabe b). Aufgrund dieses Beschlusses wurden die zuvor verwendeten UNSAS durch die weltweit anerkannten IPSAS ersetzt. Die IPSAS werden vom International Public Sector Accounting Standards Board (IPSASB) entwickelt, der Teil der International Federation of Accountants ist.</w:t>
      </w:r>
    </w:p>
    <w:p w:rsidR="002F09F3" w:rsidRPr="00CA0F1B" w:rsidRDefault="002F09F3" w:rsidP="00532F43">
      <w:pPr>
        <w:spacing w:after="200" w:line="276" w:lineRule="auto"/>
        <w:rPr>
          <w:b/>
          <w:szCs w:val="22"/>
        </w:rPr>
      </w:pPr>
      <w:r>
        <w:rPr>
          <w:b/>
        </w:rPr>
        <w:t>Die Vorteile der IPSAS</w:t>
      </w:r>
    </w:p>
    <w:p w:rsidR="002F09F3" w:rsidRDefault="002F09F3" w:rsidP="00532F43">
      <w:pPr>
        <w:pStyle w:val="Default"/>
        <w:jc w:val="both"/>
        <w:rPr>
          <w:sz w:val="20"/>
          <w:szCs w:val="20"/>
        </w:rPr>
      </w:pPr>
      <w:r>
        <w:rPr>
          <w:sz w:val="20"/>
        </w:rPr>
        <w:t>Die Annahme der IPSAS bedeutet, daß Rechnungslegungsstandards angewandt werden, die den vorbildlichsten Managementverfahren und dem n</w:t>
      </w:r>
      <w:r w:rsidR="004C192C">
        <w:rPr>
          <w:sz w:val="20"/>
        </w:rPr>
        <w:t>euesten Stand des Finanzsektors</w:t>
      </w:r>
      <w:r>
        <w:rPr>
          <w:sz w:val="20"/>
        </w:rPr>
        <w:t xml:space="preserve"> entsprechen. Sie wird auch zu einer besseren Vergleichbarkeit von Jahresabschlüssen mit jenen anderer internationaler Organisationen und einzelstaatlicher Regierungen führen. </w:t>
      </w:r>
    </w:p>
    <w:p w:rsidR="002F09F3" w:rsidRPr="00CA0F1B" w:rsidRDefault="002F09F3" w:rsidP="00532F43">
      <w:pPr>
        <w:pStyle w:val="Default"/>
        <w:jc w:val="both"/>
        <w:rPr>
          <w:sz w:val="20"/>
          <w:szCs w:val="20"/>
        </w:rPr>
      </w:pPr>
    </w:p>
    <w:p w:rsidR="002F09F3" w:rsidRDefault="002F09F3" w:rsidP="00532F43">
      <w:pPr>
        <w:pStyle w:val="Default"/>
        <w:jc w:val="both"/>
        <w:rPr>
          <w:sz w:val="20"/>
          <w:szCs w:val="20"/>
        </w:rPr>
      </w:pPr>
      <w:r>
        <w:rPr>
          <w:sz w:val="20"/>
        </w:rPr>
        <w:t xml:space="preserve">Jahresabschlüsse, die nach den IPSAS erstellt wurden, gewähren auch viel mehr Einblick in die Vermögenslage, Verbindlichkeiten, Einnahmen und Ausgaben der UPOV. Erhöhte Transparenz im Hinblick auf Vermögen und Verbindlichkeiten führen zu mehr interner Kontrolle und verbessertem Ressourcenmanagement. Umfassende Informationen über Einnahmen und Ausgaben stellen eine bessere Grundlage für die Entscheidungsfindung dar und verbessern die strategische Planung. </w:t>
      </w:r>
    </w:p>
    <w:p w:rsidR="002F09F3" w:rsidRPr="00CA0F1B" w:rsidRDefault="002F09F3" w:rsidP="00532F43">
      <w:pPr>
        <w:pStyle w:val="Default"/>
        <w:jc w:val="both"/>
        <w:rPr>
          <w:sz w:val="20"/>
          <w:szCs w:val="20"/>
        </w:rPr>
      </w:pPr>
    </w:p>
    <w:p w:rsidR="002F09F3" w:rsidRDefault="002F09F3" w:rsidP="004C192C">
      <w:pPr>
        <w:spacing w:after="200"/>
      </w:pPr>
      <w:r>
        <w:t>Das Gesamtergebnis sind Jahresabschlüsse von höherer Qualität, Transparenz und Zuverlässigkeit, d</w:t>
      </w:r>
      <w:r w:rsidR="0081211E">
        <w:t>ie detailliertere und relevant</w:t>
      </w:r>
      <w:r>
        <w:t>ere Information</w:t>
      </w:r>
      <w:r w:rsidR="0081211E">
        <w:t>en</w:t>
      </w:r>
      <w:r>
        <w:t xml:space="preserve"> für die Interessenvertreter enthalten. Die Verbandsmitglieder erhalten nun Jahresabschlüsse, aus denen die vollständigen Kosten für die Durchführung der Tätigkeiten der UPOV hervorgehen, einschließlich im Hinblick auf Haushaltsposten, die nicht in den aktuellen Haushaltsplänen enthalten sind.</w:t>
      </w:r>
    </w:p>
    <w:p w:rsidR="002F09F3" w:rsidRPr="00CA0F1B" w:rsidRDefault="002F09F3" w:rsidP="00532F43">
      <w:pPr>
        <w:spacing w:after="200" w:line="276" w:lineRule="auto"/>
        <w:rPr>
          <w:b/>
        </w:rPr>
      </w:pPr>
      <w:r>
        <w:rPr>
          <w:b/>
        </w:rPr>
        <w:t>Die Auswirkungen der IPSAS auf die Rechnungslegung</w:t>
      </w:r>
    </w:p>
    <w:p w:rsidR="002F09F3" w:rsidRPr="0073645E" w:rsidRDefault="002F09F3" w:rsidP="00532F43">
      <w:pPr>
        <w:autoSpaceDE w:val="0"/>
        <w:autoSpaceDN w:val="0"/>
        <w:adjustRightInd w:val="0"/>
        <w:rPr>
          <w:szCs w:val="22"/>
        </w:rPr>
      </w:pPr>
      <w:r>
        <w:t>Die Anwendung der IPSAS erfordert die Einführung der vollständig periodengerechten Rechnungsführung, was eine wesentliche Veränderung gegenüber der modifizierten Periode</w:t>
      </w:r>
      <w:r w:rsidR="004C192C">
        <w:t>nrechnung darstellt, die gemäß den</w:t>
      </w:r>
      <w:r>
        <w:t xml:space="preserve"> UNSAS zugrunde gelegt wurde. Periodenrechnung bedeutet, dass die Transaktionen und Geschäftsvorfälle zu dem Zeitpunkt erfaßt werden, zu dem sie auftreten. Sie werden entsprechend in der Buchhaltung erfaßt und im Jahresabschluß für die Finanzperiode, auf die sie sich beziehen, ausgewiesen, und nicht erst, wenn Barmittel oder deren Gegenwert eingenommen oder ausgezahlt werden.</w:t>
      </w:r>
    </w:p>
    <w:p w:rsidR="002F09F3" w:rsidRPr="0073645E" w:rsidRDefault="002F09F3" w:rsidP="00532F43">
      <w:pPr>
        <w:autoSpaceDE w:val="0"/>
        <w:autoSpaceDN w:val="0"/>
        <w:adjustRightInd w:val="0"/>
        <w:rPr>
          <w:szCs w:val="22"/>
        </w:rPr>
      </w:pPr>
      <w:r>
        <w:t xml:space="preserve"> </w:t>
      </w:r>
    </w:p>
    <w:p w:rsidR="002F09F3" w:rsidRPr="0073645E" w:rsidRDefault="002F09F3" w:rsidP="00532F43">
      <w:pPr>
        <w:autoSpaceDE w:val="0"/>
        <w:autoSpaceDN w:val="0"/>
        <w:adjustRightInd w:val="0"/>
        <w:rPr>
          <w:szCs w:val="22"/>
        </w:rPr>
      </w:pPr>
      <w:r>
        <w:t>Gemäß den IPSAS werden Einnahmen sowohl aus Beiträgen als auch aus außeretatm</w:t>
      </w:r>
      <w:r w:rsidR="004C192C">
        <w:t xml:space="preserve">äßigen Mitteln (Treuhandgelder) </w:t>
      </w:r>
      <w:r>
        <w:t xml:space="preserve">zu dem Zeitpunkt erfaßt, zu dem UPOV Anspruch auf den Erhalt des Beitrags hat. Werden der UPOV Beiträge geschuldet, so werden die Forderungen ausgewiesen, doch der Gesamtsaldo gibt lediglich die noch ausstehenden Beträge aus vorhergehenden Perioden wieder. Vereinbarungen über außeretatmäßige Mittel werden zunächst geprüft, um festzustellen, ob die UPOV Leistungsbedingungen erfüllen muß, und sollten solche Bedingungen vorliegen, wird die Einnahme erst verbucht, wenn die Bedingungen erfüllt sind. </w:t>
      </w:r>
    </w:p>
    <w:p w:rsidR="002F09F3" w:rsidRPr="0073645E" w:rsidRDefault="002F09F3" w:rsidP="00532F43">
      <w:pPr>
        <w:rPr>
          <w:szCs w:val="22"/>
        </w:rPr>
      </w:pPr>
    </w:p>
    <w:p w:rsidR="002F09F3" w:rsidRPr="0073645E" w:rsidRDefault="002F09F3" w:rsidP="00532F43">
      <w:r>
        <w:t>Der Wert künftiger Leistungsverpflichtungen gegenüber Bediensteten (z.B. kumulierter Jahresurlaub, Beihilfen für die Rückübersiedlung und Krankenversicherung nach dem Ausscheiden aus dem Dienst (ASHI)), die die UPOV-Bediensteten bereits verdient, aber noch nicht erhalten haben, wird nun zum Zwecke der vollständigen Erfassung der Personalkosten periodengerecht verbucht. In den früheren Jahresabschlüssen wurden solche Leistungsverpflichtungen erst bei der Auszahlung als Ausgabe verbucht.</w:t>
      </w:r>
    </w:p>
    <w:p w:rsidR="002F09F3" w:rsidRPr="0073645E" w:rsidRDefault="002F09F3" w:rsidP="00532F43">
      <w:pPr>
        <w:rPr>
          <w:szCs w:val="22"/>
        </w:rPr>
      </w:pPr>
    </w:p>
    <w:p w:rsidR="002F09F3" w:rsidRDefault="002F09F3" w:rsidP="004C192C">
      <w:pPr>
        <w:spacing w:after="200"/>
        <w:rPr>
          <w:szCs w:val="22"/>
        </w:rPr>
      </w:pPr>
      <w:r>
        <w:t>Die Einführung der IPSAS hat derzeit keinen Einfluß auf die Ausarbeitung von Programm und Haushaltsplan, die noch auf der Grundlage der modifizierten Periodenrechnung erstellt werden. Da diese Rechnungslegungsbasis von der vollständig periodengerechten Rechnungslegung, nach der der Jahresabschluß erstellt wird, abweicht, wird in Einklang mit den Anforderungen der IPSAS eine Gegenüberstellung von Haushaltsplan und wichtigsten Zahlen des Jahresabschlusses vorgelegt.</w:t>
      </w:r>
    </w:p>
    <w:p w:rsidR="0081211E" w:rsidRDefault="0081211E" w:rsidP="00532F43">
      <w:pPr>
        <w:spacing w:after="200" w:line="276" w:lineRule="auto"/>
      </w:pPr>
    </w:p>
    <w:p w:rsidR="002F09F3" w:rsidRPr="00D00D30" w:rsidRDefault="002F09F3" w:rsidP="00532F43">
      <w:pPr>
        <w:spacing w:after="200" w:line="276" w:lineRule="auto"/>
        <w:rPr>
          <w:b/>
          <w:szCs w:val="22"/>
        </w:rPr>
      </w:pPr>
      <w:r>
        <w:rPr>
          <w:b/>
        </w:rPr>
        <w:t>Darstellung von Finanzinformationen gemäß den IPSAS</w:t>
      </w:r>
    </w:p>
    <w:p w:rsidR="002F09F3" w:rsidRDefault="002F09F3" w:rsidP="00532F43">
      <w:pPr>
        <w:autoSpaceDE w:val="0"/>
        <w:autoSpaceDN w:val="0"/>
        <w:adjustRightInd w:val="0"/>
        <w:rPr>
          <w:rFonts w:cs="Arial"/>
          <w:color w:val="000000"/>
        </w:rPr>
      </w:pPr>
      <w:r>
        <w:rPr>
          <w:color w:val="000000"/>
        </w:rPr>
        <w:t>Da nach den IPSAS jährliche Abschlüsse erstellt werden müssen, werden die Jahresabschlüsse der UPOV nun getrennt für jedes Kalenderjahr der Rechnungsperiode erstellt. Die Jahresabschlüsse werden getrennt vom Fin</w:t>
      </w:r>
      <w:r w:rsidR="002C0824">
        <w:rPr>
          <w:color w:val="000000"/>
        </w:rPr>
        <w:t>anzverwaltungsbericht dargelegt</w:t>
      </w:r>
      <w:r>
        <w:rPr>
          <w:color w:val="000000"/>
        </w:rPr>
        <w:t xml:space="preserve"> </w:t>
      </w:r>
      <w:r w:rsidRPr="0081211E">
        <w:rPr>
          <w:color w:val="000000"/>
        </w:rPr>
        <w:t xml:space="preserve">und </w:t>
      </w:r>
      <w:r w:rsidR="0081211E">
        <w:rPr>
          <w:color w:val="000000"/>
        </w:rPr>
        <w:t>für eine Einsichtnahme in die</w:t>
      </w:r>
      <w:r w:rsidR="0081211E" w:rsidRPr="0081211E">
        <w:rPr>
          <w:color w:val="000000"/>
        </w:rPr>
        <w:t xml:space="preserve"> vollständigen, nach den IPSAS-Anforderungen aufbereiteten Finanzinformation der UPOV sollte auf die Jahresabschlüs</w:t>
      </w:r>
      <w:r w:rsidR="0081211E">
        <w:rPr>
          <w:color w:val="000000"/>
        </w:rPr>
        <w:t xml:space="preserve">se der UPOV verwiesen werden. </w:t>
      </w:r>
      <w:r>
        <w:rPr>
          <w:color w:val="000000"/>
        </w:rPr>
        <w:t xml:space="preserve">Gemäß den IPSAS enthalten die Jahresabschlüsse folgende Elemente: </w:t>
      </w:r>
    </w:p>
    <w:p w:rsidR="002F09F3" w:rsidRPr="00CA0F1B" w:rsidRDefault="002F09F3" w:rsidP="00532F43">
      <w:pPr>
        <w:autoSpaceDE w:val="0"/>
        <w:autoSpaceDN w:val="0"/>
        <w:adjustRightInd w:val="0"/>
        <w:rPr>
          <w:rFonts w:cs="Arial"/>
          <w:color w:val="000000"/>
        </w:rPr>
      </w:pPr>
    </w:p>
    <w:p w:rsidR="002F09F3" w:rsidRPr="00CA0F1B" w:rsidRDefault="002F09F3" w:rsidP="00D81BFB">
      <w:pPr>
        <w:numPr>
          <w:ilvl w:val="0"/>
          <w:numId w:val="22"/>
        </w:numPr>
        <w:autoSpaceDE w:val="0"/>
        <w:autoSpaceDN w:val="0"/>
        <w:adjustRightInd w:val="0"/>
        <w:rPr>
          <w:rFonts w:cs="Arial"/>
          <w:color w:val="000000"/>
        </w:rPr>
      </w:pPr>
      <w:r>
        <w:rPr>
          <w:color w:val="000000"/>
        </w:rPr>
        <w:t xml:space="preserve">Darstellung I - Darstellung der Finanzlage </w:t>
      </w:r>
    </w:p>
    <w:p w:rsidR="002F09F3" w:rsidRPr="00CA0F1B" w:rsidRDefault="002F09F3" w:rsidP="00D81BFB">
      <w:pPr>
        <w:numPr>
          <w:ilvl w:val="0"/>
          <w:numId w:val="22"/>
        </w:numPr>
        <w:autoSpaceDE w:val="0"/>
        <w:autoSpaceDN w:val="0"/>
        <w:adjustRightInd w:val="0"/>
        <w:rPr>
          <w:rFonts w:cs="Arial"/>
          <w:color w:val="000000"/>
        </w:rPr>
      </w:pPr>
      <w:r>
        <w:rPr>
          <w:color w:val="000000"/>
        </w:rPr>
        <w:t xml:space="preserve">Darstellung II - Darstellung der Erfolgsrechnung </w:t>
      </w:r>
    </w:p>
    <w:p w:rsidR="002F09F3" w:rsidRPr="00CA0F1B" w:rsidRDefault="002F09F3" w:rsidP="00D81BFB">
      <w:pPr>
        <w:numPr>
          <w:ilvl w:val="0"/>
          <w:numId w:val="22"/>
        </w:numPr>
        <w:autoSpaceDE w:val="0"/>
        <w:autoSpaceDN w:val="0"/>
        <w:adjustRightInd w:val="0"/>
        <w:rPr>
          <w:rFonts w:cs="Arial"/>
          <w:color w:val="000000"/>
        </w:rPr>
      </w:pPr>
      <w:r>
        <w:rPr>
          <w:color w:val="000000"/>
        </w:rPr>
        <w:t xml:space="preserve">Darstellung III - Darstellung der Entwicklung des Nettovermögens </w:t>
      </w:r>
    </w:p>
    <w:p w:rsidR="002F09F3" w:rsidRPr="00CA0F1B" w:rsidRDefault="002F09F3" w:rsidP="00D81BFB">
      <w:pPr>
        <w:numPr>
          <w:ilvl w:val="0"/>
          <w:numId w:val="22"/>
        </w:numPr>
        <w:autoSpaceDE w:val="0"/>
        <w:autoSpaceDN w:val="0"/>
        <w:adjustRightInd w:val="0"/>
        <w:rPr>
          <w:rFonts w:cs="Arial"/>
          <w:color w:val="000000"/>
        </w:rPr>
      </w:pPr>
      <w:r>
        <w:rPr>
          <w:color w:val="000000"/>
        </w:rPr>
        <w:t xml:space="preserve">Darstellung IV - Darstellung der Kapitalflußrechnung </w:t>
      </w:r>
    </w:p>
    <w:p w:rsidR="002F09F3" w:rsidRPr="00CA0F1B" w:rsidRDefault="002F09F3" w:rsidP="00D81BFB">
      <w:pPr>
        <w:numPr>
          <w:ilvl w:val="0"/>
          <w:numId w:val="22"/>
        </w:numPr>
        <w:autoSpaceDE w:val="0"/>
        <w:autoSpaceDN w:val="0"/>
        <w:adjustRightInd w:val="0"/>
        <w:rPr>
          <w:rFonts w:cs="Arial"/>
          <w:color w:val="000000"/>
        </w:rPr>
      </w:pPr>
      <w:r>
        <w:rPr>
          <w:color w:val="000000"/>
        </w:rPr>
        <w:t xml:space="preserve">Darstellung V - Darstellung der Gegenüberstellung von budgetierten und tatsächlichen Beträgen </w:t>
      </w:r>
    </w:p>
    <w:p w:rsidR="002F09F3" w:rsidRPr="00CA0F1B" w:rsidRDefault="002F09F3" w:rsidP="00D81BFB">
      <w:pPr>
        <w:numPr>
          <w:ilvl w:val="0"/>
          <w:numId w:val="22"/>
        </w:numPr>
        <w:autoSpaceDE w:val="0"/>
        <w:autoSpaceDN w:val="0"/>
        <w:adjustRightInd w:val="0"/>
        <w:rPr>
          <w:rFonts w:cs="Arial"/>
          <w:color w:val="000000"/>
        </w:rPr>
      </w:pPr>
      <w:r>
        <w:rPr>
          <w:color w:val="000000"/>
        </w:rPr>
        <w:t xml:space="preserve">Anmerkungen zum Jahresabschluß </w:t>
      </w:r>
    </w:p>
    <w:p w:rsidR="002F09F3" w:rsidRPr="00CA0F1B" w:rsidRDefault="002F09F3" w:rsidP="00D81BFB">
      <w:pPr>
        <w:autoSpaceDE w:val="0"/>
        <w:autoSpaceDN w:val="0"/>
        <w:adjustRightInd w:val="0"/>
        <w:rPr>
          <w:rFonts w:cs="Arial"/>
          <w:color w:val="000000"/>
        </w:rPr>
      </w:pPr>
    </w:p>
    <w:p w:rsidR="002F09F3" w:rsidRDefault="002F09F3" w:rsidP="00532F43">
      <w:pPr>
        <w:autoSpaceDE w:val="0"/>
        <w:autoSpaceDN w:val="0"/>
        <w:adjustRightInd w:val="0"/>
        <w:rPr>
          <w:rFonts w:cs="Arial"/>
          <w:color w:val="000000"/>
        </w:rPr>
      </w:pPr>
      <w:r>
        <w:rPr>
          <w:color w:val="000000"/>
        </w:rPr>
        <w:t xml:space="preserve">Im Finanzverwaltungsbericht werden die Darstellungen I - V für die Rechnungsperiode 2012/13 dargelegt. Finanzinformationen werden bereitgestellt, um ein Verständnis der Unterschiede zwischen dem Ergebnis der UPOV auf einer Haushaltsgrundlage und dem Ergebnis gemäß dem IPSAS-Jahresabschluß zu vermitteln. Andere Auszüge aus dem Jahresabschluß liefern weitere Einzelheiten über Vermögen und Verbindlichkeiten der UPOV. </w:t>
      </w:r>
    </w:p>
    <w:p w:rsidR="002F09F3" w:rsidRPr="00CA0F1B" w:rsidRDefault="002F09F3" w:rsidP="00532F43">
      <w:pPr>
        <w:autoSpaceDE w:val="0"/>
        <w:autoSpaceDN w:val="0"/>
        <w:adjustRightInd w:val="0"/>
        <w:rPr>
          <w:rFonts w:cs="Arial"/>
          <w:color w:val="000000"/>
        </w:rPr>
      </w:pPr>
    </w:p>
    <w:p w:rsidR="002F09F3" w:rsidRDefault="0059409A" w:rsidP="002C0824">
      <w:pPr>
        <w:spacing w:after="200"/>
        <w:rPr>
          <w:rFonts w:cs="Arial"/>
          <w:color w:val="000000"/>
        </w:rPr>
      </w:pPr>
      <w:r>
        <w:rPr>
          <w:color w:val="000000"/>
        </w:rPr>
        <w:t>Da die Rechnungsperiode 2012/13 die erste Rechnungsperiode ist, für die die Finanzinformationen, die in Einklang mit den IPSAS auf einer vollständig periodengerechten Basis aufbereitet wurden, verfügbar sind, wir</w:t>
      </w:r>
      <w:r w:rsidR="002C0824">
        <w:rPr>
          <w:color w:val="000000"/>
        </w:rPr>
        <w:t>d</w:t>
      </w:r>
      <w:r>
        <w:rPr>
          <w:color w:val="000000"/>
        </w:rPr>
        <w:t xml:space="preserve"> in der Darstellung der Erfolgsrechnung oder der Darstellung der Kapitalflußrechnung keine vergleichende Information bereitgestellt. </w:t>
      </w:r>
      <w:r w:rsidR="002F09F3">
        <w:rPr>
          <w:color w:val="000000"/>
        </w:rPr>
        <w:t xml:space="preserve">In der Darstellung der Finanzlage und den unterstützenden Anmerkungen sind die Salden zum 31. Dezember 2013, 31. Dezember 2012 und 1. Januar 2012 aufgezeigt. Die Bilanz zum 1. Januar 2012 ist die </w:t>
      </w:r>
      <w:r w:rsidR="00362341" w:rsidRPr="00362341">
        <w:rPr>
          <w:color w:val="000000"/>
        </w:rPr>
        <w:t xml:space="preserve">Bilanz zum 31. Dezember 2011, die </w:t>
      </w:r>
      <w:r w:rsidR="00362341">
        <w:rPr>
          <w:color w:val="000000"/>
        </w:rPr>
        <w:t>infolge</w:t>
      </w:r>
      <w:r w:rsidR="002F09F3" w:rsidRPr="00362341">
        <w:rPr>
          <w:color w:val="000000"/>
        </w:rPr>
        <w:t xml:space="preserve"> der Auswirkungen der IPSAS-Einführung </w:t>
      </w:r>
      <w:r w:rsidR="00362341">
        <w:rPr>
          <w:color w:val="000000"/>
        </w:rPr>
        <w:t xml:space="preserve">neu </w:t>
      </w:r>
      <w:r w:rsidR="00362341" w:rsidRPr="00362341">
        <w:rPr>
          <w:color w:val="000000"/>
        </w:rPr>
        <w:t>als Eröffnungsbilanz neu erstellt wurde</w:t>
      </w:r>
      <w:r w:rsidR="002F09F3" w:rsidRPr="00362341">
        <w:rPr>
          <w:color w:val="000000"/>
        </w:rPr>
        <w:t>.</w:t>
      </w:r>
    </w:p>
    <w:p w:rsidR="002F09F3" w:rsidRPr="00CA0F1B" w:rsidRDefault="002F09F3" w:rsidP="00532F43">
      <w:pPr>
        <w:spacing w:after="200" w:line="276" w:lineRule="auto"/>
        <w:jc w:val="center"/>
        <w:rPr>
          <w:rFonts w:cs="Arial"/>
          <w:b/>
          <w:color w:val="000000"/>
        </w:rPr>
      </w:pPr>
      <w:r>
        <w:br w:type="page"/>
      </w:r>
      <w:r>
        <w:rPr>
          <w:b/>
          <w:color w:val="000000"/>
        </w:rPr>
        <w:lastRenderedPageBreak/>
        <w:t>DARSTELLUNG I</w:t>
      </w:r>
    </w:p>
    <w:p w:rsidR="002F09F3" w:rsidRDefault="002F09F3" w:rsidP="009A0C8C">
      <w:pPr>
        <w:jc w:val="center"/>
        <w:rPr>
          <w:rStyle w:val="PageNumber"/>
          <w:b/>
        </w:rPr>
      </w:pPr>
      <w:r>
        <w:rPr>
          <w:rStyle w:val="PageNumber"/>
          <w:b/>
        </w:rPr>
        <w:t>DARSTELLUNG DER FINANZLAGE</w:t>
      </w:r>
    </w:p>
    <w:p w:rsidR="009A0C8C" w:rsidRPr="00CE47DD" w:rsidRDefault="009A0C8C" w:rsidP="009A0C8C">
      <w:pPr>
        <w:pStyle w:val="Heading4"/>
      </w:pPr>
      <w:bookmarkStart w:id="40" w:name="_Toc393377919"/>
      <w:bookmarkStart w:id="41" w:name="_Toc397085726"/>
      <w:bookmarkStart w:id="42" w:name="_Toc397086071"/>
      <w:r>
        <w:rPr>
          <w:rStyle w:val="PageNumber"/>
          <w:rFonts w:ascii="Arial Bold" w:hAnsi="Arial Bold"/>
          <w:sz w:val="16"/>
        </w:rPr>
        <w:t>Darstellung der Finanzlage</w:t>
      </w:r>
      <w:bookmarkEnd w:id="40"/>
      <w:bookmarkEnd w:id="41"/>
      <w:bookmarkEnd w:id="42"/>
    </w:p>
    <w:p w:rsidR="002F09F3" w:rsidRDefault="002F09F3" w:rsidP="009A0C8C">
      <w:pPr>
        <w:jc w:val="center"/>
        <w:rPr>
          <w:rFonts w:cs="Arial"/>
          <w:b/>
          <w:color w:val="000000"/>
        </w:rPr>
      </w:pPr>
      <w:r>
        <w:rPr>
          <w:b/>
          <w:color w:val="000000"/>
        </w:rPr>
        <w:t>zum 31. Dezember 2013</w:t>
      </w:r>
    </w:p>
    <w:p w:rsidR="002F09F3" w:rsidRDefault="002F09F3" w:rsidP="009A0C8C">
      <w:pPr>
        <w:jc w:val="center"/>
        <w:rPr>
          <w:b/>
        </w:rPr>
      </w:pPr>
      <w:r>
        <w:rPr>
          <w:b/>
        </w:rPr>
        <w:t xml:space="preserve">(in Schweizer Franken) </w:t>
      </w:r>
    </w:p>
    <w:p w:rsidR="002F09F3" w:rsidRDefault="002F09F3" w:rsidP="00532F43">
      <w:pPr>
        <w:spacing w:line="276" w:lineRule="auto"/>
        <w:jc w:val="center"/>
        <w:rPr>
          <w:b/>
        </w:rPr>
      </w:pPr>
    </w:p>
    <w:p w:rsidR="002F09F3" w:rsidRDefault="005E7A9A" w:rsidP="00532F43">
      <w:pPr>
        <w:spacing w:line="276" w:lineRule="auto"/>
        <w:jc w:val="center"/>
        <w:rPr>
          <w:b/>
        </w:rPr>
      </w:pPr>
      <w:r w:rsidRPr="005E7A9A">
        <w:rPr>
          <w:noProof/>
          <w:lang w:val="en-US" w:eastAsia="en-US" w:bidi="ar-SA"/>
        </w:rPr>
        <w:drawing>
          <wp:inline distT="0" distB="0" distL="0" distR="0" wp14:anchorId="5B7F33AB" wp14:editId="39EE0C0D">
            <wp:extent cx="6071235" cy="4890770"/>
            <wp:effectExtent l="0" t="0" r="5715" b="508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1235" cy="4890770"/>
                    </a:xfrm>
                    <a:prstGeom prst="rect">
                      <a:avLst/>
                    </a:prstGeom>
                    <a:noFill/>
                    <a:ln>
                      <a:noFill/>
                    </a:ln>
                  </pic:spPr>
                </pic:pic>
              </a:graphicData>
            </a:graphic>
          </wp:inline>
        </w:drawing>
      </w:r>
    </w:p>
    <w:p w:rsidR="002F09F3" w:rsidRPr="00A5749D" w:rsidRDefault="002F09F3" w:rsidP="00532F43">
      <w:pPr>
        <w:spacing w:line="276" w:lineRule="auto"/>
        <w:jc w:val="center"/>
        <w:rPr>
          <w:b/>
        </w:rPr>
      </w:pPr>
    </w:p>
    <w:p w:rsidR="002F09F3" w:rsidRPr="00CA0F1B" w:rsidRDefault="002F09F3" w:rsidP="00532F43">
      <w:pPr>
        <w:spacing w:after="200" w:line="276" w:lineRule="auto"/>
        <w:jc w:val="center"/>
        <w:rPr>
          <w:rFonts w:cs="Arial"/>
          <w:b/>
          <w:color w:val="000000"/>
        </w:rPr>
      </w:pPr>
      <w:r>
        <w:br w:type="page"/>
      </w:r>
      <w:r>
        <w:rPr>
          <w:b/>
          <w:color w:val="000000"/>
        </w:rPr>
        <w:lastRenderedPageBreak/>
        <w:t>DARSTELLUNG II:</w:t>
      </w:r>
    </w:p>
    <w:p w:rsidR="002F09F3" w:rsidRDefault="002F09F3" w:rsidP="009A0C8C">
      <w:pPr>
        <w:spacing w:after="200"/>
        <w:jc w:val="center"/>
        <w:rPr>
          <w:rFonts w:cs="Arial"/>
          <w:b/>
          <w:color w:val="000000"/>
        </w:rPr>
      </w:pPr>
      <w:r>
        <w:rPr>
          <w:b/>
          <w:color w:val="000000"/>
        </w:rPr>
        <w:t>DARSTELLUNG DER ERFOLGSRECHNUNG</w:t>
      </w:r>
    </w:p>
    <w:p w:rsidR="009A0C8C" w:rsidRPr="009A0C8C" w:rsidRDefault="009A0C8C" w:rsidP="009A0C8C">
      <w:pPr>
        <w:pStyle w:val="Heading4"/>
      </w:pPr>
      <w:bookmarkStart w:id="43" w:name="_Toc393377920"/>
      <w:bookmarkStart w:id="44" w:name="_Toc397085727"/>
      <w:bookmarkStart w:id="45" w:name="_Toc397086072"/>
      <w:r>
        <w:t>Darstellung der Erfolgsrechnung</w:t>
      </w:r>
      <w:bookmarkEnd w:id="43"/>
      <w:bookmarkEnd w:id="44"/>
      <w:bookmarkEnd w:id="45"/>
    </w:p>
    <w:p w:rsidR="002F09F3" w:rsidRDefault="002F09F3" w:rsidP="009A0C8C">
      <w:pPr>
        <w:jc w:val="center"/>
        <w:rPr>
          <w:rFonts w:cs="Arial"/>
          <w:b/>
          <w:color w:val="000000"/>
        </w:rPr>
      </w:pPr>
      <w:r>
        <w:rPr>
          <w:b/>
          <w:color w:val="000000"/>
        </w:rPr>
        <w:t>für die am 31. Dezember 2013 abgelaufene Rechnungsperiode</w:t>
      </w:r>
    </w:p>
    <w:p w:rsidR="002F09F3" w:rsidRDefault="002F09F3" w:rsidP="009A0C8C">
      <w:pPr>
        <w:jc w:val="center"/>
        <w:rPr>
          <w:b/>
        </w:rPr>
      </w:pPr>
      <w:r>
        <w:rPr>
          <w:b/>
        </w:rPr>
        <w:t xml:space="preserve">(in Schweizer Franken) </w:t>
      </w:r>
    </w:p>
    <w:p w:rsidR="002F09F3" w:rsidRDefault="002F09F3" w:rsidP="009A0C8C">
      <w:pPr>
        <w:jc w:val="center"/>
        <w:rPr>
          <w:b/>
        </w:rPr>
      </w:pPr>
    </w:p>
    <w:p w:rsidR="002F09F3" w:rsidRDefault="004A4EE9" w:rsidP="00532F43">
      <w:pPr>
        <w:spacing w:line="276" w:lineRule="auto"/>
        <w:jc w:val="center"/>
        <w:rPr>
          <w:b/>
        </w:rPr>
      </w:pPr>
      <w:r w:rsidRPr="004A4EE9">
        <w:rPr>
          <w:noProof/>
          <w:lang w:val="en-US" w:eastAsia="en-US" w:bidi="ar-SA"/>
        </w:rPr>
        <w:drawing>
          <wp:inline distT="0" distB="0" distL="0" distR="0" wp14:anchorId="7C511BE5" wp14:editId="4EA823D7">
            <wp:extent cx="5943600" cy="379603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796030"/>
                    </a:xfrm>
                    <a:prstGeom prst="rect">
                      <a:avLst/>
                    </a:prstGeom>
                    <a:noFill/>
                    <a:ln>
                      <a:noFill/>
                    </a:ln>
                  </pic:spPr>
                </pic:pic>
              </a:graphicData>
            </a:graphic>
          </wp:inline>
        </w:drawing>
      </w:r>
    </w:p>
    <w:p w:rsidR="002F09F3" w:rsidRPr="00A5749D" w:rsidRDefault="002F09F3" w:rsidP="00532F43">
      <w:pPr>
        <w:spacing w:line="276" w:lineRule="auto"/>
        <w:jc w:val="center"/>
        <w:rPr>
          <w:b/>
        </w:rPr>
      </w:pPr>
    </w:p>
    <w:p w:rsidR="002F09F3" w:rsidRPr="00CA0F1B" w:rsidRDefault="002F09F3" w:rsidP="009A0C8C">
      <w:pPr>
        <w:spacing w:after="200"/>
        <w:jc w:val="center"/>
        <w:rPr>
          <w:rFonts w:cs="Arial"/>
          <w:b/>
          <w:color w:val="000000"/>
        </w:rPr>
      </w:pPr>
      <w:r>
        <w:br w:type="page"/>
      </w:r>
      <w:r>
        <w:rPr>
          <w:b/>
          <w:color w:val="000000"/>
        </w:rPr>
        <w:lastRenderedPageBreak/>
        <w:t>DARSTELLUNG III</w:t>
      </w:r>
    </w:p>
    <w:p w:rsidR="002F09F3" w:rsidRDefault="002F09F3" w:rsidP="009A0C8C">
      <w:pPr>
        <w:spacing w:after="200"/>
        <w:jc w:val="center"/>
        <w:rPr>
          <w:rFonts w:cs="Arial"/>
          <w:b/>
          <w:color w:val="000000"/>
        </w:rPr>
      </w:pPr>
      <w:r>
        <w:rPr>
          <w:b/>
          <w:color w:val="000000"/>
        </w:rPr>
        <w:t>DARSTELLUNG DER ENTWICKLUNGEN DES NETTOVERMÖGENS</w:t>
      </w:r>
    </w:p>
    <w:p w:rsidR="009A0C8C" w:rsidRPr="00CE47DD" w:rsidRDefault="009A0C8C" w:rsidP="009A0C8C">
      <w:pPr>
        <w:pStyle w:val="Heading4"/>
      </w:pPr>
      <w:bookmarkStart w:id="46" w:name="_Toc393377921"/>
      <w:bookmarkStart w:id="47" w:name="_Toc397085728"/>
      <w:bookmarkStart w:id="48" w:name="_Toc397086073"/>
      <w:r>
        <w:t>Darstellung der Entwicklungen des Nettovermögens</w:t>
      </w:r>
      <w:bookmarkEnd w:id="46"/>
      <w:bookmarkEnd w:id="47"/>
      <w:bookmarkEnd w:id="48"/>
    </w:p>
    <w:p w:rsidR="002F09F3" w:rsidRDefault="002F09F3" w:rsidP="009A0C8C">
      <w:pPr>
        <w:jc w:val="center"/>
        <w:rPr>
          <w:rFonts w:cs="Arial"/>
          <w:b/>
          <w:color w:val="000000"/>
        </w:rPr>
      </w:pPr>
      <w:r>
        <w:rPr>
          <w:b/>
          <w:color w:val="000000"/>
        </w:rPr>
        <w:t>für die am 31. Dezember 2013 abgelaufene Rechnungsperiode</w:t>
      </w:r>
    </w:p>
    <w:p w:rsidR="002F09F3" w:rsidRDefault="002F09F3" w:rsidP="009A0C8C">
      <w:pPr>
        <w:jc w:val="center"/>
        <w:rPr>
          <w:b/>
        </w:rPr>
      </w:pPr>
      <w:r>
        <w:rPr>
          <w:b/>
        </w:rPr>
        <w:t xml:space="preserve">(in Schweizer Franken) </w:t>
      </w:r>
    </w:p>
    <w:p w:rsidR="002F09F3" w:rsidRDefault="002F09F3" w:rsidP="009A0C8C">
      <w:pPr>
        <w:jc w:val="center"/>
        <w:rPr>
          <w:b/>
        </w:rPr>
      </w:pPr>
    </w:p>
    <w:p w:rsidR="002F09F3" w:rsidRDefault="004A4EE9" w:rsidP="00532F43">
      <w:pPr>
        <w:spacing w:line="276" w:lineRule="auto"/>
        <w:jc w:val="center"/>
        <w:rPr>
          <w:b/>
        </w:rPr>
      </w:pPr>
      <w:r w:rsidRPr="004A4EE9">
        <w:rPr>
          <w:noProof/>
          <w:lang w:val="en-US" w:eastAsia="en-US" w:bidi="ar-SA"/>
        </w:rPr>
        <w:drawing>
          <wp:inline distT="0" distB="0" distL="0" distR="0" wp14:anchorId="2373CE7E" wp14:editId="2CC57404">
            <wp:extent cx="6102985" cy="358330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2985" cy="3583305"/>
                    </a:xfrm>
                    <a:prstGeom prst="rect">
                      <a:avLst/>
                    </a:prstGeom>
                    <a:noFill/>
                    <a:ln>
                      <a:noFill/>
                    </a:ln>
                  </pic:spPr>
                </pic:pic>
              </a:graphicData>
            </a:graphic>
          </wp:inline>
        </w:drawing>
      </w:r>
    </w:p>
    <w:p w:rsidR="002F09F3" w:rsidRPr="00A5749D" w:rsidRDefault="002F09F3" w:rsidP="00532F43">
      <w:pPr>
        <w:spacing w:line="276" w:lineRule="auto"/>
        <w:jc w:val="center"/>
        <w:rPr>
          <w:b/>
        </w:rPr>
      </w:pPr>
    </w:p>
    <w:p w:rsidR="002F09F3" w:rsidRDefault="002F09F3" w:rsidP="00532F43">
      <w:pPr>
        <w:spacing w:line="276" w:lineRule="auto"/>
        <w:jc w:val="center"/>
      </w:pPr>
    </w:p>
    <w:p w:rsidR="002F09F3" w:rsidRPr="00CA0F1B" w:rsidRDefault="002F09F3" w:rsidP="00532F43">
      <w:pPr>
        <w:spacing w:after="200" w:line="276" w:lineRule="auto"/>
        <w:jc w:val="center"/>
        <w:rPr>
          <w:rFonts w:cs="Arial"/>
          <w:b/>
          <w:color w:val="000000"/>
        </w:rPr>
      </w:pPr>
      <w:r>
        <w:br w:type="page"/>
      </w:r>
      <w:r>
        <w:rPr>
          <w:b/>
          <w:color w:val="000000"/>
        </w:rPr>
        <w:lastRenderedPageBreak/>
        <w:t>DARSTELLUNG IV:</w:t>
      </w:r>
    </w:p>
    <w:p w:rsidR="002F09F3" w:rsidRDefault="002F09F3" w:rsidP="00532F43">
      <w:pPr>
        <w:spacing w:after="200" w:line="276" w:lineRule="auto"/>
        <w:jc w:val="center"/>
        <w:rPr>
          <w:rFonts w:cs="Arial"/>
          <w:b/>
          <w:color w:val="000000"/>
        </w:rPr>
      </w:pPr>
      <w:r>
        <w:rPr>
          <w:b/>
          <w:color w:val="000000"/>
        </w:rPr>
        <w:t>KAPITALFLUSSRECHNUNG</w:t>
      </w:r>
    </w:p>
    <w:p w:rsidR="009A0C8C" w:rsidRPr="00CA0F1B" w:rsidRDefault="009A0C8C" w:rsidP="009A0C8C">
      <w:pPr>
        <w:pStyle w:val="Heading4"/>
      </w:pPr>
      <w:bookmarkStart w:id="49" w:name="_Toc393377922"/>
      <w:bookmarkStart w:id="50" w:name="_Toc397085729"/>
      <w:bookmarkStart w:id="51" w:name="_Toc397086074"/>
      <w:r>
        <w:t>Darstellung der Kapitalflußrechnung</w:t>
      </w:r>
      <w:bookmarkEnd w:id="49"/>
      <w:bookmarkEnd w:id="50"/>
      <w:bookmarkEnd w:id="51"/>
    </w:p>
    <w:p w:rsidR="002F09F3" w:rsidRDefault="002F09F3" w:rsidP="00532F43">
      <w:pPr>
        <w:spacing w:line="276" w:lineRule="auto"/>
        <w:jc w:val="center"/>
        <w:rPr>
          <w:rFonts w:cs="Arial"/>
          <w:b/>
          <w:color w:val="000000"/>
        </w:rPr>
      </w:pPr>
      <w:r>
        <w:rPr>
          <w:b/>
          <w:color w:val="000000"/>
        </w:rPr>
        <w:t>für die am 31. Dezember 2013 abgelaufene Rechnungsperiode</w:t>
      </w:r>
    </w:p>
    <w:p w:rsidR="002F09F3" w:rsidRDefault="002F09F3" w:rsidP="00532F43">
      <w:pPr>
        <w:spacing w:line="276" w:lineRule="auto"/>
        <w:jc w:val="center"/>
        <w:rPr>
          <w:b/>
        </w:rPr>
      </w:pPr>
      <w:r>
        <w:rPr>
          <w:b/>
        </w:rPr>
        <w:t xml:space="preserve">(in Schweizer Franken) </w:t>
      </w:r>
    </w:p>
    <w:p w:rsidR="002F09F3" w:rsidRDefault="002F09F3" w:rsidP="00532F43">
      <w:pPr>
        <w:spacing w:line="276" w:lineRule="auto"/>
        <w:jc w:val="center"/>
        <w:rPr>
          <w:b/>
        </w:rPr>
      </w:pPr>
    </w:p>
    <w:p w:rsidR="002F09F3" w:rsidRDefault="004A4EE9" w:rsidP="00532F43">
      <w:pPr>
        <w:spacing w:line="276" w:lineRule="auto"/>
        <w:jc w:val="center"/>
        <w:rPr>
          <w:b/>
        </w:rPr>
      </w:pPr>
      <w:r w:rsidRPr="004A4EE9">
        <w:rPr>
          <w:noProof/>
          <w:lang w:val="en-US" w:eastAsia="en-US" w:bidi="ar-SA"/>
        </w:rPr>
        <w:drawing>
          <wp:inline distT="0" distB="0" distL="0" distR="0" wp14:anchorId="2E0098CB" wp14:editId="67F26754">
            <wp:extent cx="6120765" cy="4193949"/>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4193949"/>
                    </a:xfrm>
                    <a:prstGeom prst="rect">
                      <a:avLst/>
                    </a:prstGeom>
                    <a:noFill/>
                    <a:ln>
                      <a:noFill/>
                    </a:ln>
                  </pic:spPr>
                </pic:pic>
              </a:graphicData>
            </a:graphic>
          </wp:inline>
        </w:drawing>
      </w:r>
    </w:p>
    <w:p w:rsidR="002F09F3" w:rsidRDefault="002F09F3" w:rsidP="00532F43">
      <w:pPr>
        <w:spacing w:line="276" w:lineRule="auto"/>
        <w:jc w:val="center"/>
      </w:pPr>
    </w:p>
    <w:p w:rsidR="002F09F3" w:rsidRDefault="002F09F3" w:rsidP="00532F43">
      <w:pPr>
        <w:spacing w:line="276" w:lineRule="auto"/>
        <w:jc w:val="center"/>
      </w:pPr>
    </w:p>
    <w:p w:rsidR="002F09F3" w:rsidRPr="00CA0F1B" w:rsidRDefault="002F09F3" w:rsidP="00532F43">
      <w:pPr>
        <w:spacing w:after="200" w:line="276" w:lineRule="auto"/>
        <w:jc w:val="center"/>
        <w:rPr>
          <w:rFonts w:cs="Arial"/>
          <w:b/>
          <w:color w:val="000000"/>
        </w:rPr>
      </w:pPr>
      <w:r>
        <w:br w:type="page"/>
      </w:r>
      <w:r>
        <w:rPr>
          <w:b/>
          <w:color w:val="000000"/>
        </w:rPr>
        <w:lastRenderedPageBreak/>
        <w:t>DARSTELLUNG V</w:t>
      </w:r>
    </w:p>
    <w:p w:rsidR="002F09F3" w:rsidRDefault="002F09F3" w:rsidP="009A0C8C">
      <w:pPr>
        <w:spacing w:after="200"/>
        <w:jc w:val="center"/>
        <w:rPr>
          <w:rFonts w:cs="Arial"/>
          <w:b/>
          <w:color w:val="000000"/>
        </w:rPr>
      </w:pPr>
      <w:r>
        <w:rPr>
          <w:b/>
          <w:color w:val="000000"/>
        </w:rPr>
        <w:t>DARSTELLUNG DER GEGENÜBERSTELLUNG VON BUDGETIERTEN UND TATSÄCHLICHEN BETRÄGEN</w:t>
      </w:r>
    </w:p>
    <w:p w:rsidR="009A0C8C" w:rsidRPr="00CE47DD" w:rsidRDefault="009A0C8C" w:rsidP="009A0C8C">
      <w:pPr>
        <w:pStyle w:val="Heading4"/>
      </w:pPr>
      <w:bookmarkStart w:id="52" w:name="_Toc393377923"/>
      <w:bookmarkStart w:id="53" w:name="_Toc397085730"/>
      <w:bookmarkStart w:id="54" w:name="_Toc397086075"/>
      <w:r>
        <w:t>Darstellung der Gegenüberstellung von budgetierten und tatsächlichen Beträgen</w:t>
      </w:r>
      <w:bookmarkEnd w:id="52"/>
      <w:bookmarkEnd w:id="53"/>
      <w:bookmarkEnd w:id="54"/>
    </w:p>
    <w:p w:rsidR="002F09F3" w:rsidRDefault="002F09F3" w:rsidP="009A0C8C">
      <w:pPr>
        <w:jc w:val="center"/>
        <w:rPr>
          <w:rFonts w:cs="Arial"/>
          <w:b/>
          <w:color w:val="000000"/>
        </w:rPr>
      </w:pPr>
      <w:r>
        <w:rPr>
          <w:b/>
          <w:color w:val="000000"/>
        </w:rPr>
        <w:t>für die am 31. Dezember 2013 abgelaufene Rechnungsperiode</w:t>
      </w:r>
    </w:p>
    <w:p w:rsidR="002F09F3" w:rsidRDefault="002F09F3" w:rsidP="00532F43">
      <w:pPr>
        <w:spacing w:line="276" w:lineRule="auto"/>
        <w:jc w:val="center"/>
        <w:rPr>
          <w:b/>
        </w:rPr>
      </w:pPr>
      <w:r>
        <w:rPr>
          <w:b/>
        </w:rPr>
        <w:t>(in Tausend Schweizer Franken)</w:t>
      </w:r>
    </w:p>
    <w:p w:rsidR="002F09F3" w:rsidRDefault="002F09F3" w:rsidP="00532F43">
      <w:pPr>
        <w:spacing w:line="276" w:lineRule="auto"/>
        <w:jc w:val="center"/>
      </w:pPr>
    </w:p>
    <w:p w:rsidR="002F09F3" w:rsidRDefault="004A4EE9" w:rsidP="00532F43">
      <w:pPr>
        <w:spacing w:line="276" w:lineRule="auto"/>
        <w:jc w:val="center"/>
      </w:pPr>
      <w:r w:rsidRPr="004A4EE9">
        <w:rPr>
          <w:noProof/>
          <w:lang w:val="en-US" w:eastAsia="en-US" w:bidi="ar-SA"/>
        </w:rPr>
        <w:drawing>
          <wp:inline distT="0" distB="0" distL="0" distR="0" wp14:anchorId="5972FB93" wp14:editId="2B2A0C1F">
            <wp:extent cx="5497195" cy="5060950"/>
            <wp:effectExtent l="0" t="0" r="825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7195" cy="5060950"/>
                    </a:xfrm>
                    <a:prstGeom prst="rect">
                      <a:avLst/>
                    </a:prstGeom>
                    <a:noFill/>
                    <a:ln>
                      <a:noFill/>
                    </a:ln>
                  </pic:spPr>
                </pic:pic>
              </a:graphicData>
            </a:graphic>
          </wp:inline>
        </w:drawing>
      </w:r>
    </w:p>
    <w:p w:rsidR="002F09F3" w:rsidRPr="002A361D" w:rsidRDefault="002F09F3" w:rsidP="00532F43"/>
    <w:p w:rsidR="002F09F3" w:rsidRPr="0073645E" w:rsidRDefault="002F09F3" w:rsidP="00D81BFB">
      <w:pPr>
        <w:numPr>
          <w:ilvl w:val="0"/>
          <w:numId w:val="23"/>
        </w:numPr>
        <w:rPr>
          <w:sz w:val="18"/>
          <w:szCs w:val="18"/>
        </w:rPr>
      </w:pPr>
      <w:r>
        <w:rPr>
          <w:sz w:val="18"/>
        </w:rPr>
        <w:t>– zeigt den angenommenen Haushaltsplan für die Rechnungsperiode 2012-2013;</w:t>
      </w:r>
    </w:p>
    <w:p w:rsidR="002F09F3" w:rsidRDefault="002F09F3" w:rsidP="00D81BFB">
      <w:pPr>
        <w:numPr>
          <w:ilvl w:val="0"/>
          <w:numId w:val="23"/>
        </w:numPr>
        <w:rPr>
          <w:sz w:val="18"/>
          <w:szCs w:val="18"/>
        </w:rPr>
      </w:pPr>
      <w:r>
        <w:rPr>
          <w:sz w:val="18"/>
        </w:rPr>
        <w:t>– zeigt die Differenz zwischen dem endgültigen (angepaßten) Haushaltsplan und den tatsächlichen Ausgaben auf einer vergleichbaren Basis (vor IPSAS-Anpassungen).</w:t>
      </w:r>
    </w:p>
    <w:p w:rsidR="002F09F3" w:rsidRPr="009A0C8C" w:rsidRDefault="002F09F3" w:rsidP="00D81BFB">
      <w:pPr>
        <w:rPr>
          <w:rFonts w:ascii="Arial Bold" w:hAnsi="Arial Bold"/>
          <w:b/>
          <w:sz w:val="18"/>
          <w:szCs w:val="18"/>
        </w:rPr>
      </w:pPr>
      <w:r>
        <w:br w:type="page"/>
      </w:r>
      <w:r w:rsidR="007204FA">
        <w:rPr>
          <w:rFonts w:ascii="Arial Bold" w:hAnsi="Arial Bold"/>
          <w:b/>
          <w:sz w:val="18"/>
        </w:rPr>
        <w:lastRenderedPageBreak/>
        <w:t xml:space="preserve">ANALYSE DER </w:t>
      </w:r>
      <w:r>
        <w:rPr>
          <w:rFonts w:ascii="Arial Bold" w:hAnsi="Arial Bold"/>
          <w:b/>
          <w:sz w:val="18"/>
        </w:rPr>
        <w:t>FINANZ</w:t>
      </w:r>
      <w:r w:rsidR="007204FA">
        <w:rPr>
          <w:rFonts w:ascii="Arial Bold" w:hAnsi="Arial Bold"/>
          <w:b/>
          <w:sz w:val="18"/>
        </w:rPr>
        <w:t>- UND VERMÖGENS</w:t>
      </w:r>
      <w:r>
        <w:rPr>
          <w:rFonts w:ascii="Arial Bold" w:hAnsi="Arial Bold"/>
          <w:b/>
          <w:sz w:val="18"/>
        </w:rPr>
        <w:t>LAGE</w:t>
      </w:r>
    </w:p>
    <w:p w:rsidR="002F09F3" w:rsidRPr="00CE47DD" w:rsidRDefault="009A0C8C" w:rsidP="009A0C8C">
      <w:pPr>
        <w:pStyle w:val="Heading4"/>
      </w:pPr>
      <w:bookmarkStart w:id="55" w:name="_Toc393377924"/>
      <w:bookmarkStart w:id="56" w:name="_Toc397085731"/>
      <w:bookmarkStart w:id="57" w:name="_Toc397086076"/>
      <w:r>
        <w:t>Analyse der Darstellung der Finanzlage</w:t>
      </w:r>
      <w:bookmarkEnd w:id="55"/>
      <w:bookmarkEnd w:id="56"/>
      <w:bookmarkEnd w:id="57"/>
    </w:p>
    <w:p w:rsidR="002F09F3" w:rsidRPr="00C825FC" w:rsidRDefault="002F09F3" w:rsidP="00D81BFB">
      <w:pPr>
        <w:autoSpaceDE w:val="0"/>
        <w:autoSpaceDN w:val="0"/>
        <w:adjustRightInd w:val="0"/>
        <w:rPr>
          <w:rFonts w:cs="Arial"/>
          <w:color w:val="000000"/>
        </w:rPr>
      </w:pPr>
      <w:r>
        <w:rPr>
          <w:b/>
          <w:color w:val="000000"/>
        </w:rPr>
        <w:t>Bewegung beim Nettovermögen</w:t>
      </w:r>
    </w:p>
    <w:p w:rsidR="002F09F3" w:rsidRDefault="002F09F3" w:rsidP="00D81BFB">
      <w:pPr>
        <w:rPr>
          <w:rFonts w:cs="Arial"/>
          <w:color w:val="000000"/>
        </w:rPr>
      </w:pPr>
    </w:p>
    <w:p w:rsidR="002F09F3" w:rsidRDefault="002F09F3" w:rsidP="00532F43">
      <w:pPr>
        <w:rPr>
          <w:rFonts w:cs="Arial"/>
          <w:color w:val="000000"/>
          <w:sz w:val="22"/>
          <w:szCs w:val="22"/>
        </w:rPr>
      </w:pPr>
      <w:r>
        <w:rPr>
          <w:color w:val="000000"/>
        </w:rPr>
        <w:t>Zum 31. Dezember 2013 verfügt die UPOV auf IPSAS-Basis über ein Nettovermögen von 1.744.294 Schweizer Franken</w:t>
      </w:r>
      <w:r w:rsidR="0059409A">
        <w:rPr>
          <w:color w:val="000000"/>
        </w:rPr>
        <w:t xml:space="preserve">. </w:t>
      </w:r>
      <w:r>
        <w:rPr>
          <w:color w:val="000000"/>
        </w:rPr>
        <w:t>Vor der Einführung der IPSAS verfügt die UPOV zum 31. Dezember 2011 über ein Nettovermögen von 1.995.900 Schweizer Franken.</w:t>
      </w:r>
      <w:r>
        <w:rPr>
          <w:color w:val="000000"/>
          <w:sz w:val="22"/>
        </w:rPr>
        <w:t xml:space="preserve"> </w:t>
      </w:r>
    </w:p>
    <w:p w:rsidR="002F09F3" w:rsidRDefault="002F09F3" w:rsidP="00532F43">
      <w:pPr>
        <w:rPr>
          <w:rFonts w:cs="Arial"/>
          <w:color w:val="000000"/>
          <w:sz w:val="22"/>
          <w:szCs w:val="22"/>
        </w:rPr>
      </w:pPr>
    </w:p>
    <w:p w:rsidR="002F09F3" w:rsidRDefault="002F09F3" w:rsidP="00532F43">
      <w:pPr>
        <w:rPr>
          <w:szCs w:val="22"/>
        </w:rPr>
      </w:pPr>
      <w:r>
        <w:t>Die gemäß den IPSAS zur Erstellung der Eröffnungsbilanz zum 1. Januar 2012 vorgenommenen Anpassungen führten zu einer Verringerung des Gesamtnettovermögens um 759.147 Schweizer Franken. Die größten Anpassungen bezogen sich auf die Leistungsverpflichtungen gegenüber Bediensteten, die sich auf insgesamt 747.429 Schweizer Franken beliefen. Die Anpassungen resultieren aus der Erfassung dieser Verbindlichkeiten im Jahresabschluß ausgehend von ihrer Bewertung zum 1. Januar 2012. Zudem wurde eine Anpassung um 11.718 Schweizer Franken in Bezug auf Wertberichtigungen für ausstehende Beiträge vorgenommen.</w:t>
      </w:r>
    </w:p>
    <w:p w:rsidR="002F09F3" w:rsidRDefault="002F09F3" w:rsidP="00D81BFB">
      <w:pPr>
        <w:rPr>
          <w:szCs w:val="22"/>
        </w:rPr>
      </w:pPr>
    </w:p>
    <w:p w:rsidR="002F09F3" w:rsidRPr="00792F4C" w:rsidRDefault="002F09F3" w:rsidP="00532F43">
      <w:r>
        <w:t>Nach dieser Verringerung des Nettovermögens in der IPSAS-Eröffnungsbilanz führte ein Überschuß in der Erfolgsrechnung sowohl 2012 als auch 2013 von insgesamt 504.207 Schweizer Franken zu einem Anstieg des Nettovermögens während der Rechnungsperiode.</w:t>
      </w:r>
    </w:p>
    <w:p w:rsidR="002F09F3" w:rsidRDefault="002F09F3" w:rsidP="00D81BFB">
      <w:pPr>
        <w:rPr>
          <w:sz w:val="18"/>
          <w:szCs w:val="18"/>
        </w:rPr>
      </w:pPr>
    </w:p>
    <w:p w:rsidR="002F09F3" w:rsidRDefault="007204FA" w:rsidP="00D81BFB">
      <w:pPr>
        <w:rPr>
          <w:b/>
          <w:sz w:val="18"/>
          <w:szCs w:val="18"/>
        </w:rPr>
      </w:pPr>
      <w:r>
        <w:rPr>
          <w:b/>
          <w:sz w:val="18"/>
        </w:rPr>
        <w:t>Zusammenfassung der Aktiva und Passiva</w:t>
      </w:r>
    </w:p>
    <w:p w:rsidR="002F09F3" w:rsidRDefault="002F09F3" w:rsidP="00D81BFB">
      <w:pPr>
        <w:rPr>
          <w:b/>
          <w:sz w:val="18"/>
          <w:szCs w:val="18"/>
        </w:rPr>
      </w:pPr>
    </w:p>
    <w:p w:rsidR="002F09F3" w:rsidRDefault="002F09F3" w:rsidP="00D81BFB">
      <w:r>
        <w:t>Untenstehende Graphik gibt einen Überblick über die Finanzlage der UPOV zum 31. Dezember 2013:</w:t>
      </w:r>
    </w:p>
    <w:p w:rsidR="002F09F3" w:rsidRDefault="002F09F3" w:rsidP="00D81BFB"/>
    <w:p w:rsidR="002F09F3" w:rsidRDefault="007204FA" w:rsidP="00532F43">
      <w:pPr>
        <w:jc w:val="center"/>
      </w:pPr>
      <w:r>
        <w:t>Zusammenfaßung von Aktiva und Passiva</w:t>
      </w:r>
      <w:r w:rsidR="002F09F3">
        <w:t xml:space="preserve"> zum 31. Dezember 2013</w:t>
      </w:r>
    </w:p>
    <w:p w:rsidR="002F09F3" w:rsidRDefault="002F09F3" w:rsidP="00D81BFB"/>
    <w:p w:rsidR="002F09F3" w:rsidRPr="00666D57" w:rsidRDefault="004A4EE9" w:rsidP="00D81BFB">
      <w:r w:rsidRPr="004A4EE9">
        <w:rPr>
          <w:noProof/>
          <w:lang w:val="en-US" w:eastAsia="en-US" w:bidi="ar-SA"/>
        </w:rPr>
        <w:drawing>
          <wp:inline distT="0" distB="0" distL="0" distR="0" wp14:anchorId="071FD350" wp14:editId="6AFA5391">
            <wp:extent cx="6120765" cy="3245082"/>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245082"/>
                    </a:xfrm>
                    <a:prstGeom prst="rect">
                      <a:avLst/>
                    </a:prstGeom>
                    <a:noFill/>
                    <a:ln>
                      <a:noFill/>
                    </a:ln>
                  </pic:spPr>
                </pic:pic>
              </a:graphicData>
            </a:graphic>
          </wp:inline>
        </w:drawing>
      </w:r>
    </w:p>
    <w:p w:rsidR="002F09F3" w:rsidRDefault="002F09F3" w:rsidP="00532F43">
      <w:pPr>
        <w:spacing w:line="276" w:lineRule="auto"/>
        <w:jc w:val="center"/>
      </w:pPr>
    </w:p>
    <w:p w:rsidR="002F09F3" w:rsidRDefault="002F09F3" w:rsidP="00532F43">
      <w:pPr>
        <w:spacing w:line="276" w:lineRule="auto"/>
      </w:pPr>
      <w:r>
        <w:t xml:space="preserve">Die UPOV hat einen </w:t>
      </w:r>
      <w:r w:rsidR="0059409A">
        <w:t>Zahlungsmittelbestand</w:t>
      </w:r>
      <w:r>
        <w:t xml:space="preserve"> von 3.728.930 Schweizer Franken, was 95,7 Prozent des Gesamtvermögens entspricht. Wie allerdings in umseitiger Tabelle dargestellt, enthält dies auch Beträge, die gemäß IPSAS als gebunden eingestuft werden. Die restlichen Vermögenswerte sind Kreditorenforderungen über insgesamt 167.373 Schweizer Franken.</w:t>
      </w:r>
    </w:p>
    <w:p w:rsidR="002F09F3" w:rsidRDefault="002F09F3" w:rsidP="00532F43">
      <w:pPr>
        <w:spacing w:line="276" w:lineRule="auto"/>
      </w:pPr>
    </w:p>
    <w:p w:rsidR="002F09F3" w:rsidRDefault="002F09F3" w:rsidP="00532F43">
      <w:pPr>
        <w:spacing w:line="276" w:lineRule="auto"/>
      </w:pPr>
      <w:r>
        <w:t>Die größte Verbindlichkeit der UPOV sind die Leistungsverpflichtungen gegenüber Bediensteten über 1.207.420 Schweizer Franken, die in erster Linie Verbindlichkeiten für die Krankenversicherung nach Beendigung des Dienstverhältnisses über 967.815 Schweizer Franken umfassen. Im voraus eingegangene Beträge über 402.648 Schweizer Franken betreffen in erster Linie im voraus entrichtete Beiträge (236.484 Schweizer Franken). Die anderen Verbindlichkeiten (541.941 Schweizer Franken) stellen den Betrag dar, der zum 31. Dezember 2013 an die Weltorganisation für Geistiges Eigentum (WIPO) zu entrichten ist.</w:t>
      </w:r>
    </w:p>
    <w:p w:rsidR="002F09F3" w:rsidRDefault="002F09F3" w:rsidP="00532F43">
      <w:pPr>
        <w:spacing w:line="276" w:lineRule="auto"/>
      </w:pPr>
    </w:p>
    <w:p w:rsidR="002F09F3" w:rsidRDefault="002F09F3" w:rsidP="00532F43">
      <w:pPr>
        <w:spacing w:line="276" w:lineRule="auto"/>
        <w:rPr>
          <w:b/>
        </w:rPr>
      </w:pPr>
      <w:r>
        <w:br w:type="page"/>
      </w:r>
      <w:r>
        <w:rPr>
          <w:b/>
        </w:rPr>
        <w:lastRenderedPageBreak/>
        <w:t>Zahlungsmittelbestand</w:t>
      </w:r>
    </w:p>
    <w:p w:rsidR="002F09F3" w:rsidRDefault="002F09F3" w:rsidP="00532F43">
      <w:pPr>
        <w:spacing w:line="276" w:lineRule="auto"/>
        <w:rPr>
          <w:b/>
        </w:rPr>
      </w:pPr>
    </w:p>
    <w:p w:rsidR="002F09F3" w:rsidRDefault="004A4EE9" w:rsidP="00532F43">
      <w:pPr>
        <w:spacing w:line="276" w:lineRule="auto"/>
        <w:rPr>
          <w:b/>
        </w:rPr>
      </w:pPr>
      <w:r w:rsidRPr="004A4EE9">
        <w:rPr>
          <w:noProof/>
          <w:lang w:val="en-US" w:eastAsia="en-US" w:bidi="ar-SA"/>
        </w:rPr>
        <w:drawing>
          <wp:inline distT="0" distB="0" distL="0" distR="0" wp14:anchorId="2064C1A9" wp14:editId="54663E18">
            <wp:extent cx="6120765" cy="1336109"/>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336109"/>
                    </a:xfrm>
                    <a:prstGeom prst="rect">
                      <a:avLst/>
                    </a:prstGeom>
                    <a:noFill/>
                    <a:ln>
                      <a:noFill/>
                    </a:ln>
                  </pic:spPr>
                </pic:pic>
              </a:graphicData>
            </a:graphic>
          </wp:inline>
        </w:drawing>
      </w:r>
    </w:p>
    <w:p w:rsidR="004A4EE9" w:rsidRDefault="004A4EE9" w:rsidP="002C0824"/>
    <w:p w:rsidR="002F09F3" w:rsidRPr="001E7C20" w:rsidRDefault="002F09F3" w:rsidP="002C0824">
      <w:pPr>
        <w:rPr>
          <w:b/>
        </w:rPr>
      </w:pPr>
      <w:r>
        <w:t>Der Gesamtsaldo der Zahlungsmittelbestände ist in der Rechnungsperiode zwischen dem 1. Januar 2012 und dem 31. Dezember 2013 um 16,0 Prozent gestiegen. Zum Zwecke der IPSAS-gerechten Darstellung ist der Zahlungsmittelbestand in nicht gebundene und gebundene Mittel</w:t>
      </w:r>
      <w:r w:rsidR="002C0824">
        <w:t xml:space="preserve"> unterteilt</w:t>
      </w:r>
      <w:r>
        <w:t>. Zahlungsmittelbestände, die den Betriebsmittelfonds oder außeretatmäßige Mittel (Treuhandgelder) betreffen, werden als gebunden betrachtet.</w:t>
      </w:r>
    </w:p>
    <w:p w:rsidR="002F09F3" w:rsidRDefault="002F09F3" w:rsidP="00532F43">
      <w:pPr>
        <w:spacing w:line="276" w:lineRule="auto"/>
        <w:rPr>
          <w:b/>
        </w:rPr>
      </w:pPr>
    </w:p>
    <w:p w:rsidR="002F09F3" w:rsidRDefault="002F09F3" w:rsidP="00532F43">
      <w:pPr>
        <w:spacing w:line="276" w:lineRule="auto"/>
        <w:rPr>
          <w:b/>
        </w:rPr>
      </w:pPr>
      <w:r>
        <w:rPr>
          <w:b/>
        </w:rPr>
        <w:t>Andere Aktiva</w:t>
      </w:r>
    </w:p>
    <w:p w:rsidR="002F09F3" w:rsidRDefault="002F09F3" w:rsidP="00532F43">
      <w:pPr>
        <w:spacing w:line="276" w:lineRule="auto"/>
        <w:rPr>
          <w:b/>
        </w:rPr>
      </w:pPr>
    </w:p>
    <w:p w:rsidR="002F09F3" w:rsidRDefault="00021C26" w:rsidP="00532F43">
      <w:pPr>
        <w:spacing w:line="276" w:lineRule="auto"/>
        <w:rPr>
          <w:b/>
        </w:rPr>
      </w:pPr>
      <w:r>
        <w:rPr>
          <w:noProof/>
          <w:lang w:val="en-US" w:eastAsia="en-US" w:bidi="ar-SA"/>
        </w:rPr>
        <w:drawing>
          <wp:inline distT="0" distB="0" distL="0" distR="0" wp14:anchorId="7169066B" wp14:editId="65281FB2">
            <wp:extent cx="5943600" cy="2007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2007870"/>
                    </a:xfrm>
                    <a:prstGeom prst="rect">
                      <a:avLst/>
                    </a:prstGeom>
                  </pic:spPr>
                </pic:pic>
              </a:graphicData>
            </a:graphic>
          </wp:inline>
        </w:drawing>
      </w:r>
    </w:p>
    <w:p w:rsidR="002F09F3" w:rsidRDefault="002F09F3" w:rsidP="00532F43">
      <w:pPr>
        <w:spacing w:line="276" w:lineRule="auto"/>
        <w:rPr>
          <w:b/>
        </w:rPr>
      </w:pPr>
      <w:r>
        <w:t xml:space="preserve">Die zum 31. Dezember 2013 </w:t>
      </w:r>
      <w:r w:rsidR="0059409A">
        <w:t>fälligen Kreditorenforderungen</w:t>
      </w:r>
      <w:r>
        <w:t xml:space="preserve"> beliefen sich insgesamt auf 167.373 Schweizer Franken gegenüber 297.631 zum 1. Januar 2012</w:t>
      </w:r>
      <w:r w:rsidR="0059409A">
        <w:t xml:space="preserve">. </w:t>
      </w:r>
      <w:r>
        <w:t>Dieser Rückgang erklärt sich durch den Einzug eines beträchtlichen Betrages dieser zuvor im Rückstand befindlichen Beiträge im Verlauf der Rechnungsperiode. Dem stand zum Teil ein Anstieg der Forderungen aus außeretatmäßigen Mitteln (Treu</w:t>
      </w:r>
      <w:r w:rsidR="00ED4D45">
        <w:t>handgeldern) gegenüber, die jedoch</w:t>
      </w:r>
      <w:r>
        <w:t xml:space="preserve"> im Januar 2014 nachträglich bezahlt wurden.</w:t>
      </w:r>
    </w:p>
    <w:p w:rsidR="002F09F3" w:rsidRDefault="002F09F3" w:rsidP="00532F43">
      <w:pPr>
        <w:spacing w:line="276" w:lineRule="auto"/>
        <w:rPr>
          <w:b/>
        </w:rPr>
      </w:pPr>
    </w:p>
    <w:p w:rsidR="002F09F3" w:rsidRDefault="00F36D0C" w:rsidP="00532F43">
      <w:pPr>
        <w:spacing w:line="276" w:lineRule="auto"/>
        <w:rPr>
          <w:b/>
        </w:rPr>
      </w:pPr>
      <w:r>
        <w:rPr>
          <w:b/>
        </w:rPr>
        <w:t>Verbindlichkeit</w:t>
      </w:r>
      <w:r w:rsidR="00ED4D45">
        <w:rPr>
          <w:b/>
        </w:rPr>
        <w:t>en und im voraus entrichtete</w:t>
      </w:r>
      <w:r w:rsidR="002F09F3">
        <w:rPr>
          <w:b/>
        </w:rPr>
        <w:t xml:space="preserve"> Beiträge</w:t>
      </w:r>
    </w:p>
    <w:p w:rsidR="002F09F3" w:rsidRDefault="002F09F3" w:rsidP="00532F43">
      <w:pPr>
        <w:spacing w:line="276" w:lineRule="auto"/>
        <w:rPr>
          <w:b/>
        </w:rPr>
      </w:pPr>
    </w:p>
    <w:p w:rsidR="002F09F3" w:rsidRDefault="004A4EE9" w:rsidP="00532F43">
      <w:pPr>
        <w:spacing w:line="276" w:lineRule="auto"/>
        <w:rPr>
          <w:b/>
        </w:rPr>
      </w:pPr>
      <w:r w:rsidRPr="004A4EE9">
        <w:rPr>
          <w:noProof/>
          <w:lang w:val="en-US" w:eastAsia="en-US" w:bidi="ar-SA"/>
        </w:rPr>
        <w:drawing>
          <wp:inline distT="0" distB="0" distL="0" distR="0" wp14:anchorId="4F54CE00" wp14:editId="036FA3C8">
            <wp:extent cx="6120765" cy="1853548"/>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853548"/>
                    </a:xfrm>
                    <a:prstGeom prst="rect">
                      <a:avLst/>
                    </a:prstGeom>
                    <a:noFill/>
                    <a:ln>
                      <a:noFill/>
                    </a:ln>
                  </pic:spPr>
                </pic:pic>
              </a:graphicData>
            </a:graphic>
          </wp:inline>
        </w:drawing>
      </w:r>
    </w:p>
    <w:p w:rsidR="002F09F3" w:rsidRPr="002C0824" w:rsidRDefault="002F09F3" w:rsidP="00532F43">
      <w:pPr>
        <w:pStyle w:val="Style3"/>
        <w:spacing w:after="0"/>
        <w:rPr>
          <w:sz w:val="20"/>
        </w:rPr>
      </w:pPr>
      <w:r w:rsidRPr="002C0824">
        <w:rPr>
          <w:sz w:val="20"/>
        </w:rPr>
        <w:t xml:space="preserve">Im voraus entrichtete Beiträge </w:t>
      </w:r>
      <w:r w:rsidR="00F53D39">
        <w:rPr>
          <w:sz w:val="20"/>
        </w:rPr>
        <w:t>werden als im voraus eingegangene</w:t>
      </w:r>
      <w:r w:rsidRPr="002C0824">
        <w:rPr>
          <w:sz w:val="20"/>
        </w:rPr>
        <w:t xml:space="preserve"> Verbindlichkeiten verbucht und in dem Jahr, auf das sie sich beziehen, als Einnahme erfaßt. Außeretatmäßige Mittel von Gebern von Treuhandgeldern, die an Bedingungen geknüpft sind, die von der UPOV eine Lieferung von Waren oder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p>
    <w:p w:rsidR="002F09F3" w:rsidRDefault="002F09F3" w:rsidP="00532F43">
      <w:pPr>
        <w:spacing w:line="276" w:lineRule="auto"/>
        <w:rPr>
          <w:b/>
        </w:rPr>
      </w:pPr>
    </w:p>
    <w:p w:rsidR="002F09F3" w:rsidRDefault="002F09F3" w:rsidP="00532F43">
      <w:pPr>
        <w:spacing w:line="276" w:lineRule="auto"/>
        <w:rPr>
          <w:b/>
        </w:rPr>
      </w:pPr>
    </w:p>
    <w:p w:rsidR="002F09F3" w:rsidRDefault="002F09F3" w:rsidP="00532F43">
      <w:pPr>
        <w:spacing w:line="276" w:lineRule="auto"/>
        <w:rPr>
          <w:b/>
        </w:rPr>
      </w:pPr>
      <w:r>
        <w:rPr>
          <w:b/>
        </w:rPr>
        <w:t>Leistungsverpflichtungen gegenüber Bediensteten</w:t>
      </w:r>
    </w:p>
    <w:p w:rsidR="002F09F3" w:rsidRDefault="002F09F3" w:rsidP="00532F43">
      <w:pPr>
        <w:spacing w:line="276" w:lineRule="auto"/>
        <w:rPr>
          <w:b/>
        </w:rPr>
      </w:pPr>
    </w:p>
    <w:p w:rsidR="002F09F3" w:rsidRDefault="004A4EE9" w:rsidP="00532F43">
      <w:pPr>
        <w:spacing w:line="276" w:lineRule="auto"/>
        <w:rPr>
          <w:b/>
        </w:rPr>
      </w:pPr>
      <w:r w:rsidRPr="004A4EE9">
        <w:rPr>
          <w:noProof/>
          <w:lang w:val="en-US" w:eastAsia="en-US" w:bidi="ar-SA"/>
        </w:rPr>
        <w:drawing>
          <wp:inline distT="0" distB="0" distL="0" distR="0" wp14:anchorId="6CEAD199" wp14:editId="0777BF4A">
            <wp:extent cx="6120765" cy="1417639"/>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417639"/>
                    </a:xfrm>
                    <a:prstGeom prst="rect">
                      <a:avLst/>
                    </a:prstGeom>
                    <a:noFill/>
                    <a:ln>
                      <a:noFill/>
                    </a:ln>
                  </pic:spPr>
                </pic:pic>
              </a:graphicData>
            </a:graphic>
          </wp:inline>
        </w:drawing>
      </w:r>
    </w:p>
    <w:p w:rsidR="002F09F3" w:rsidRDefault="002F09F3" w:rsidP="00532F43">
      <w:pPr>
        <w:spacing w:line="276" w:lineRule="auto"/>
      </w:pPr>
      <w:r>
        <w:t>Wie aus d</w:t>
      </w:r>
      <w:r w:rsidR="00E6186E">
        <w:t>er Tabelle oben hervorgeht, stellen</w:t>
      </w:r>
      <w:r>
        <w:t xml:space="preserve"> die Leistungsverpflichtungen gegenüber Bediensteten (Krankenversicherung nach Ausscheiden aus dem Dienst - ASHI), die 80,2% aller Leistungsverpflichtungen zum 31. Dezember 2013 ausmachen, bei Weitem die größte Leistungsverpflichtung der UPOV</w:t>
      </w:r>
      <w:r w:rsidR="00E6186E">
        <w:t xml:space="preserve"> dar</w:t>
      </w:r>
      <w:r w:rsidR="0059409A">
        <w:t xml:space="preserve">. </w:t>
      </w:r>
      <w:r>
        <w:t>Die ASHI-Verbindlichkeiten stiegen im Verlauf der Rechnungsperiode 2012/13 um 83.239 Schweizer Franken und d</w:t>
      </w:r>
      <w:r w:rsidR="00E6186E">
        <w:t>iese Entwicklung ist im Einzelnen</w:t>
      </w:r>
      <w:r>
        <w:t xml:space="preserve"> in </w:t>
      </w:r>
      <w:r w:rsidR="00ED4D45">
        <w:t>untenstehender Tabelle dargestell</w:t>
      </w:r>
      <w:r>
        <w:t>t:</w:t>
      </w:r>
    </w:p>
    <w:p w:rsidR="002F09F3" w:rsidRPr="001E7C20" w:rsidRDefault="002F09F3" w:rsidP="00532F43">
      <w:pPr>
        <w:spacing w:line="276" w:lineRule="auto"/>
        <w:rPr>
          <w:b/>
        </w:rPr>
      </w:pPr>
    </w:p>
    <w:p w:rsidR="002F09F3" w:rsidRPr="001E7C20" w:rsidRDefault="004A4EE9" w:rsidP="00532F43">
      <w:pPr>
        <w:spacing w:line="276" w:lineRule="auto"/>
        <w:jc w:val="center"/>
        <w:rPr>
          <w:b/>
        </w:rPr>
      </w:pPr>
      <w:r w:rsidRPr="004A4EE9">
        <w:rPr>
          <w:noProof/>
          <w:lang w:val="en-US" w:eastAsia="en-US" w:bidi="ar-SA"/>
        </w:rPr>
        <w:drawing>
          <wp:inline distT="0" distB="0" distL="0" distR="0" wp14:anchorId="17F23228" wp14:editId="417AEBD1">
            <wp:extent cx="4699635" cy="1488440"/>
            <wp:effectExtent l="0" t="0" r="5715"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99635" cy="1488440"/>
                    </a:xfrm>
                    <a:prstGeom prst="rect">
                      <a:avLst/>
                    </a:prstGeom>
                    <a:noFill/>
                    <a:ln>
                      <a:noFill/>
                    </a:ln>
                  </pic:spPr>
                </pic:pic>
              </a:graphicData>
            </a:graphic>
          </wp:inline>
        </w:drawing>
      </w:r>
    </w:p>
    <w:p w:rsidR="002F09F3" w:rsidRPr="001E7C20" w:rsidRDefault="002F09F3" w:rsidP="00532F43">
      <w:pPr>
        <w:spacing w:line="276" w:lineRule="auto"/>
        <w:rPr>
          <w:b/>
        </w:rPr>
      </w:pPr>
      <w:r>
        <w:t>Die Verbindlichkeiten wurden von einem unabhängigen Versicherungsmathematiker berechnet und reflektieren die künftigen Gesamtkosten des Anteils der UPOV an den Krankenversicherungsbeiträgen sowohl für bereits im Ruhestand befindliche ehemalige UPOV-Mitarbeiter als auch für die vorausberechnete Zahl aktiver UPOV-Mitarbeiter, die künftig in den Ruhestand treten werden. Die derzeitigen Dienstzeitkosten in obenstehender Tabelle sind die Nettoauswirkungen für den Zeitraum, die sich aus dem Altersanstieg derzeit beschäftigter M</w:t>
      </w:r>
      <w:r w:rsidR="00E6186E">
        <w:t>itarbeiter und deren Angehöriger</w:t>
      </w:r>
      <w:r>
        <w:t xml:space="preserve">, der Anzahl von Personen, die in den Ruhestand treten, Neueinstellungen und dem Ausscheiden aus dem Dienst aus anderen Gründen als dem Eintritt in den Ruhestand ergeben. </w:t>
      </w:r>
      <w:r w:rsidRPr="00ED4D45">
        <w:t xml:space="preserve">Die Zinskosten </w:t>
      </w:r>
      <w:r w:rsidR="004337DB">
        <w:t xml:space="preserve">sind die Auswirkungen, die </w:t>
      </w:r>
      <w:r w:rsidRPr="00ED4D45">
        <w:t>aus dem</w:t>
      </w:r>
      <w:r w:rsidR="004337DB">
        <w:t xml:space="preserve"> Fakt resultier</w:t>
      </w:r>
      <w:r w:rsidRPr="00ED4D45">
        <w:t xml:space="preserve">en, daß jedes Mitglied des aktiven Personals ein Jahr näher am Erreichen des Anspruchsalters für einen </w:t>
      </w:r>
      <w:r w:rsidR="00ED4D45">
        <w:t>ASHI-</w:t>
      </w:r>
      <w:r w:rsidRPr="00ED4D45">
        <w:t>Ruhestand ist.</w:t>
      </w:r>
      <w:r>
        <w:t xml:space="preserve"> </w:t>
      </w:r>
    </w:p>
    <w:p w:rsidR="002F09F3" w:rsidRDefault="002F09F3" w:rsidP="00532F43">
      <w:pPr>
        <w:spacing w:line="276" w:lineRule="auto"/>
        <w:rPr>
          <w:b/>
        </w:rPr>
      </w:pPr>
    </w:p>
    <w:p w:rsidR="002F09F3" w:rsidRDefault="002F09F3" w:rsidP="00532F43">
      <w:pPr>
        <w:spacing w:line="276" w:lineRule="auto"/>
        <w:rPr>
          <w:b/>
        </w:rPr>
      </w:pPr>
      <w:r>
        <w:rPr>
          <w:b/>
        </w:rPr>
        <w:t>Finanzlage nach Segmenten</w:t>
      </w:r>
    </w:p>
    <w:p w:rsidR="002F09F3" w:rsidRDefault="002F09F3" w:rsidP="00532F43">
      <w:pPr>
        <w:spacing w:line="276" w:lineRule="auto"/>
        <w:rPr>
          <w:b/>
        </w:rPr>
      </w:pPr>
    </w:p>
    <w:p w:rsidR="002F09F3" w:rsidRDefault="002F09F3" w:rsidP="00532F43">
      <w:pPr>
        <w:spacing w:line="276" w:lineRule="auto"/>
      </w:pPr>
      <w:r>
        <w:t>Gemäß den IPSAS-Anforderungen muß die UPOV ihre Vermögenswerte und Verbindlichkeiten nach jedem Segment, aus dem sie sich zusammensetzt, offenlegen</w:t>
      </w:r>
      <w:r w:rsidR="00E6186E">
        <w:t>.</w:t>
      </w:r>
      <w:r>
        <w:rPr>
          <w:b/>
        </w:rPr>
        <w:t xml:space="preserve"> </w:t>
      </w:r>
      <w:r>
        <w:t>Segmentinformation basiert auf den Haupttätigkeiten und -finanzierungsquellen der UPOV. Die UPOV legt getrennte Finanzinformation für zwei Segmente vor: ordentliches Programm und Haushaltsplan und Treuhandgelder (außeretatmäßige Mittel). Treuhandgelder sind Beträge, die von der UPOV im Namen einzelner Geber zur Durchführung von Programmen verwaltet werden, die mit der Politik, den Zielen und den Tätigkeiten der UPOV in Einklang stehen. Das ordentliche Programm und der Haushaltsplan sowie Treuhandgelder werden im Finanzbuchhaltungssystem getrennt behandelt.</w:t>
      </w:r>
    </w:p>
    <w:p w:rsidR="002F09F3" w:rsidRDefault="002F09F3" w:rsidP="00532F43">
      <w:pPr>
        <w:spacing w:line="276" w:lineRule="auto"/>
        <w:rPr>
          <w:b/>
        </w:rPr>
      </w:pPr>
    </w:p>
    <w:p w:rsidR="002F09F3" w:rsidRDefault="005E2F1C" w:rsidP="00532F43">
      <w:pPr>
        <w:spacing w:line="276" w:lineRule="auto"/>
      </w:pPr>
      <w:r w:rsidRPr="005E2F1C">
        <w:rPr>
          <w:noProof/>
          <w:lang w:val="en-US" w:eastAsia="en-US" w:bidi="ar-SA"/>
        </w:rPr>
        <w:lastRenderedPageBreak/>
        <w:drawing>
          <wp:inline distT="0" distB="0" distL="0" distR="0" wp14:anchorId="23B58F1D" wp14:editId="07400B61">
            <wp:extent cx="5996940" cy="6283960"/>
            <wp:effectExtent l="0" t="0" r="3810" b="2540"/>
            <wp:docPr id="99328" name="Grafik 9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96940" cy="6283960"/>
                    </a:xfrm>
                    <a:prstGeom prst="rect">
                      <a:avLst/>
                    </a:prstGeom>
                    <a:noFill/>
                    <a:ln>
                      <a:noFill/>
                    </a:ln>
                  </pic:spPr>
                </pic:pic>
              </a:graphicData>
            </a:graphic>
          </wp:inline>
        </w:drawing>
      </w:r>
    </w:p>
    <w:p w:rsidR="002F09F3" w:rsidRDefault="002F09F3" w:rsidP="00532F43">
      <w:pPr>
        <w:spacing w:line="276" w:lineRule="auto"/>
      </w:pPr>
    </w:p>
    <w:p w:rsidR="002F09F3" w:rsidRDefault="00F953F6" w:rsidP="002F09F3">
      <w:pPr>
        <w:keepNext/>
        <w:spacing w:line="276" w:lineRule="auto"/>
        <w:rPr>
          <w:b/>
        </w:rPr>
      </w:pPr>
      <w:r>
        <w:rPr>
          <w:b/>
        </w:rPr>
        <w:lastRenderedPageBreak/>
        <w:t xml:space="preserve">ANALYSE DER </w:t>
      </w:r>
      <w:r w:rsidR="002F09F3">
        <w:rPr>
          <w:b/>
        </w:rPr>
        <w:t>DER ERFOLGSRECHNUNG</w:t>
      </w:r>
    </w:p>
    <w:p w:rsidR="002F09F3" w:rsidRPr="00CE47DD" w:rsidRDefault="00191B7D" w:rsidP="00191B7D">
      <w:pPr>
        <w:pStyle w:val="Heading4"/>
      </w:pPr>
      <w:bookmarkStart w:id="58" w:name="_Toc393377925"/>
      <w:bookmarkStart w:id="59" w:name="_Toc397085732"/>
      <w:bookmarkStart w:id="60" w:name="_Toc397086077"/>
      <w:r>
        <w:t>Analyse der Darstellung der Erfolgsrechnung</w:t>
      </w:r>
      <w:bookmarkEnd w:id="58"/>
      <w:bookmarkEnd w:id="59"/>
      <w:bookmarkEnd w:id="60"/>
    </w:p>
    <w:p w:rsidR="002F09F3" w:rsidRDefault="002F09F3" w:rsidP="002F09F3">
      <w:pPr>
        <w:keepNext/>
        <w:spacing w:line="276" w:lineRule="auto"/>
        <w:rPr>
          <w:b/>
        </w:rPr>
      </w:pPr>
      <w:r>
        <w:rPr>
          <w:b/>
        </w:rPr>
        <w:t>Einnahmen</w:t>
      </w:r>
    </w:p>
    <w:p w:rsidR="002F09F3" w:rsidRDefault="002F09F3" w:rsidP="002F09F3">
      <w:pPr>
        <w:keepNext/>
        <w:spacing w:line="276" w:lineRule="auto"/>
        <w:rPr>
          <w:b/>
        </w:rPr>
      </w:pPr>
    </w:p>
    <w:p w:rsidR="002F09F3" w:rsidRDefault="005E2F1C" w:rsidP="00532F43">
      <w:pPr>
        <w:spacing w:line="276" w:lineRule="auto"/>
        <w:jc w:val="center"/>
        <w:rPr>
          <w:b/>
        </w:rPr>
      </w:pPr>
      <w:r w:rsidRPr="005E2F1C">
        <w:rPr>
          <w:noProof/>
          <w:lang w:val="en-US" w:eastAsia="en-US" w:bidi="ar-SA"/>
        </w:rPr>
        <w:drawing>
          <wp:inline distT="0" distB="0" distL="0" distR="0" wp14:anchorId="3F01326C" wp14:editId="2BF83D31">
            <wp:extent cx="5688330" cy="2339340"/>
            <wp:effectExtent l="0" t="0" r="7620" b="3810"/>
            <wp:docPr id="99329" name="Grafik 9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88330" cy="2339340"/>
                    </a:xfrm>
                    <a:prstGeom prst="rect">
                      <a:avLst/>
                    </a:prstGeom>
                    <a:noFill/>
                    <a:ln>
                      <a:noFill/>
                    </a:ln>
                  </pic:spPr>
                </pic:pic>
              </a:graphicData>
            </a:graphic>
          </wp:inline>
        </w:drawing>
      </w:r>
    </w:p>
    <w:p w:rsidR="002F09F3" w:rsidRDefault="002F09F3" w:rsidP="00532F43">
      <w:pPr>
        <w:spacing w:line="276" w:lineRule="auto"/>
        <w:rPr>
          <w:b/>
        </w:rPr>
      </w:pPr>
      <w:r>
        <w:t>Beiträge sind im ordentlichen Programm und Haushaltsplan als Anfang jeder Rechnungsperiode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Erbringung der spezifischen Dienstleistungen, die in dem mit dem Geldgeber vereinbarten Arbeitsplan vorgesehenen ist, eingebracht werden.</w:t>
      </w:r>
    </w:p>
    <w:p w:rsidR="002F09F3" w:rsidRDefault="002F09F3" w:rsidP="00532F43">
      <w:pPr>
        <w:spacing w:line="276" w:lineRule="auto"/>
        <w:rPr>
          <w:b/>
        </w:rPr>
      </w:pPr>
    </w:p>
    <w:p w:rsidR="002F09F3" w:rsidRDefault="002F09F3" w:rsidP="00532F43">
      <w:pPr>
        <w:spacing w:line="276" w:lineRule="auto"/>
        <w:rPr>
          <w:b/>
        </w:rPr>
      </w:pPr>
      <w:r>
        <w:rPr>
          <w:b/>
        </w:rPr>
        <w:t>Ausgaben</w:t>
      </w:r>
    </w:p>
    <w:p w:rsidR="002F09F3" w:rsidRDefault="002F09F3" w:rsidP="00532F43">
      <w:pPr>
        <w:spacing w:line="276" w:lineRule="auto"/>
        <w:rPr>
          <w:b/>
        </w:rPr>
      </w:pPr>
    </w:p>
    <w:p w:rsidR="002F09F3" w:rsidRDefault="00CC5468" w:rsidP="00532F43">
      <w:pPr>
        <w:spacing w:line="276" w:lineRule="auto"/>
        <w:jc w:val="center"/>
      </w:pPr>
      <w:r w:rsidRPr="00CC5468">
        <w:rPr>
          <w:noProof/>
          <w:lang w:val="en-US" w:eastAsia="en-US" w:bidi="ar-SA"/>
        </w:rPr>
        <w:drawing>
          <wp:inline distT="0" distB="0" distL="0" distR="0" wp14:anchorId="6D50401D" wp14:editId="3AB88508">
            <wp:extent cx="4923155" cy="2796540"/>
            <wp:effectExtent l="0" t="0" r="0" b="3810"/>
            <wp:docPr id="99330" name="Grafik 9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23155" cy="2796540"/>
                    </a:xfrm>
                    <a:prstGeom prst="rect">
                      <a:avLst/>
                    </a:prstGeom>
                    <a:noFill/>
                    <a:ln>
                      <a:noFill/>
                    </a:ln>
                  </pic:spPr>
                </pic:pic>
              </a:graphicData>
            </a:graphic>
          </wp:inline>
        </w:drawing>
      </w:r>
    </w:p>
    <w:p w:rsidR="002F09F3" w:rsidRPr="00302FA5" w:rsidRDefault="002F09F3" w:rsidP="00532F43">
      <w:pPr>
        <w:pStyle w:val="Styletexte"/>
        <w:spacing w:after="0"/>
        <w:rPr>
          <w:color w:val="000000"/>
          <w:sz w:val="20"/>
        </w:rPr>
      </w:pPr>
      <w:r>
        <w:rPr>
          <w:sz w:val="20"/>
        </w:rPr>
        <w:t>Der Personalaufwand umfaßt kurzfristige Leistungen für Bedienstete, wie etwa Grundgehalt, Ortszuschläge, Beihilfen für Unterhaltsberechtigte, Beiträge zur Pensionskasse, Beiträge zur Krankenversicherung und zu anderen Versicherungen, Heimaturlaub und andere Ansprüche für fest angestellte und befristet angestellte Mitarbeiter. Infolge der Einführung der IPSAS umfaßt der Personalaufwand auch Beträge für die Veränderungen im Hinblick auf die Rückstellungen für Leistungsverpflichtungen gegenüber Bediensteten.</w:t>
      </w:r>
    </w:p>
    <w:p w:rsidR="002F09F3" w:rsidRPr="00302FA5" w:rsidRDefault="002F09F3" w:rsidP="00532F43">
      <w:pPr>
        <w:pStyle w:val="Styletexte"/>
        <w:spacing w:after="0"/>
        <w:rPr>
          <w:sz w:val="20"/>
        </w:rPr>
      </w:pPr>
    </w:p>
    <w:p w:rsidR="002F09F3" w:rsidRPr="00302FA5" w:rsidRDefault="002F09F3" w:rsidP="00532F43">
      <w:pPr>
        <w:spacing w:line="276" w:lineRule="auto"/>
      </w:pPr>
      <w:r>
        <w:t>Zu Reisen und Stipendien gehören die Kosten für Flugtickets, Spesen, Transferkosten und sonstige Reisekosten für Bedienstete auf Dienstreise und Reisen für Teilnehmer, Dozenten und Stipendiaten in Verbindung mit Ausbildungstätigkeiten. Zu vertraglich vereinbarten Dienstleistungen gehören Übersetzer, Dolmetscher und andere Dienstleistungen, die nicht vom Personal erbracht werden. Der Betriebsaufwand umfaßt Punkte, wie etwa die Miete für die Räumlichkeiten, Instandhaltung und Bankgebühren.</w:t>
      </w:r>
    </w:p>
    <w:p w:rsidR="002F09F3" w:rsidRDefault="002F09F3" w:rsidP="00D81BFB">
      <w:pPr>
        <w:spacing w:after="200" w:line="276" w:lineRule="auto"/>
        <w:rPr>
          <w:u w:val="single"/>
        </w:rPr>
      </w:pPr>
      <w:r>
        <w:br w:type="page"/>
      </w:r>
    </w:p>
    <w:p w:rsidR="00140793" w:rsidRDefault="00140793" w:rsidP="00D81BFB">
      <w:pPr>
        <w:pStyle w:val="Heading1"/>
        <w:jc w:val="both"/>
      </w:pPr>
      <w:bookmarkStart w:id="61" w:name="_Toc393377926"/>
      <w:bookmarkStart w:id="62" w:name="_Toc397085733"/>
      <w:bookmarkStart w:id="63" w:name="_Toc397086078"/>
      <w:r>
        <w:lastRenderedPageBreak/>
        <w:t>BETRIEBSMITTELFONDS UND BEITRÄGE</w:t>
      </w:r>
      <w:bookmarkEnd w:id="61"/>
      <w:bookmarkEnd w:id="62"/>
      <w:bookmarkEnd w:id="63"/>
    </w:p>
    <w:p w:rsidR="008518D2" w:rsidRPr="008518D2" w:rsidRDefault="008518D2" w:rsidP="008518D2"/>
    <w:p w:rsidR="002F09F3" w:rsidRPr="008518D2" w:rsidRDefault="002F09F3" w:rsidP="008518D2">
      <w:pPr>
        <w:pStyle w:val="Heading5"/>
      </w:pPr>
      <w:bookmarkStart w:id="64" w:name="_Toc393377927"/>
      <w:bookmarkStart w:id="65" w:name="_Toc397086079"/>
      <w:r>
        <w:t>Betriebsmittelfonds zum 31. Dezember 2013</w:t>
      </w:r>
      <w:bookmarkEnd w:id="64"/>
      <w:bookmarkEnd w:id="65"/>
    </w:p>
    <w:p w:rsidR="002F09F3" w:rsidRPr="00604A6F" w:rsidRDefault="002F09F3" w:rsidP="008B6109">
      <w:pPr>
        <w:pStyle w:val="Heading2"/>
        <w:rPr>
          <w:snapToGrid w:val="0"/>
        </w:rPr>
      </w:pPr>
    </w:p>
    <w:p w:rsidR="002F09F3" w:rsidRDefault="002F09F3" w:rsidP="00532F43">
      <w:r>
        <w:t>Gemäß Regel 4.2 der Finanzordnung hat die UPOV einen Betriebsmittelfonds (vergleiche Dokument UPOV/INF/4/3). Gemäß der Darstellung der Vermögens- und Finanzlage zum 31. Dezember 2013 beläuft sich der Betriebsmittelfonds auf 540.011 S</w:t>
      </w:r>
      <w:r w:rsidR="00CF30F4">
        <w:t xml:space="preserve">chweizer Franken. </w:t>
      </w:r>
      <w:r>
        <w:t>Der Anteil der einzelnen Verbandsmitglieder wurde durch die Entscheidungen des Rates auf seinen Tagungen im November 1972 (Dokument UPOV/C/VI/12, Absatz 57), Oktober 1992 (Dokument C/26/15, Absatz 14) und April 2006 (Dokument C(Extr.)/23/4, Absatz 10 und Dokument UPOV/INF/13, Anlage) festgesetzt; er ist nachstehend wiedergegeben:</w:t>
      </w:r>
    </w:p>
    <w:p w:rsidR="00753FD3" w:rsidRDefault="00753FD3" w:rsidP="00532F43"/>
    <w:tbl>
      <w:tblPr>
        <w:tblW w:w="4465" w:type="dxa"/>
        <w:jc w:val="center"/>
        <w:tblInd w:w="675"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119"/>
        <w:gridCol w:w="986"/>
        <w:gridCol w:w="360"/>
      </w:tblGrid>
      <w:tr w:rsidR="00753FD3" w:rsidRPr="00604A6F" w:rsidTr="00AA478C">
        <w:trPr>
          <w:tblHeader/>
          <w:jc w:val="center"/>
        </w:trPr>
        <w:tc>
          <w:tcPr>
            <w:tcW w:w="3119" w:type="dxa"/>
            <w:tcBorders>
              <w:top w:val="single" w:sz="8" w:space="0" w:color="auto"/>
              <w:left w:val="single" w:sz="8" w:space="0" w:color="auto"/>
              <w:bottom w:val="single" w:sz="8" w:space="0" w:color="auto"/>
              <w:right w:val="nil"/>
            </w:tcBorders>
            <w:shd w:val="clear" w:color="auto" w:fill="CCFF99"/>
            <w:vAlign w:val="center"/>
          </w:tcPr>
          <w:p w:rsidR="00753FD3" w:rsidRPr="00604A6F" w:rsidRDefault="00753FD3" w:rsidP="00AA478C">
            <w:pPr>
              <w:spacing w:before="120" w:after="120"/>
              <w:rPr>
                <w:rFonts w:cs="Arial"/>
              </w:rPr>
            </w:pPr>
            <w:r>
              <w:t>Verbandsmitglied</w:t>
            </w:r>
          </w:p>
        </w:tc>
        <w:tc>
          <w:tcPr>
            <w:tcW w:w="1346" w:type="dxa"/>
            <w:gridSpan w:val="2"/>
            <w:tcBorders>
              <w:top w:val="single" w:sz="8" w:space="0" w:color="auto"/>
              <w:left w:val="nil"/>
              <w:bottom w:val="single" w:sz="8" w:space="0" w:color="auto"/>
              <w:right w:val="single" w:sz="8" w:space="0" w:color="auto"/>
            </w:tcBorders>
            <w:shd w:val="clear" w:color="auto" w:fill="CCFF99"/>
            <w:vAlign w:val="center"/>
          </w:tcPr>
          <w:p w:rsidR="00753FD3" w:rsidRPr="00604A6F" w:rsidRDefault="00753FD3" w:rsidP="00AA478C">
            <w:pPr>
              <w:spacing w:before="120" w:after="120"/>
              <w:jc w:val="center"/>
              <w:rPr>
                <w:rFonts w:cs="Arial"/>
              </w:rPr>
            </w:pPr>
            <w:r>
              <w:t>Schweizer Franken</w:t>
            </w:r>
          </w:p>
        </w:tc>
      </w:tr>
      <w:tr w:rsidR="00753FD3" w:rsidRPr="005A409F" w:rsidTr="00AA478C">
        <w:trPr>
          <w:tblHeader/>
          <w:jc w:val="center"/>
        </w:trPr>
        <w:tc>
          <w:tcPr>
            <w:tcW w:w="3119" w:type="dxa"/>
            <w:tcBorders>
              <w:top w:val="single" w:sz="8" w:space="0" w:color="auto"/>
              <w:bottom w:val="nil"/>
              <w:right w:val="nil"/>
            </w:tcBorders>
            <w:vAlign w:val="center"/>
          </w:tcPr>
          <w:p w:rsidR="00753FD3" w:rsidRPr="005A409F" w:rsidRDefault="00753FD3" w:rsidP="00AA478C">
            <w:pPr>
              <w:rPr>
                <w:rFonts w:cs="Arial"/>
                <w:sz w:val="10"/>
                <w:szCs w:val="10"/>
              </w:rPr>
            </w:pPr>
          </w:p>
        </w:tc>
        <w:tc>
          <w:tcPr>
            <w:tcW w:w="986" w:type="dxa"/>
            <w:tcBorders>
              <w:top w:val="single" w:sz="8" w:space="0" w:color="auto"/>
              <w:left w:val="nil"/>
              <w:bottom w:val="nil"/>
              <w:right w:val="nil"/>
            </w:tcBorders>
          </w:tcPr>
          <w:p w:rsidR="00753FD3" w:rsidRPr="005A409F" w:rsidRDefault="00753FD3" w:rsidP="00AA478C">
            <w:pPr>
              <w:jc w:val="right"/>
              <w:rPr>
                <w:rFonts w:cs="Arial"/>
                <w:sz w:val="10"/>
                <w:szCs w:val="10"/>
              </w:rPr>
            </w:pPr>
          </w:p>
        </w:tc>
        <w:tc>
          <w:tcPr>
            <w:tcW w:w="360" w:type="dxa"/>
            <w:tcBorders>
              <w:top w:val="single" w:sz="8" w:space="0" w:color="auto"/>
              <w:left w:val="nil"/>
              <w:bottom w:val="nil"/>
              <w:right w:val="single" w:sz="8" w:space="0" w:color="auto"/>
            </w:tcBorders>
          </w:tcPr>
          <w:p w:rsidR="00753FD3" w:rsidRPr="005A409F" w:rsidRDefault="00753FD3" w:rsidP="00AA478C">
            <w:pPr>
              <w:rPr>
                <w:rFonts w:cs="Arial"/>
                <w:sz w:val="10"/>
                <w:szCs w:val="10"/>
              </w:rPr>
            </w:pPr>
          </w:p>
        </w:tc>
      </w:tr>
      <w:tr w:rsidR="00753FD3" w:rsidRPr="00604A6F" w:rsidTr="00AA478C">
        <w:trPr>
          <w:jc w:val="center"/>
        </w:trPr>
        <w:tc>
          <w:tcPr>
            <w:tcW w:w="3119" w:type="dxa"/>
            <w:tcBorders>
              <w:top w:val="nil"/>
              <w:bottom w:val="single" w:sz="8" w:space="0" w:color="auto"/>
              <w:right w:val="nil"/>
            </w:tcBorders>
            <w:vAlign w:val="center"/>
          </w:tcPr>
          <w:p w:rsidR="00753FD3" w:rsidRPr="00604A6F" w:rsidRDefault="00753FD3" w:rsidP="00AA478C">
            <w:pPr>
              <w:rPr>
                <w:rFonts w:cs="Arial"/>
              </w:rPr>
            </w:pPr>
            <w:r>
              <w:t>Albanien</w:t>
            </w:r>
          </w:p>
        </w:tc>
        <w:tc>
          <w:tcPr>
            <w:tcW w:w="986" w:type="dxa"/>
            <w:tcBorders>
              <w:top w:val="nil"/>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nil"/>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Argentinien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Aserbaidschan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Australien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Belarus</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Belgien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Bolivien (Plurinationaler Staat)</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Brasilien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2.083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Bulgarien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Chile</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China</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Costa Rica</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Dänemark</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Default="00753FD3" w:rsidP="00AA478C">
            <w:r>
              <w:t>Deutschland</w:t>
            </w:r>
          </w:p>
        </w:tc>
        <w:tc>
          <w:tcPr>
            <w:tcW w:w="986" w:type="dxa"/>
            <w:tcBorders>
              <w:top w:val="single" w:sz="8" w:space="0" w:color="auto"/>
              <w:left w:val="nil"/>
              <w:bottom w:val="single" w:sz="8" w:space="0" w:color="auto"/>
              <w:right w:val="nil"/>
            </w:tcBorders>
          </w:tcPr>
          <w:p w:rsidR="00753FD3" w:rsidRDefault="00753FD3" w:rsidP="00AA478C">
            <w:pPr>
              <w:jc w:val="right"/>
            </w:pPr>
            <w:r>
              <w:t>41.667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Dominikanische Republik</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Ecuador</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Default="00753FD3" w:rsidP="00AA478C">
            <w:pPr>
              <w:jc w:val="left"/>
            </w:pPr>
            <w:r>
              <w:t>Ehemalige Jugoslawische Republik Mazedonien</w:t>
            </w:r>
          </w:p>
        </w:tc>
        <w:tc>
          <w:tcPr>
            <w:tcW w:w="986" w:type="dxa"/>
            <w:tcBorders>
              <w:top w:val="single" w:sz="8" w:space="0" w:color="auto"/>
              <w:left w:val="nil"/>
              <w:bottom w:val="single" w:sz="8" w:space="0" w:color="auto"/>
              <w:right w:val="nil"/>
            </w:tcBorders>
          </w:tcPr>
          <w:p w:rsidR="00753FD3" w:rsidRDefault="00753FD3" w:rsidP="00AA478C">
            <w:pPr>
              <w:jc w:val="right"/>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Estland</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Europäische Union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Finnland</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Frankreich</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Default="00753FD3" w:rsidP="00AA478C">
            <w:r>
              <w:t>Georgien</w:t>
            </w:r>
          </w:p>
        </w:tc>
        <w:tc>
          <w:tcPr>
            <w:tcW w:w="986" w:type="dxa"/>
            <w:tcBorders>
              <w:top w:val="single" w:sz="8" w:space="0" w:color="auto"/>
              <w:left w:val="nil"/>
              <w:bottom w:val="single" w:sz="8" w:space="0" w:color="auto"/>
              <w:right w:val="nil"/>
            </w:tcBorders>
          </w:tcPr>
          <w:p w:rsidR="00753FD3" w:rsidRDefault="00753FD3" w:rsidP="00AA478C">
            <w:pPr>
              <w:jc w:val="right"/>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Irland</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Island</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Israel</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Italien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16.666</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shd w:val="clear" w:color="auto" w:fill="auto"/>
          </w:tcPr>
          <w:p w:rsidR="00753FD3" w:rsidRPr="00604A6F" w:rsidRDefault="00753FD3" w:rsidP="00AA478C">
            <w:pPr>
              <w:rPr>
                <w:rFonts w:cs="Arial"/>
              </w:rPr>
            </w:pPr>
            <w:r>
              <w:t>Japan</w:t>
            </w:r>
          </w:p>
        </w:tc>
        <w:tc>
          <w:tcPr>
            <w:tcW w:w="986" w:type="dxa"/>
            <w:tcBorders>
              <w:top w:val="single" w:sz="8" w:space="0" w:color="auto"/>
              <w:left w:val="nil"/>
              <w:bottom w:val="single" w:sz="8" w:space="0" w:color="auto"/>
              <w:right w:val="nil"/>
            </w:tcBorders>
            <w:shd w:val="clear" w:color="auto" w:fill="auto"/>
          </w:tcPr>
          <w:p w:rsidR="00753FD3" w:rsidRPr="00604A6F" w:rsidRDefault="00753FD3" w:rsidP="00AA478C">
            <w:pPr>
              <w:jc w:val="right"/>
              <w:rPr>
                <w:rFonts w:cs="Arial"/>
              </w:rPr>
            </w:pPr>
            <w:r>
              <w:t>41.667</w:t>
            </w:r>
          </w:p>
        </w:tc>
        <w:tc>
          <w:tcPr>
            <w:tcW w:w="360" w:type="dxa"/>
            <w:tcBorders>
              <w:top w:val="single" w:sz="8" w:space="0" w:color="auto"/>
              <w:left w:val="nil"/>
              <w:bottom w:val="single" w:sz="8" w:space="0" w:color="auto"/>
              <w:right w:val="single" w:sz="8" w:space="0" w:color="auto"/>
            </w:tcBorders>
            <w:shd w:val="clear" w:color="auto" w:fill="auto"/>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left w:val="single" w:sz="8" w:space="0" w:color="auto"/>
              <w:bottom w:val="single" w:sz="8" w:space="0" w:color="auto"/>
              <w:right w:val="nil"/>
            </w:tcBorders>
            <w:shd w:val="clear" w:color="auto" w:fill="auto"/>
          </w:tcPr>
          <w:p w:rsidR="00753FD3" w:rsidRPr="00604A6F" w:rsidRDefault="00753FD3" w:rsidP="00AA478C">
            <w:pPr>
              <w:rPr>
                <w:rFonts w:cs="Arial"/>
              </w:rPr>
            </w:pPr>
            <w:r>
              <w:t>Jordanien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4" w:space="0" w:color="auto"/>
            </w:tcBorders>
            <w:shd w:val="clear" w:color="auto" w:fill="auto"/>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Default="00753FD3" w:rsidP="00AA478C">
            <w:r>
              <w:t>Kanada</w:t>
            </w:r>
          </w:p>
        </w:tc>
        <w:tc>
          <w:tcPr>
            <w:tcW w:w="986" w:type="dxa"/>
            <w:tcBorders>
              <w:top w:val="single" w:sz="8" w:space="0" w:color="auto"/>
              <w:left w:val="nil"/>
              <w:bottom w:val="single" w:sz="8" w:space="0" w:color="auto"/>
              <w:right w:val="nil"/>
            </w:tcBorders>
          </w:tcPr>
          <w:p w:rsidR="00753FD3" w:rsidRDefault="00753FD3" w:rsidP="00AA478C">
            <w:pPr>
              <w:jc w:val="right"/>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Kenia</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Kirgistan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Kolumbien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Kroatien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Lettland</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Litauen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Marokko</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Mexiko</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6.250</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Neuseeland</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Nicaragua</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Niederlande</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24.999</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Norwegen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Oman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lastRenderedPageBreak/>
              <w:t>Österreich</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12.500</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Panama</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Paraguay</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Default="00753FD3" w:rsidP="00AA478C">
            <w:r>
              <w:t>Peru</w:t>
            </w:r>
          </w:p>
        </w:tc>
        <w:tc>
          <w:tcPr>
            <w:tcW w:w="986" w:type="dxa"/>
            <w:tcBorders>
              <w:top w:val="single" w:sz="8" w:space="0" w:color="auto"/>
              <w:left w:val="nil"/>
              <w:bottom w:val="single" w:sz="8" w:space="0" w:color="auto"/>
              <w:right w:val="nil"/>
            </w:tcBorders>
          </w:tcPr>
          <w:p w:rsidR="00753FD3" w:rsidRDefault="00753FD3" w:rsidP="00AA478C">
            <w:pPr>
              <w:jc w:val="right"/>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Polen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Portugal</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Republik Korea</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12.500</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Republik Moldau</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Rumänien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Russische Föderation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Schweden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jc w:val="left"/>
              <w:rPr>
                <w:rFonts w:cs="Arial"/>
              </w:rPr>
            </w:pPr>
            <w:r>
              <w:t>Schweiz</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Singapur</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Slowakei</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vAlign w:val="center"/>
          </w:tcPr>
          <w:p w:rsidR="00753FD3" w:rsidRPr="00604A6F" w:rsidRDefault="00753FD3" w:rsidP="00AA478C">
            <w:pPr>
              <w:rPr>
                <w:rFonts w:cs="Arial"/>
              </w:rPr>
            </w:pPr>
            <w:r>
              <w:t>Slowenien</w:t>
            </w:r>
          </w:p>
        </w:tc>
        <w:tc>
          <w:tcPr>
            <w:tcW w:w="986" w:type="dxa"/>
            <w:tcBorders>
              <w:top w:val="single" w:sz="8" w:space="0" w:color="auto"/>
              <w:left w:val="nil"/>
              <w:bottom w:val="single" w:sz="8" w:space="0" w:color="auto"/>
              <w:right w:val="nil"/>
            </w:tcBorders>
            <w:vAlign w:val="center"/>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Spanien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12.500</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Südafrika</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8.333</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Trinidad und Tobago</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Tschechische Republik</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Tunesien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Türkei</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Ukraine</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Ungarn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Uruguay</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Usbekistan</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Vereinigte Staaten von Amerika</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single" w:sz="8" w:space="0" w:color="auto"/>
              <w:right w:val="nil"/>
            </w:tcBorders>
          </w:tcPr>
          <w:p w:rsidR="00753FD3" w:rsidRPr="00604A6F" w:rsidRDefault="00753FD3" w:rsidP="00AA478C">
            <w:pPr>
              <w:rPr>
                <w:rFonts w:cs="Arial"/>
              </w:rPr>
            </w:pPr>
            <w:r>
              <w:t>Vereinigtes Königreich</w:t>
            </w:r>
          </w:p>
        </w:tc>
        <w:tc>
          <w:tcPr>
            <w:tcW w:w="986" w:type="dxa"/>
            <w:tcBorders>
              <w:top w:val="single" w:sz="8" w:space="0" w:color="auto"/>
              <w:left w:val="nil"/>
              <w:bottom w:val="single" w:sz="8" w:space="0" w:color="auto"/>
              <w:right w:val="nil"/>
            </w:tcBorders>
          </w:tcPr>
          <w:p w:rsidR="00753FD3" w:rsidRPr="00604A6F" w:rsidRDefault="00753FD3" w:rsidP="00AA478C">
            <w:pPr>
              <w:jc w:val="right"/>
              <w:rPr>
                <w:rFonts w:cs="Arial"/>
              </w:rPr>
            </w:pPr>
            <w:r>
              <w:t>41.667</w:t>
            </w:r>
          </w:p>
        </w:tc>
        <w:tc>
          <w:tcPr>
            <w:tcW w:w="360" w:type="dxa"/>
            <w:tcBorders>
              <w:top w:val="single" w:sz="8" w:space="0" w:color="auto"/>
              <w:left w:val="nil"/>
              <w:bottom w:val="single" w:sz="8" w:space="0" w:color="auto"/>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single" w:sz="8" w:space="0" w:color="auto"/>
              <w:bottom w:val="nil"/>
              <w:right w:val="nil"/>
            </w:tcBorders>
          </w:tcPr>
          <w:p w:rsidR="00753FD3" w:rsidRPr="00604A6F" w:rsidRDefault="00753FD3" w:rsidP="00AA478C">
            <w:pPr>
              <w:rPr>
                <w:rFonts w:cs="Arial"/>
              </w:rPr>
            </w:pPr>
            <w:r>
              <w:t>Vietnam</w:t>
            </w:r>
          </w:p>
        </w:tc>
        <w:tc>
          <w:tcPr>
            <w:tcW w:w="986" w:type="dxa"/>
            <w:tcBorders>
              <w:top w:val="single" w:sz="8" w:space="0" w:color="auto"/>
              <w:left w:val="nil"/>
              <w:bottom w:val="nil"/>
              <w:right w:val="nil"/>
            </w:tcBorders>
          </w:tcPr>
          <w:p w:rsidR="00753FD3" w:rsidRPr="00604A6F" w:rsidRDefault="00753FD3" w:rsidP="00AA478C">
            <w:pPr>
              <w:jc w:val="right"/>
              <w:rPr>
                <w:rFonts w:cs="Arial"/>
              </w:rPr>
            </w:pPr>
            <w:r>
              <w:t>1.667</w:t>
            </w:r>
          </w:p>
        </w:tc>
        <w:tc>
          <w:tcPr>
            <w:tcW w:w="360" w:type="dxa"/>
            <w:tcBorders>
              <w:top w:val="single" w:sz="8" w:space="0" w:color="auto"/>
              <w:left w:val="nil"/>
              <w:bottom w:val="nil"/>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nil"/>
              <w:bottom w:val="nil"/>
              <w:right w:val="nil"/>
            </w:tcBorders>
          </w:tcPr>
          <w:p w:rsidR="00753FD3" w:rsidRDefault="00753FD3" w:rsidP="00AA478C"/>
        </w:tc>
        <w:tc>
          <w:tcPr>
            <w:tcW w:w="986" w:type="dxa"/>
            <w:tcBorders>
              <w:top w:val="nil"/>
              <w:left w:val="nil"/>
              <w:bottom w:val="nil"/>
              <w:right w:val="nil"/>
            </w:tcBorders>
          </w:tcPr>
          <w:p w:rsidR="00753FD3" w:rsidRDefault="00753FD3" w:rsidP="00AA478C">
            <w:pPr>
              <w:jc w:val="right"/>
            </w:pPr>
          </w:p>
        </w:tc>
        <w:tc>
          <w:tcPr>
            <w:tcW w:w="360" w:type="dxa"/>
            <w:tcBorders>
              <w:top w:val="nil"/>
              <w:left w:val="nil"/>
              <w:bottom w:val="nil"/>
              <w:right w:val="single" w:sz="8" w:space="0" w:color="auto"/>
            </w:tcBorders>
          </w:tcPr>
          <w:p w:rsidR="00753FD3" w:rsidRPr="00604A6F" w:rsidRDefault="00753FD3" w:rsidP="00AA478C">
            <w:pPr>
              <w:rPr>
                <w:rFonts w:cs="Arial"/>
              </w:rPr>
            </w:pPr>
          </w:p>
        </w:tc>
      </w:tr>
      <w:tr w:rsidR="00753FD3" w:rsidRPr="00604A6F" w:rsidTr="00AA478C">
        <w:trPr>
          <w:jc w:val="center"/>
        </w:trPr>
        <w:tc>
          <w:tcPr>
            <w:tcW w:w="3119" w:type="dxa"/>
            <w:tcBorders>
              <w:top w:val="nil"/>
              <w:bottom w:val="single" w:sz="8" w:space="0" w:color="auto"/>
              <w:right w:val="nil"/>
            </w:tcBorders>
            <w:shd w:val="clear" w:color="auto" w:fill="CCFF99"/>
            <w:vAlign w:val="center"/>
          </w:tcPr>
          <w:p w:rsidR="00753FD3" w:rsidRPr="00604A6F" w:rsidRDefault="00753FD3" w:rsidP="00AA478C">
            <w:pPr>
              <w:spacing w:before="120" w:after="120"/>
              <w:rPr>
                <w:rFonts w:cs="Arial"/>
              </w:rPr>
            </w:pPr>
            <w:r>
              <w:t>Insgesamt:</w:t>
            </w:r>
          </w:p>
        </w:tc>
        <w:tc>
          <w:tcPr>
            <w:tcW w:w="986" w:type="dxa"/>
            <w:tcBorders>
              <w:top w:val="nil"/>
              <w:left w:val="nil"/>
              <w:bottom w:val="single" w:sz="8" w:space="0" w:color="auto"/>
              <w:right w:val="nil"/>
            </w:tcBorders>
            <w:shd w:val="clear" w:color="auto" w:fill="CCFF99"/>
            <w:vAlign w:val="center"/>
          </w:tcPr>
          <w:p w:rsidR="00753FD3" w:rsidRPr="00604A6F" w:rsidRDefault="00753FD3" w:rsidP="00AA478C">
            <w:pPr>
              <w:jc w:val="right"/>
              <w:rPr>
                <w:rFonts w:cs="Arial"/>
              </w:rPr>
            </w:pPr>
            <w:r>
              <w:t>540.011</w:t>
            </w:r>
          </w:p>
        </w:tc>
        <w:tc>
          <w:tcPr>
            <w:tcW w:w="360" w:type="dxa"/>
            <w:tcBorders>
              <w:top w:val="nil"/>
              <w:left w:val="nil"/>
              <w:bottom w:val="single" w:sz="8" w:space="0" w:color="auto"/>
              <w:right w:val="single" w:sz="8" w:space="0" w:color="auto"/>
            </w:tcBorders>
            <w:shd w:val="clear" w:color="auto" w:fill="CCFF99"/>
          </w:tcPr>
          <w:p w:rsidR="00753FD3" w:rsidRPr="00604A6F" w:rsidRDefault="00753FD3" w:rsidP="00AA478C">
            <w:pPr>
              <w:rPr>
                <w:rFonts w:cs="Arial"/>
              </w:rPr>
            </w:pPr>
          </w:p>
        </w:tc>
      </w:tr>
    </w:tbl>
    <w:p w:rsidR="00753FD3" w:rsidRDefault="00753FD3" w:rsidP="00532F43"/>
    <w:p w:rsidR="002F09F3" w:rsidRDefault="002F09F3" w:rsidP="00532F43"/>
    <w:p w:rsidR="002F09F3" w:rsidRPr="00016A66" w:rsidRDefault="002F09F3" w:rsidP="00532F43">
      <w:pPr>
        <w:jc w:val="center"/>
        <w:rPr>
          <w:sz w:val="18"/>
        </w:rPr>
      </w:pPr>
    </w:p>
    <w:p w:rsidR="002F09F3" w:rsidRPr="00016A66" w:rsidRDefault="002F09F3" w:rsidP="00532F43">
      <w:pPr>
        <w:jc w:val="center"/>
        <w:rPr>
          <w:sz w:val="18"/>
        </w:rPr>
      </w:pPr>
    </w:p>
    <w:p w:rsidR="002F09F3" w:rsidRPr="00016A66" w:rsidRDefault="002F09F3" w:rsidP="00532F43">
      <w:pPr>
        <w:jc w:val="center"/>
        <w:rPr>
          <w:sz w:val="18"/>
        </w:rPr>
      </w:pPr>
    </w:p>
    <w:p w:rsidR="002F09F3" w:rsidRPr="000F6C2B" w:rsidRDefault="002F09F3" w:rsidP="002F09F3">
      <w:pPr>
        <w:keepNext/>
        <w:jc w:val="center"/>
      </w:pPr>
      <w:bookmarkStart w:id="66" w:name="_Toc393377928"/>
      <w:bookmarkStart w:id="67" w:name="_Toc397086080"/>
      <w:r>
        <w:rPr>
          <w:rStyle w:val="Heading5Char"/>
        </w:rPr>
        <w:t>Beiträge von Verbandsmitgliedern</w:t>
      </w:r>
      <w:bookmarkEnd w:id="66"/>
      <w:bookmarkEnd w:id="67"/>
      <w:r>
        <w:rPr>
          <w:rStyle w:val="Heading5Char"/>
        </w:rPr>
        <w:br/>
      </w:r>
      <w:r>
        <w:t>(Schweizer Franken)</w:t>
      </w:r>
    </w:p>
    <w:p w:rsidR="002F09F3" w:rsidRDefault="002F09F3" w:rsidP="002F09F3">
      <w:pPr>
        <w:keepNext/>
        <w:jc w:val="cente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987"/>
        <w:gridCol w:w="1530"/>
        <w:gridCol w:w="1440"/>
        <w:gridCol w:w="1440"/>
      </w:tblGrid>
      <w:tr w:rsidR="00092EDA" w:rsidRPr="000F6C2B" w:rsidTr="00532F43">
        <w:trPr>
          <w:cantSplit/>
          <w:trHeight w:val="445"/>
          <w:tblHeader/>
          <w:jc w:val="center"/>
        </w:trPr>
        <w:tc>
          <w:tcPr>
            <w:tcW w:w="2987" w:type="dxa"/>
            <w:tcBorders>
              <w:top w:val="single" w:sz="8" w:space="0" w:color="auto"/>
              <w:bottom w:val="nil"/>
              <w:right w:val="single" w:sz="8" w:space="0" w:color="auto"/>
            </w:tcBorders>
            <w:shd w:val="clear" w:color="auto" w:fill="CCFF99"/>
          </w:tcPr>
          <w:p w:rsidR="00092EDA" w:rsidRPr="000F6C2B" w:rsidRDefault="00092EDA" w:rsidP="00532F43">
            <w:pPr>
              <w:rPr>
                <w:rFonts w:cs="Arial"/>
              </w:rPr>
            </w:pPr>
          </w:p>
          <w:p w:rsidR="00092EDA" w:rsidRPr="000F6C2B" w:rsidRDefault="00092EDA" w:rsidP="00532F43">
            <w:pPr>
              <w:jc w:val="center"/>
              <w:rPr>
                <w:rFonts w:cs="Arial"/>
              </w:rPr>
            </w:pPr>
            <w:r>
              <w:t>Verbandsmitglieder</w:t>
            </w:r>
          </w:p>
        </w:tc>
        <w:tc>
          <w:tcPr>
            <w:tcW w:w="1530" w:type="dxa"/>
            <w:tcBorders>
              <w:top w:val="single" w:sz="8" w:space="0" w:color="auto"/>
              <w:left w:val="single" w:sz="8" w:space="0" w:color="auto"/>
              <w:bottom w:val="nil"/>
              <w:right w:val="single" w:sz="8" w:space="0" w:color="auto"/>
            </w:tcBorders>
            <w:shd w:val="clear" w:color="auto" w:fill="CCFF99"/>
          </w:tcPr>
          <w:p w:rsidR="00092EDA" w:rsidRPr="000F6C2B" w:rsidRDefault="00092EDA" w:rsidP="00532F43">
            <w:pPr>
              <w:jc w:val="center"/>
              <w:rPr>
                <w:rFonts w:cs="Arial"/>
              </w:rPr>
            </w:pPr>
          </w:p>
          <w:p w:rsidR="00092EDA" w:rsidRPr="000F6C2B" w:rsidRDefault="00092EDA" w:rsidP="00532F43">
            <w:pPr>
              <w:jc w:val="center"/>
              <w:rPr>
                <w:rFonts w:cs="Arial"/>
              </w:rPr>
            </w:pPr>
            <w:r>
              <w:t>Beitrags</w:t>
            </w:r>
            <w:r w:rsidR="00211C27">
              <w:t>-</w:t>
            </w:r>
          </w:p>
          <w:p w:rsidR="00092EDA" w:rsidRPr="000F6C2B" w:rsidRDefault="00092EDA" w:rsidP="00532F43">
            <w:pPr>
              <w:jc w:val="center"/>
              <w:rPr>
                <w:rFonts w:cs="Arial"/>
              </w:rPr>
            </w:pPr>
            <w:r>
              <w:t>einheiten</w:t>
            </w:r>
          </w:p>
        </w:tc>
        <w:tc>
          <w:tcPr>
            <w:tcW w:w="2880" w:type="dxa"/>
            <w:gridSpan w:val="2"/>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jc w:val="center"/>
              <w:rPr>
                <w:rFonts w:cs="Arial"/>
              </w:rPr>
            </w:pPr>
          </w:p>
          <w:p w:rsidR="00092EDA" w:rsidRPr="000F6C2B" w:rsidRDefault="00092EDA" w:rsidP="00532F43">
            <w:pPr>
              <w:jc w:val="center"/>
              <w:rPr>
                <w:rFonts w:cs="Arial"/>
              </w:rPr>
            </w:pPr>
            <w:r>
              <w:t>Zu zahlender Be</w:t>
            </w:r>
            <w:r w:rsidR="000E014D">
              <w:t>i</w:t>
            </w:r>
            <w:r>
              <w:t>trag:</w:t>
            </w:r>
          </w:p>
        </w:tc>
      </w:tr>
      <w:tr w:rsidR="00092EDA" w:rsidRPr="000F6C2B" w:rsidTr="00532F43">
        <w:trPr>
          <w:tblHeader/>
          <w:jc w:val="center"/>
        </w:trPr>
        <w:tc>
          <w:tcPr>
            <w:tcW w:w="2987" w:type="dxa"/>
            <w:tcBorders>
              <w:top w:val="nil"/>
              <w:bottom w:val="single" w:sz="8" w:space="0" w:color="auto"/>
              <w:right w:val="single" w:sz="8" w:space="0" w:color="auto"/>
            </w:tcBorders>
            <w:shd w:val="clear" w:color="auto" w:fill="CCFF99"/>
          </w:tcPr>
          <w:p w:rsidR="00092EDA" w:rsidRPr="000F6C2B" w:rsidRDefault="00092EDA" w:rsidP="00532F43">
            <w:pPr>
              <w:spacing w:before="40" w:after="40"/>
              <w:rPr>
                <w:rFonts w:cs="Arial"/>
              </w:rPr>
            </w:pPr>
          </w:p>
        </w:tc>
        <w:tc>
          <w:tcPr>
            <w:tcW w:w="1530" w:type="dxa"/>
            <w:tcBorders>
              <w:top w:val="nil"/>
              <w:left w:val="single" w:sz="8" w:space="0" w:color="auto"/>
              <w:bottom w:val="single" w:sz="8" w:space="0" w:color="auto"/>
              <w:right w:val="single" w:sz="8" w:space="0" w:color="auto"/>
            </w:tcBorders>
            <w:shd w:val="clear" w:color="auto" w:fill="CCFF99"/>
          </w:tcPr>
          <w:p w:rsidR="00092EDA" w:rsidRPr="000F6C2B" w:rsidRDefault="00092EDA" w:rsidP="00532F43">
            <w:pPr>
              <w:spacing w:before="40" w:after="40"/>
              <w:jc w:val="center"/>
              <w:rPr>
                <w:rFonts w:cs="Arial"/>
              </w:rPr>
            </w:pP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40" w:after="40"/>
              <w:jc w:val="right"/>
              <w:rPr>
                <w:rFonts w:cs="Arial"/>
              </w:rPr>
            </w:pPr>
            <w:r>
              <w:t>Januar 2012</w:t>
            </w: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40" w:after="40"/>
              <w:jc w:val="right"/>
              <w:rPr>
                <w:rFonts w:cs="Arial"/>
              </w:rPr>
            </w:pPr>
            <w:r>
              <w:t>Januar 2013</w:t>
            </w:r>
          </w:p>
        </w:tc>
      </w:tr>
      <w:tr w:rsidR="00211C27" w:rsidRPr="000F6C2B" w:rsidTr="00532F43">
        <w:trPr>
          <w:trHeight w:val="80"/>
          <w:jc w:val="center"/>
        </w:trPr>
        <w:tc>
          <w:tcPr>
            <w:tcW w:w="2987" w:type="dxa"/>
            <w:tcBorders>
              <w:top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D81BFB">
            <w:pPr>
              <w:rPr>
                <w:rFonts w:cs="Arial"/>
              </w:rPr>
            </w:pPr>
            <w:r>
              <w:t>Albanien</w:t>
            </w:r>
          </w:p>
        </w:tc>
        <w:tc>
          <w:tcPr>
            <w:tcW w:w="153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single" w:sz="8"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Argentinien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Aserbaidschan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Australien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Belarus</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Belgien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80.462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80.462</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Bolivien (Plurinationaler Staat)</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Brasilien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13.410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13.410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Bulgarien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Chile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lastRenderedPageBreak/>
              <w:t>China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Costa Rica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Dänemark</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Deutschland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268.205</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Dominikanische Republik</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Ecuador</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trHeight w:val="450"/>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211C27">
            <w:pPr>
              <w:spacing w:line="220" w:lineRule="exact"/>
              <w:jc w:val="left"/>
              <w:rPr>
                <w:rFonts w:cs="Arial"/>
              </w:rPr>
            </w:pPr>
            <w:r>
              <w:t>Ehemalige Jugoslawische Republik Mazedonien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Estland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Europäische Union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268.205</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Finnland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Frankreich</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268.205</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Georgien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Irland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Island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Israel</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Italien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107.282</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Japan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268.205</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Jordanien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Kanada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Kenia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Kirgistan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Kolumbien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Kroatien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Lettland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Litauen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Marokko</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Mexiko</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0,75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40.231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40.231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Neuseeland</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Nicaragua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4946F8">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Niederlande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3</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160.923</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160.923</w:t>
            </w:r>
          </w:p>
        </w:tc>
      </w:tr>
      <w:tr w:rsidR="00211C27" w:rsidRPr="000F6C2B" w:rsidTr="004946F8">
        <w:trPr>
          <w:jc w:val="center"/>
        </w:trPr>
        <w:tc>
          <w:tcPr>
            <w:tcW w:w="2987" w:type="dxa"/>
            <w:tcBorders>
              <w:top w:val="dotted" w:sz="4" w:space="0" w:color="auto"/>
              <w:bottom w:val="nil"/>
              <w:right w:val="single" w:sz="8" w:space="0" w:color="auto"/>
            </w:tcBorders>
            <w:tcMar>
              <w:top w:w="28" w:type="dxa"/>
              <w:left w:w="85" w:type="dxa"/>
              <w:bottom w:w="28" w:type="dxa"/>
              <w:right w:w="85" w:type="dxa"/>
            </w:tcMar>
          </w:tcPr>
          <w:p w:rsidR="00211C27" w:rsidRPr="000F6C2B" w:rsidRDefault="00211C27" w:rsidP="00532F43">
            <w:pPr>
              <w:rPr>
                <w:rFonts w:cs="Arial"/>
              </w:rPr>
            </w:pPr>
            <w:r>
              <w:t>Norwegen</w:t>
            </w:r>
          </w:p>
        </w:tc>
        <w:tc>
          <w:tcPr>
            <w:tcW w:w="1530" w:type="dxa"/>
            <w:tcBorders>
              <w:top w:val="dotted" w:sz="4" w:space="0" w:color="auto"/>
              <w:left w:val="single" w:sz="8" w:space="0" w:color="auto"/>
              <w:bottom w:val="nil"/>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w:t>
            </w:r>
          </w:p>
        </w:tc>
        <w:tc>
          <w:tcPr>
            <w:tcW w:w="1440" w:type="dxa"/>
            <w:tcBorders>
              <w:top w:val="dotted" w:sz="4" w:space="0" w:color="auto"/>
              <w:left w:val="single" w:sz="8" w:space="0" w:color="auto"/>
              <w:bottom w:val="nil"/>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c>
          <w:tcPr>
            <w:tcW w:w="1440" w:type="dxa"/>
            <w:tcBorders>
              <w:top w:val="dotted" w:sz="4" w:space="0" w:color="auto"/>
              <w:left w:val="single" w:sz="8" w:space="0" w:color="auto"/>
              <w:bottom w:val="nil"/>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r>
      <w:tr w:rsidR="00211C27" w:rsidRPr="000F6C2B" w:rsidTr="004946F8">
        <w:trPr>
          <w:jc w:val="center"/>
        </w:trPr>
        <w:tc>
          <w:tcPr>
            <w:tcW w:w="2987" w:type="dxa"/>
            <w:tcBorders>
              <w:top w:val="nil"/>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Oman</w:t>
            </w:r>
          </w:p>
        </w:tc>
        <w:tc>
          <w:tcPr>
            <w:tcW w:w="1530" w:type="dxa"/>
            <w:tcBorders>
              <w:top w:val="nil"/>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w:t>
            </w:r>
          </w:p>
        </w:tc>
        <w:tc>
          <w:tcPr>
            <w:tcW w:w="1440" w:type="dxa"/>
            <w:tcBorders>
              <w:top w:val="nil"/>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c>
          <w:tcPr>
            <w:tcW w:w="1440" w:type="dxa"/>
            <w:tcBorders>
              <w:top w:val="nil"/>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53.641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Österreich</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0,75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40.231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40.231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Panama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Default="00211C27" w:rsidP="00532F43">
            <w:pPr>
              <w:rPr>
                <w:rFonts w:cs="Arial"/>
              </w:rPr>
            </w:pPr>
            <w:r>
              <w:t>Paraguay</w:t>
            </w:r>
          </w:p>
          <w:p w:rsidR="00211C27" w:rsidRPr="000F6C2B" w:rsidRDefault="00211C27" w:rsidP="00532F43">
            <w:pPr>
              <w:rPr>
                <w:rFonts w:cs="Arial"/>
              </w:rPr>
            </w:pPr>
            <w:r>
              <w:t>Peru</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Default="00211C27" w:rsidP="00532F43">
            <w:pPr>
              <w:jc w:val="center"/>
              <w:rPr>
                <w:rFonts w:cs="Arial"/>
              </w:rPr>
            </w:pPr>
            <w:r>
              <w:t>0,2</w:t>
            </w:r>
          </w:p>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Default="00211C27" w:rsidP="00532F43">
            <w:pPr>
              <w:jc w:val="right"/>
              <w:rPr>
                <w:rFonts w:cs="Arial"/>
              </w:rPr>
            </w:pPr>
            <w:r>
              <w:t>10.728</w:t>
            </w:r>
          </w:p>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Default="00211C27" w:rsidP="00532F43">
            <w:pPr>
              <w:jc w:val="right"/>
              <w:rPr>
                <w:rFonts w:cs="Arial"/>
              </w:rPr>
            </w:pPr>
            <w:r>
              <w:t>10.728</w:t>
            </w:r>
          </w:p>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Polen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Portugal</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Republik Korea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80.462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80.462</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Republik Moldau</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Rumänien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Russische Föderation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Schweden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80.462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80.462</w:t>
            </w:r>
          </w:p>
        </w:tc>
      </w:tr>
      <w:tr w:rsidR="00211C27" w:rsidRPr="000F6C2B" w:rsidTr="004946F8">
        <w:trPr>
          <w:trHeight w:val="210"/>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Schweiz</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1,5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80.462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80.462</w:t>
            </w:r>
          </w:p>
        </w:tc>
      </w:tr>
      <w:tr w:rsidR="00211C27" w:rsidRPr="000F6C2B" w:rsidTr="004946F8">
        <w:trPr>
          <w:jc w:val="center"/>
        </w:trPr>
        <w:tc>
          <w:tcPr>
            <w:tcW w:w="2987" w:type="dxa"/>
            <w:tcBorders>
              <w:top w:val="dotted" w:sz="4" w:space="0" w:color="auto"/>
              <w:bottom w:val="single"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Singapur</w:t>
            </w:r>
          </w:p>
        </w:tc>
        <w:tc>
          <w:tcPr>
            <w:tcW w:w="1530" w:type="dxa"/>
            <w:tcBorders>
              <w:top w:val="dotted" w:sz="4" w:space="0" w:color="auto"/>
              <w:left w:val="single" w:sz="8" w:space="0" w:color="auto"/>
              <w:bottom w:val="single"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single"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single"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4946F8">
        <w:trPr>
          <w:jc w:val="center"/>
        </w:trPr>
        <w:tc>
          <w:tcPr>
            <w:tcW w:w="2987" w:type="dxa"/>
            <w:tcBorders>
              <w:top w:val="single"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lastRenderedPageBreak/>
              <w:t>Slowakei</w:t>
            </w:r>
          </w:p>
        </w:tc>
        <w:tc>
          <w:tcPr>
            <w:tcW w:w="1530" w:type="dxa"/>
            <w:tcBorders>
              <w:top w:val="single"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0,5</w:t>
            </w:r>
          </w:p>
        </w:tc>
        <w:tc>
          <w:tcPr>
            <w:tcW w:w="1440" w:type="dxa"/>
            <w:tcBorders>
              <w:top w:val="single"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26.820</w:t>
            </w:r>
          </w:p>
        </w:tc>
        <w:tc>
          <w:tcPr>
            <w:tcW w:w="1440" w:type="dxa"/>
            <w:tcBorders>
              <w:top w:val="single"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Slowenien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Spanien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107.282</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Südafrika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53.641</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53.641</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Trinidad und Tobago</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Tschechische Republik</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Tunesien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Türkei</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Ukraine</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rPr>
                <w:rFonts w:cs="Arial"/>
              </w:rPr>
            </w:pPr>
            <w:r>
              <w:t>Ungarn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center"/>
              <w:rPr>
                <w:rFonts w:cs="Arial"/>
              </w:rPr>
            </w:pPr>
            <w:r>
              <w:t>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jc w:val="right"/>
              <w:rPr>
                <w:rFonts w:cs="Arial"/>
              </w:rPr>
            </w:pPr>
            <w:r>
              <w:t>26.820</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br w:type="page"/>
              <w:t>Uruguay</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Usbekistan</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Vereinigte Staaten von Amerika</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268.205</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268.205</w:t>
            </w:r>
          </w:p>
        </w:tc>
      </w:tr>
      <w:tr w:rsidR="00211C27" w:rsidRPr="000F6C2B" w:rsidTr="00532F43">
        <w:trPr>
          <w:jc w:val="center"/>
        </w:trPr>
        <w:tc>
          <w:tcPr>
            <w:tcW w:w="2987" w:type="dxa"/>
            <w:tcBorders>
              <w:top w:val="dotted" w:sz="4"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Vereinigtes Königreich</w:t>
            </w:r>
          </w:p>
        </w:tc>
        <w:tc>
          <w:tcPr>
            <w:tcW w:w="153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107.282</w:t>
            </w:r>
          </w:p>
        </w:tc>
        <w:tc>
          <w:tcPr>
            <w:tcW w:w="1440" w:type="dxa"/>
            <w:tcBorders>
              <w:top w:val="dotted" w:sz="4" w:space="0" w:color="auto"/>
              <w:left w:val="single" w:sz="8" w:space="0" w:color="auto"/>
              <w:bottom w:val="dotted" w:sz="4"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107.282</w:t>
            </w:r>
          </w:p>
        </w:tc>
      </w:tr>
      <w:tr w:rsidR="00211C27" w:rsidRPr="000F6C2B" w:rsidTr="00532F43">
        <w:trPr>
          <w:jc w:val="center"/>
        </w:trPr>
        <w:tc>
          <w:tcPr>
            <w:tcW w:w="2987" w:type="dxa"/>
            <w:tcBorders>
              <w:top w:val="dotted" w:sz="4" w:space="0" w:color="auto"/>
              <w:bottom w:val="single" w:sz="8"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rPr>
                <w:rFonts w:cs="Arial"/>
              </w:rPr>
            </w:pPr>
            <w:r>
              <w:t>Vietnam</w:t>
            </w:r>
          </w:p>
        </w:tc>
        <w:tc>
          <w:tcPr>
            <w:tcW w:w="153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center"/>
              <w:rPr>
                <w:rFonts w:cs="Arial"/>
              </w:rPr>
            </w:pPr>
            <w:r>
              <w:t>0,2</w:t>
            </w:r>
          </w:p>
        </w:tc>
        <w:tc>
          <w:tcPr>
            <w:tcW w:w="144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c>
          <w:tcPr>
            <w:tcW w:w="1440" w:type="dxa"/>
            <w:tcBorders>
              <w:top w:val="dotted" w:sz="4" w:space="0" w:color="auto"/>
              <w:left w:val="single" w:sz="8" w:space="0" w:color="auto"/>
              <w:bottom w:val="single" w:sz="8" w:space="0" w:color="auto"/>
              <w:right w:val="single" w:sz="8" w:space="0" w:color="auto"/>
            </w:tcBorders>
            <w:tcMar>
              <w:top w:w="28" w:type="dxa"/>
              <w:left w:w="85" w:type="dxa"/>
              <w:bottom w:w="28" w:type="dxa"/>
              <w:right w:w="85" w:type="dxa"/>
            </w:tcMar>
          </w:tcPr>
          <w:p w:rsidR="00211C27" w:rsidRPr="000F6C2B" w:rsidRDefault="00211C27" w:rsidP="00532F43">
            <w:pPr>
              <w:spacing w:line="220" w:lineRule="exact"/>
              <w:jc w:val="right"/>
              <w:rPr>
                <w:rFonts w:cs="Arial"/>
              </w:rPr>
            </w:pPr>
            <w:r>
              <w:t>10.728</w:t>
            </w:r>
          </w:p>
        </w:tc>
      </w:tr>
      <w:tr w:rsidR="00092EDA" w:rsidRPr="000F6C2B" w:rsidTr="00532F43">
        <w:trPr>
          <w:tblHeader/>
          <w:jc w:val="center"/>
        </w:trPr>
        <w:tc>
          <w:tcPr>
            <w:tcW w:w="2987" w:type="dxa"/>
            <w:tcBorders>
              <w:top w:val="single" w:sz="8" w:space="0" w:color="auto"/>
              <w:bottom w:val="single" w:sz="8" w:space="0" w:color="auto"/>
              <w:right w:val="single" w:sz="8" w:space="0" w:color="auto"/>
            </w:tcBorders>
            <w:shd w:val="clear" w:color="auto" w:fill="CCFF99"/>
          </w:tcPr>
          <w:p w:rsidR="00092EDA" w:rsidRPr="000F6C2B" w:rsidRDefault="00092EDA" w:rsidP="00532F43">
            <w:pPr>
              <w:spacing w:before="120" w:after="120"/>
              <w:rPr>
                <w:rFonts w:cs="Arial"/>
              </w:rPr>
            </w:pPr>
            <w:r>
              <w:t>Insgesamt</w:t>
            </w:r>
          </w:p>
        </w:tc>
        <w:tc>
          <w:tcPr>
            <w:tcW w:w="153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120" w:after="120"/>
              <w:jc w:val="center"/>
              <w:rPr>
                <w:rFonts w:cs="Arial"/>
              </w:rPr>
            </w:pP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120" w:after="120"/>
              <w:jc w:val="right"/>
              <w:rPr>
                <w:rFonts w:cs="Arial"/>
              </w:rPr>
            </w:pPr>
            <w:r>
              <w:t>3.323.050</w:t>
            </w:r>
          </w:p>
        </w:tc>
        <w:tc>
          <w:tcPr>
            <w:tcW w:w="1440" w:type="dxa"/>
            <w:tcBorders>
              <w:top w:val="single" w:sz="8" w:space="0" w:color="auto"/>
              <w:left w:val="single" w:sz="8" w:space="0" w:color="auto"/>
              <w:bottom w:val="single" w:sz="8" w:space="0" w:color="auto"/>
              <w:right w:val="single" w:sz="8" w:space="0" w:color="auto"/>
            </w:tcBorders>
            <w:shd w:val="clear" w:color="auto" w:fill="CCFF99"/>
          </w:tcPr>
          <w:p w:rsidR="00092EDA" w:rsidRPr="000F6C2B" w:rsidRDefault="00092EDA" w:rsidP="00532F43">
            <w:pPr>
              <w:spacing w:before="120" w:after="120"/>
              <w:jc w:val="right"/>
              <w:rPr>
                <w:rFonts w:cs="Arial"/>
              </w:rPr>
            </w:pPr>
            <w:r>
              <w:t>3.323.050</w:t>
            </w:r>
          </w:p>
        </w:tc>
      </w:tr>
    </w:tbl>
    <w:p w:rsidR="002F09F3" w:rsidRDefault="002F09F3" w:rsidP="00D81BFB"/>
    <w:p w:rsidR="002F09F3" w:rsidRDefault="002F09F3" w:rsidP="00D81BFB"/>
    <w:p w:rsidR="002F09F3" w:rsidRDefault="002F09F3" w:rsidP="008518D2">
      <w:pPr>
        <w:pStyle w:val="Heading5"/>
      </w:pPr>
      <w:r>
        <w:br w:type="page"/>
      </w:r>
      <w:bookmarkStart w:id="68" w:name="_Toc393377929"/>
      <w:bookmarkStart w:id="69" w:name="_Toc397086081"/>
      <w:r>
        <w:lastRenderedPageBreak/>
        <w:t>Im Voraus entrichtete Beiträge</w:t>
      </w:r>
      <w:bookmarkEnd w:id="68"/>
      <w:bookmarkEnd w:id="69"/>
    </w:p>
    <w:p w:rsidR="002F09F3" w:rsidRDefault="002F09F3" w:rsidP="00532F43">
      <w:pPr>
        <w:jc w:val="center"/>
      </w:pPr>
    </w:p>
    <w:p w:rsidR="002F09F3" w:rsidRDefault="002F09F3" w:rsidP="00D81BFB"/>
    <w:tbl>
      <w:tblPr>
        <w:tblW w:w="0" w:type="auto"/>
        <w:jc w:val="center"/>
        <w:tblInd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3691"/>
      </w:tblGrid>
      <w:tr w:rsidR="00092EDA" w:rsidRPr="004B2B8D" w:rsidTr="00A46DE9">
        <w:trPr>
          <w:trHeight w:val="598"/>
          <w:jc w:val="center"/>
        </w:trPr>
        <w:tc>
          <w:tcPr>
            <w:tcW w:w="6543" w:type="dxa"/>
            <w:gridSpan w:val="2"/>
            <w:tcBorders>
              <w:top w:val="single" w:sz="8" w:space="0" w:color="auto"/>
              <w:left w:val="single" w:sz="8" w:space="0" w:color="auto"/>
              <w:bottom w:val="single" w:sz="8" w:space="0" w:color="auto"/>
              <w:right w:val="single" w:sz="8" w:space="0" w:color="auto"/>
            </w:tcBorders>
            <w:shd w:val="clear" w:color="auto" w:fill="CCFF99"/>
          </w:tcPr>
          <w:p w:rsidR="00371404" w:rsidRDefault="00371404" w:rsidP="00744BB5">
            <w:pPr>
              <w:jc w:val="center"/>
            </w:pPr>
          </w:p>
          <w:p w:rsidR="00371404" w:rsidRDefault="00092EDA" w:rsidP="00744BB5">
            <w:pPr>
              <w:jc w:val="center"/>
            </w:pPr>
            <w:r>
              <w:t>Beiträge für 2014, die bereits bis zum 31. Dezember 2013 eingegangen sind:</w:t>
            </w:r>
          </w:p>
        </w:tc>
      </w:tr>
      <w:tr w:rsidR="002F09F3" w:rsidRPr="004B2B8D" w:rsidTr="002B1132">
        <w:trPr>
          <w:trHeight w:val="584"/>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A46DE9" w:rsidRDefault="00A46DE9" w:rsidP="00532F43">
            <w:pPr>
              <w:jc w:val="center"/>
            </w:pPr>
          </w:p>
          <w:p w:rsidR="00A46DE9" w:rsidRPr="004B2B8D" w:rsidRDefault="002F09F3" w:rsidP="002B1132">
            <w:pPr>
              <w:jc w:val="center"/>
            </w:pPr>
            <w:r>
              <w:t>Verbandsmitglieder</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A46DE9" w:rsidRDefault="00A46DE9" w:rsidP="00532F43">
            <w:pPr>
              <w:ind w:right="430"/>
              <w:jc w:val="right"/>
            </w:pPr>
          </w:p>
          <w:p w:rsidR="002F09F3" w:rsidRPr="004B2B8D" w:rsidRDefault="002F09F3" w:rsidP="00532F43">
            <w:pPr>
              <w:ind w:right="430"/>
              <w:jc w:val="right"/>
            </w:pPr>
            <w:r>
              <w:t>Schweizer Franken</w:t>
            </w:r>
          </w:p>
        </w:tc>
      </w:tr>
      <w:tr w:rsidR="00211C27" w:rsidRPr="004B2B8D" w:rsidTr="00A46DE9">
        <w:trPr>
          <w:trHeight w:val="293"/>
          <w:jc w:val="center"/>
        </w:trPr>
        <w:tc>
          <w:tcPr>
            <w:tcW w:w="2852" w:type="dxa"/>
            <w:tcBorders>
              <w:top w:val="single" w:sz="8" w:space="0" w:color="auto"/>
              <w:left w:val="single" w:sz="8" w:space="0" w:color="auto"/>
              <w:bottom w:val="nil"/>
              <w:right w:val="single" w:sz="8" w:space="0" w:color="auto"/>
            </w:tcBorders>
            <w:shd w:val="clear" w:color="auto" w:fill="auto"/>
          </w:tcPr>
          <w:p w:rsidR="00211C27" w:rsidRPr="004B2B8D" w:rsidRDefault="00211C27" w:rsidP="00D81BFB">
            <w:r>
              <w:t>Australien</w:t>
            </w:r>
          </w:p>
        </w:tc>
        <w:tc>
          <w:tcPr>
            <w:tcW w:w="3691" w:type="dxa"/>
            <w:tcBorders>
              <w:top w:val="single" w:sz="8" w:space="0" w:color="auto"/>
              <w:left w:val="single" w:sz="8" w:space="0" w:color="auto"/>
              <w:bottom w:val="nil"/>
              <w:right w:val="single" w:sz="8" w:space="0" w:color="auto"/>
            </w:tcBorders>
            <w:shd w:val="clear" w:color="auto" w:fill="auto"/>
          </w:tcPr>
          <w:p w:rsidR="00211C27" w:rsidRPr="004B2B8D" w:rsidRDefault="00211C27" w:rsidP="00532F43">
            <w:pPr>
              <w:ind w:right="430"/>
              <w:jc w:val="right"/>
            </w:pPr>
            <w:r>
              <w:t>53.641</w:t>
            </w:r>
          </w:p>
        </w:tc>
      </w:tr>
      <w:tr w:rsidR="00211C27"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211C27" w:rsidRPr="004B2B8D" w:rsidRDefault="00211C27" w:rsidP="00D81BFB">
            <w:r>
              <w:t>Bulgarien</w:t>
            </w:r>
          </w:p>
        </w:tc>
        <w:tc>
          <w:tcPr>
            <w:tcW w:w="3691" w:type="dxa"/>
            <w:tcBorders>
              <w:top w:val="nil"/>
              <w:left w:val="single" w:sz="8" w:space="0" w:color="auto"/>
              <w:bottom w:val="nil"/>
              <w:right w:val="single" w:sz="8" w:space="0" w:color="auto"/>
            </w:tcBorders>
            <w:shd w:val="clear" w:color="auto" w:fill="auto"/>
          </w:tcPr>
          <w:p w:rsidR="00211C27" w:rsidRPr="004B2B8D" w:rsidRDefault="00211C27" w:rsidP="00532F43">
            <w:pPr>
              <w:ind w:right="430" w:firstLine="177"/>
              <w:jc w:val="right"/>
            </w:pPr>
            <w:r>
              <w:t>10.728</w:t>
            </w:r>
          </w:p>
        </w:tc>
      </w:tr>
      <w:tr w:rsidR="00211C27"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211C27" w:rsidRPr="004B2B8D" w:rsidRDefault="00211C27" w:rsidP="00D81BFB">
            <w:r>
              <w:t>Costa Rica</w:t>
            </w:r>
          </w:p>
        </w:tc>
        <w:tc>
          <w:tcPr>
            <w:tcW w:w="3691" w:type="dxa"/>
            <w:tcBorders>
              <w:top w:val="nil"/>
              <w:left w:val="single" w:sz="8" w:space="0" w:color="auto"/>
              <w:bottom w:val="nil"/>
              <w:right w:val="single" w:sz="8" w:space="0" w:color="auto"/>
            </w:tcBorders>
            <w:shd w:val="clear" w:color="auto" w:fill="auto"/>
          </w:tcPr>
          <w:p w:rsidR="00211C27" w:rsidRPr="004B2B8D" w:rsidRDefault="00211C27" w:rsidP="00371404">
            <w:pPr>
              <w:ind w:right="454"/>
              <w:jc w:val="right"/>
            </w:pPr>
            <w:r>
              <w:t>10.728</w:t>
            </w:r>
          </w:p>
        </w:tc>
      </w:tr>
      <w:tr w:rsidR="00211C27"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211C27" w:rsidRPr="004B2B8D" w:rsidRDefault="00211C27" w:rsidP="00D81BFB">
            <w:r>
              <w:t>Kolumbien</w:t>
            </w:r>
          </w:p>
        </w:tc>
        <w:tc>
          <w:tcPr>
            <w:tcW w:w="3691" w:type="dxa"/>
            <w:tcBorders>
              <w:top w:val="nil"/>
              <w:left w:val="single" w:sz="8" w:space="0" w:color="auto"/>
              <w:bottom w:val="nil"/>
              <w:right w:val="single" w:sz="8" w:space="0" w:color="auto"/>
            </w:tcBorders>
            <w:shd w:val="clear" w:color="auto" w:fill="auto"/>
          </w:tcPr>
          <w:p w:rsidR="00211C27" w:rsidRPr="004B2B8D" w:rsidRDefault="00211C27" w:rsidP="00532F43">
            <w:pPr>
              <w:ind w:right="430" w:firstLine="177"/>
              <w:jc w:val="right"/>
            </w:pPr>
            <w:r>
              <w:t>10.728</w:t>
            </w:r>
          </w:p>
        </w:tc>
      </w:tr>
      <w:tr w:rsidR="00211C27" w:rsidRPr="004B2B8D" w:rsidTr="00A46DE9">
        <w:trPr>
          <w:trHeight w:val="288"/>
          <w:jc w:val="center"/>
        </w:trPr>
        <w:tc>
          <w:tcPr>
            <w:tcW w:w="2852" w:type="dxa"/>
            <w:tcBorders>
              <w:top w:val="nil"/>
              <w:left w:val="single" w:sz="8" w:space="0" w:color="auto"/>
              <w:bottom w:val="nil"/>
              <w:right w:val="single" w:sz="8" w:space="0" w:color="auto"/>
            </w:tcBorders>
            <w:shd w:val="clear" w:color="auto" w:fill="auto"/>
          </w:tcPr>
          <w:p w:rsidR="00211C27" w:rsidRPr="004B2B8D" w:rsidRDefault="00211C27" w:rsidP="00D81BFB">
            <w:r>
              <w:t>Lettland</w:t>
            </w:r>
          </w:p>
        </w:tc>
        <w:tc>
          <w:tcPr>
            <w:tcW w:w="3691" w:type="dxa"/>
            <w:tcBorders>
              <w:top w:val="nil"/>
              <w:left w:val="single" w:sz="8" w:space="0" w:color="auto"/>
              <w:bottom w:val="nil"/>
              <w:right w:val="single" w:sz="8" w:space="0" w:color="auto"/>
            </w:tcBorders>
            <w:shd w:val="clear" w:color="auto" w:fill="auto"/>
          </w:tcPr>
          <w:p w:rsidR="00211C27" w:rsidRPr="004B2B8D" w:rsidRDefault="00211C27" w:rsidP="00141316">
            <w:pPr>
              <w:ind w:right="430"/>
              <w:jc w:val="right"/>
            </w:pPr>
            <w:r>
              <w:t>7.023</w:t>
            </w:r>
          </w:p>
        </w:tc>
      </w:tr>
      <w:tr w:rsidR="00211C27"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211C27" w:rsidRPr="004B2B8D" w:rsidRDefault="00211C27" w:rsidP="00D81BFB">
            <w:r>
              <w:t>Mexiko</w:t>
            </w:r>
          </w:p>
        </w:tc>
        <w:tc>
          <w:tcPr>
            <w:tcW w:w="3691" w:type="dxa"/>
            <w:tcBorders>
              <w:top w:val="nil"/>
              <w:left w:val="single" w:sz="8" w:space="0" w:color="auto"/>
              <w:bottom w:val="nil"/>
              <w:right w:val="single" w:sz="8" w:space="0" w:color="auto"/>
            </w:tcBorders>
            <w:shd w:val="clear" w:color="auto" w:fill="auto"/>
          </w:tcPr>
          <w:p w:rsidR="00211C27" w:rsidRPr="004B2B8D" w:rsidRDefault="00211C27" w:rsidP="00532F43">
            <w:pPr>
              <w:ind w:right="430" w:firstLine="177"/>
              <w:jc w:val="right"/>
            </w:pPr>
            <w:r>
              <w:t>40.231</w:t>
            </w:r>
          </w:p>
        </w:tc>
      </w:tr>
      <w:tr w:rsidR="00211C27"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211C27" w:rsidRPr="004B2B8D" w:rsidRDefault="00211C27" w:rsidP="00D81BFB">
            <w:r>
              <w:t>Norwegen</w:t>
            </w:r>
          </w:p>
        </w:tc>
        <w:tc>
          <w:tcPr>
            <w:tcW w:w="3691" w:type="dxa"/>
            <w:tcBorders>
              <w:top w:val="nil"/>
              <w:left w:val="single" w:sz="8" w:space="0" w:color="auto"/>
              <w:bottom w:val="nil"/>
              <w:right w:val="single" w:sz="8" w:space="0" w:color="auto"/>
            </w:tcBorders>
            <w:shd w:val="clear" w:color="auto" w:fill="auto"/>
          </w:tcPr>
          <w:p w:rsidR="00211C27" w:rsidRPr="004B2B8D" w:rsidRDefault="00211C27" w:rsidP="00532F43">
            <w:pPr>
              <w:ind w:right="430" w:firstLine="177"/>
              <w:jc w:val="right"/>
            </w:pPr>
            <w:r>
              <w:t>53.641</w:t>
            </w:r>
          </w:p>
        </w:tc>
      </w:tr>
      <w:tr w:rsidR="00211C27" w:rsidRPr="004B2B8D" w:rsidTr="00A46DE9">
        <w:trPr>
          <w:trHeight w:val="293"/>
          <w:jc w:val="center"/>
        </w:trPr>
        <w:tc>
          <w:tcPr>
            <w:tcW w:w="2852" w:type="dxa"/>
            <w:tcBorders>
              <w:top w:val="nil"/>
              <w:left w:val="single" w:sz="8" w:space="0" w:color="auto"/>
              <w:bottom w:val="nil"/>
              <w:right w:val="single" w:sz="8" w:space="0" w:color="auto"/>
            </w:tcBorders>
            <w:shd w:val="clear" w:color="auto" w:fill="auto"/>
          </w:tcPr>
          <w:p w:rsidR="00211C27" w:rsidRPr="004B2B8D" w:rsidRDefault="00211C27" w:rsidP="00D81BFB">
            <w:r>
              <w:t>Panama</w:t>
            </w:r>
          </w:p>
        </w:tc>
        <w:tc>
          <w:tcPr>
            <w:tcW w:w="3691" w:type="dxa"/>
            <w:tcBorders>
              <w:top w:val="nil"/>
              <w:left w:val="single" w:sz="8" w:space="0" w:color="auto"/>
              <w:bottom w:val="nil"/>
              <w:right w:val="single" w:sz="8" w:space="0" w:color="auto"/>
            </w:tcBorders>
            <w:shd w:val="clear" w:color="auto" w:fill="auto"/>
          </w:tcPr>
          <w:p w:rsidR="00211C27" w:rsidRPr="004B2B8D" w:rsidRDefault="00211C27" w:rsidP="00532F43">
            <w:pPr>
              <w:ind w:right="430" w:firstLine="177"/>
              <w:jc w:val="right"/>
            </w:pPr>
            <w:r>
              <w:t>648</w:t>
            </w:r>
          </w:p>
        </w:tc>
      </w:tr>
      <w:tr w:rsidR="00211C27" w:rsidRPr="004B2B8D" w:rsidTr="00A46DE9">
        <w:trPr>
          <w:trHeight w:val="293"/>
          <w:jc w:val="center"/>
        </w:trPr>
        <w:tc>
          <w:tcPr>
            <w:tcW w:w="2852" w:type="dxa"/>
            <w:tcBorders>
              <w:top w:val="nil"/>
              <w:left w:val="single" w:sz="8" w:space="0" w:color="auto"/>
              <w:bottom w:val="single" w:sz="8" w:space="0" w:color="auto"/>
              <w:right w:val="single" w:sz="8" w:space="0" w:color="auto"/>
            </w:tcBorders>
            <w:shd w:val="clear" w:color="auto" w:fill="auto"/>
          </w:tcPr>
          <w:p w:rsidR="00211C27" w:rsidRPr="004B2B8D" w:rsidRDefault="00211C27" w:rsidP="00D81BFB">
            <w:r>
              <w:t>Slowakei</w:t>
            </w:r>
          </w:p>
        </w:tc>
        <w:tc>
          <w:tcPr>
            <w:tcW w:w="3691" w:type="dxa"/>
            <w:tcBorders>
              <w:top w:val="nil"/>
              <w:left w:val="single" w:sz="8" w:space="0" w:color="auto"/>
              <w:bottom w:val="nil"/>
              <w:right w:val="single" w:sz="8" w:space="0" w:color="auto"/>
            </w:tcBorders>
            <w:shd w:val="clear" w:color="auto" w:fill="auto"/>
          </w:tcPr>
          <w:p w:rsidR="00211C27" w:rsidRPr="004B2B8D" w:rsidRDefault="00211C27" w:rsidP="00532F43">
            <w:pPr>
              <w:ind w:right="430" w:firstLine="177"/>
              <w:jc w:val="right"/>
            </w:pPr>
            <w:r>
              <w:t>26.820</w:t>
            </w:r>
          </w:p>
        </w:tc>
      </w:tr>
      <w:tr w:rsidR="00141316" w:rsidRPr="004B2B8D" w:rsidTr="00A46DE9">
        <w:trPr>
          <w:trHeight w:val="416"/>
          <w:jc w:val="center"/>
        </w:trPr>
        <w:tc>
          <w:tcPr>
            <w:tcW w:w="2852" w:type="dxa"/>
            <w:tcBorders>
              <w:top w:val="single" w:sz="8" w:space="0" w:color="auto"/>
              <w:left w:val="single" w:sz="8" w:space="0" w:color="auto"/>
              <w:bottom w:val="single" w:sz="8" w:space="0" w:color="auto"/>
            </w:tcBorders>
            <w:shd w:val="clear" w:color="auto" w:fill="CCFF99"/>
          </w:tcPr>
          <w:p w:rsidR="00141316" w:rsidRDefault="00141316" w:rsidP="00D81BFB"/>
          <w:p w:rsidR="00141316" w:rsidRDefault="00141316" w:rsidP="00D81BFB">
            <w:r>
              <w:t>Insgesamt 2014</w:t>
            </w:r>
          </w:p>
          <w:p w:rsidR="00A46DE9" w:rsidRPr="004B2B8D" w:rsidRDefault="00A46DE9" w:rsidP="00D81BFB"/>
        </w:tc>
        <w:tc>
          <w:tcPr>
            <w:tcW w:w="3691" w:type="dxa"/>
            <w:tcBorders>
              <w:top w:val="single" w:sz="8" w:space="0" w:color="auto"/>
              <w:bottom w:val="single" w:sz="8" w:space="0" w:color="auto"/>
              <w:right w:val="single" w:sz="8" w:space="0" w:color="auto"/>
            </w:tcBorders>
            <w:shd w:val="clear" w:color="auto" w:fill="CCFF99"/>
          </w:tcPr>
          <w:p w:rsidR="00141316" w:rsidRDefault="00141316" w:rsidP="00532F43">
            <w:pPr>
              <w:ind w:right="430" w:firstLine="177"/>
              <w:jc w:val="right"/>
            </w:pPr>
          </w:p>
          <w:p w:rsidR="00141316" w:rsidRPr="004B2B8D" w:rsidRDefault="00141316" w:rsidP="00532F43">
            <w:pPr>
              <w:ind w:right="430" w:firstLine="177"/>
              <w:jc w:val="right"/>
            </w:pPr>
            <w:r>
              <w:t>214.188</w:t>
            </w:r>
          </w:p>
        </w:tc>
      </w:tr>
      <w:tr w:rsidR="00A46DE9" w:rsidRPr="004B2B8D" w:rsidTr="00A46DE9">
        <w:trPr>
          <w:trHeight w:val="293"/>
          <w:jc w:val="center"/>
        </w:trPr>
        <w:tc>
          <w:tcPr>
            <w:tcW w:w="6543" w:type="dxa"/>
            <w:gridSpan w:val="2"/>
            <w:tcBorders>
              <w:top w:val="single" w:sz="8" w:space="0" w:color="auto"/>
              <w:left w:val="nil"/>
              <w:bottom w:val="single" w:sz="8" w:space="0" w:color="auto"/>
              <w:right w:val="nil"/>
            </w:tcBorders>
            <w:shd w:val="clear" w:color="auto" w:fill="FFFFFF" w:themeFill="background1"/>
            <w:vAlign w:val="center"/>
          </w:tcPr>
          <w:p w:rsidR="00A46DE9" w:rsidRDefault="00A46DE9" w:rsidP="00371404">
            <w:pPr>
              <w:jc w:val="left"/>
            </w:pPr>
          </w:p>
        </w:tc>
      </w:tr>
      <w:tr w:rsidR="00141316" w:rsidRPr="004B2B8D" w:rsidTr="00A46DE9">
        <w:trPr>
          <w:trHeight w:val="293"/>
          <w:jc w:val="center"/>
        </w:trPr>
        <w:tc>
          <w:tcPr>
            <w:tcW w:w="6543" w:type="dxa"/>
            <w:gridSpan w:val="2"/>
            <w:tcBorders>
              <w:top w:val="single" w:sz="8" w:space="0" w:color="auto"/>
              <w:left w:val="single" w:sz="8" w:space="0" w:color="auto"/>
              <w:bottom w:val="nil"/>
              <w:right w:val="single" w:sz="8" w:space="0" w:color="auto"/>
            </w:tcBorders>
            <w:shd w:val="clear" w:color="auto" w:fill="CCFF99"/>
            <w:vAlign w:val="center"/>
          </w:tcPr>
          <w:p w:rsidR="00371404" w:rsidRDefault="00371404" w:rsidP="00744BB5">
            <w:pPr>
              <w:jc w:val="center"/>
            </w:pPr>
          </w:p>
          <w:p w:rsidR="00141316" w:rsidRPr="004B2B8D" w:rsidRDefault="00141316" w:rsidP="00744BB5">
            <w:pPr>
              <w:jc w:val="center"/>
            </w:pPr>
            <w:r>
              <w:t>Für 2015 erhaltene Beiträge</w:t>
            </w:r>
          </w:p>
        </w:tc>
      </w:tr>
      <w:tr w:rsidR="00371404" w:rsidRPr="004B2B8D" w:rsidTr="002B1132">
        <w:trPr>
          <w:trHeight w:val="595"/>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A46DE9" w:rsidRDefault="00A46DE9" w:rsidP="002B1132">
            <w:pPr>
              <w:jc w:val="center"/>
            </w:pPr>
          </w:p>
          <w:p w:rsidR="00A46DE9" w:rsidRDefault="00371404" w:rsidP="002B1132">
            <w:pPr>
              <w:jc w:val="center"/>
            </w:pPr>
            <w:r>
              <w:t>Verbandsmitglieder</w:t>
            </w:r>
          </w:p>
        </w:tc>
        <w:tc>
          <w:tcPr>
            <w:tcW w:w="3691" w:type="dxa"/>
            <w:tcBorders>
              <w:top w:val="single" w:sz="8" w:space="0" w:color="auto"/>
              <w:left w:val="single" w:sz="8" w:space="0" w:color="auto"/>
              <w:bottom w:val="single" w:sz="8" w:space="0" w:color="auto"/>
              <w:right w:val="single" w:sz="8" w:space="0" w:color="auto"/>
            </w:tcBorders>
            <w:shd w:val="clear" w:color="auto" w:fill="CCFF99"/>
          </w:tcPr>
          <w:p w:rsidR="00A46DE9" w:rsidRDefault="00A46DE9" w:rsidP="002B1132">
            <w:pPr>
              <w:ind w:right="430" w:firstLine="177"/>
              <w:jc w:val="center"/>
            </w:pPr>
          </w:p>
          <w:p w:rsidR="00371404" w:rsidRDefault="00371404" w:rsidP="00AF112F">
            <w:pPr>
              <w:ind w:right="430" w:firstLine="177"/>
              <w:jc w:val="right"/>
            </w:pPr>
            <w:r>
              <w:t>Schweizer Franken</w:t>
            </w:r>
          </w:p>
        </w:tc>
      </w:tr>
      <w:tr w:rsidR="00371404" w:rsidRPr="004B2B8D" w:rsidTr="00A46DE9">
        <w:trPr>
          <w:trHeight w:val="293"/>
          <w:jc w:val="center"/>
        </w:trPr>
        <w:tc>
          <w:tcPr>
            <w:tcW w:w="2852" w:type="dxa"/>
            <w:tcBorders>
              <w:top w:val="single" w:sz="8" w:space="0" w:color="auto"/>
              <w:left w:val="single" w:sz="8" w:space="0" w:color="auto"/>
              <w:bottom w:val="nil"/>
              <w:right w:val="single" w:sz="8" w:space="0" w:color="auto"/>
            </w:tcBorders>
            <w:shd w:val="clear" w:color="auto" w:fill="FFFFFF" w:themeFill="background1"/>
          </w:tcPr>
          <w:p w:rsidR="00371404" w:rsidRPr="004B2B8D" w:rsidRDefault="00371404" w:rsidP="00D81BFB">
            <w:r>
              <w:t>Bulgarien</w:t>
            </w:r>
          </w:p>
        </w:tc>
        <w:tc>
          <w:tcPr>
            <w:tcW w:w="3691" w:type="dxa"/>
            <w:tcBorders>
              <w:top w:val="nil"/>
              <w:left w:val="single" w:sz="8" w:space="0" w:color="auto"/>
              <w:bottom w:val="nil"/>
              <w:right w:val="single" w:sz="8" w:space="0" w:color="auto"/>
            </w:tcBorders>
            <w:shd w:val="clear" w:color="auto" w:fill="FFFFFF" w:themeFill="background1"/>
          </w:tcPr>
          <w:p w:rsidR="00371404" w:rsidRPr="004B2B8D" w:rsidRDefault="00371404" w:rsidP="004622E4">
            <w:pPr>
              <w:ind w:right="430"/>
              <w:jc w:val="right"/>
            </w:pPr>
            <w:r>
              <w:t>10.728</w:t>
            </w:r>
          </w:p>
        </w:tc>
      </w:tr>
      <w:tr w:rsidR="00371404" w:rsidRPr="004B2B8D" w:rsidTr="00A46DE9">
        <w:trPr>
          <w:trHeight w:val="293"/>
          <w:jc w:val="center"/>
        </w:trPr>
        <w:tc>
          <w:tcPr>
            <w:tcW w:w="2852" w:type="dxa"/>
            <w:tcBorders>
              <w:top w:val="nil"/>
              <w:left w:val="single" w:sz="8" w:space="0" w:color="auto"/>
              <w:bottom w:val="nil"/>
              <w:right w:val="single" w:sz="8" w:space="0" w:color="auto"/>
            </w:tcBorders>
            <w:shd w:val="clear" w:color="auto" w:fill="FFFFFF" w:themeFill="background1"/>
          </w:tcPr>
          <w:p w:rsidR="00371404" w:rsidRPr="004B2B8D" w:rsidRDefault="00371404" w:rsidP="00D81BFB">
            <w:r>
              <w:t>Mexiko</w:t>
            </w:r>
          </w:p>
        </w:tc>
        <w:tc>
          <w:tcPr>
            <w:tcW w:w="3691" w:type="dxa"/>
            <w:tcBorders>
              <w:top w:val="nil"/>
              <w:left w:val="single" w:sz="8" w:space="0" w:color="auto"/>
              <w:bottom w:val="nil"/>
              <w:right w:val="single" w:sz="8" w:space="0" w:color="auto"/>
            </w:tcBorders>
            <w:shd w:val="clear" w:color="auto" w:fill="FFFFFF" w:themeFill="background1"/>
          </w:tcPr>
          <w:p w:rsidR="00371404" w:rsidRPr="004B2B8D" w:rsidRDefault="00371404" w:rsidP="00532F43">
            <w:pPr>
              <w:ind w:right="430" w:firstLine="177"/>
              <w:jc w:val="right"/>
            </w:pPr>
            <w:r>
              <w:t>11.568</w:t>
            </w:r>
          </w:p>
        </w:tc>
      </w:tr>
      <w:tr w:rsidR="002B1132" w:rsidRPr="004B2B8D" w:rsidTr="002B1132">
        <w:trPr>
          <w:trHeight w:val="293"/>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371404" w:rsidRDefault="00371404" w:rsidP="00D81BFB"/>
          <w:p w:rsidR="00371404" w:rsidRDefault="00371404" w:rsidP="00D81BFB">
            <w:r>
              <w:t>Insgesamt 2015</w:t>
            </w:r>
          </w:p>
          <w:p w:rsidR="00A46DE9" w:rsidRPr="004B2B8D" w:rsidRDefault="00A46DE9" w:rsidP="00D81BFB"/>
        </w:tc>
        <w:tc>
          <w:tcPr>
            <w:tcW w:w="3691" w:type="dxa"/>
            <w:tcBorders>
              <w:top w:val="single" w:sz="8" w:space="0" w:color="auto"/>
              <w:left w:val="single" w:sz="8" w:space="0" w:color="auto"/>
              <w:bottom w:val="single" w:sz="8" w:space="0" w:color="auto"/>
              <w:right w:val="single" w:sz="8" w:space="0" w:color="auto"/>
            </w:tcBorders>
            <w:shd w:val="clear" w:color="auto" w:fill="CCFF99"/>
          </w:tcPr>
          <w:p w:rsidR="00371404" w:rsidRDefault="00371404" w:rsidP="004622E4">
            <w:pPr>
              <w:ind w:right="430" w:firstLine="177"/>
              <w:jc w:val="right"/>
            </w:pPr>
          </w:p>
          <w:p w:rsidR="00371404" w:rsidRPr="004B2B8D" w:rsidRDefault="00371404" w:rsidP="00371404">
            <w:pPr>
              <w:ind w:right="430" w:firstLine="177"/>
              <w:jc w:val="right"/>
            </w:pPr>
            <w:r>
              <w:t>22.296</w:t>
            </w:r>
          </w:p>
        </w:tc>
      </w:tr>
      <w:tr w:rsidR="002B1132" w:rsidRPr="004B2B8D" w:rsidTr="002B1132">
        <w:trPr>
          <w:trHeight w:val="293"/>
          <w:jc w:val="center"/>
        </w:trPr>
        <w:tc>
          <w:tcPr>
            <w:tcW w:w="2852" w:type="dxa"/>
            <w:tcBorders>
              <w:top w:val="single" w:sz="8" w:space="0" w:color="auto"/>
              <w:left w:val="nil"/>
              <w:bottom w:val="single" w:sz="8" w:space="0" w:color="auto"/>
              <w:right w:val="nil"/>
            </w:tcBorders>
            <w:shd w:val="clear" w:color="auto" w:fill="FFFFFF" w:themeFill="background1"/>
          </w:tcPr>
          <w:p w:rsidR="002B1132" w:rsidRDefault="002B1132" w:rsidP="00D81BFB"/>
        </w:tc>
        <w:tc>
          <w:tcPr>
            <w:tcW w:w="3691" w:type="dxa"/>
            <w:tcBorders>
              <w:top w:val="single" w:sz="8" w:space="0" w:color="auto"/>
              <w:left w:val="nil"/>
              <w:bottom w:val="single" w:sz="8" w:space="0" w:color="auto"/>
              <w:right w:val="nil"/>
            </w:tcBorders>
            <w:shd w:val="clear" w:color="auto" w:fill="FFFFFF" w:themeFill="background1"/>
          </w:tcPr>
          <w:p w:rsidR="002B1132" w:rsidRDefault="002B1132" w:rsidP="004622E4">
            <w:pPr>
              <w:ind w:right="430" w:firstLine="177"/>
              <w:jc w:val="right"/>
            </w:pPr>
          </w:p>
        </w:tc>
      </w:tr>
      <w:tr w:rsidR="002B1132" w:rsidRPr="004B2B8D" w:rsidTr="00A46DE9">
        <w:trPr>
          <w:trHeight w:val="293"/>
          <w:jc w:val="center"/>
        </w:trPr>
        <w:tc>
          <w:tcPr>
            <w:tcW w:w="2852" w:type="dxa"/>
            <w:tcBorders>
              <w:top w:val="single" w:sz="8" w:space="0" w:color="auto"/>
              <w:left w:val="single" w:sz="8" w:space="0" w:color="auto"/>
              <w:bottom w:val="single" w:sz="8" w:space="0" w:color="auto"/>
              <w:right w:val="single" w:sz="8" w:space="0" w:color="auto"/>
            </w:tcBorders>
            <w:shd w:val="clear" w:color="auto" w:fill="CCFF99"/>
          </w:tcPr>
          <w:p w:rsidR="002B1132" w:rsidRDefault="002B1132" w:rsidP="00D81BFB"/>
          <w:p w:rsidR="002B1132" w:rsidRDefault="002B1132" w:rsidP="00E6186E">
            <w:pPr>
              <w:jc w:val="left"/>
            </w:pPr>
            <w:r>
              <w:t>Im voraus entrichtete Beiträge insgesamt</w:t>
            </w:r>
          </w:p>
          <w:p w:rsidR="002B1132" w:rsidRDefault="002B1132" w:rsidP="00D81BFB"/>
        </w:tc>
        <w:tc>
          <w:tcPr>
            <w:tcW w:w="3691" w:type="dxa"/>
            <w:tcBorders>
              <w:top w:val="single" w:sz="8" w:space="0" w:color="auto"/>
              <w:left w:val="single" w:sz="8" w:space="0" w:color="auto"/>
              <w:bottom w:val="single" w:sz="8" w:space="0" w:color="auto"/>
              <w:right w:val="single" w:sz="8" w:space="0" w:color="auto"/>
            </w:tcBorders>
            <w:shd w:val="clear" w:color="auto" w:fill="CCFF99"/>
          </w:tcPr>
          <w:p w:rsidR="002B1132" w:rsidRDefault="002B1132" w:rsidP="004622E4">
            <w:pPr>
              <w:ind w:right="430" w:firstLine="177"/>
              <w:jc w:val="right"/>
            </w:pPr>
          </w:p>
          <w:p w:rsidR="002B1132" w:rsidRDefault="002B1132" w:rsidP="004622E4">
            <w:pPr>
              <w:ind w:right="430" w:firstLine="177"/>
              <w:jc w:val="right"/>
            </w:pPr>
            <w:r>
              <w:t>236.484</w:t>
            </w:r>
          </w:p>
        </w:tc>
      </w:tr>
    </w:tbl>
    <w:p w:rsidR="002F09F3" w:rsidRDefault="002F09F3" w:rsidP="00532F43"/>
    <w:p w:rsidR="002F09F3" w:rsidRDefault="002F09F3" w:rsidP="00532F43"/>
    <w:p w:rsidR="002F09F3" w:rsidRDefault="002F09F3" w:rsidP="00532F43"/>
    <w:p w:rsidR="006C4E45" w:rsidRDefault="006C4E45" w:rsidP="00D81BFB">
      <w:pPr>
        <w:rPr>
          <w:u w:val="single"/>
        </w:rPr>
      </w:pPr>
      <w:r>
        <w:br w:type="page"/>
      </w:r>
    </w:p>
    <w:p w:rsidR="002F09F3" w:rsidRPr="00377AEE" w:rsidRDefault="002F09F3" w:rsidP="008518D2">
      <w:pPr>
        <w:pStyle w:val="Heading5"/>
      </w:pPr>
      <w:bookmarkStart w:id="70" w:name="_Toc393377930"/>
      <w:bookmarkStart w:id="71" w:name="_Toc397086082"/>
      <w:r>
        <w:lastRenderedPageBreak/>
        <w:t>Höhe der fälligen Beiträge und Betriebsmittel zum 31. Dezember 2013</w:t>
      </w:r>
      <w:bookmarkEnd w:id="70"/>
      <w:bookmarkEnd w:id="71"/>
    </w:p>
    <w:p w:rsidR="002F09F3" w:rsidRPr="00377AEE" w:rsidRDefault="002F09F3" w:rsidP="00532F43">
      <w:pPr>
        <w:jc w:val="center"/>
      </w:pPr>
    </w:p>
    <w:tbl>
      <w:tblPr>
        <w:tblW w:w="0" w:type="auto"/>
        <w:tblInd w:w="739" w:type="dxa"/>
        <w:tblBorders>
          <w:top w:val="single" w:sz="8" w:space="0" w:color="auto"/>
          <w:left w:val="single" w:sz="8" w:space="0" w:color="auto"/>
          <w:bottom w:val="single" w:sz="8" w:space="0" w:color="auto"/>
          <w:right w:val="single" w:sz="8" w:space="0" w:color="auto"/>
        </w:tblBorders>
        <w:tblLayout w:type="fixed"/>
        <w:tblCellMar>
          <w:left w:w="30" w:type="dxa"/>
          <w:right w:w="30" w:type="dxa"/>
        </w:tblCellMar>
        <w:tblLook w:val="0000" w:firstRow="0" w:lastRow="0" w:firstColumn="0" w:lastColumn="0" w:noHBand="0" w:noVBand="0"/>
      </w:tblPr>
      <w:tblGrid>
        <w:gridCol w:w="3071"/>
        <w:gridCol w:w="2790"/>
        <w:gridCol w:w="1292"/>
        <w:gridCol w:w="1292"/>
        <w:gridCol w:w="78"/>
      </w:tblGrid>
      <w:tr w:rsidR="00D36F87" w:rsidRPr="00377AEE" w:rsidTr="00BE02C7">
        <w:trPr>
          <w:cantSplit/>
          <w:trHeight w:val="528"/>
          <w:tblHeader/>
        </w:trPr>
        <w:tc>
          <w:tcPr>
            <w:tcW w:w="3071" w:type="dxa"/>
            <w:vMerge w:val="restart"/>
            <w:tcBorders>
              <w:top w:val="single" w:sz="8" w:space="0" w:color="auto"/>
              <w:right w:val="single" w:sz="8" w:space="0" w:color="auto"/>
            </w:tcBorders>
            <w:shd w:val="clear" w:color="auto" w:fill="CCFF99"/>
          </w:tcPr>
          <w:p w:rsidR="00D36F87" w:rsidRPr="00377AEE" w:rsidRDefault="00D36F87" w:rsidP="00532F43">
            <w:pPr>
              <w:spacing w:before="60"/>
              <w:jc w:val="center"/>
              <w:rPr>
                <w:rFonts w:cs="Arial"/>
              </w:rPr>
            </w:pPr>
            <w:r>
              <w:t>Verbandsmitglieder</w:t>
            </w:r>
          </w:p>
        </w:tc>
        <w:tc>
          <w:tcPr>
            <w:tcW w:w="2790" w:type="dxa"/>
            <w:vMerge w:val="restart"/>
            <w:tcBorders>
              <w:top w:val="single" w:sz="8" w:space="0" w:color="auto"/>
              <w:left w:val="single" w:sz="8" w:space="0" w:color="auto"/>
              <w:right w:val="single" w:sz="8" w:space="0" w:color="auto"/>
            </w:tcBorders>
            <w:shd w:val="clear" w:color="auto" w:fill="CCFF99"/>
          </w:tcPr>
          <w:p w:rsidR="00D36F87" w:rsidRPr="00377AEE" w:rsidRDefault="00D36F87" w:rsidP="00D81BFB">
            <w:pPr>
              <w:spacing w:before="60"/>
              <w:rPr>
                <w:rFonts w:cs="Arial"/>
              </w:rPr>
            </w:pPr>
            <w:r>
              <w:t>Keine Rückstände/Jahr(e) der Rückstände</w:t>
            </w:r>
          </w:p>
        </w:tc>
        <w:tc>
          <w:tcPr>
            <w:tcW w:w="2584" w:type="dxa"/>
            <w:gridSpan w:val="3"/>
            <w:tcBorders>
              <w:top w:val="single" w:sz="8" w:space="0" w:color="auto"/>
              <w:left w:val="single" w:sz="8" w:space="0" w:color="auto"/>
              <w:bottom w:val="single" w:sz="8" w:space="0" w:color="auto"/>
            </w:tcBorders>
            <w:shd w:val="clear" w:color="auto" w:fill="CCFF99"/>
          </w:tcPr>
          <w:p w:rsidR="00D36F87" w:rsidRPr="00FC31FB" w:rsidRDefault="00D36F87" w:rsidP="00532F43">
            <w:pPr>
              <w:pStyle w:val="Heading7"/>
              <w:spacing w:before="60"/>
              <w:rPr>
                <w:rFonts w:ascii="Arial" w:hAnsi="Arial" w:cs="Arial"/>
              </w:rPr>
            </w:pPr>
            <w:r>
              <w:rPr>
                <w:rFonts w:ascii="Arial" w:hAnsi="Arial"/>
              </w:rPr>
              <w:t>Betrag der Rückstände in Schweizer Franken</w:t>
            </w:r>
          </w:p>
        </w:tc>
      </w:tr>
      <w:tr w:rsidR="00D36F87" w:rsidRPr="00377AEE" w:rsidTr="0018373F">
        <w:trPr>
          <w:cantSplit/>
          <w:trHeight w:val="369"/>
          <w:tblHeader/>
        </w:trPr>
        <w:tc>
          <w:tcPr>
            <w:tcW w:w="3071" w:type="dxa"/>
            <w:vMerge/>
            <w:tcBorders>
              <w:bottom w:val="single" w:sz="8" w:space="0" w:color="auto"/>
              <w:right w:val="single" w:sz="8" w:space="0" w:color="auto"/>
            </w:tcBorders>
            <w:shd w:val="clear" w:color="auto" w:fill="CCFF99"/>
          </w:tcPr>
          <w:p w:rsidR="00D36F87" w:rsidRPr="00377AEE" w:rsidRDefault="00D36F87" w:rsidP="00532F43">
            <w:pPr>
              <w:spacing w:before="60"/>
              <w:jc w:val="center"/>
              <w:rPr>
                <w:rFonts w:cs="Arial"/>
              </w:rPr>
            </w:pPr>
          </w:p>
        </w:tc>
        <w:tc>
          <w:tcPr>
            <w:tcW w:w="2790" w:type="dxa"/>
            <w:vMerge/>
            <w:tcBorders>
              <w:left w:val="single" w:sz="8" w:space="0" w:color="auto"/>
              <w:bottom w:val="single" w:sz="8" w:space="0" w:color="auto"/>
              <w:right w:val="single" w:sz="8" w:space="0" w:color="auto"/>
            </w:tcBorders>
            <w:shd w:val="clear" w:color="auto" w:fill="CCFF99"/>
          </w:tcPr>
          <w:p w:rsidR="00D36F87" w:rsidRPr="00377AEE" w:rsidRDefault="00D36F87" w:rsidP="00D81BFB">
            <w:pPr>
              <w:spacing w:before="60"/>
              <w:rPr>
                <w:rFonts w:cs="Arial"/>
              </w:rPr>
            </w:pPr>
          </w:p>
        </w:tc>
        <w:tc>
          <w:tcPr>
            <w:tcW w:w="1292" w:type="dxa"/>
            <w:tcBorders>
              <w:top w:val="single" w:sz="8" w:space="0" w:color="auto"/>
              <w:left w:val="single" w:sz="8" w:space="0" w:color="auto"/>
              <w:bottom w:val="single" w:sz="8" w:space="0" w:color="auto"/>
            </w:tcBorders>
            <w:shd w:val="clear" w:color="auto" w:fill="CCFF99"/>
          </w:tcPr>
          <w:p w:rsidR="00D36F87" w:rsidRPr="00FC31FB" w:rsidRDefault="00D36F87" w:rsidP="00532F43">
            <w:pPr>
              <w:pStyle w:val="Heading7"/>
              <w:spacing w:before="60"/>
              <w:rPr>
                <w:rFonts w:ascii="Arial" w:hAnsi="Arial" w:cs="Arial"/>
              </w:rPr>
            </w:pPr>
          </w:p>
        </w:tc>
        <w:tc>
          <w:tcPr>
            <w:tcW w:w="1292" w:type="dxa"/>
            <w:gridSpan w:val="2"/>
            <w:tcBorders>
              <w:top w:val="single" w:sz="8" w:space="0" w:color="auto"/>
              <w:left w:val="single" w:sz="8" w:space="0" w:color="auto"/>
              <w:bottom w:val="single" w:sz="8" w:space="0" w:color="auto"/>
            </w:tcBorders>
            <w:shd w:val="clear" w:color="auto" w:fill="CCFF99"/>
          </w:tcPr>
          <w:p w:rsidR="00D36F87" w:rsidRPr="00FC31FB" w:rsidRDefault="00D36F87" w:rsidP="00532F43">
            <w:pPr>
              <w:pStyle w:val="Heading7"/>
              <w:spacing w:before="60"/>
              <w:rPr>
                <w:rFonts w:ascii="Arial" w:hAnsi="Arial" w:cs="Arial"/>
              </w:rPr>
            </w:pPr>
            <w:r>
              <w:rPr>
                <w:rFonts w:ascii="Arial" w:hAnsi="Arial"/>
              </w:rPr>
              <w:t>Insgesamt</w:t>
            </w:r>
          </w:p>
        </w:tc>
      </w:tr>
      <w:tr w:rsidR="00B86594" w:rsidRPr="00377AEE" w:rsidTr="00532F43">
        <w:tblPrEx>
          <w:tblCellMar>
            <w:left w:w="108" w:type="dxa"/>
            <w:right w:w="108" w:type="dxa"/>
          </w:tblCellMar>
        </w:tblPrEx>
        <w:trPr>
          <w:gridAfter w:val="1"/>
          <w:wAfter w:w="78" w:type="dxa"/>
          <w:cantSplit/>
        </w:trPr>
        <w:tc>
          <w:tcPr>
            <w:tcW w:w="3071" w:type="dxa"/>
            <w:tcBorders>
              <w:top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Albanien</w:t>
            </w:r>
          </w:p>
        </w:tc>
        <w:tc>
          <w:tcPr>
            <w:tcW w:w="2790" w:type="dxa"/>
            <w:tcBorders>
              <w:top w:val="single" w:sz="8"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single" w:sz="8"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single" w:sz="8"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Argentinien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Aserbaidschan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Australien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Belarus</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Belgien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Bolivien (Plurinationaler Staat)</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Brasilien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Bulgarien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Chile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China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Costa Rica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Dänemark</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9C0A6A"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Deutschland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Dominikanische Republik</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Beitrag 2012 (Saldo)</w:t>
            </w:r>
          </w:p>
          <w:p w:rsidR="00B86594" w:rsidRPr="00377AEE" w:rsidRDefault="00B86594" w:rsidP="00532F43">
            <w:pPr>
              <w:rPr>
                <w:rFonts w:cs="Arial"/>
              </w:rPr>
            </w:pPr>
            <w:r>
              <w:t>Beitrag 2013</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r>
              <w:t>979</w:t>
            </w:r>
          </w:p>
          <w:p w:rsidR="00B86594" w:rsidRPr="00377AEE" w:rsidRDefault="00B86594" w:rsidP="00532F43">
            <w:pPr>
              <w:jc w:val="right"/>
              <w:rPr>
                <w:rFonts w:cs="Arial"/>
              </w:rPr>
            </w:pPr>
            <w:r>
              <w:rPr>
                <w:u w:val="single"/>
              </w:rPr>
              <w:t>10.728</w:t>
            </w:r>
          </w:p>
        </w:tc>
        <w:tc>
          <w:tcPr>
            <w:tcW w:w="1292" w:type="dxa"/>
            <w:tcBorders>
              <w:top w:val="dotted" w:sz="4" w:space="0" w:color="auto"/>
              <w:left w:val="single" w:sz="8" w:space="0" w:color="auto"/>
              <w:bottom w:val="dotted" w:sz="4" w:space="0" w:color="auto"/>
            </w:tcBorders>
            <w:tcMar>
              <w:top w:w="28" w:type="dxa"/>
              <w:bottom w:w="28" w:type="dxa"/>
            </w:tcMar>
          </w:tcPr>
          <w:p w:rsidR="00B86594" w:rsidRDefault="00B86594" w:rsidP="00532F43">
            <w:pPr>
              <w:jc w:val="right"/>
              <w:rPr>
                <w:rFonts w:cs="Arial"/>
              </w:rPr>
            </w:pPr>
          </w:p>
          <w:p w:rsidR="00B86594" w:rsidRPr="00377AEE" w:rsidRDefault="00B86594" w:rsidP="00532F43">
            <w:pPr>
              <w:jc w:val="right"/>
              <w:rPr>
                <w:rFonts w:cs="Arial"/>
              </w:rPr>
            </w:pPr>
            <w:r>
              <w:t>11.707</w:t>
            </w: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Ecuador</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Beitrag 2013 (Saldo)</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r>
              <w:t>740</w:t>
            </w:r>
          </w:p>
        </w:tc>
      </w:tr>
      <w:tr w:rsidR="00B86594" w:rsidRPr="00377AEE" w:rsidTr="00532F43">
        <w:tblPrEx>
          <w:tblCellMar>
            <w:left w:w="108" w:type="dxa"/>
            <w:right w:w="108" w:type="dxa"/>
          </w:tblCellMar>
        </w:tblPrEx>
        <w:trPr>
          <w:gridAfter w:val="1"/>
          <w:wAfter w:w="78" w:type="dxa"/>
          <w:cantSplit/>
          <w:trHeight w:val="450"/>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B86594">
            <w:pPr>
              <w:jc w:val="left"/>
              <w:rPr>
                <w:rFonts w:cs="Arial"/>
              </w:rPr>
            </w:pPr>
            <w:r>
              <w:t>Ehemalige Jugoslawische Republik Mazedonien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Default="00B86594" w:rsidP="00532F43">
            <w:pPr>
              <w:rPr>
                <w:rFonts w:cs="Arial"/>
              </w:rPr>
            </w:pPr>
          </w:p>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9C0A6A"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Estland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9C0A6A"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9C0A6A" w:rsidRDefault="00B86594" w:rsidP="00532F43">
            <w:pPr>
              <w:jc w:val="right"/>
              <w:rPr>
                <w:rFonts w:cs="Arial"/>
              </w:rPr>
            </w:pPr>
          </w:p>
        </w:tc>
      </w:tr>
      <w:tr w:rsidR="00B86594" w:rsidRPr="009C0A6A"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Europäische Union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9C0A6A"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9C0A6A" w:rsidRDefault="00B86594" w:rsidP="00532F43">
            <w:pPr>
              <w:jc w:val="right"/>
              <w:rPr>
                <w:rFonts w:cs="Arial"/>
              </w:rPr>
            </w:pPr>
          </w:p>
        </w:tc>
      </w:tr>
      <w:tr w:rsidR="00B86594" w:rsidRPr="009C0A6A"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Finnland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9C0A6A"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9C0A6A" w:rsidRDefault="00B86594" w:rsidP="00532F43">
            <w:pPr>
              <w:jc w:val="right"/>
              <w:rPr>
                <w:rFonts w:cs="Arial"/>
              </w:rPr>
            </w:pPr>
          </w:p>
        </w:tc>
      </w:tr>
      <w:tr w:rsidR="00B86594" w:rsidRPr="009C0A6A"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Frankreich</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9C0A6A"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9C0A6A" w:rsidRDefault="00B86594" w:rsidP="00532F43">
            <w:pPr>
              <w:jc w:val="right"/>
              <w:rPr>
                <w:rFonts w:cs="Arial"/>
              </w:rPr>
            </w:pPr>
          </w:p>
        </w:tc>
      </w:tr>
      <w:tr w:rsidR="00B86594" w:rsidRPr="009C0A6A"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Georgien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9C0A6A"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9C0A6A"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Irland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Island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Israel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Italien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Japan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Jordanien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Kanada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 xml:space="preserve">Keine Rückstände </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Kenia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Kirgistan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Kolumbien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Kroatien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Lettland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Litauen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Marokko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Mexiko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Neuseeland</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Nicaragua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C9433B"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C9433B"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Niederlande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Norwegen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Oman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lastRenderedPageBreak/>
              <w:t>Österreich</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Panama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4946F8">
            <w:pPr>
              <w:rPr>
                <w:rFonts w:cs="Arial"/>
              </w:rPr>
            </w:pPr>
            <w:r>
              <w:t>Paraguay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4946F8">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4946F8"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4946F8" w:rsidRDefault="004946F8" w:rsidP="00532F43">
            <w:r>
              <w:t>Peru</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4946F8" w:rsidRDefault="004946F8" w:rsidP="00532F43">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4946F8" w:rsidRPr="00377AEE" w:rsidRDefault="004946F8"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4946F8" w:rsidRPr="00377AEE" w:rsidRDefault="004946F8"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Polen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Portugal</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Republik Korea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9C0A6A"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9C0A6A"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Republik Moldau</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Rumänien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Russische Föderation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 xml:space="preserve">Keine Rückstände </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Schweden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Height w:val="255"/>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Schweiz</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Singapur</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Slowakei</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Slowenien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Spanien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Südafrika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Trinidad und Tobago</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Tschechische Republik</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Tunesien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Türkei</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Ukraine</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9C0A6A"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Ungarn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Uruguay</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Usbekistan</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Vereinigte Staaten von Amerika</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Vereinigtes Königreich</w:t>
            </w:r>
          </w:p>
        </w:tc>
        <w:tc>
          <w:tcPr>
            <w:tcW w:w="2790"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dotted" w:sz="4" w:space="0" w:color="auto"/>
              <w:right w:val="single" w:sz="8" w:space="0" w:color="auto"/>
            </w:tcBorders>
            <w:tcMar>
              <w:top w:w="28" w:type="dxa"/>
              <w:bottom w:w="28" w:type="dxa"/>
            </w:tcMar>
          </w:tcPr>
          <w:p w:rsidR="00B86594" w:rsidRPr="00377AEE" w:rsidRDefault="00B86594" w:rsidP="00532F43">
            <w:pPr>
              <w:jc w:val="right"/>
              <w:rPr>
                <w:rFonts w:cs="Arial"/>
                <w:u w:val="single"/>
              </w:rPr>
            </w:pPr>
          </w:p>
        </w:tc>
        <w:tc>
          <w:tcPr>
            <w:tcW w:w="1292" w:type="dxa"/>
            <w:tcBorders>
              <w:top w:val="dotted" w:sz="4" w:space="0" w:color="auto"/>
              <w:left w:val="single" w:sz="8" w:space="0" w:color="auto"/>
              <w:bottom w:val="dotted" w:sz="4" w:space="0" w:color="auto"/>
            </w:tcBorders>
            <w:tcMar>
              <w:top w:w="28" w:type="dxa"/>
              <w:bottom w:w="28" w:type="dxa"/>
            </w:tcMar>
          </w:tcPr>
          <w:p w:rsidR="00B86594" w:rsidRPr="00377AEE" w:rsidRDefault="00B86594" w:rsidP="00532F43">
            <w:pPr>
              <w:jc w:val="right"/>
              <w:rPr>
                <w:rFonts w:cs="Arial"/>
                <w:u w:val="single"/>
              </w:rPr>
            </w:pPr>
          </w:p>
        </w:tc>
      </w:tr>
      <w:tr w:rsidR="00B86594" w:rsidRPr="00377AEE" w:rsidTr="00532F43">
        <w:tblPrEx>
          <w:tblCellMar>
            <w:left w:w="108" w:type="dxa"/>
            <w:right w:w="108" w:type="dxa"/>
          </w:tblCellMar>
        </w:tblPrEx>
        <w:trPr>
          <w:gridAfter w:val="1"/>
          <w:wAfter w:w="78" w:type="dxa"/>
          <w:cantSplit/>
        </w:trPr>
        <w:tc>
          <w:tcPr>
            <w:tcW w:w="3071" w:type="dxa"/>
            <w:tcBorders>
              <w:top w:val="dotted" w:sz="4" w:space="0" w:color="auto"/>
              <w:bottom w:val="single" w:sz="8" w:space="0" w:color="auto"/>
              <w:right w:val="single" w:sz="8" w:space="0" w:color="auto"/>
            </w:tcBorders>
            <w:tcMar>
              <w:top w:w="28" w:type="dxa"/>
              <w:bottom w:w="28" w:type="dxa"/>
            </w:tcMar>
          </w:tcPr>
          <w:p w:rsidR="00B86594" w:rsidRPr="00377AEE" w:rsidRDefault="00B86594" w:rsidP="00532F43">
            <w:pPr>
              <w:rPr>
                <w:rFonts w:cs="Arial"/>
              </w:rPr>
            </w:pPr>
            <w:r>
              <w:t>Vietnam</w:t>
            </w:r>
          </w:p>
        </w:tc>
        <w:tc>
          <w:tcPr>
            <w:tcW w:w="2790" w:type="dxa"/>
            <w:tcBorders>
              <w:top w:val="dotted" w:sz="4" w:space="0" w:color="auto"/>
              <w:left w:val="single" w:sz="8" w:space="0" w:color="auto"/>
              <w:bottom w:val="single" w:sz="8" w:space="0" w:color="auto"/>
              <w:right w:val="single" w:sz="8" w:space="0" w:color="auto"/>
            </w:tcBorders>
            <w:tcMar>
              <w:top w:w="28" w:type="dxa"/>
              <w:bottom w:w="28" w:type="dxa"/>
            </w:tcMar>
          </w:tcPr>
          <w:p w:rsidR="00B86594" w:rsidRPr="00377AEE" w:rsidRDefault="00B86594" w:rsidP="00532F43">
            <w:pPr>
              <w:rPr>
                <w:rFonts w:cs="Arial"/>
              </w:rPr>
            </w:pPr>
            <w:r>
              <w:t>Keine Rückstände</w:t>
            </w:r>
          </w:p>
        </w:tc>
        <w:tc>
          <w:tcPr>
            <w:tcW w:w="1292" w:type="dxa"/>
            <w:tcBorders>
              <w:top w:val="dotted" w:sz="4" w:space="0" w:color="auto"/>
              <w:left w:val="single" w:sz="8" w:space="0" w:color="auto"/>
              <w:bottom w:val="single" w:sz="8" w:space="0" w:color="auto"/>
              <w:right w:val="single" w:sz="8" w:space="0" w:color="auto"/>
            </w:tcBorders>
            <w:tcMar>
              <w:top w:w="28" w:type="dxa"/>
              <w:bottom w:w="28" w:type="dxa"/>
            </w:tcMar>
          </w:tcPr>
          <w:p w:rsidR="00B86594" w:rsidRPr="00377AEE" w:rsidRDefault="00B86594" w:rsidP="00532F43">
            <w:pPr>
              <w:jc w:val="right"/>
              <w:rPr>
                <w:rFonts w:cs="Arial"/>
              </w:rPr>
            </w:pPr>
          </w:p>
        </w:tc>
        <w:tc>
          <w:tcPr>
            <w:tcW w:w="1292" w:type="dxa"/>
            <w:tcBorders>
              <w:top w:val="dotted" w:sz="4" w:space="0" w:color="auto"/>
              <w:left w:val="single" w:sz="8" w:space="0" w:color="auto"/>
              <w:bottom w:val="single" w:sz="8" w:space="0" w:color="auto"/>
            </w:tcBorders>
            <w:tcMar>
              <w:top w:w="28" w:type="dxa"/>
              <w:bottom w:w="28" w:type="dxa"/>
            </w:tcMar>
          </w:tcPr>
          <w:p w:rsidR="00B86594" w:rsidRPr="00377AEE" w:rsidRDefault="00B86594" w:rsidP="00532F43">
            <w:pPr>
              <w:jc w:val="right"/>
              <w:rPr>
                <w:rFonts w:cs="Arial"/>
              </w:rPr>
            </w:pPr>
          </w:p>
        </w:tc>
      </w:tr>
      <w:tr w:rsidR="002F09F3" w:rsidRPr="00377AEE" w:rsidTr="00532F43">
        <w:tblPrEx>
          <w:tblCellMar>
            <w:left w:w="108" w:type="dxa"/>
            <w:right w:w="108" w:type="dxa"/>
          </w:tblCellMar>
        </w:tblPrEx>
        <w:trPr>
          <w:gridAfter w:val="1"/>
          <w:wAfter w:w="78" w:type="dxa"/>
          <w:cantSplit/>
        </w:trPr>
        <w:tc>
          <w:tcPr>
            <w:tcW w:w="3071" w:type="dxa"/>
            <w:tcBorders>
              <w:top w:val="single" w:sz="8" w:space="0" w:color="auto"/>
              <w:bottom w:val="single" w:sz="8" w:space="0" w:color="auto"/>
              <w:right w:val="single" w:sz="8" w:space="0" w:color="auto"/>
            </w:tcBorders>
            <w:shd w:val="clear" w:color="auto" w:fill="CCFF99"/>
          </w:tcPr>
          <w:p w:rsidR="002F09F3" w:rsidRPr="00377AEE" w:rsidRDefault="002F09F3" w:rsidP="00532F43">
            <w:pPr>
              <w:spacing w:before="120" w:after="120"/>
            </w:pPr>
            <w:r>
              <w:t>Insgesamt</w:t>
            </w:r>
          </w:p>
        </w:tc>
        <w:tc>
          <w:tcPr>
            <w:tcW w:w="2790" w:type="dxa"/>
            <w:tcBorders>
              <w:top w:val="single" w:sz="8" w:space="0" w:color="auto"/>
              <w:left w:val="single" w:sz="8" w:space="0" w:color="auto"/>
              <w:bottom w:val="single" w:sz="8" w:space="0" w:color="auto"/>
              <w:right w:val="single" w:sz="8" w:space="0" w:color="auto"/>
            </w:tcBorders>
            <w:shd w:val="clear" w:color="auto" w:fill="CCFF99"/>
          </w:tcPr>
          <w:p w:rsidR="002F09F3" w:rsidRPr="00377AEE" w:rsidRDefault="002F09F3" w:rsidP="00532F43">
            <w:pPr>
              <w:spacing w:before="120" w:after="120"/>
            </w:pPr>
          </w:p>
        </w:tc>
        <w:tc>
          <w:tcPr>
            <w:tcW w:w="1292" w:type="dxa"/>
            <w:tcBorders>
              <w:top w:val="single" w:sz="8" w:space="0" w:color="auto"/>
              <w:left w:val="single" w:sz="8" w:space="0" w:color="auto"/>
              <w:bottom w:val="single" w:sz="8" w:space="0" w:color="auto"/>
              <w:right w:val="single" w:sz="8" w:space="0" w:color="auto"/>
            </w:tcBorders>
            <w:shd w:val="clear" w:color="auto" w:fill="CCFF99"/>
          </w:tcPr>
          <w:p w:rsidR="002F09F3" w:rsidRPr="00377AEE" w:rsidRDefault="002F09F3" w:rsidP="00532F43">
            <w:pPr>
              <w:spacing w:before="120" w:after="120"/>
              <w:jc w:val="right"/>
            </w:pPr>
          </w:p>
        </w:tc>
        <w:tc>
          <w:tcPr>
            <w:tcW w:w="1292" w:type="dxa"/>
            <w:tcBorders>
              <w:top w:val="single" w:sz="8" w:space="0" w:color="auto"/>
              <w:left w:val="single" w:sz="8" w:space="0" w:color="auto"/>
              <w:bottom w:val="single" w:sz="8" w:space="0" w:color="auto"/>
            </w:tcBorders>
            <w:shd w:val="clear" w:color="auto" w:fill="CCFF99"/>
          </w:tcPr>
          <w:p w:rsidR="002F09F3" w:rsidRPr="00377AEE" w:rsidRDefault="002F09F3" w:rsidP="00532F43">
            <w:pPr>
              <w:spacing w:before="120" w:after="120"/>
              <w:jc w:val="right"/>
            </w:pPr>
            <w:r>
              <w:t>12.447</w:t>
            </w:r>
          </w:p>
        </w:tc>
      </w:tr>
    </w:tbl>
    <w:p w:rsidR="002F09F3" w:rsidRDefault="002F09F3" w:rsidP="008B6109">
      <w:pPr>
        <w:pStyle w:val="Heading2"/>
      </w:pPr>
    </w:p>
    <w:p w:rsidR="002F09F3" w:rsidRPr="002F09F3" w:rsidRDefault="002F09F3" w:rsidP="002F09F3"/>
    <w:p w:rsidR="002F09F3" w:rsidRDefault="002F09F3" w:rsidP="00D81BFB">
      <w:pPr>
        <w:rPr>
          <w:b/>
          <w:u w:val="single"/>
        </w:rPr>
      </w:pPr>
      <w:r>
        <w:br w:type="page"/>
      </w:r>
    </w:p>
    <w:p w:rsidR="002F09F3" w:rsidRPr="008B6109" w:rsidRDefault="002F09F3" w:rsidP="00D81BFB">
      <w:pPr>
        <w:pStyle w:val="Heading1"/>
        <w:jc w:val="both"/>
      </w:pPr>
      <w:bookmarkStart w:id="72" w:name="_Toc393377931"/>
      <w:bookmarkStart w:id="73" w:name="_Toc397085734"/>
      <w:bookmarkStart w:id="74" w:name="_Toc397086083"/>
      <w:r>
        <w:lastRenderedPageBreak/>
        <w:t>Außeretatmäßige Mittel (Treuhandgelder)</w:t>
      </w:r>
      <w:bookmarkEnd w:id="72"/>
      <w:bookmarkEnd w:id="73"/>
      <w:bookmarkEnd w:id="74"/>
    </w:p>
    <w:p w:rsidR="002F09F3" w:rsidRPr="008B6109" w:rsidRDefault="002F09F3" w:rsidP="00D81BFB">
      <w:pPr>
        <w:pStyle w:val="Heading1"/>
        <w:jc w:val="both"/>
        <w:rPr>
          <w:rFonts w:ascii="Arial Bold" w:hAnsi="Arial Bold"/>
        </w:rPr>
      </w:pPr>
    </w:p>
    <w:p w:rsidR="002F09F3" w:rsidRDefault="002F09F3" w:rsidP="002F09F3">
      <w:pPr>
        <w:keepNext/>
        <w:ind w:firstLine="720"/>
      </w:pPr>
      <w:r>
        <w:t>Die von den Verbandsmitgliedern gewährten Treuhandgelder werden nachstehend als getrennte Buchführung ausgewiesen.</w:t>
      </w:r>
    </w:p>
    <w:p w:rsidR="002F09F3" w:rsidRDefault="002F09F3" w:rsidP="002F09F3">
      <w:pPr>
        <w:keepNext/>
      </w:pPr>
    </w:p>
    <w:p w:rsidR="002F09F3" w:rsidRPr="00D646CA" w:rsidRDefault="00696942" w:rsidP="00532F43">
      <w:r w:rsidRPr="00696942">
        <w:rPr>
          <w:noProof/>
          <w:lang w:val="en-US" w:eastAsia="en-US" w:bidi="ar-SA"/>
        </w:rPr>
        <w:drawing>
          <wp:inline distT="0" distB="0" distL="0" distR="0" wp14:anchorId="2D38F9CB" wp14:editId="7DD3B79F">
            <wp:extent cx="6120765" cy="813371"/>
            <wp:effectExtent l="0" t="0" r="0"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813371"/>
                    </a:xfrm>
                    <a:prstGeom prst="rect">
                      <a:avLst/>
                    </a:prstGeom>
                    <a:noFill/>
                    <a:ln>
                      <a:noFill/>
                    </a:ln>
                  </pic:spPr>
                </pic:pic>
              </a:graphicData>
            </a:graphic>
          </wp:inline>
        </w:drawing>
      </w:r>
    </w:p>
    <w:p w:rsidR="002F09F3" w:rsidRDefault="002F09F3" w:rsidP="00532F43"/>
    <w:p w:rsidR="002F09F3" w:rsidRPr="004E4B07" w:rsidRDefault="002F09F3" w:rsidP="00532F43"/>
    <w:tbl>
      <w:tblPr>
        <w:tblW w:w="0" w:type="auto"/>
        <w:jc w:val="center"/>
        <w:tblInd w:w="1552" w:type="dxa"/>
        <w:tblLayout w:type="fixed"/>
        <w:tblCellMar>
          <w:left w:w="30" w:type="dxa"/>
          <w:right w:w="30" w:type="dxa"/>
        </w:tblCellMar>
        <w:tblLook w:val="0000" w:firstRow="0" w:lastRow="0" w:firstColumn="0" w:lastColumn="0" w:noHBand="0" w:noVBand="0"/>
      </w:tblPr>
      <w:tblGrid>
        <w:gridCol w:w="4536"/>
        <w:gridCol w:w="1417"/>
        <w:gridCol w:w="1418"/>
      </w:tblGrid>
      <w:tr w:rsidR="002F09F3" w:rsidTr="002F09F3">
        <w:trPr>
          <w:trHeight w:val="254"/>
          <w:jc w:val="center"/>
        </w:trPr>
        <w:tc>
          <w:tcPr>
            <w:tcW w:w="7371" w:type="dxa"/>
            <w:gridSpan w:val="3"/>
            <w:shd w:val="solid" w:color="FFFFFF" w:fill="CCFF99"/>
            <w:tcMar>
              <w:left w:w="57" w:type="dxa"/>
              <w:right w:w="57" w:type="dxa"/>
            </w:tcMar>
          </w:tcPr>
          <w:p w:rsidR="002F09F3" w:rsidRDefault="002F09F3" w:rsidP="00D81BFB">
            <w:pPr>
              <w:rPr>
                <w:b/>
              </w:rPr>
            </w:pPr>
            <w:r>
              <w:rPr>
                <w:b/>
              </w:rPr>
              <w:t>Einnahmen und Ausgaben für die Rechnungsperiode 2012-2013</w:t>
            </w:r>
          </w:p>
          <w:p w:rsidR="002F09F3" w:rsidRDefault="002F09F3" w:rsidP="00532F43">
            <w:pPr>
              <w:jc w:val="left"/>
              <w:rPr>
                <w:color w:val="000000"/>
              </w:rPr>
            </w:pPr>
          </w:p>
        </w:tc>
      </w:tr>
      <w:tr w:rsidR="002F09F3" w:rsidTr="002F09F3">
        <w:trPr>
          <w:trHeight w:val="254"/>
          <w:jc w:val="center"/>
        </w:trPr>
        <w:tc>
          <w:tcPr>
            <w:tcW w:w="4536" w:type="dxa"/>
            <w:tcBorders>
              <w:bottom w:val="single" w:sz="8" w:space="0" w:color="auto"/>
            </w:tcBorders>
            <w:shd w:val="solid" w:color="FFFFFF" w:fill="CCFF99"/>
            <w:tcMar>
              <w:left w:w="57" w:type="dxa"/>
              <w:right w:w="57" w:type="dxa"/>
            </w:tcMar>
          </w:tcPr>
          <w:p w:rsidR="002F09F3" w:rsidRDefault="00E6186E" w:rsidP="00532F43">
            <w:r>
              <w:t>(</w:t>
            </w:r>
            <w:r w:rsidR="002F09F3">
              <w:t>zum 31. Dezember 2013</w:t>
            </w:r>
            <w:r>
              <w:t>)</w:t>
            </w:r>
          </w:p>
          <w:p w:rsidR="002F09F3" w:rsidRDefault="002F09F3" w:rsidP="00532F43">
            <w:pPr>
              <w:rPr>
                <w:color w:val="000000"/>
              </w:rPr>
            </w:pPr>
          </w:p>
        </w:tc>
        <w:tc>
          <w:tcPr>
            <w:tcW w:w="2835" w:type="dxa"/>
            <w:gridSpan w:val="2"/>
            <w:tcBorders>
              <w:bottom w:val="single" w:sz="8" w:space="0" w:color="auto"/>
            </w:tcBorders>
            <w:shd w:val="solid" w:color="FFFFFF" w:fill="CCFF99"/>
            <w:tcMar>
              <w:left w:w="57" w:type="dxa"/>
              <w:right w:w="57" w:type="dxa"/>
            </w:tcMar>
          </w:tcPr>
          <w:p w:rsidR="002F09F3" w:rsidRDefault="002F09F3" w:rsidP="00532F43">
            <w:pPr>
              <w:jc w:val="center"/>
              <w:rPr>
                <w:color w:val="000000"/>
              </w:rPr>
            </w:pPr>
          </w:p>
        </w:tc>
      </w:tr>
      <w:tr w:rsidR="002F09F3" w:rsidTr="002F09F3">
        <w:trPr>
          <w:trHeight w:val="254"/>
          <w:jc w:val="center"/>
        </w:trPr>
        <w:tc>
          <w:tcPr>
            <w:tcW w:w="4536" w:type="dxa"/>
            <w:tcBorders>
              <w:top w:val="single" w:sz="8" w:space="0" w:color="auto"/>
              <w:left w:val="single" w:sz="8" w:space="0" w:color="auto"/>
              <w:bottom w:val="single" w:sz="4" w:space="0" w:color="auto"/>
              <w:right w:val="single" w:sz="4" w:space="0" w:color="auto"/>
            </w:tcBorders>
            <w:shd w:val="solid" w:color="FFFFFF" w:fill="CCFF99"/>
            <w:tcMar>
              <w:left w:w="57" w:type="dxa"/>
              <w:right w:w="57" w:type="dxa"/>
            </w:tcMar>
          </w:tcPr>
          <w:p w:rsidR="002F09F3" w:rsidRDefault="002F09F3" w:rsidP="00532F43">
            <w:pPr>
              <w:rPr>
                <w:color w:val="000000"/>
              </w:rPr>
            </w:pPr>
            <w:r>
              <w:rPr>
                <w:color w:val="000000"/>
              </w:rPr>
              <w:t>Treuhandgelder/Japan</w:t>
            </w:r>
          </w:p>
        </w:tc>
        <w:tc>
          <w:tcPr>
            <w:tcW w:w="2835" w:type="dxa"/>
            <w:gridSpan w:val="2"/>
            <w:tcBorders>
              <w:top w:val="single" w:sz="8" w:space="0" w:color="auto"/>
              <w:left w:val="single" w:sz="4" w:space="0" w:color="auto"/>
              <w:bottom w:val="single" w:sz="4" w:space="0" w:color="auto"/>
              <w:right w:val="single" w:sz="8" w:space="0" w:color="auto"/>
            </w:tcBorders>
            <w:shd w:val="solid" w:color="FFFFFF" w:fill="CCFF99"/>
            <w:tcMar>
              <w:left w:w="57" w:type="dxa"/>
              <w:right w:w="57" w:type="dxa"/>
            </w:tcMar>
          </w:tcPr>
          <w:p w:rsidR="002F09F3" w:rsidRDefault="002F09F3" w:rsidP="00532F43">
            <w:pPr>
              <w:jc w:val="center"/>
              <w:rPr>
                <w:color w:val="000000"/>
              </w:rPr>
            </w:pPr>
            <w:r>
              <w:rPr>
                <w:color w:val="000000"/>
              </w:rPr>
              <w:t>Schweizer Franken</w:t>
            </w:r>
          </w:p>
        </w:tc>
      </w:tr>
      <w:tr w:rsidR="002F09F3" w:rsidTr="002F09F3">
        <w:trPr>
          <w:trHeight w:val="254"/>
          <w:jc w:val="center"/>
        </w:trPr>
        <w:tc>
          <w:tcPr>
            <w:tcW w:w="4536" w:type="dxa"/>
            <w:tcBorders>
              <w:top w:val="single" w:sz="4" w:space="0" w:color="auto"/>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Saldo zu Beginn der Rechnungsperiode</w:t>
            </w:r>
          </w:p>
        </w:tc>
        <w:tc>
          <w:tcPr>
            <w:tcW w:w="1417" w:type="dxa"/>
            <w:tcBorders>
              <w:top w:val="single" w:sz="4" w:space="0" w:color="auto"/>
              <w:left w:val="single" w:sz="4" w:space="0" w:color="auto"/>
              <w:right w:val="single" w:sz="4" w:space="0" w:color="auto"/>
            </w:tcBorders>
            <w:tcMar>
              <w:left w:w="57" w:type="dxa"/>
              <w:right w:w="57" w:type="dxa"/>
            </w:tcMar>
          </w:tcPr>
          <w:p w:rsidR="002F09F3" w:rsidRPr="00D97C93" w:rsidRDefault="002F09F3" w:rsidP="00532F43">
            <w:pPr>
              <w:jc w:val="right"/>
              <w:rPr>
                <w:color w:val="000000"/>
              </w:rPr>
            </w:pPr>
          </w:p>
        </w:tc>
        <w:tc>
          <w:tcPr>
            <w:tcW w:w="1418" w:type="dxa"/>
            <w:tcBorders>
              <w:top w:val="single" w:sz="4" w:space="0" w:color="auto"/>
              <w:left w:val="single" w:sz="4" w:space="0" w:color="auto"/>
              <w:right w:val="single" w:sz="8" w:space="0" w:color="auto"/>
            </w:tcBorders>
            <w:tcMar>
              <w:left w:w="57" w:type="dxa"/>
              <w:right w:w="57" w:type="dxa"/>
            </w:tcMar>
          </w:tcPr>
          <w:p w:rsidR="002F09F3" w:rsidRPr="00D97C93" w:rsidRDefault="002F09F3" w:rsidP="00532F43">
            <w:pPr>
              <w:jc w:val="right"/>
              <w:rPr>
                <w:color w:val="000000"/>
              </w:rPr>
            </w:pPr>
            <w:r>
              <w:rPr>
                <w:color w:val="000000"/>
              </w:rPr>
              <w:t>218.481</w:t>
            </w: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i/>
                <w:color w:val="000000"/>
              </w:rPr>
            </w:pPr>
            <w:r>
              <w:rPr>
                <w:i/>
                <w:color w:val="000000"/>
              </w:rPr>
              <w:t>Einnahmen</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Eingegangene Mittel</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315.642</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40"/>
          <w:jc w:val="center"/>
        </w:trPr>
        <w:tc>
          <w:tcPr>
            <w:tcW w:w="4536" w:type="dxa"/>
            <w:vMerge w:val="restart"/>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Zinsen</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227</w:t>
            </w:r>
          </w:p>
        </w:tc>
        <w:tc>
          <w:tcPr>
            <w:tcW w:w="1418" w:type="dxa"/>
            <w:vMerge w:val="restart"/>
            <w:tcBorders>
              <w:left w:val="single" w:sz="4" w:space="0" w:color="auto"/>
              <w:right w:val="single" w:sz="8" w:space="0" w:color="auto"/>
            </w:tcBorders>
            <w:tcMar>
              <w:left w:w="57" w:type="dxa"/>
              <w:right w:w="57" w:type="dxa"/>
            </w:tcMar>
          </w:tcPr>
          <w:p w:rsidR="002F09F3" w:rsidRDefault="002F09F3" w:rsidP="00532F43">
            <w:pPr>
              <w:jc w:val="right"/>
              <w:rPr>
                <w:color w:val="000000"/>
              </w:rPr>
            </w:pPr>
          </w:p>
          <w:p w:rsidR="002F09F3" w:rsidRDefault="002F09F3" w:rsidP="00532F43">
            <w:pPr>
              <w:jc w:val="right"/>
              <w:rPr>
                <w:color w:val="000000"/>
              </w:rPr>
            </w:pPr>
            <w:r>
              <w:rPr>
                <w:color w:val="000000"/>
              </w:rPr>
              <w:t>315.869</w:t>
            </w:r>
          </w:p>
        </w:tc>
      </w:tr>
      <w:tr w:rsidR="002F09F3" w:rsidTr="002F09F3">
        <w:trPr>
          <w:trHeight w:val="210"/>
          <w:jc w:val="center"/>
        </w:trPr>
        <w:tc>
          <w:tcPr>
            <w:tcW w:w="4536" w:type="dxa"/>
            <w:vMerge/>
            <w:tcBorders>
              <w:left w:val="single" w:sz="8" w:space="0" w:color="auto"/>
              <w:right w:val="single" w:sz="4" w:space="0" w:color="auto"/>
            </w:tcBorders>
            <w:tcMar>
              <w:left w:w="57" w:type="dxa"/>
              <w:right w:w="57" w:type="dxa"/>
            </w:tcMar>
          </w:tcPr>
          <w:p w:rsidR="002F09F3" w:rsidRDefault="002F09F3" w:rsidP="00532F43">
            <w:pPr>
              <w:rPr>
                <w:color w:val="000000"/>
              </w:rPr>
            </w:pPr>
          </w:p>
        </w:tc>
        <w:tc>
          <w:tcPr>
            <w:tcW w:w="1417" w:type="dxa"/>
            <w:tcBorders>
              <w:top w:val="single" w:sz="4" w:space="0" w:color="auto"/>
              <w:left w:val="single" w:sz="4" w:space="0" w:color="auto"/>
              <w:right w:val="single" w:sz="4" w:space="0" w:color="auto"/>
            </w:tcBorders>
            <w:tcMar>
              <w:left w:w="57" w:type="dxa"/>
              <w:right w:w="57" w:type="dxa"/>
            </w:tcMar>
          </w:tcPr>
          <w:p w:rsidR="002F09F3" w:rsidRDefault="002F09F3" w:rsidP="00532F43">
            <w:pPr>
              <w:jc w:val="right"/>
              <w:rPr>
                <w:color w:val="000000"/>
              </w:rPr>
            </w:pPr>
          </w:p>
        </w:tc>
        <w:tc>
          <w:tcPr>
            <w:tcW w:w="1418" w:type="dxa"/>
            <w:vMerge/>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i/>
                <w:color w:val="000000"/>
              </w:rPr>
            </w:pPr>
            <w:r>
              <w:rPr>
                <w:i/>
                <w:color w:val="000000"/>
              </w:rPr>
              <w:t>Ausgaben</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Dienstreisen von Mitarbeitern</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87.999</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Reisen Dritter</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226.961</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Konferenzen</w:t>
            </w:r>
          </w:p>
        </w:tc>
        <w:tc>
          <w:tcPr>
            <w:tcW w:w="1417" w:type="dxa"/>
            <w:tcBorders>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4.930</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D81BFB">
            <w:pPr>
              <w:rPr>
                <w:color w:val="000000"/>
              </w:rPr>
            </w:pPr>
            <w:r>
              <w:rPr>
                <w:color w:val="000000"/>
              </w:rPr>
              <w:t>Andere vertraglich vereinbarte Dienstleistungen</w:t>
            </w:r>
          </w:p>
          <w:p w:rsidR="002F09F3" w:rsidRDefault="002F09F3" w:rsidP="00D81BFB">
            <w:pPr>
              <w:rPr>
                <w:color w:val="000000"/>
              </w:rPr>
            </w:pPr>
            <w:r>
              <w:rPr>
                <w:color w:val="000000"/>
              </w:rPr>
              <w:t>Betriebsaufwand</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8.679</w:t>
            </w:r>
          </w:p>
          <w:p w:rsidR="002F09F3" w:rsidRDefault="002F09F3" w:rsidP="00532F43">
            <w:pPr>
              <w:jc w:val="right"/>
              <w:rPr>
                <w:color w:val="000000"/>
              </w:rPr>
            </w:pPr>
            <w:r>
              <w:rPr>
                <w:color w:val="000000"/>
              </w:rPr>
              <w:t>210</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Direkte Ausgaben insgesamt</w:t>
            </w:r>
          </w:p>
        </w:tc>
        <w:tc>
          <w:tcPr>
            <w:tcW w:w="1417" w:type="dxa"/>
            <w:tcBorders>
              <w:top w:val="single" w:sz="4" w:space="0" w:color="auto"/>
              <w:left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328.779</w:t>
            </w:r>
          </w:p>
        </w:tc>
        <w:tc>
          <w:tcPr>
            <w:tcW w:w="1418" w:type="dxa"/>
            <w:tcBorders>
              <w:left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10"/>
          <w:jc w:val="center"/>
        </w:trPr>
        <w:tc>
          <w:tcPr>
            <w:tcW w:w="4536" w:type="dxa"/>
            <w:vMerge w:val="restart"/>
            <w:tcBorders>
              <w:left w:val="single" w:sz="8" w:space="0" w:color="auto"/>
              <w:right w:val="single" w:sz="4" w:space="0" w:color="auto"/>
            </w:tcBorders>
            <w:tcMar>
              <w:left w:w="57" w:type="dxa"/>
              <w:right w:w="57" w:type="dxa"/>
            </w:tcMar>
          </w:tcPr>
          <w:p w:rsidR="002F09F3" w:rsidRDefault="002F09F3" w:rsidP="00532F43">
            <w:pPr>
              <w:rPr>
                <w:color w:val="000000"/>
              </w:rPr>
            </w:pPr>
            <w:r>
              <w:rPr>
                <w:color w:val="000000"/>
              </w:rPr>
              <w:t>Verwaltungskosten</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532F43">
            <w:pPr>
              <w:jc w:val="right"/>
              <w:rPr>
                <w:color w:val="000000"/>
              </w:rPr>
            </w:pPr>
            <w:r>
              <w:rPr>
                <w:color w:val="000000"/>
              </w:rPr>
              <w:t>42.741</w:t>
            </w:r>
          </w:p>
        </w:tc>
        <w:tc>
          <w:tcPr>
            <w:tcW w:w="1418" w:type="dxa"/>
            <w:vMerge w:val="restart"/>
            <w:tcBorders>
              <w:left w:val="single" w:sz="4" w:space="0" w:color="auto"/>
              <w:right w:val="single" w:sz="8" w:space="0" w:color="auto"/>
            </w:tcBorders>
            <w:tcMar>
              <w:left w:w="57" w:type="dxa"/>
              <w:right w:w="57" w:type="dxa"/>
            </w:tcMar>
          </w:tcPr>
          <w:p w:rsidR="002F09F3" w:rsidRDefault="002F09F3" w:rsidP="00532F43">
            <w:pPr>
              <w:jc w:val="right"/>
              <w:rPr>
                <w:color w:val="000000"/>
              </w:rPr>
            </w:pPr>
          </w:p>
          <w:p w:rsidR="002F09F3" w:rsidRDefault="002F09F3" w:rsidP="00532F43">
            <w:pPr>
              <w:jc w:val="right"/>
              <w:rPr>
                <w:color w:val="000000"/>
              </w:rPr>
            </w:pPr>
            <w:r>
              <w:rPr>
                <w:color w:val="000000"/>
              </w:rPr>
              <w:t>-371.520</w:t>
            </w:r>
          </w:p>
        </w:tc>
      </w:tr>
      <w:tr w:rsidR="002F09F3" w:rsidTr="002F09F3">
        <w:trPr>
          <w:trHeight w:val="240"/>
          <w:jc w:val="center"/>
        </w:trPr>
        <w:tc>
          <w:tcPr>
            <w:tcW w:w="4536" w:type="dxa"/>
            <w:vMerge/>
            <w:tcBorders>
              <w:left w:val="single" w:sz="8" w:space="0" w:color="auto"/>
              <w:bottom w:val="single" w:sz="4" w:space="0" w:color="auto"/>
              <w:right w:val="single" w:sz="4" w:space="0" w:color="auto"/>
            </w:tcBorders>
            <w:tcMar>
              <w:left w:w="57" w:type="dxa"/>
              <w:right w:w="57" w:type="dxa"/>
            </w:tcMar>
          </w:tcPr>
          <w:p w:rsidR="002F09F3" w:rsidRDefault="002F09F3" w:rsidP="00532F43">
            <w:pPr>
              <w:rPr>
                <w:color w:val="00000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2F09F3" w:rsidRDefault="002F09F3" w:rsidP="00532F43">
            <w:pPr>
              <w:rPr>
                <w:color w:val="000000"/>
              </w:rPr>
            </w:pPr>
          </w:p>
        </w:tc>
        <w:tc>
          <w:tcPr>
            <w:tcW w:w="1418" w:type="dxa"/>
            <w:vMerge/>
            <w:tcBorders>
              <w:left w:val="single" w:sz="4" w:space="0" w:color="auto"/>
              <w:bottom w:val="single" w:sz="4" w:space="0" w:color="auto"/>
              <w:right w:val="single" w:sz="8" w:space="0" w:color="auto"/>
            </w:tcBorders>
            <w:tcMar>
              <w:left w:w="57" w:type="dxa"/>
              <w:right w:w="57" w:type="dxa"/>
            </w:tcMar>
          </w:tcPr>
          <w:p w:rsidR="002F09F3" w:rsidRDefault="002F09F3" w:rsidP="00532F43">
            <w:pPr>
              <w:jc w:val="right"/>
              <w:rPr>
                <w:color w:val="000000"/>
              </w:rPr>
            </w:pPr>
          </w:p>
        </w:tc>
      </w:tr>
      <w:tr w:rsidR="002F09F3" w:rsidTr="002F09F3">
        <w:trPr>
          <w:trHeight w:val="254"/>
          <w:jc w:val="center"/>
        </w:trPr>
        <w:tc>
          <w:tcPr>
            <w:tcW w:w="4536" w:type="dxa"/>
            <w:tcBorders>
              <w:top w:val="single" w:sz="4" w:space="0" w:color="auto"/>
              <w:left w:val="single" w:sz="8" w:space="0" w:color="auto"/>
              <w:bottom w:val="single" w:sz="8" w:space="0" w:color="auto"/>
              <w:right w:val="single" w:sz="4" w:space="0" w:color="auto"/>
            </w:tcBorders>
            <w:shd w:val="clear" w:color="auto" w:fill="CCFF99"/>
            <w:tcMar>
              <w:left w:w="57" w:type="dxa"/>
              <w:right w:w="57" w:type="dxa"/>
            </w:tcMar>
          </w:tcPr>
          <w:p w:rsidR="002F09F3" w:rsidRDefault="002F09F3" w:rsidP="00211C27">
            <w:pPr>
              <w:jc w:val="left"/>
              <w:rPr>
                <w:color w:val="000000"/>
              </w:rPr>
            </w:pPr>
            <w:r>
              <w:rPr>
                <w:color w:val="000000"/>
              </w:rPr>
              <w:t>Verfügbare Mittel am Schluß der Rechnungsperiode</w:t>
            </w:r>
          </w:p>
        </w:tc>
        <w:tc>
          <w:tcPr>
            <w:tcW w:w="1417" w:type="dxa"/>
            <w:tcBorders>
              <w:top w:val="single" w:sz="4" w:space="0" w:color="auto"/>
              <w:left w:val="single" w:sz="4" w:space="0" w:color="auto"/>
              <w:bottom w:val="single" w:sz="8" w:space="0" w:color="auto"/>
              <w:right w:val="single" w:sz="4" w:space="0" w:color="auto"/>
            </w:tcBorders>
            <w:shd w:val="clear" w:color="auto" w:fill="CCFF99"/>
            <w:tcMar>
              <w:left w:w="57" w:type="dxa"/>
              <w:right w:w="57" w:type="dxa"/>
            </w:tcMar>
          </w:tcPr>
          <w:p w:rsidR="002F09F3" w:rsidRDefault="002F09F3" w:rsidP="00532F43">
            <w:pPr>
              <w:jc w:val="right"/>
              <w:rPr>
                <w:color w:val="000000"/>
              </w:rPr>
            </w:pPr>
          </w:p>
        </w:tc>
        <w:tc>
          <w:tcPr>
            <w:tcW w:w="1418" w:type="dxa"/>
            <w:tcBorders>
              <w:top w:val="single" w:sz="4" w:space="0" w:color="auto"/>
              <w:left w:val="single" w:sz="4" w:space="0" w:color="auto"/>
              <w:bottom w:val="single" w:sz="8" w:space="0" w:color="auto"/>
              <w:right w:val="single" w:sz="8" w:space="0" w:color="auto"/>
            </w:tcBorders>
            <w:shd w:val="clear" w:color="auto" w:fill="CCFF99"/>
            <w:tcMar>
              <w:left w:w="57" w:type="dxa"/>
              <w:right w:w="57" w:type="dxa"/>
            </w:tcMar>
          </w:tcPr>
          <w:p w:rsidR="002F09F3" w:rsidRDefault="002F09F3" w:rsidP="00532F43">
            <w:pPr>
              <w:jc w:val="right"/>
              <w:rPr>
                <w:color w:val="000000"/>
              </w:rPr>
            </w:pPr>
            <w:r>
              <w:rPr>
                <w:color w:val="000000"/>
              </w:rPr>
              <w:t>162.830</w:t>
            </w:r>
          </w:p>
        </w:tc>
      </w:tr>
      <w:tr w:rsidR="002F09F3" w:rsidRPr="004E4B07" w:rsidTr="002F09F3">
        <w:trPr>
          <w:trHeight w:val="475"/>
          <w:jc w:val="center"/>
        </w:trPr>
        <w:tc>
          <w:tcPr>
            <w:tcW w:w="7371" w:type="dxa"/>
            <w:gridSpan w:val="3"/>
            <w:tcBorders>
              <w:top w:val="single" w:sz="8" w:space="0" w:color="auto"/>
            </w:tcBorders>
            <w:tcMar>
              <w:left w:w="57" w:type="dxa"/>
              <w:right w:w="57" w:type="dxa"/>
            </w:tcMar>
          </w:tcPr>
          <w:p w:rsidR="002F09F3" w:rsidRPr="004E4B07" w:rsidRDefault="002F09F3" w:rsidP="00532F43">
            <w:pPr>
              <w:rPr>
                <w:i/>
                <w:color w:val="000000"/>
                <w:sz w:val="16"/>
                <w:szCs w:val="16"/>
              </w:rPr>
            </w:pPr>
          </w:p>
          <w:p w:rsidR="002F09F3" w:rsidRPr="004E4B07" w:rsidRDefault="002F09F3" w:rsidP="00532F43">
            <w:pPr>
              <w:ind w:left="537" w:hanging="537"/>
              <w:rPr>
                <w:color w:val="000000"/>
                <w:sz w:val="16"/>
                <w:szCs w:val="16"/>
              </w:rPr>
            </w:pPr>
            <w:r>
              <w:rPr>
                <w:i/>
                <w:color w:val="000000"/>
                <w:sz w:val="16"/>
              </w:rPr>
              <w:t>Anmerkung</w:t>
            </w:r>
            <w:r>
              <w:rPr>
                <w:color w:val="000000"/>
                <w:sz w:val="16"/>
              </w:rPr>
              <w:t>:</w:t>
            </w:r>
            <w:r>
              <w:tab/>
            </w:r>
            <w:r>
              <w:rPr>
                <w:color w:val="000000"/>
                <w:sz w:val="16"/>
              </w:rPr>
              <w:t>Treuhandgelder in Form</w:t>
            </w:r>
            <w:r w:rsidR="00C67B64">
              <w:rPr>
                <w:color w:val="000000"/>
                <w:sz w:val="16"/>
              </w:rPr>
              <w:t xml:space="preserve"> von außeretatmäßigen</w:t>
            </w:r>
            <w:r>
              <w:rPr>
                <w:color w:val="000000"/>
                <w:sz w:val="16"/>
              </w:rPr>
              <w:t xml:space="preserve"> Mittel</w:t>
            </w:r>
            <w:r w:rsidR="00C67B64">
              <w:rPr>
                <w:color w:val="000000"/>
                <w:sz w:val="16"/>
              </w:rPr>
              <w:t>n</w:t>
            </w:r>
            <w:r>
              <w:rPr>
                <w:color w:val="000000"/>
                <w:sz w:val="16"/>
              </w:rPr>
              <w:t xml:space="preserve"> von der Regierung von Japan für regionale Seminare und Arbeitstagungen über Sortenschutz in der Region Asien.</w:t>
            </w:r>
          </w:p>
          <w:p w:rsidR="002F09F3" w:rsidRPr="004E4B07" w:rsidRDefault="002F09F3" w:rsidP="00532F43">
            <w:pPr>
              <w:ind w:left="537" w:hanging="537"/>
              <w:rPr>
                <w:color w:val="000000"/>
                <w:sz w:val="16"/>
                <w:szCs w:val="16"/>
              </w:rPr>
            </w:pPr>
          </w:p>
        </w:tc>
      </w:tr>
    </w:tbl>
    <w:p w:rsidR="002F09F3" w:rsidRDefault="002F09F3" w:rsidP="00532F43"/>
    <w:p w:rsidR="002F09F3" w:rsidRDefault="002F09F3" w:rsidP="00532F43"/>
    <w:tbl>
      <w:tblPr>
        <w:tblpPr w:leftFromText="180" w:rightFromText="180" w:vertAnchor="text" w:horzAnchor="margin" w:tblpXSpec="center" w:tblpY="168"/>
        <w:tblW w:w="0" w:type="auto"/>
        <w:tblLayout w:type="fixed"/>
        <w:tblCellMar>
          <w:left w:w="30" w:type="dxa"/>
          <w:right w:w="30" w:type="dxa"/>
        </w:tblCellMar>
        <w:tblLook w:val="0000" w:firstRow="0" w:lastRow="0" w:firstColumn="0" w:lastColumn="0" w:noHBand="0" w:noVBand="0"/>
      </w:tblPr>
      <w:tblGrid>
        <w:gridCol w:w="4509"/>
        <w:gridCol w:w="1417"/>
        <w:gridCol w:w="1445"/>
      </w:tblGrid>
      <w:tr w:rsidR="002F09F3" w:rsidTr="00D12AAF">
        <w:trPr>
          <w:trHeight w:val="254"/>
        </w:trPr>
        <w:tc>
          <w:tcPr>
            <w:tcW w:w="4509" w:type="dxa"/>
            <w:tcBorders>
              <w:top w:val="single" w:sz="8" w:space="0" w:color="auto"/>
              <w:left w:val="single" w:sz="8" w:space="0" w:color="auto"/>
              <w:bottom w:val="single" w:sz="4" w:space="0" w:color="auto"/>
              <w:right w:val="single" w:sz="4" w:space="0" w:color="auto"/>
            </w:tcBorders>
            <w:shd w:val="solid" w:color="FFFFFF" w:fill="CCFF99"/>
            <w:tcMar>
              <w:left w:w="57" w:type="dxa"/>
              <w:right w:w="57" w:type="dxa"/>
            </w:tcMar>
          </w:tcPr>
          <w:p w:rsidR="002F09F3" w:rsidRDefault="002F09F3" w:rsidP="00D12AAF">
            <w:pPr>
              <w:tabs>
                <w:tab w:val="right" w:pos="4395"/>
              </w:tabs>
              <w:rPr>
                <w:color w:val="000000"/>
              </w:rPr>
            </w:pPr>
            <w:r>
              <w:rPr>
                <w:color w:val="000000"/>
              </w:rPr>
              <w:t>Treuhandgelder/Vereinigte Staaten von Amerika</w:t>
            </w:r>
            <w:r>
              <w:tab/>
            </w:r>
          </w:p>
        </w:tc>
        <w:tc>
          <w:tcPr>
            <w:tcW w:w="2862" w:type="dxa"/>
            <w:gridSpan w:val="2"/>
            <w:tcBorders>
              <w:top w:val="single" w:sz="8" w:space="0" w:color="auto"/>
              <w:left w:val="single" w:sz="4" w:space="0" w:color="auto"/>
              <w:bottom w:val="single" w:sz="4" w:space="0" w:color="auto"/>
              <w:right w:val="single" w:sz="8" w:space="0" w:color="auto"/>
            </w:tcBorders>
            <w:shd w:val="solid" w:color="FFFFFF" w:fill="CCFF99"/>
            <w:tcMar>
              <w:left w:w="57" w:type="dxa"/>
              <w:right w:w="57" w:type="dxa"/>
            </w:tcMar>
          </w:tcPr>
          <w:p w:rsidR="002F09F3" w:rsidRDefault="002F09F3" w:rsidP="002F09F3">
            <w:pPr>
              <w:jc w:val="center"/>
              <w:rPr>
                <w:color w:val="000000"/>
              </w:rPr>
            </w:pPr>
            <w:r>
              <w:rPr>
                <w:color w:val="000000"/>
              </w:rPr>
              <w:t>Schweizer Franken</w:t>
            </w:r>
          </w:p>
        </w:tc>
      </w:tr>
      <w:tr w:rsidR="002F09F3" w:rsidTr="00532F43">
        <w:trPr>
          <w:trHeight w:val="254"/>
        </w:trPr>
        <w:tc>
          <w:tcPr>
            <w:tcW w:w="4509" w:type="dxa"/>
            <w:tcBorders>
              <w:top w:val="single" w:sz="4" w:space="0" w:color="auto"/>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Saldo zu Beginn der Rechnungsperiode</w:t>
            </w:r>
          </w:p>
        </w:tc>
        <w:tc>
          <w:tcPr>
            <w:tcW w:w="1417" w:type="dxa"/>
            <w:tcBorders>
              <w:top w:val="single" w:sz="4" w:space="0" w:color="auto"/>
              <w:left w:val="single" w:sz="4" w:space="0" w:color="auto"/>
              <w:right w:val="single" w:sz="4" w:space="0" w:color="auto"/>
            </w:tcBorders>
            <w:tcMar>
              <w:left w:w="57" w:type="dxa"/>
              <w:right w:w="57" w:type="dxa"/>
            </w:tcMar>
          </w:tcPr>
          <w:p w:rsidR="002F09F3" w:rsidRDefault="002F09F3" w:rsidP="002F09F3">
            <w:pPr>
              <w:jc w:val="right"/>
              <w:rPr>
                <w:color w:val="000000"/>
              </w:rPr>
            </w:pPr>
          </w:p>
        </w:tc>
        <w:tc>
          <w:tcPr>
            <w:tcW w:w="1445" w:type="dxa"/>
            <w:tcBorders>
              <w:top w:val="single" w:sz="4" w:space="0" w:color="auto"/>
              <w:left w:val="single" w:sz="4" w:space="0" w:color="auto"/>
              <w:right w:val="single" w:sz="8" w:space="0" w:color="auto"/>
            </w:tcBorders>
            <w:tcMar>
              <w:left w:w="57" w:type="dxa"/>
              <w:right w:w="57" w:type="dxa"/>
            </w:tcMar>
          </w:tcPr>
          <w:p w:rsidR="002F09F3" w:rsidRDefault="002F09F3" w:rsidP="002F09F3">
            <w:pPr>
              <w:jc w:val="right"/>
              <w:rPr>
                <w:color w:val="000000"/>
              </w:rPr>
            </w:pPr>
            <w:r>
              <w:rPr>
                <w:color w:val="000000"/>
              </w:rPr>
              <w:t>8.897</w:t>
            </w:r>
          </w:p>
        </w:tc>
      </w:tr>
      <w:tr w:rsidR="002F09F3" w:rsidTr="00D12AAF">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i/>
                <w:color w:val="000000"/>
              </w:rPr>
            </w:pPr>
            <w:r>
              <w:rPr>
                <w:i/>
                <w:color w:val="000000"/>
              </w:rPr>
              <w:t>Einnahmen</w:t>
            </w:r>
          </w:p>
        </w:tc>
        <w:tc>
          <w:tcPr>
            <w:tcW w:w="1417" w:type="dxa"/>
            <w:tcBorders>
              <w:left w:val="single" w:sz="4" w:space="0" w:color="auto"/>
              <w:right w:val="single" w:sz="4" w:space="0" w:color="auto"/>
            </w:tcBorders>
            <w:tcMar>
              <w:left w:w="57" w:type="dxa"/>
              <w:right w:w="57" w:type="dxa"/>
            </w:tcMar>
          </w:tcPr>
          <w:p w:rsidR="002F09F3" w:rsidRDefault="002F09F3" w:rsidP="002F09F3">
            <w:pPr>
              <w:jc w:val="right"/>
              <w:rPr>
                <w:color w:val="000000"/>
              </w:rPr>
            </w:pP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D12AAF">
        <w:trPr>
          <w:trHeight w:val="80"/>
        </w:trPr>
        <w:tc>
          <w:tcPr>
            <w:tcW w:w="4509" w:type="dxa"/>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Eingegangene Mittel</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D12AAF" w:rsidP="002F09F3">
            <w:pPr>
              <w:jc w:val="right"/>
              <w:rPr>
                <w:color w:val="000000"/>
              </w:rPr>
            </w:pPr>
            <w:r>
              <w:rPr>
                <w:color w:val="000000"/>
              </w:rPr>
              <w:t>238.443</w:t>
            </w: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r>
              <w:rPr>
                <w:color w:val="000000"/>
              </w:rPr>
              <w:t>238.443</w:t>
            </w:r>
          </w:p>
        </w:tc>
      </w:tr>
      <w:tr w:rsidR="00D12AAF" w:rsidTr="00D12AAF">
        <w:trPr>
          <w:trHeight w:val="254"/>
        </w:trPr>
        <w:tc>
          <w:tcPr>
            <w:tcW w:w="4509" w:type="dxa"/>
            <w:tcBorders>
              <w:left w:val="single" w:sz="8" w:space="0" w:color="auto"/>
              <w:right w:val="single" w:sz="4" w:space="0" w:color="auto"/>
            </w:tcBorders>
            <w:tcMar>
              <w:left w:w="57" w:type="dxa"/>
              <w:right w:w="57" w:type="dxa"/>
            </w:tcMar>
          </w:tcPr>
          <w:p w:rsidR="00D12AAF" w:rsidRDefault="00D12AAF" w:rsidP="002F09F3">
            <w:pPr>
              <w:rPr>
                <w:i/>
                <w:color w:val="000000"/>
              </w:rPr>
            </w:pPr>
          </w:p>
        </w:tc>
        <w:tc>
          <w:tcPr>
            <w:tcW w:w="1417" w:type="dxa"/>
            <w:tcBorders>
              <w:top w:val="single" w:sz="4" w:space="0" w:color="auto"/>
              <w:left w:val="single" w:sz="4" w:space="0" w:color="auto"/>
              <w:right w:val="single" w:sz="4" w:space="0" w:color="auto"/>
            </w:tcBorders>
            <w:tcMar>
              <w:left w:w="57" w:type="dxa"/>
              <w:right w:w="57" w:type="dxa"/>
            </w:tcMar>
          </w:tcPr>
          <w:p w:rsidR="00D12AAF" w:rsidRDefault="00D12AAF" w:rsidP="002F09F3">
            <w:pPr>
              <w:jc w:val="right"/>
              <w:rPr>
                <w:color w:val="000000"/>
              </w:rPr>
            </w:pPr>
          </w:p>
        </w:tc>
        <w:tc>
          <w:tcPr>
            <w:tcW w:w="1445" w:type="dxa"/>
            <w:tcBorders>
              <w:left w:val="single" w:sz="4" w:space="0" w:color="auto"/>
              <w:right w:val="single" w:sz="8" w:space="0" w:color="auto"/>
            </w:tcBorders>
            <w:tcMar>
              <w:left w:w="57" w:type="dxa"/>
              <w:right w:w="57" w:type="dxa"/>
            </w:tcMar>
          </w:tcPr>
          <w:p w:rsidR="00D12AAF" w:rsidRDefault="00D12AAF" w:rsidP="002F09F3">
            <w:pPr>
              <w:jc w:val="right"/>
              <w:rPr>
                <w:color w:val="000000"/>
              </w:rPr>
            </w:pPr>
          </w:p>
        </w:tc>
      </w:tr>
      <w:tr w:rsidR="002F09F3" w:rsidTr="00D12AAF">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i/>
                <w:color w:val="000000"/>
              </w:rPr>
            </w:pPr>
            <w:r>
              <w:rPr>
                <w:i/>
                <w:color w:val="000000"/>
              </w:rPr>
              <w:t>Ausgaben</w:t>
            </w:r>
          </w:p>
        </w:tc>
        <w:tc>
          <w:tcPr>
            <w:tcW w:w="1417" w:type="dxa"/>
            <w:tcBorders>
              <w:left w:val="single" w:sz="4" w:space="0" w:color="auto"/>
              <w:right w:val="single" w:sz="4" w:space="0" w:color="auto"/>
            </w:tcBorders>
            <w:tcMar>
              <w:left w:w="57" w:type="dxa"/>
              <w:right w:w="57" w:type="dxa"/>
            </w:tcMar>
          </w:tcPr>
          <w:p w:rsidR="002F09F3" w:rsidRDefault="002F09F3" w:rsidP="002F09F3">
            <w:pPr>
              <w:jc w:val="right"/>
              <w:rPr>
                <w:color w:val="000000"/>
              </w:rPr>
            </w:pP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D12AAF">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Reisen Dritter</w:t>
            </w:r>
          </w:p>
        </w:tc>
        <w:tc>
          <w:tcPr>
            <w:tcW w:w="1417" w:type="dxa"/>
            <w:tcBorders>
              <w:left w:val="single" w:sz="4" w:space="0" w:color="auto"/>
              <w:right w:val="single" w:sz="4" w:space="0" w:color="auto"/>
            </w:tcBorders>
            <w:tcMar>
              <w:left w:w="57" w:type="dxa"/>
              <w:right w:w="57" w:type="dxa"/>
            </w:tcMar>
          </w:tcPr>
          <w:p w:rsidR="002F09F3" w:rsidRDefault="002F09F3" w:rsidP="002F09F3">
            <w:pPr>
              <w:jc w:val="right"/>
              <w:rPr>
                <w:color w:val="000000"/>
              </w:rPr>
            </w:pPr>
            <w:r>
              <w:rPr>
                <w:color w:val="000000"/>
              </w:rPr>
              <w:t>212.934</w:t>
            </w: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532F43">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Vertraglich vereinbarte Dienstleistungen</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2F09F3">
            <w:pPr>
              <w:jc w:val="right"/>
              <w:rPr>
                <w:color w:val="000000"/>
              </w:rPr>
            </w:pPr>
            <w:r>
              <w:rPr>
                <w:color w:val="000000"/>
              </w:rPr>
              <w:t>3.000</w:t>
            </w: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532F43">
        <w:trPr>
          <w:trHeight w:val="254"/>
        </w:trPr>
        <w:tc>
          <w:tcPr>
            <w:tcW w:w="4509" w:type="dxa"/>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Unmittelbare Ausgaben insgesamt</w:t>
            </w:r>
          </w:p>
        </w:tc>
        <w:tc>
          <w:tcPr>
            <w:tcW w:w="1417" w:type="dxa"/>
            <w:tcBorders>
              <w:top w:val="single" w:sz="4" w:space="0" w:color="auto"/>
              <w:left w:val="single" w:sz="4" w:space="0" w:color="auto"/>
              <w:right w:val="single" w:sz="4" w:space="0" w:color="auto"/>
            </w:tcBorders>
            <w:tcMar>
              <w:left w:w="57" w:type="dxa"/>
              <w:right w:w="57" w:type="dxa"/>
            </w:tcMar>
          </w:tcPr>
          <w:p w:rsidR="002F09F3" w:rsidRDefault="002F09F3" w:rsidP="002F09F3">
            <w:pPr>
              <w:jc w:val="right"/>
              <w:rPr>
                <w:color w:val="000000"/>
              </w:rPr>
            </w:pPr>
            <w:r>
              <w:rPr>
                <w:color w:val="000000"/>
              </w:rPr>
              <w:t>215.934</w:t>
            </w:r>
          </w:p>
        </w:tc>
        <w:tc>
          <w:tcPr>
            <w:tcW w:w="1445" w:type="dxa"/>
            <w:tcBorders>
              <w:left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RPr="00B82693" w:rsidTr="00532F43">
        <w:trPr>
          <w:trHeight w:val="230"/>
        </w:trPr>
        <w:tc>
          <w:tcPr>
            <w:tcW w:w="4509" w:type="dxa"/>
            <w:vMerge w:val="restart"/>
            <w:tcBorders>
              <w:left w:val="single" w:sz="8" w:space="0" w:color="auto"/>
              <w:right w:val="single" w:sz="4" w:space="0" w:color="auto"/>
            </w:tcBorders>
            <w:tcMar>
              <w:left w:w="57" w:type="dxa"/>
              <w:right w:w="57" w:type="dxa"/>
            </w:tcMar>
          </w:tcPr>
          <w:p w:rsidR="002F09F3" w:rsidRDefault="002F09F3" w:rsidP="002F09F3">
            <w:pPr>
              <w:rPr>
                <w:color w:val="000000"/>
              </w:rPr>
            </w:pPr>
            <w:r>
              <w:rPr>
                <w:color w:val="000000"/>
              </w:rPr>
              <w:t>Verwaltungskosten</w:t>
            </w:r>
          </w:p>
        </w:tc>
        <w:tc>
          <w:tcPr>
            <w:tcW w:w="1417" w:type="dxa"/>
            <w:tcBorders>
              <w:left w:val="single" w:sz="4" w:space="0" w:color="auto"/>
              <w:bottom w:val="single" w:sz="4" w:space="0" w:color="auto"/>
              <w:right w:val="single" w:sz="4" w:space="0" w:color="auto"/>
            </w:tcBorders>
            <w:tcMar>
              <w:left w:w="57" w:type="dxa"/>
              <w:right w:w="57" w:type="dxa"/>
            </w:tcMar>
          </w:tcPr>
          <w:p w:rsidR="002F09F3" w:rsidRDefault="002F09F3" w:rsidP="002F09F3">
            <w:pPr>
              <w:jc w:val="right"/>
              <w:rPr>
                <w:color w:val="000000"/>
              </w:rPr>
            </w:pPr>
            <w:r>
              <w:rPr>
                <w:color w:val="000000"/>
              </w:rPr>
              <w:t>28.071</w:t>
            </w:r>
          </w:p>
        </w:tc>
        <w:tc>
          <w:tcPr>
            <w:tcW w:w="1445" w:type="dxa"/>
            <w:vMerge w:val="restart"/>
            <w:tcBorders>
              <w:left w:val="single" w:sz="4" w:space="0" w:color="auto"/>
              <w:right w:val="single" w:sz="8" w:space="0" w:color="auto"/>
            </w:tcBorders>
            <w:tcMar>
              <w:left w:w="57" w:type="dxa"/>
              <w:right w:w="57" w:type="dxa"/>
            </w:tcMar>
          </w:tcPr>
          <w:p w:rsidR="002F09F3" w:rsidRDefault="002F09F3" w:rsidP="002F09F3"/>
          <w:p w:rsidR="002F09F3" w:rsidRPr="00B82693" w:rsidRDefault="002F09F3" w:rsidP="002F09F3">
            <w:pPr>
              <w:jc w:val="right"/>
            </w:pPr>
            <w:r>
              <w:t>-244.005</w:t>
            </w:r>
          </w:p>
        </w:tc>
      </w:tr>
      <w:tr w:rsidR="002F09F3" w:rsidTr="00532F43">
        <w:trPr>
          <w:trHeight w:val="220"/>
        </w:trPr>
        <w:tc>
          <w:tcPr>
            <w:tcW w:w="4509" w:type="dxa"/>
            <w:vMerge/>
            <w:tcBorders>
              <w:left w:val="single" w:sz="8" w:space="0" w:color="auto"/>
              <w:bottom w:val="single" w:sz="4" w:space="0" w:color="auto"/>
              <w:right w:val="single" w:sz="4" w:space="0" w:color="auto"/>
            </w:tcBorders>
            <w:tcMar>
              <w:left w:w="57" w:type="dxa"/>
              <w:right w:w="57" w:type="dxa"/>
            </w:tcMar>
          </w:tcPr>
          <w:p w:rsidR="002F09F3" w:rsidRDefault="002F09F3" w:rsidP="002F09F3">
            <w:pPr>
              <w:rPr>
                <w:color w:val="000000"/>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rsidR="002F09F3" w:rsidRDefault="002F09F3" w:rsidP="002F09F3">
            <w:pPr>
              <w:rPr>
                <w:color w:val="000000"/>
              </w:rPr>
            </w:pPr>
          </w:p>
        </w:tc>
        <w:tc>
          <w:tcPr>
            <w:tcW w:w="1445" w:type="dxa"/>
            <w:vMerge/>
            <w:tcBorders>
              <w:left w:val="single" w:sz="4" w:space="0" w:color="auto"/>
              <w:bottom w:val="single" w:sz="4" w:space="0" w:color="auto"/>
              <w:right w:val="single" w:sz="8" w:space="0" w:color="auto"/>
            </w:tcBorders>
            <w:tcMar>
              <w:left w:w="57" w:type="dxa"/>
              <w:right w:w="57" w:type="dxa"/>
            </w:tcMar>
          </w:tcPr>
          <w:p w:rsidR="002F09F3" w:rsidRDefault="002F09F3" w:rsidP="002F09F3">
            <w:pPr>
              <w:jc w:val="right"/>
              <w:rPr>
                <w:color w:val="000000"/>
              </w:rPr>
            </w:pPr>
          </w:p>
        </w:tc>
      </w:tr>
      <w:tr w:rsidR="002F09F3" w:rsidTr="00D12AAF">
        <w:trPr>
          <w:trHeight w:val="254"/>
        </w:trPr>
        <w:tc>
          <w:tcPr>
            <w:tcW w:w="4509" w:type="dxa"/>
            <w:tcBorders>
              <w:top w:val="single" w:sz="4" w:space="0" w:color="auto"/>
              <w:left w:val="single" w:sz="8" w:space="0" w:color="auto"/>
              <w:bottom w:val="single" w:sz="8" w:space="0" w:color="auto"/>
              <w:right w:val="single" w:sz="4" w:space="0" w:color="auto"/>
            </w:tcBorders>
            <w:shd w:val="clear" w:color="auto" w:fill="CCFF99"/>
            <w:tcMar>
              <w:left w:w="57" w:type="dxa"/>
              <w:right w:w="57" w:type="dxa"/>
            </w:tcMar>
          </w:tcPr>
          <w:p w:rsidR="002F09F3" w:rsidRDefault="002F09F3" w:rsidP="00211C27">
            <w:pPr>
              <w:jc w:val="left"/>
              <w:rPr>
                <w:color w:val="000000"/>
              </w:rPr>
            </w:pPr>
            <w:r>
              <w:rPr>
                <w:color w:val="000000"/>
              </w:rPr>
              <w:t>Verfügbare Mittel am Schluß der Rechnungsperiode</w:t>
            </w:r>
          </w:p>
        </w:tc>
        <w:tc>
          <w:tcPr>
            <w:tcW w:w="1417" w:type="dxa"/>
            <w:tcBorders>
              <w:top w:val="single" w:sz="4" w:space="0" w:color="auto"/>
              <w:left w:val="single" w:sz="4" w:space="0" w:color="auto"/>
              <w:bottom w:val="single" w:sz="8" w:space="0" w:color="auto"/>
              <w:right w:val="single" w:sz="4" w:space="0" w:color="auto"/>
            </w:tcBorders>
            <w:shd w:val="clear" w:color="auto" w:fill="CCFF99"/>
            <w:tcMar>
              <w:left w:w="57" w:type="dxa"/>
              <w:right w:w="57" w:type="dxa"/>
            </w:tcMar>
          </w:tcPr>
          <w:p w:rsidR="002F09F3" w:rsidRDefault="002F09F3" w:rsidP="002F09F3">
            <w:pPr>
              <w:jc w:val="right"/>
              <w:rPr>
                <w:color w:val="000000"/>
              </w:rPr>
            </w:pPr>
          </w:p>
        </w:tc>
        <w:tc>
          <w:tcPr>
            <w:tcW w:w="1445" w:type="dxa"/>
            <w:tcBorders>
              <w:top w:val="single" w:sz="4" w:space="0" w:color="auto"/>
              <w:left w:val="single" w:sz="4" w:space="0" w:color="auto"/>
              <w:bottom w:val="single" w:sz="8" w:space="0" w:color="auto"/>
              <w:right w:val="single" w:sz="8" w:space="0" w:color="auto"/>
            </w:tcBorders>
            <w:shd w:val="clear" w:color="auto" w:fill="CCFF99"/>
            <w:tcMar>
              <w:left w:w="57" w:type="dxa"/>
              <w:right w:w="57" w:type="dxa"/>
            </w:tcMar>
          </w:tcPr>
          <w:p w:rsidR="002F09F3" w:rsidRDefault="002F09F3" w:rsidP="002F09F3">
            <w:pPr>
              <w:jc w:val="right"/>
              <w:rPr>
                <w:color w:val="000000"/>
              </w:rPr>
            </w:pPr>
            <w:r>
              <w:rPr>
                <w:color w:val="000000"/>
              </w:rPr>
              <w:t>3.335</w:t>
            </w:r>
          </w:p>
        </w:tc>
      </w:tr>
    </w:tbl>
    <w:p w:rsidR="002F09F3" w:rsidRDefault="002F09F3" w:rsidP="00532F43"/>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Default="00BE02C7" w:rsidP="002F09F3">
      <w:pPr>
        <w:jc w:val="right"/>
      </w:pPr>
    </w:p>
    <w:p w:rsidR="00BE02C7" w:rsidRPr="00BE02C7" w:rsidRDefault="00BE02C7" w:rsidP="00D81BFB">
      <w:pPr>
        <w:rPr>
          <w:i/>
        </w:rPr>
      </w:pPr>
    </w:p>
    <w:p w:rsidR="00E54141" w:rsidRDefault="00E54141" w:rsidP="00D81BFB">
      <w:pPr>
        <w:ind w:left="1652" w:hanging="448"/>
        <w:rPr>
          <w:i/>
          <w:sz w:val="16"/>
          <w:szCs w:val="16"/>
        </w:rPr>
      </w:pPr>
    </w:p>
    <w:p w:rsidR="00BE02C7" w:rsidRDefault="00BE02C7" w:rsidP="00D81BFB">
      <w:pPr>
        <w:ind w:left="1652" w:hanging="448"/>
        <w:rPr>
          <w:sz w:val="16"/>
          <w:szCs w:val="16"/>
        </w:rPr>
      </w:pPr>
      <w:r>
        <w:rPr>
          <w:i/>
          <w:sz w:val="16"/>
        </w:rPr>
        <w:t>Anmerkung:</w:t>
      </w:r>
      <w:r>
        <w:rPr>
          <w:sz w:val="16"/>
        </w:rPr>
        <w:t xml:space="preserve">  Treuhandgelder in Form</w:t>
      </w:r>
      <w:r w:rsidR="00C67B64">
        <w:rPr>
          <w:sz w:val="16"/>
        </w:rPr>
        <w:t xml:space="preserve"> von außeretatmäßigen</w:t>
      </w:r>
      <w:r>
        <w:rPr>
          <w:sz w:val="16"/>
        </w:rPr>
        <w:t xml:space="preserve"> M</w:t>
      </w:r>
      <w:r w:rsidR="00C67B64">
        <w:rPr>
          <w:sz w:val="16"/>
        </w:rPr>
        <w:t>itteln von der Regierung der</w:t>
      </w:r>
      <w:r>
        <w:rPr>
          <w:sz w:val="16"/>
        </w:rPr>
        <w:t xml:space="preserve"> Vereinigten Staaten von Amerika für die Schulung auf dem Gebiet des Schutzes des geistigen Eigentums im Bereich des Sortenschutzes.</w:t>
      </w:r>
    </w:p>
    <w:p w:rsidR="001E0EF9" w:rsidRPr="00BE02C7" w:rsidRDefault="001E0EF9" w:rsidP="00D81BFB">
      <w:pPr>
        <w:ind w:left="1652" w:hanging="448"/>
        <w:rPr>
          <w:sz w:val="16"/>
          <w:szCs w:val="16"/>
        </w:rPr>
      </w:pPr>
    </w:p>
    <w:p w:rsidR="00BE02C7" w:rsidRDefault="00BE02C7" w:rsidP="002F09F3">
      <w:pPr>
        <w:jc w:val="right"/>
      </w:pPr>
    </w:p>
    <w:p w:rsidR="00FD7918" w:rsidRDefault="00FD7918" w:rsidP="002F09F3">
      <w:pPr>
        <w:jc w:val="right"/>
      </w:pPr>
    </w:p>
    <w:p w:rsidR="00FD7918" w:rsidRDefault="00FD7918" w:rsidP="002F09F3">
      <w:pPr>
        <w:jc w:val="right"/>
      </w:pPr>
    </w:p>
    <w:p w:rsidR="002F09F3" w:rsidRDefault="002F09F3" w:rsidP="00BE02C7">
      <w:pPr>
        <w:jc w:val="right"/>
      </w:pPr>
      <w:r>
        <w:t>[Ende der Anlage und des Dokuments]</w:t>
      </w:r>
    </w:p>
    <w:sectPr w:rsidR="002F09F3" w:rsidSect="00141316">
      <w:headerReference w:type="first" r:id="rId3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7B" w:rsidRDefault="004E187B" w:rsidP="006655D3">
      <w:r>
        <w:separator/>
      </w:r>
    </w:p>
    <w:p w:rsidR="004E187B" w:rsidRDefault="004E187B" w:rsidP="006655D3"/>
    <w:p w:rsidR="004E187B" w:rsidRDefault="004E187B" w:rsidP="006655D3"/>
  </w:endnote>
  <w:endnote w:type="continuationSeparator" w:id="0">
    <w:p w:rsidR="004E187B" w:rsidRDefault="004E187B" w:rsidP="006655D3">
      <w:r>
        <w:separator/>
      </w:r>
    </w:p>
    <w:p w:rsidR="004E187B" w:rsidRPr="00560A6D" w:rsidRDefault="004E187B">
      <w:pPr>
        <w:pStyle w:val="Footer"/>
        <w:spacing w:after="60"/>
        <w:rPr>
          <w:sz w:val="18"/>
          <w:lang w:val="fr-FR"/>
        </w:rPr>
      </w:pPr>
      <w:r w:rsidRPr="00560A6D">
        <w:rPr>
          <w:sz w:val="18"/>
          <w:lang w:val="fr-FR"/>
        </w:rPr>
        <w:t>[Suite de la note de la page précédente]</w:t>
      </w:r>
    </w:p>
    <w:p w:rsidR="004E187B" w:rsidRPr="00560A6D" w:rsidRDefault="004E187B" w:rsidP="006655D3">
      <w:pPr>
        <w:rPr>
          <w:lang w:val="fr-FR"/>
        </w:rPr>
      </w:pPr>
    </w:p>
    <w:p w:rsidR="004E187B" w:rsidRPr="00560A6D" w:rsidRDefault="004E187B" w:rsidP="006655D3">
      <w:pPr>
        <w:rPr>
          <w:lang w:val="fr-FR"/>
        </w:rPr>
      </w:pPr>
    </w:p>
  </w:endnote>
  <w:endnote w:type="continuationNotice" w:id="1">
    <w:p w:rsidR="004E187B" w:rsidRPr="00560A6D" w:rsidRDefault="004E187B" w:rsidP="006655D3">
      <w:pPr>
        <w:rPr>
          <w:lang w:val="fr-FR"/>
        </w:rPr>
      </w:pPr>
      <w:r w:rsidRPr="00560A6D">
        <w:rPr>
          <w:lang w:val="fr-FR"/>
        </w:rPr>
        <w:t>[Suite de la note page suivante]</w:t>
      </w:r>
    </w:p>
    <w:p w:rsidR="004E187B" w:rsidRPr="00560A6D" w:rsidRDefault="004E187B" w:rsidP="006655D3">
      <w:pPr>
        <w:rPr>
          <w:lang w:val="fr-FR"/>
        </w:rPr>
      </w:pPr>
    </w:p>
    <w:p w:rsidR="004E187B" w:rsidRPr="00560A6D" w:rsidRDefault="004E187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7B" w:rsidRDefault="004E187B">
    <w:pPr>
      <w:pStyle w:val="Footer"/>
      <w:jc w:val="right"/>
    </w:pPr>
  </w:p>
  <w:p w:rsidR="004E187B" w:rsidRDefault="004E1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7B" w:rsidRDefault="004E187B" w:rsidP="001921EF">
    <w:pPr>
      <w:pStyle w:val="Footer"/>
      <w:jc w:val="center"/>
    </w:pPr>
  </w:p>
  <w:p w:rsidR="004E187B" w:rsidRDefault="004E1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7B" w:rsidRDefault="004E187B" w:rsidP="00C95616">
      <w:pPr>
        <w:spacing w:before="120"/>
      </w:pPr>
      <w:r>
        <w:separator/>
      </w:r>
    </w:p>
  </w:footnote>
  <w:footnote w:type="continuationSeparator" w:id="0">
    <w:p w:rsidR="004E187B" w:rsidRDefault="004E187B" w:rsidP="006655D3">
      <w:r>
        <w:separator/>
      </w:r>
    </w:p>
  </w:footnote>
  <w:footnote w:type="continuationNotice" w:id="1">
    <w:p w:rsidR="004E187B" w:rsidRPr="00A56FAA" w:rsidRDefault="004E187B" w:rsidP="00A56FAA">
      <w:pPr>
        <w:pStyle w:val="Footer"/>
        <w:rPr>
          <w:szCs w:val="18"/>
        </w:rPr>
      </w:pPr>
    </w:p>
  </w:footnote>
  <w:footnote w:id="2">
    <w:p w:rsidR="004E187B" w:rsidRDefault="004E187B" w:rsidP="00917841">
      <w:pPr>
        <w:pStyle w:val="FootnoteText"/>
      </w:pPr>
      <w:r>
        <w:rPr>
          <w:rStyle w:val="FootnoteReference"/>
        </w:rPr>
        <w:footnoteRef/>
      </w:r>
      <w:r>
        <w:t xml:space="preserve"> Alle zahlenmäßigen Abweichungen vom Jahresabschluß sind durch Auf- oder Abrunden bedingt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7B" w:rsidRPr="00C5280D" w:rsidRDefault="004E187B" w:rsidP="002F09F3">
    <w:pPr>
      <w:pStyle w:val="Header"/>
      <w:rPr>
        <w:rStyle w:val="PageNumber"/>
      </w:rPr>
    </w:pPr>
    <w:r>
      <w:rPr>
        <w:rStyle w:val="PageNumber"/>
      </w:rPr>
      <w:t>C/48/4</w:t>
    </w:r>
  </w:p>
  <w:p w:rsidR="004E187B" w:rsidRPr="00C5280D" w:rsidRDefault="004E187B" w:rsidP="002F09F3">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B24FC">
      <w:rPr>
        <w:rStyle w:val="PageNumber"/>
        <w:noProof/>
      </w:rPr>
      <w:t>28</w:t>
    </w:r>
    <w:r w:rsidRPr="00C5280D">
      <w:rPr>
        <w:rStyle w:val="PageNumber"/>
      </w:rPr>
      <w:fldChar w:fldCharType="end"/>
    </w:r>
  </w:p>
  <w:p w:rsidR="004E187B" w:rsidRPr="00C5280D" w:rsidRDefault="004E187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7B" w:rsidRPr="002F09F3" w:rsidRDefault="004E187B" w:rsidP="005C7018">
    <w:pPr>
      <w:pStyle w:val="Header"/>
    </w:pPr>
    <w:r>
      <w:t>C/48/4</w:t>
    </w:r>
  </w:p>
  <w:p w:rsidR="004E187B" w:rsidRPr="002F09F3" w:rsidRDefault="004E187B" w:rsidP="005C7018">
    <w:pPr>
      <w:pStyle w:val="Header"/>
      <w:rPr>
        <w:noProof/>
      </w:rPr>
    </w:pPr>
    <w:r>
      <w:t xml:space="preserve">Anlage, Seite </w:t>
    </w:r>
    <w:r w:rsidRPr="002F09F3">
      <w:fldChar w:fldCharType="begin"/>
    </w:r>
    <w:r w:rsidRPr="002F09F3">
      <w:instrText xml:space="preserve"> PAGE   \* MERGEFORMAT </w:instrText>
    </w:r>
    <w:r w:rsidRPr="002F09F3">
      <w:fldChar w:fldCharType="separate"/>
    </w:r>
    <w:r w:rsidR="00EF36C3">
      <w:rPr>
        <w:noProof/>
      </w:rPr>
      <w:t>6</w:t>
    </w:r>
    <w:r w:rsidRPr="002F09F3">
      <w:rPr>
        <w:noProof/>
      </w:rPr>
      <w:fldChar w:fldCharType="end"/>
    </w:r>
  </w:p>
  <w:p w:rsidR="004E187B" w:rsidRPr="002F09F3" w:rsidRDefault="004E187B" w:rsidP="00C76EE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7B" w:rsidRDefault="004E187B" w:rsidP="005C7018">
    <w:pPr>
      <w:pStyle w:val="Header"/>
    </w:pPr>
    <w:r>
      <w:t>C48/4</w:t>
    </w:r>
  </w:p>
  <w:p w:rsidR="004E187B" w:rsidRDefault="004E187B" w:rsidP="005C7018">
    <w:pPr>
      <w:pStyle w:val="Header"/>
    </w:pPr>
  </w:p>
  <w:p w:rsidR="004E187B" w:rsidRDefault="004E187B" w:rsidP="005C7018">
    <w:pPr>
      <w:pStyle w:val="Header"/>
    </w:pPr>
    <w:r>
      <w:t>ANLAGE</w:t>
    </w:r>
  </w:p>
  <w:p w:rsidR="004E187B" w:rsidRDefault="004E187B" w:rsidP="005C7018">
    <w:pPr>
      <w:pStyle w:val="Header"/>
    </w:pPr>
  </w:p>
  <w:p w:rsidR="004E187B" w:rsidRDefault="004E187B" w:rsidP="005C7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50095"/>
      <w:docPartObj>
        <w:docPartGallery w:val="Page Numbers (Top of Page)"/>
        <w:docPartUnique/>
      </w:docPartObj>
    </w:sdtPr>
    <w:sdtEndPr>
      <w:rPr>
        <w:noProof/>
      </w:rPr>
    </w:sdtEndPr>
    <w:sdtContent>
      <w:p w:rsidR="004E187B" w:rsidRPr="002F09F3" w:rsidRDefault="004E187B" w:rsidP="005C7018">
        <w:pPr>
          <w:pStyle w:val="Header"/>
        </w:pPr>
        <w:r>
          <w:t>C/48/4</w:t>
        </w:r>
      </w:p>
      <w:p w:rsidR="004E187B" w:rsidRDefault="004E187B" w:rsidP="005C7018">
        <w:pPr>
          <w:pStyle w:val="Header"/>
        </w:pPr>
        <w:r>
          <w:t xml:space="preserve">Anlage, Seite </w:t>
        </w:r>
        <w:r>
          <w:fldChar w:fldCharType="begin"/>
        </w:r>
        <w:r>
          <w:instrText xml:space="preserve"> PAGE   \* MERGEFORMAT </w:instrText>
        </w:r>
        <w:r>
          <w:fldChar w:fldCharType="separate"/>
        </w:r>
        <w:r w:rsidR="00EF36C3">
          <w:rPr>
            <w:noProof/>
          </w:rPr>
          <w:t>2</w:t>
        </w:r>
        <w:r>
          <w:rPr>
            <w:noProof/>
          </w:rPr>
          <w:fldChar w:fldCharType="end"/>
        </w:r>
      </w:p>
    </w:sdtContent>
  </w:sdt>
  <w:p w:rsidR="004E187B" w:rsidRDefault="004E187B">
    <w:pPr>
      <w:pStyle w:val="Header"/>
    </w:pPr>
  </w:p>
  <w:p w:rsidR="004E187B" w:rsidRDefault="004E187B"/>
  <w:p w:rsidR="004E187B" w:rsidRDefault="004E187B"/>
  <w:p w:rsidR="004E187B" w:rsidRDefault="004E18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AB716"/>
    <w:multiLevelType w:val="hybridMultilevel"/>
    <w:tmpl w:val="8CC2B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AF44564"/>
    <w:lvl w:ilvl="0">
      <w:start w:val="1"/>
      <w:numFmt w:val="decimal"/>
      <w:lvlText w:val="%1."/>
      <w:lvlJc w:val="left"/>
      <w:pPr>
        <w:tabs>
          <w:tab w:val="num" w:pos="1492"/>
        </w:tabs>
        <w:ind w:left="1492" w:hanging="360"/>
      </w:pPr>
    </w:lvl>
  </w:abstractNum>
  <w:abstractNum w:abstractNumId="2">
    <w:nsid w:val="FFFFFF7D"/>
    <w:multiLevelType w:val="singleLevel"/>
    <w:tmpl w:val="0A98E094"/>
    <w:lvl w:ilvl="0">
      <w:start w:val="1"/>
      <w:numFmt w:val="decimal"/>
      <w:lvlText w:val="%1."/>
      <w:lvlJc w:val="left"/>
      <w:pPr>
        <w:tabs>
          <w:tab w:val="num" w:pos="1209"/>
        </w:tabs>
        <w:ind w:left="1209" w:hanging="360"/>
      </w:pPr>
    </w:lvl>
  </w:abstractNum>
  <w:abstractNum w:abstractNumId="3">
    <w:nsid w:val="FFFFFF7E"/>
    <w:multiLevelType w:val="singleLevel"/>
    <w:tmpl w:val="8174A276"/>
    <w:lvl w:ilvl="0">
      <w:start w:val="1"/>
      <w:numFmt w:val="decimal"/>
      <w:lvlText w:val="%1."/>
      <w:lvlJc w:val="left"/>
      <w:pPr>
        <w:tabs>
          <w:tab w:val="num" w:pos="926"/>
        </w:tabs>
        <w:ind w:left="926" w:hanging="360"/>
      </w:pPr>
    </w:lvl>
  </w:abstractNum>
  <w:abstractNum w:abstractNumId="4">
    <w:nsid w:val="FFFFFF7F"/>
    <w:multiLevelType w:val="singleLevel"/>
    <w:tmpl w:val="8A2AD4F8"/>
    <w:lvl w:ilvl="0">
      <w:start w:val="1"/>
      <w:numFmt w:val="decimal"/>
      <w:lvlText w:val="%1."/>
      <w:lvlJc w:val="left"/>
      <w:pPr>
        <w:tabs>
          <w:tab w:val="num" w:pos="643"/>
        </w:tabs>
        <w:ind w:left="643" w:hanging="360"/>
      </w:pPr>
    </w:lvl>
  </w:abstractNum>
  <w:abstractNum w:abstractNumId="5">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B6CE8C"/>
    <w:lvl w:ilvl="0">
      <w:start w:val="1"/>
      <w:numFmt w:val="decimal"/>
      <w:lvlText w:val="%1."/>
      <w:lvlJc w:val="left"/>
      <w:pPr>
        <w:tabs>
          <w:tab w:val="num" w:pos="360"/>
        </w:tabs>
        <w:ind w:left="360" w:hanging="360"/>
      </w:pPr>
    </w:lvl>
  </w:abstractNum>
  <w:abstractNum w:abstractNumId="1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4C7B488B"/>
    <w:multiLevelType w:val="hybridMultilevel"/>
    <w:tmpl w:val="58647EEA"/>
    <w:lvl w:ilvl="0" w:tplc="0407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9"/>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1C26"/>
    <w:rsid w:val="00024AB8"/>
    <w:rsid w:val="00030854"/>
    <w:rsid w:val="00036028"/>
    <w:rsid w:val="00040DB6"/>
    <w:rsid w:val="00041A9B"/>
    <w:rsid w:val="00044642"/>
    <w:rsid w:val="000446B9"/>
    <w:rsid w:val="000478F6"/>
    <w:rsid w:val="00047E21"/>
    <w:rsid w:val="00073668"/>
    <w:rsid w:val="00085505"/>
    <w:rsid w:val="00092EDA"/>
    <w:rsid w:val="000A68B4"/>
    <w:rsid w:val="000C7021"/>
    <w:rsid w:val="000D6BBC"/>
    <w:rsid w:val="000D7780"/>
    <w:rsid w:val="000E014D"/>
    <w:rsid w:val="000E15D4"/>
    <w:rsid w:val="000E7048"/>
    <w:rsid w:val="000F209C"/>
    <w:rsid w:val="000F305E"/>
    <w:rsid w:val="00105929"/>
    <w:rsid w:val="00106C61"/>
    <w:rsid w:val="001131D5"/>
    <w:rsid w:val="001377BE"/>
    <w:rsid w:val="00140793"/>
    <w:rsid w:val="00141316"/>
    <w:rsid w:val="00141DB8"/>
    <w:rsid w:val="0017474A"/>
    <w:rsid w:val="001758C6"/>
    <w:rsid w:val="00180DE0"/>
    <w:rsid w:val="0018246F"/>
    <w:rsid w:val="00182B99"/>
    <w:rsid w:val="0018373F"/>
    <w:rsid w:val="00191B7D"/>
    <w:rsid w:val="001921EF"/>
    <w:rsid w:val="001A0080"/>
    <w:rsid w:val="001B75B8"/>
    <w:rsid w:val="001D141E"/>
    <w:rsid w:val="001E0CF9"/>
    <w:rsid w:val="001E0EF9"/>
    <w:rsid w:val="001E4FA7"/>
    <w:rsid w:val="001F254F"/>
    <w:rsid w:val="001F30A3"/>
    <w:rsid w:val="00211C27"/>
    <w:rsid w:val="0021332C"/>
    <w:rsid w:val="00213982"/>
    <w:rsid w:val="00217E3E"/>
    <w:rsid w:val="00235388"/>
    <w:rsid w:val="00242E11"/>
    <w:rsid w:val="0024416D"/>
    <w:rsid w:val="002800A0"/>
    <w:rsid w:val="002801B3"/>
    <w:rsid w:val="0028098F"/>
    <w:rsid w:val="00281060"/>
    <w:rsid w:val="002940E8"/>
    <w:rsid w:val="002A6E50"/>
    <w:rsid w:val="002A7070"/>
    <w:rsid w:val="002B1132"/>
    <w:rsid w:val="002B4E59"/>
    <w:rsid w:val="002C0824"/>
    <w:rsid w:val="002C256A"/>
    <w:rsid w:val="002C53A4"/>
    <w:rsid w:val="002F09F3"/>
    <w:rsid w:val="002F4B84"/>
    <w:rsid w:val="00305A7F"/>
    <w:rsid w:val="00315280"/>
    <w:rsid w:val="003152FE"/>
    <w:rsid w:val="00327436"/>
    <w:rsid w:val="0033507D"/>
    <w:rsid w:val="00344BD6"/>
    <w:rsid w:val="0035528D"/>
    <w:rsid w:val="0035627A"/>
    <w:rsid w:val="00361821"/>
    <w:rsid w:val="00362341"/>
    <w:rsid w:val="00371404"/>
    <w:rsid w:val="0037222D"/>
    <w:rsid w:val="00374E52"/>
    <w:rsid w:val="003B24FC"/>
    <w:rsid w:val="003C0B46"/>
    <w:rsid w:val="003D227C"/>
    <w:rsid w:val="003D2B4D"/>
    <w:rsid w:val="003D5268"/>
    <w:rsid w:val="003E322A"/>
    <w:rsid w:val="003E4EAC"/>
    <w:rsid w:val="003F0534"/>
    <w:rsid w:val="00431716"/>
    <w:rsid w:val="00432C0E"/>
    <w:rsid w:val="004337DB"/>
    <w:rsid w:val="00444A88"/>
    <w:rsid w:val="004622E4"/>
    <w:rsid w:val="00474DA4"/>
    <w:rsid w:val="00476B4D"/>
    <w:rsid w:val="004805FA"/>
    <w:rsid w:val="004946F8"/>
    <w:rsid w:val="004A4D0E"/>
    <w:rsid w:val="004A4EE9"/>
    <w:rsid w:val="004B24BD"/>
    <w:rsid w:val="004B7765"/>
    <w:rsid w:val="004C192C"/>
    <w:rsid w:val="004C2612"/>
    <w:rsid w:val="004C331E"/>
    <w:rsid w:val="004C3F86"/>
    <w:rsid w:val="004D047D"/>
    <w:rsid w:val="004E187B"/>
    <w:rsid w:val="004F305A"/>
    <w:rsid w:val="00503B4C"/>
    <w:rsid w:val="00504419"/>
    <w:rsid w:val="0051068B"/>
    <w:rsid w:val="00512164"/>
    <w:rsid w:val="00520297"/>
    <w:rsid w:val="00532F43"/>
    <w:rsid w:val="005338F9"/>
    <w:rsid w:val="0054281C"/>
    <w:rsid w:val="00545104"/>
    <w:rsid w:val="0055268D"/>
    <w:rsid w:val="00560A6D"/>
    <w:rsid w:val="00576BE4"/>
    <w:rsid w:val="0059409A"/>
    <w:rsid w:val="005A400A"/>
    <w:rsid w:val="005B1B30"/>
    <w:rsid w:val="005C7018"/>
    <w:rsid w:val="005D5BAC"/>
    <w:rsid w:val="005E25AA"/>
    <w:rsid w:val="005E2F1C"/>
    <w:rsid w:val="005E7A9A"/>
    <w:rsid w:val="005F05B6"/>
    <w:rsid w:val="00612379"/>
    <w:rsid w:val="0061555F"/>
    <w:rsid w:val="00632B9C"/>
    <w:rsid w:val="006360C1"/>
    <w:rsid w:val="00641200"/>
    <w:rsid w:val="006603C1"/>
    <w:rsid w:val="00663239"/>
    <w:rsid w:val="006655D3"/>
    <w:rsid w:val="0067078A"/>
    <w:rsid w:val="00687EB4"/>
    <w:rsid w:val="00696942"/>
    <w:rsid w:val="006B17D2"/>
    <w:rsid w:val="006C224E"/>
    <w:rsid w:val="006C4E45"/>
    <w:rsid w:val="006D780A"/>
    <w:rsid w:val="007137EB"/>
    <w:rsid w:val="007204FA"/>
    <w:rsid w:val="00732DEC"/>
    <w:rsid w:val="00735BD5"/>
    <w:rsid w:val="00742545"/>
    <w:rsid w:val="00743DC1"/>
    <w:rsid w:val="00744BB5"/>
    <w:rsid w:val="00753FD3"/>
    <w:rsid w:val="00754942"/>
    <w:rsid w:val="007556F6"/>
    <w:rsid w:val="00760EEF"/>
    <w:rsid w:val="00766B27"/>
    <w:rsid w:val="007676EC"/>
    <w:rsid w:val="00777EE5"/>
    <w:rsid w:val="00780E2C"/>
    <w:rsid w:val="00784836"/>
    <w:rsid w:val="0079023E"/>
    <w:rsid w:val="0079726D"/>
    <w:rsid w:val="007A2854"/>
    <w:rsid w:val="007A5B7C"/>
    <w:rsid w:val="007B5A4C"/>
    <w:rsid w:val="007D0B9D"/>
    <w:rsid w:val="007D19B0"/>
    <w:rsid w:val="007D35A8"/>
    <w:rsid w:val="007F1F20"/>
    <w:rsid w:val="007F498F"/>
    <w:rsid w:val="007F6E11"/>
    <w:rsid w:val="0080679D"/>
    <w:rsid w:val="008108B0"/>
    <w:rsid w:val="00811B20"/>
    <w:rsid w:val="0081211E"/>
    <w:rsid w:val="00812680"/>
    <w:rsid w:val="0082296E"/>
    <w:rsid w:val="00824099"/>
    <w:rsid w:val="00825887"/>
    <w:rsid w:val="00840145"/>
    <w:rsid w:val="008518D2"/>
    <w:rsid w:val="00865425"/>
    <w:rsid w:val="00867AC1"/>
    <w:rsid w:val="008A3C6D"/>
    <w:rsid w:val="008A743F"/>
    <w:rsid w:val="008B6109"/>
    <w:rsid w:val="008C0970"/>
    <w:rsid w:val="008D2CF7"/>
    <w:rsid w:val="008D2D3E"/>
    <w:rsid w:val="008D6945"/>
    <w:rsid w:val="008E31F3"/>
    <w:rsid w:val="00900C26"/>
    <w:rsid w:val="0090197F"/>
    <w:rsid w:val="00901A3F"/>
    <w:rsid w:val="00906DDC"/>
    <w:rsid w:val="00917841"/>
    <w:rsid w:val="009316C4"/>
    <w:rsid w:val="00934E09"/>
    <w:rsid w:val="00936253"/>
    <w:rsid w:val="00947760"/>
    <w:rsid w:val="00952DD4"/>
    <w:rsid w:val="00965A10"/>
    <w:rsid w:val="00970EB5"/>
    <w:rsid w:val="00970FED"/>
    <w:rsid w:val="009903F2"/>
    <w:rsid w:val="00997029"/>
    <w:rsid w:val="009A0C8C"/>
    <w:rsid w:val="009D690D"/>
    <w:rsid w:val="009E65B6"/>
    <w:rsid w:val="009F7D0F"/>
    <w:rsid w:val="00A340D6"/>
    <w:rsid w:val="00A35F93"/>
    <w:rsid w:val="00A42AC3"/>
    <w:rsid w:val="00A430CF"/>
    <w:rsid w:val="00A4653A"/>
    <w:rsid w:val="00A46DE9"/>
    <w:rsid w:val="00A54309"/>
    <w:rsid w:val="00A54674"/>
    <w:rsid w:val="00A56FAA"/>
    <w:rsid w:val="00A95422"/>
    <w:rsid w:val="00AA478C"/>
    <w:rsid w:val="00AB2B93"/>
    <w:rsid w:val="00AB7E5B"/>
    <w:rsid w:val="00AC21EF"/>
    <w:rsid w:val="00AC64EA"/>
    <w:rsid w:val="00AE0EF1"/>
    <w:rsid w:val="00AE2937"/>
    <w:rsid w:val="00AE54BD"/>
    <w:rsid w:val="00AE793E"/>
    <w:rsid w:val="00AF112F"/>
    <w:rsid w:val="00B07301"/>
    <w:rsid w:val="00B14A1B"/>
    <w:rsid w:val="00B224DE"/>
    <w:rsid w:val="00B46575"/>
    <w:rsid w:val="00B84BBD"/>
    <w:rsid w:val="00B86594"/>
    <w:rsid w:val="00BA43FB"/>
    <w:rsid w:val="00BA6252"/>
    <w:rsid w:val="00BB23C2"/>
    <w:rsid w:val="00BC127D"/>
    <w:rsid w:val="00BC1FE6"/>
    <w:rsid w:val="00BD5E7F"/>
    <w:rsid w:val="00BE02C7"/>
    <w:rsid w:val="00BF007F"/>
    <w:rsid w:val="00C061B6"/>
    <w:rsid w:val="00C2446C"/>
    <w:rsid w:val="00C36AE5"/>
    <w:rsid w:val="00C41F17"/>
    <w:rsid w:val="00C431BE"/>
    <w:rsid w:val="00C51D44"/>
    <w:rsid w:val="00C5280D"/>
    <w:rsid w:val="00C5791C"/>
    <w:rsid w:val="00C651CE"/>
    <w:rsid w:val="00C66290"/>
    <w:rsid w:val="00C67B64"/>
    <w:rsid w:val="00C72B7A"/>
    <w:rsid w:val="00C76EE9"/>
    <w:rsid w:val="00C93343"/>
    <w:rsid w:val="00C95616"/>
    <w:rsid w:val="00C973F2"/>
    <w:rsid w:val="00CA304C"/>
    <w:rsid w:val="00CA774A"/>
    <w:rsid w:val="00CC11B0"/>
    <w:rsid w:val="00CC5468"/>
    <w:rsid w:val="00CD178F"/>
    <w:rsid w:val="00CE3C31"/>
    <w:rsid w:val="00CE47DD"/>
    <w:rsid w:val="00CF30F4"/>
    <w:rsid w:val="00CF798B"/>
    <w:rsid w:val="00CF7E36"/>
    <w:rsid w:val="00D00802"/>
    <w:rsid w:val="00D00D30"/>
    <w:rsid w:val="00D0374C"/>
    <w:rsid w:val="00D12AAF"/>
    <w:rsid w:val="00D24319"/>
    <w:rsid w:val="00D36F87"/>
    <w:rsid w:val="00D3708D"/>
    <w:rsid w:val="00D40426"/>
    <w:rsid w:val="00D4237F"/>
    <w:rsid w:val="00D57C96"/>
    <w:rsid w:val="00D81BFB"/>
    <w:rsid w:val="00D91203"/>
    <w:rsid w:val="00D95174"/>
    <w:rsid w:val="00D97C66"/>
    <w:rsid w:val="00DA6F36"/>
    <w:rsid w:val="00DA7E69"/>
    <w:rsid w:val="00DB3D83"/>
    <w:rsid w:val="00DB596E"/>
    <w:rsid w:val="00DC00EA"/>
    <w:rsid w:val="00DC0CD8"/>
    <w:rsid w:val="00DE6FF1"/>
    <w:rsid w:val="00E209FB"/>
    <w:rsid w:val="00E238D1"/>
    <w:rsid w:val="00E32F7E"/>
    <w:rsid w:val="00E44689"/>
    <w:rsid w:val="00E54141"/>
    <w:rsid w:val="00E603DC"/>
    <w:rsid w:val="00E6186E"/>
    <w:rsid w:val="00E72D49"/>
    <w:rsid w:val="00E7593C"/>
    <w:rsid w:val="00E7678A"/>
    <w:rsid w:val="00E84C93"/>
    <w:rsid w:val="00E92E0D"/>
    <w:rsid w:val="00E935F1"/>
    <w:rsid w:val="00E93B7E"/>
    <w:rsid w:val="00E93E89"/>
    <w:rsid w:val="00E94A81"/>
    <w:rsid w:val="00EA1FFB"/>
    <w:rsid w:val="00EA571B"/>
    <w:rsid w:val="00EB048E"/>
    <w:rsid w:val="00EC1CA7"/>
    <w:rsid w:val="00ED0869"/>
    <w:rsid w:val="00ED4D45"/>
    <w:rsid w:val="00EE34DF"/>
    <w:rsid w:val="00EE7438"/>
    <w:rsid w:val="00EF2F89"/>
    <w:rsid w:val="00EF36C3"/>
    <w:rsid w:val="00F1237A"/>
    <w:rsid w:val="00F22CBD"/>
    <w:rsid w:val="00F36D0C"/>
    <w:rsid w:val="00F45372"/>
    <w:rsid w:val="00F53D39"/>
    <w:rsid w:val="00F560F7"/>
    <w:rsid w:val="00F56C99"/>
    <w:rsid w:val="00F62C90"/>
    <w:rsid w:val="00F6334D"/>
    <w:rsid w:val="00F80602"/>
    <w:rsid w:val="00F92D69"/>
    <w:rsid w:val="00F953F6"/>
    <w:rsid w:val="00FA49AB"/>
    <w:rsid w:val="00FB3843"/>
    <w:rsid w:val="00FC1403"/>
    <w:rsid w:val="00FC393E"/>
    <w:rsid w:val="00FD7918"/>
    <w:rsid w:val="00FE39C7"/>
    <w:rsid w:val="00FF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4BD"/>
    <w:pPr>
      <w:jc w:val="both"/>
    </w:pPr>
    <w:rPr>
      <w:rFonts w:ascii="Arial" w:hAnsi="Arial"/>
    </w:rPr>
  </w:style>
  <w:style w:type="paragraph" w:styleId="Heading1">
    <w:name w:val="heading 1"/>
    <w:next w:val="Normal"/>
    <w:link w:val="Heading1Char"/>
    <w:autoRedefine/>
    <w:qFormat/>
    <w:rsid w:val="00140793"/>
    <w:pPr>
      <w:keepNext/>
      <w:outlineLvl w:val="0"/>
    </w:pPr>
    <w:rPr>
      <w:rFonts w:ascii="Arial" w:hAnsi="Arial"/>
      <w:b/>
      <w:caps/>
    </w:rPr>
  </w:style>
  <w:style w:type="paragraph" w:styleId="Heading2">
    <w:name w:val="heading 2"/>
    <w:next w:val="Normal"/>
    <w:link w:val="Heading2Char"/>
    <w:autoRedefine/>
    <w:qFormat/>
    <w:rsid w:val="008B6109"/>
    <w:pPr>
      <w:keepNext/>
      <w:jc w:val="both"/>
      <w:outlineLvl w:val="1"/>
    </w:pPr>
    <w:rPr>
      <w:rFonts w:ascii="Arial Bold" w:hAnsi="Arial Bold"/>
      <w:b/>
      <w:caps/>
      <w:u w:val="single"/>
    </w:rPr>
  </w:style>
  <w:style w:type="paragraph" w:styleId="Heading3">
    <w:name w:val="heading 3"/>
    <w:next w:val="Normal"/>
    <w:link w:val="Heading3Char"/>
    <w:autoRedefine/>
    <w:qFormat/>
    <w:rsid w:val="00780E2C"/>
    <w:pPr>
      <w:keepNext/>
      <w:jc w:val="center"/>
      <w:outlineLvl w:val="2"/>
    </w:pPr>
    <w:rPr>
      <w:rFonts w:ascii="Arial" w:eastAsiaTheme="minorHAnsi" w:hAnsi="Arial"/>
      <w:b/>
      <w:u w:val="single"/>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rPr>
  </w:style>
  <w:style w:type="paragraph" w:styleId="Heading5">
    <w:name w:val="heading 5"/>
    <w:next w:val="Normal"/>
    <w:link w:val="Heading5Char"/>
    <w:autoRedefine/>
    <w:qFormat/>
    <w:rsid w:val="008518D2"/>
    <w:pPr>
      <w:keepNext/>
      <w:ind w:left="1134" w:hanging="567"/>
      <w:jc w:val="center"/>
      <w:outlineLvl w:val="4"/>
    </w:pPr>
    <w:rPr>
      <w:rFonts w:ascii="Arial" w:hAnsi="Arial"/>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0478F6"/>
    <w:pPr>
      <w:tabs>
        <w:tab w:val="right" w:leader="dot" w:pos="9639"/>
      </w:tabs>
      <w:spacing w:before="120" w:after="120" w:line="360" w:lineRule="auto"/>
      <w:ind w:left="851" w:right="851" w:hanging="567"/>
      <w:contextualSpacing/>
    </w:pPr>
    <w:rPr>
      <w:rFonts w:ascii="Arial" w:hAnsi="Arial"/>
      <w:noProof/>
    </w:rPr>
  </w:style>
  <w:style w:type="paragraph" w:styleId="TOC3">
    <w:name w:val="toc 3"/>
    <w:next w:val="Normal"/>
    <w:autoRedefine/>
    <w:uiPriority w:val="39"/>
    <w:rsid w:val="00D97C66"/>
    <w:pPr>
      <w:tabs>
        <w:tab w:val="right" w:leader="dot" w:pos="9639"/>
      </w:tabs>
      <w:spacing w:before="120" w:after="120"/>
      <w:ind w:left="851" w:right="851" w:hanging="567"/>
    </w:pPr>
    <w:rPr>
      <w:rFonts w:ascii="Arial" w:hAnsi="Arial"/>
      <w:noProof/>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39"/>
    <w:rsid w:val="00D97C66"/>
    <w:pPr>
      <w:tabs>
        <w:tab w:val="right" w:leader="dot" w:pos="9639"/>
      </w:tabs>
      <w:spacing w:before="120" w:after="120"/>
      <w:ind w:left="851" w:right="851" w:hanging="567"/>
    </w:pPr>
    <w:rPr>
      <w:rFonts w:ascii="Arial" w:hAnsi="Arial"/>
      <w:noProof/>
    </w:rPr>
  </w:style>
  <w:style w:type="paragraph" w:styleId="TOC1">
    <w:name w:val="toc 1"/>
    <w:next w:val="Normal"/>
    <w:autoRedefine/>
    <w:uiPriority w:val="39"/>
    <w:rsid w:val="00D97C66"/>
    <w:pPr>
      <w:tabs>
        <w:tab w:val="right" w:leader="dot" w:pos="9639"/>
      </w:tabs>
      <w:spacing w:before="240" w:after="120" w:line="480" w:lineRule="auto"/>
      <w:ind w:left="284" w:right="284" w:hanging="284"/>
      <w:contextualSpacing/>
    </w:pPr>
    <w:rPr>
      <w:rFonts w:ascii="Arial" w:hAnsi="Arial"/>
      <w:b/>
      <w:caps/>
      <w:noProof/>
    </w:rPr>
  </w:style>
  <w:style w:type="paragraph" w:styleId="TOC5">
    <w:name w:val="toc 5"/>
    <w:next w:val="Normal"/>
    <w:autoRedefine/>
    <w:uiPriority w:val="39"/>
    <w:rsid w:val="00D97C66"/>
    <w:pPr>
      <w:tabs>
        <w:tab w:val="right" w:leader="dot" w:pos="9639"/>
      </w:tabs>
      <w:spacing w:before="120" w:after="120"/>
      <w:ind w:left="851" w:right="851" w:hanging="567"/>
      <w:jc w:val="both"/>
    </w:pPr>
    <w:rPr>
      <w:rFonts w:ascii="Arial" w:hAnsi="Arial"/>
      <w:noProof/>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de-DE"/>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8B6109"/>
    <w:rPr>
      <w:rFonts w:ascii="Arial Bold" w:hAnsi="Arial Bold"/>
      <w:b/>
      <w:caps/>
      <w:u w:val="single"/>
    </w:rPr>
  </w:style>
  <w:style w:type="character" w:customStyle="1" w:styleId="Heading1Char">
    <w:name w:val="Heading 1 Char"/>
    <w:link w:val="Heading1"/>
    <w:rsid w:val="00140793"/>
    <w:rPr>
      <w:rFonts w:ascii="Arial" w:hAnsi="Arial"/>
      <w:b/>
      <w:caps/>
    </w:rPr>
  </w:style>
  <w:style w:type="character" w:customStyle="1" w:styleId="Heading3Char">
    <w:name w:val="Heading 3 Char"/>
    <w:link w:val="Heading3"/>
    <w:rsid w:val="00780E2C"/>
    <w:rPr>
      <w:rFonts w:ascii="Arial" w:eastAsiaTheme="minorHAnsi" w:hAnsi="Arial"/>
      <w:b/>
      <w:u w:val="single"/>
    </w:rPr>
  </w:style>
  <w:style w:type="character" w:customStyle="1" w:styleId="Heading4Char">
    <w:name w:val="Heading 4 Char"/>
    <w:link w:val="Heading4"/>
    <w:rsid w:val="009A0C8C"/>
    <w:rPr>
      <w:rFonts w:ascii="Arial Bold" w:hAnsi="Arial Bold"/>
      <w:b/>
      <w:color w:val="FFFFFF" w:themeColor="background1"/>
      <w:sz w:val="16"/>
      <w:lang w:val="de-DE"/>
    </w:rPr>
  </w:style>
  <w:style w:type="character" w:customStyle="1" w:styleId="Heading5Char">
    <w:name w:val="Heading 5 Char"/>
    <w:link w:val="Heading5"/>
    <w:rsid w:val="008518D2"/>
    <w:rPr>
      <w:rFonts w:ascii="Arial" w:hAnsi="Arial"/>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de-DE"/>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rPr>
  </w:style>
  <w:style w:type="character" w:customStyle="1" w:styleId="BodyTextIndent3Char">
    <w:name w:val="Body Text Indent 3 Char"/>
    <w:basedOn w:val="DefaultParagraphFont"/>
    <w:link w:val="BodyTextIndent3"/>
    <w:rsid w:val="002F09F3"/>
    <w:rPr>
      <w:sz w:val="24"/>
      <w:lang w:val="de-DE"/>
    </w:rPr>
  </w:style>
  <w:style w:type="paragraph" w:customStyle="1" w:styleId="DecisionInvitingPara">
    <w:name w:val="Decision Inviting Para."/>
    <w:basedOn w:val="Normal"/>
    <w:rsid w:val="002F09F3"/>
    <w:pPr>
      <w:ind w:left="4536"/>
      <w:jc w:val="left"/>
    </w:pPr>
    <w:rPr>
      <w:rFonts w:ascii="Times New Roman" w:hAnsi="Times New Roman"/>
      <w:i/>
      <w:sz w:val="24"/>
    </w:rPr>
  </w:style>
  <w:style w:type="paragraph" w:customStyle="1" w:styleId="T1">
    <w:name w:val="T1"/>
    <w:basedOn w:val="BodyText"/>
    <w:rsid w:val="002F09F3"/>
    <w:rPr>
      <w:rFonts w:ascii="Times New Roman" w:hAnsi="Times New Roman"/>
      <w:b/>
      <w:sz w:val="24"/>
    </w:rPr>
  </w:style>
  <w:style w:type="paragraph" w:customStyle="1" w:styleId="Titre">
    <w:name w:val="Titre"/>
    <w:basedOn w:val="Normal"/>
    <w:rsid w:val="002F09F3"/>
    <w:pPr>
      <w:tabs>
        <w:tab w:val="left" w:pos="567"/>
        <w:tab w:val="left" w:pos="993"/>
        <w:tab w:val="right" w:pos="6237"/>
        <w:tab w:val="right" w:pos="7938"/>
      </w:tabs>
      <w:spacing w:line="240" w:lineRule="exact"/>
      <w:jc w:val="left"/>
    </w:pPr>
    <w:rPr>
      <w:rFonts w:ascii="Times New Roman" w:hAnsi="Times New Roman"/>
      <w:b/>
      <w:caps/>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rPr>
  </w:style>
  <w:style w:type="character" w:customStyle="1" w:styleId="BodyTextIndent2Char">
    <w:name w:val="Body Text Indent 2 Char"/>
    <w:basedOn w:val="DefaultParagraphFont"/>
    <w:link w:val="BodyTextIndent2"/>
    <w:rsid w:val="002F09F3"/>
    <w:rPr>
      <w:lang w:val="de-DE"/>
    </w:rPr>
  </w:style>
  <w:style w:type="table" w:styleId="TableGrid">
    <w:name w:val="Table Grid"/>
    <w:basedOn w:val="TableNormal"/>
    <w:rsid w:val="002F09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2F09F3"/>
    <w:pPr>
      <w:jc w:val="center"/>
    </w:pPr>
    <w:rPr>
      <w:rFonts w:ascii="Times New Roman" w:hAnsi="Times New Roman"/>
      <w:sz w:val="24"/>
      <w:u w:val="single"/>
    </w:rPr>
  </w:style>
  <w:style w:type="character" w:customStyle="1" w:styleId="BodyText3Char">
    <w:name w:val="Body Text 3 Char"/>
    <w:basedOn w:val="DefaultParagraphFont"/>
    <w:link w:val="BodyText3"/>
    <w:rsid w:val="002F09F3"/>
    <w:rPr>
      <w:sz w:val="24"/>
      <w:u w:val="single"/>
      <w:lang w:val="de-DE"/>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2F09F3"/>
    <w:pPr>
      <w:tabs>
        <w:tab w:val="left" w:pos="567"/>
      </w:tabs>
      <w:jc w:val="left"/>
    </w:pPr>
    <w:rPr>
      <w:rFonts w:ascii="Times New Roman" w:hAnsi="Times New Roman"/>
      <w:sz w:val="24"/>
    </w:rPr>
  </w:style>
  <w:style w:type="character" w:customStyle="1" w:styleId="BodyText2Char">
    <w:name w:val="Body Text 2 Char"/>
    <w:basedOn w:val="DefaultParagraphFont"/>
    <w:link w:val="BodyText2"/>
    <w:rsid w:val="002F09F3"/>
    <w:rPr>
      <w:sz w:val="24"/>
      <w:lang w:val="de-DE"/>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4BD"/>
    <w:pPr>
      <w:jc w:val="both"/>
    </w:pPr>
    <w:rPr>
      <w:rFonts w:ascii="Arial" w:hAnsi="Arial"/>
    </w:rPr>
  </w:style>
  <w:style w:type="paragraph" w:styleId="Heading1">
    <w:name w:val="heading 1"/>
    <w:next w:val="Normal"/>
    <w:link w:val="Heading1Char"/>
    <w:autoRedefine/>
    <w:qFormat/>
    <w:rsid w:val="00140793"/>
    <w:pPr>
      <w:keepNext/>
      <w:outlineLvl w:val="0"/>
    </w:pPr>
    <w:rPr>
      <w:rFonts w:ascii="Arial" w:hAnsi="Arial"/>
      <w:b/>
      <w:caps/>
    </w:rPr>
  </w:style>
  <w:style w:type="paragraph" w:styleId="Heading2">
    <w:name w:val="heading 2"/>
    <w:next w:val="Normal"/>
    <w:link w:val="Heading2Char"/>
    <w:autoRedefine/>
    <w:qFormat/>
    <w:rsid w:val="008B6109"/>
    <w:pPr>
      <w:keepNext/>
      <w:jc w:val="both"/>
      <w:outlineLvl w:val="1"/>
    </w:pPr>
    <w:rPr>
      <w:rFonts w:ascii="Arial Bold" w:hAnsi="Arial Bold"/>
      <w:b/>
      <w:caps/>
      <w:u w:val="single"/>
    </w:rPr>
  </w:style>
  <w:style w:type="paragraph" w:styleId="Heading3">
    <w:name w:val="heading 3"/>
    <w:next w:val="Normal"/>
    <w:link w:val="Heading3Char"/>
    <w:autoRedefine/>
    <w:qFormat/>
    <w:rsid w:val="00780E2C"/>
    <w:pPr>
      <w:keepNext/>
      <w:jc w:val="center"/>
      <w:outlineLvl w:val="2"/>
    </w:pPr>
    <w:rPr>
      <w:rFonts w:ascii="Arial" w:eastAsiaTheme="minorHAnsi" w:hAnsi="Arial"/>
      <w:b/>
      <w:u w:val="single"/>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rPr>
  </w:style>
  <w:style w:type="paragraph" w:styleId="Heading5">
    <w:name w:val="heading 5"/>
    <w:next w:val="Normal"/>
    <w:link w:val="Heading5Char"/>
    <w:autoRedefine/>
    <w:qFormat/>
    <w:rsid w:val="008518D2"/>
    <w:pPr>
      <w:keepNext/>
      <w:ind w:left="1134" w:hanging="567"/>
      <w:jc w:val="center"/>
      <w:outlineLvl w:val="4"/>
    </w:pPr>
    <w:rPr>
      <w:rFonts w:ascii="Arial" w:hAnsi="Arial"/>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0478F6"/>
    <w:pPr>
      <w:tabs>
        <w:tab w:val="right" w:leader="dot" w:pos="9639"/>
      </w:tabs>
      <w:spacing w:before="120" w:after="120" w:line="360" w:lineRule="auto"/>
      <w:ind w:left="851" w:right="851" w:hanging="567"/>
      <w:contextualSpacing/>
    </w:pPr>
    <w:rPr>
      <w:rFonts w:ascii="Arial" w:hAnsi="Arial"/>
      <w:noProof/>
    </w:rPr>
  </w:style>
  <w:style w:type="paragraph" w:styleId="TOC3">
    <w:name w:val="toc 3"/>
    <w:next w:val="Normal"/>
    <w:autoRedefine/>
    <w:uiPriority w:val="39"/>
    <w:rsid w:val="00D97C66"/>
    <w:pPr>
      <w:tabs>
        <w:tab w:val="right" w:leader="dot" w:pos="9639"/>
      </w:tabs>
      <w:spacing w:before="120" w:after="120"/>
      <w:ind w:left="851" w:right="851" w:hanging="567"/>
    </w:pPr>
    <w:rPr>
      <w:rFonts w:ascii="Arial" w:hAnsi="Arial"/>
      <w:noProof/>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39"/>
    <w:rsid w:val="00D97C66"/>
    <w:pPr>
      <w:tabs>
        <w:tab w:val="right" w:leader="dot" w:pos="9639"/>
      </w:tabs>
      <w:spacing w:before="120" w:after="120"/>
      <w:ind w:left="851" w:right="851" w:hanging="567"/>
    </w:pPr>
    <w:rPr>
      <w:rFonts w:ascii="Arial" w:hAnsi="Arial"/>
      <w:noProof/>
    </w:rPr>
  </w:style>
  <w:style w:type="paragraph" w:styleId="TOC1">
    <w:name w:val="toc 1"/>
    <w:next w:val="Normal"/>
    <w:autoRedefine/>
    <w:uiPriority w:val="39"/>
    <w:rsid w:val="00D97C66"/>
    <w:pPr>
      <w:tabs>
        <w:tab w:val="right" w:leader="dot" w:pos="9639"/>
      </w:tabs>
      <w:spacing w:before="240" w:after="120" w:line="480" w:lineRule="auto"/>
      <w:ind w:left="284" w:right="284" w:hanging="284"/>
      <w:contextualSpacing/>
    </w:pPr>
    <w:rPr>
      <w:rFonts w:ascii="Arial" w:hAnsi="Arial"/>
      <w:b/>
      <w:caps/>
      <w:noProof/>
    </w:rPr>
  </w:style>
  <w:style w:type="paragraph" w:styleId="TOC5">
    <w:name w:val="toc 5"/>
    <w:next w:val="Normal"/>
    <w:autoRedefine/>
    <w:uiPriority w:val="39"/>
    <w:rsid w:val="00D97C66"/>
    <w:pPr>
      <w:tabs>
        <w:tab w:val="right" w:leader="dot" w:pos="9639"/>
      </w:tabs>
      <w:spacing w:before="120" w:after="120"/>
      <w:ind w:left="851" w:right="851" w:hanging="567"/>
      <w:jc w:val="both"/>
    </w:pPr>
    <w:rPr>
      <w:rFonts w:ascii="Arial" w:hAnsi="Arial"/>
      <w:noProof/>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de-DE"/>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8B6109"/>
    <w:rPr>
      <w:rFonts w:ascii="Arial Bold" w:hAnsi="Arial Bold"/>
      <w:b/>
      <w:caps/>
      <w:u w:val="single"/>
    </w:rPr>
  </w:style>
  <w:style w:type="character" w:customStyle="1" w:styleId="Heading1Char">
    <w:name w:val="Heading 1 Char"/>
    <w:link w:val="Heading1"/>
    <w:rsid w:val="00140793"/>
    <w:rPr>
      <w:rFonts w:ascii="Arial" w:hAnsi="Arial"/>
      <w:b/>
      <w:caps/>
    </w:rPr>
  </w:style>
  <w:style w:type="character" w:customStyle="1" w:styleId="Heading3Char">
    <w:name w:val="Heading 3 Char"/>
    <w:link w:val="Heading3"/>
    <w:rsid w:val="00780E2C"/>
    <w:rPr>
      <w:rFonts w:ascii="Arial" w:eastAsiaTheme="minorHAnsi" w:hAnsi="Arial"/>
      <w:b/>
      <w:u w:val="single"/>
    </w:rPr>
  </w:style>
  <w:style w:type="character" w:customStyle="1" w:styleId="Heading4Char">
    <w:name w:val="Heading 4 Char"/>
    <w:link w:val="Heading4"/>
    <w:rsid w:val="009A0C8C"/>
    <w:rPr>
      <w:rFonts w:ascii="Arial Bold" w:hAnsi="Arial Bold"/>
      <w:b/>
      <w:color w:val="FFFFFF" w:themeColor="background1"/>
      <w:sz w:val="16"/>
      <w:lang w:val="de-DE"/>
    </w:rPr>
  </w:style>
  <w:style w:type="character" w:customStyle="1" w:styleId="Heading5Char">
    <w:name w:val="Heading 5 Char"/>
    <w:link w:val="Heading5"/>
    <w:rsid w:val="008518D2"/>
    <w:rPr>
      <w:rFonts w:ascii="Arial" w:hAnsi="Arial"/>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de-DE"/>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rPr>
  </w:style>
  <w:style w:type="character" w:customStyle="1" w:styleId="BodyTextIndent3Char">
    <w:name w:val="Body Text Indent 3 Char"/>
    <w:basedOn w:val="DefaultParagraphFont"/>
    <w:link w:val="BodyTextIndent3"/>
    <w:rsid w:val="002F09F3"/>
    <w:rPr>
      <w:sz w:val="24"/>
      <w:lang w:val="de-DE"/>
    </w:rPr>
  </w:style>
  <w:style w:type="paragraph" w:customStyle="1" w:styleId="DecisionInvitingPara">
    <w:name w:val="Decision Inviting Para."/>
    <w:basedOn w:val="Normal"/>
    <w:rsid w:val="002F09F3"/>
    <w:pPr>
      <w:ind w:left="4536"/>
      <w:jc w:val="left"/>
    </w:pPr>
    <w:rPr>
      <w:rFonts w:ascii="Times New Roman" w:hAnsi="Times New Roman"/>
      <w:i/>
      <w:sz w:val="24"/>
    </w:rPr>
  </w:style>
  <w:style w:type="paragraph" w:customStyle="1" w:styleId="T1">
    <w:name w:val="T1"/>
    <w:basedOn w:val="BodyText"/>
    <w:rsid w:val="002F09F3"/>
    <w:rPr>
      <w:rFonts w:ascii="Times New Roman" w:hAnsi="Times New Roman"/>
      <w:b/>
      <w:sz w:val="24"/>
    </w:rPr>
  </w:style>
  <w:style w:type="paragraph" w:customStyle="1" w:styleId="Titre">
    <w:name w:val="Titre"/>
    <w:basedOn w:val="Normal"/>
    <w:rsid w:val="002F09F3"/>
    <w:pPr>
      <w:tabs>
        <w:tab w:val="left" w:pos="567"/>
        <w:tab w:val="left" w:pos="993"/>
        <w:tab w:val="right" w:pos="6237"/>
        <w:tab w:val="right" w:pos="7938"/>
      </w:tabs>
      <w:spacing w:line="240" w:lineRule="exact"/>
      <w:jc w:val="left"/>
    </w:pPr>
    <w:rPr>
      <w:rFonts w:ascii="Times New Roman" w:hAnsi="Times New Roman"/>
      <w:b/>
      <w:caps/>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rPr>
  </w:style>
  <w:style w:type="character" w:customStyle="1" w:styleId="BodyTextIndent2Char">
    <w:name w:val="Body Text Indent 2 Char"/>
    <w:basedOn w:val="DefaultParagraphFont"/>
    <w:link w:val="BodyTextIndent2"/>
    <w:rsid w:val="002F09F3"/>
    <w:rPr>
      <w:lang w:val="de-DE"/>
    </w:rPr>
  </w:style>
  <w:style w:type="table" w:styleId="TableGrid">
    <w:name w:val="Table Grid"/>
    <w:basedOn w:val="TableNormal"/>
    <w:rsid w:val="002F09F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2F09F3"/>
    <w:pPr>
      <w:jc w:val="center"/>
    </w:pPr>
    <w:rPr>
      <w:rFonts w:ascii="Times New Roman" w:hAnsi="Times New Roman"/>
      <w:sz w:val="24"/>
      <w:u w:val="single"/>
    </w:rPr>
  </w:style>
  <w:style w:type="character" w:customStyle="1" w:styleId="BodyText3Char">
    <w:name w:val="Body Text 3 Char"/>
    <w:basedOn w:val="DefaultParagraphFont"/>
    <w:link w:val="BodyText3"/>
    <w:rsid w:val="002F09F3"/>
    <w:rPr>
      <w:sz w:val="24"/>
      <w:u w:val="single"/>
      <w:lang w:val="de-DE"/>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2F09F3"/>
    <w:pPr>
      <w:tabs>
        <w:tab w:val="left" w:pos="567"/>
      </w:tabs>
      <w:jc w:val="left"/>
    </w:pPr>
    <w:rPr>
      <w:rFonts w:ascii="Times New Roman" w:hAnsi="Times New Roman"/>
      <w:sz w:val="24"/>
    </w:rPr>
  </w:style>
  <w:style w:type="character" w:customStyle="1" w:styleId="BodyText2Char">
    <w:name w:val="Body Text 2 Char"/>
    <w:basedOn w:val="DefaultParagraphFont"/>
    <w:link w:val="BodyText2"/>
    <w:rsid w:val="002F09F3"/>
    <w:rPr>
      <w:sz w:val="24"/>
      <w:lang w:val="de-DE"/>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53472">
      <w:bodyDiv w:val="1"/>
      <w:marLeft w:val="0"/>
      <w:marRight w:val="0"/>
      <w:marTop w:val="0"/>
      <w:marBottom w:val="0"/>
      <w:divBdr>
        <w:top w:val="none" w:sz="0" w:space="0" w:color="auto"/>
        <w:left w:val="none" w:sz="0" w:space="0" w:color="auto"/>
        <w:bottom w:val="none" w:sz="0" w:space="0" w:color="auto"/>
        <w:right w:val="none" w:sz="0" w:space="0" w:color="auto"/>
      </w:divBdr>
    </w:div>
    <w:div w:id="526797033">
      <w:bodyDiv w:val="1"/>
      <w:marLeft w:val="0"/>
      <w:marRight w:val="0"/>
      <w:marTop w:val="0"/>
      <w:marBottom w:val="0"/>
      <w:divBdr>
        <w:top w:val="none" w:sz="0" w:space="0" w:color="auto"/>
        <w:left w:val="none" w:sz="0" w:space="0" w:color="auto"/>
        <w:bottom w:val="none" w:sz="0" w:space="0" w:color="auto"/>
        <w:right w:val="none" w:sz="0" w:space="0" w:color="auto"/>
      </w:divBdr>
    </w:div>
    <w:div w:id="688263641">
      <w:bodyDiv w:val="1"/>
      <w:marLeft w:val="0"/>
      <w:marRight w:val="0"/>
      <w:marTop w:val="0"/>
      <w:marBottom w:val="0"/>
      <w:divBdr>
        <w:top w:val="none" w:sz="0" w:space="0" w:color="auto"/>
        <w:left w:val="none" w:sz="0" w:space="0" w:color="auto"/>
        <w:bottom w:val="none" w:sz="0" w:space="0" w:color="auto"/>
        <w:right w:val="none" w:sz="0" w:space="0" w:color="auto"/>
      </w:divBdr>
    </w:div>
    <w:div w:id="1054818410">
      <w:bodyDiv w:val="1"/>
      <w:marLeft w:val="0"/>
      <w:marRight w:val="0"/>
      <w:marTop w:val="0"/>
      <w:marBottom w:val="0"/>
      <w:divBdr>
        <w:top w:val="none" w:sz="0" w:space="0" w:color="auto"/>
        <w:left w:val="none" w:sz="0" w:space="0" w:color="auto"/>
        <w:bottom w:val="none" w:sz="0" w:space="0" w:color="auto"/>
        <w:right w:val="none" w:sz="0" w:space="0" w:color="auto"/>
      </w:divBdr>
    </w:div>
    <w:div w:id="1170801676">
      <w:bodyDiv w:val="1"/>
      <w:marLeft w:val="0"/>
      <w:marRight w:val="0"/>
      <w:marTop w:val="0"/>
      <w:marBottom w:val="0"/>
      <w:divBdr>
        <w:top w:val="none" w:sz="0" w:space="0" w:color="auto"/>
        <w:left w:val="none" w:sz="0" w:space="0" w:color="auto"/>
        <w:bottom w:val="none" w:sz="0" w:space="0" w:color="auto"/>
        <w:right w:val="none" w:sz="0" w:space="0" w:color="auto"/>
      </w:divBdr>
    </w:div>
    <w:div w:id="1417097660">
      <w:bodyDiv w:val="1"/>
      <w:marLeft w:val="0"/>
      <w:marRight w:val="0"/>
      <w:marTop w:val="0"/>
      <w:marBottom w:val="0"/>
      <w:divBdr>
        <w:top w:val="none" w:sz="0" w:space="0" w:color="auto"/>
        <w:left w:val="none" w:sz="0" w:space="0" w:color="auto"/>
        <w:bottom w:val="none" w:sz="0" w:space="0" w:color="auto"/>
        <w:right w:val="none" w:sz="0" w:space="0" w:color="auto"/>
      </w:divBdr>
    </w:div>
    <w:div w:id="1424455637">
      <w:bodyDiv w:val="1"/>
      <w:marLeft w:val="0"/>
      <w:marRight w:val="0"/>
      <w:marTop w:val="0"/>
      <w:marBottom w:val="0"/>
      <w:divBdr>
        <w:top w:val="none" w:sz="0" w:space="0" w:color="auto"/>
        <w:left w:val="none" w:sz="0" w:space="0" w:color="auto"/>
        <w:bottom w:val="none" w:sz="0" w:space="0" w:color="auto"/>
        <w:right w:val="none" w:sz="0" w:space="0" w:color="auto"/>
      </w:divBdr>
    </w:div>
    <w:div w:id="1513299722">
      <w:bodyDiv w:val="1"/>
      <w:marLeft w:val="0"/>
      <w:marRight w:val="0"/>
      <w:marTop w:val="0"/>
      <w:marBottom w:val="0"/>
      <w:divBdr>
        <w:top w:val="none" w:sz="0" w:space="0" w:color="auto"/>
        <w:left w:val="none" w:sz="0" w:space="0" w:color="auto"/>
        <w:bottom w:val="none" w:sz="0" w:space="0" w:color="auto"/>
        <w:right w:val="none" w:sz="0" w:space="0" w:color="auto"/>
      </w:divBdr>
    </w:div>
    <w:div w:id="1580597411">
      <w:bodyDiv w:val="1"/>
      <w:marLeft w:val="0"/>
      <w:marRight w:val="0"/>
      <w:marTop w:val="0"/>
      <w:marBottom w:val="0"/>
      <w:divBdr>
        <w:top w:val="none" w:sz="0" w:space="0" w:color="auto"/>
        <w:left w:val="none" w:sz="0" w:space="0" w:color="auto"/>
        <w:bottom w:val="none" w:sz="0" w:space="0" w:color="auto"/>
        <w:right w:val="none" w:sz="0" w:space="0" w:color="auto"/>
      </w:divBdr>
    </w:div>
    <w:div w:id="1615747797">
      <w:bodyDiv w:val="1"/>
      <w:marLeft w:val="0"/>
      <w:marRight w:val="0"/>
      <w:marTop w:val="0"/>
      <w:marBottom w:val="0"/>
      <w:divBdr>
        <w:top w:val="none" w:sz="0" w:space="0" w:color="auto"/>
        <w:left w:val="none" w:sz="0" w:space="0" w:color="auto"/>
        <w:bottom w:val="none" w:sz="0" w:space="0" w:color="auto"/>
        <w:right w:val="none" w:sz="0" w:space="0" w:color="auto"/>
      </w:divBdr>
    </w:div>
    <w:div w:id="1743991178">
      <w:bodyDiv w:val="1"/>
      <w:marLeft w:val="0"/>
      <w:marRight w:val="0"/>
      <w:marTop w:val="0"/>
      <w:marBottom w:val="0"/>
      <w:divBdr>
        <w:top w:val="none" w:sz="0" w:space="0" w:color="auto"/>
        <w:left w:val="none" w:sz="0" w:space="0" w:color="auto"/>
        <w:bottom w:val="none" w:sz="0" w:space="0" w:color="auto"/>
        <w:right w:val="none" w:sz="0" w:space="0" w:color="auto"/>
      </w:divBdr>
    </w:div>
    <w:div w:id="1805004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9.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8.emf"/><Relationship Id="rId28" Type="http://schemas.openxmlformats.org/officeDocument/2006/relationships/image" Target="media/image13.png"/><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image" Target="media/image1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81863276264779"/>
          <c:y val="6.9919072615923006E-2"/>
          <c:w val="0.86771653543307081"/>
          <c:h val="0.72112459900845727"/>
        </c:manualLayout>
      </c:layout>
      <c:barChart>
        <c:barDir val="col"/>
        <c:grouping val="clustered"/>
        <c:varyColors val="0"/>
        <c:ser>
          <c:idx val="0"/>
          <c:order val="0"/>
          <c:tx>
            <c:strRef>
              <c:f>'Table 1'!$B$8</c:f>
              <c:strCache>
                <c:ptCount val="1"/>
                <c:pt idx="0">
                  <c:v>Einnahmen</c:v>
                </c:pt>
              </c:strCache>
            </c:strRef>
          </c:tx>
          <c:invertIfNegative val="0"/>
          <c:dLbls>
            <c:showLegendKey val="0"/>
            <c:showVal val="1"/>
            <c:showCatName val="0"/>
            <c:showSerName val="0"/>
            <c:showPercent val="0"/>
            <c:showBubbleSize val="0"/>
            <c:showLeaderLines val="0"/>
          </c:dLbls>
          <c:cat>
            <c:strRef>
              <c:f>('Table 1'!$C$5;'Table 1'!$D$5)</c:f>
              <c:strCache>
                <c:ptCount val="2"/>
                <c:pt idx="0">
                  <c:v>Haushaltsplan</c:v>
                </c:pt>
                <c:pt idx="1">
                  <c:v>Ist</c:v>
                </c:pt>
              </c:strCache>
            </c:strRef>
          </c:cat>
          <c:val>
            <c:numRef>
              <c:f>'Table 1'!$C$8:$D$8</c:f>
              <c:numCache>
                <c:formatCode>_ * #,##0_ ;_ * \-#,##0_ ;_ * "-"??_ ;_ @_ </c:formatCode>
                <c:ptCount val="2"/>
                <c:pt idx="0">
                  <c:v>6798</c:v>
                </c:pt>
                <c:pt idx="1">
                  <c:v>6791.3450000000012</c:v>
                </c:pt>
              </c:numCache>
            </c:numRef>
          </c:val>
        </c:ser>
        <c:ser>
          <c:idx val="1"/>
          <c:order val="1"/>
          <c:tx>
            <c:strRef>
              <c:f>'Table 1'!$B$9</c:f>
              <c:strCache>
                <c:ptCount val="1"/>
                <c:pt idx="0">
                  <c:v>Ausgaben</c:v>
                </c:pt>
              </c:strCache>
            </c:strRef>
          </c:tx>
          <c:invertIfNegative val="0"/>
          <c:dLbls>
            <c:showLegendKey val="0"/>
            <c:showVal val="1"/>
            <c:showCatName val="0"/>
            <c:showSerName val="0"/>
            <c:showPercent val="0"/>
            <c:showBubbleSize val="0"/>
            <c:showLeaderLines val="0"/>
          </c:dLbls>
          <c:cat>
            <c:strRef>
              <c:f>('Table 1'!$C$5;'Table 1'!$D$5)</c:f>
              <c:strCache>
                <c:ptCount val="2"/>
                <c:pt idx="0">
                  <c:v>Haushaltsplan</c:v>
                </c:pt>
                <c:pt idx="1">
                  <c:v>Ist</c:v>
                </c:pt>
              </c:strCache>
            </c:strRef>
          </c:cat>
          <c:val>
            <c:numRef>
              <c:f>'Table 1'!$C$9:$D$9</c:f>
              <c:numCache>
                <c:formatCode>_ * #,##0_ ;_ * \-#,##0_ ;_ * "-"??_ ;_ @_ </c:formatCode>
                <c:ptCount val="2"/>
                <c:pt idx="0">
                  <c:v>6798</c:v>
                </c:pt>
                <c:pt idx="1">
                  <c:v>6284.9217399999998</c:v>
                </c:pt>
              </c:numCache>
            </c:numRef>
          </c:val>
        </c:ser>
        <c:ser>
          <c:idx val="2"/>
          <c:order val="2"/>
          <c:tx>
            <c:strRef>
              <c:f>'Table 1'!$B$10</c:f>
              <c:strCache>
                <c:ptCount val="1"/>
                <c:pt idx="0">
                  <c:v>Haushaltsergebnis</c:v>
                </c:pt>
              </c:strCache>
            </c:strRef>
          </c:tx>
          <c:invertIfNegative val="0"/>
          <c:dLbls>
            <c:showLegendKey val="0"/>
            <c:showVal val="1"/>
            <c:showCatName val="0"/>
            <c:showSerName val="0"/>
            <c:showPercent val="0"/>
            <c:showBubbleSize val="0"/>
            <c:showLeaderLines val="0"/>
          </c:dLbls>
          <c:cat>
            <c:strRef>
              <c:f>('Table 1'!$C$5;'Table 1'!$D$5)</c:f>
              <c:strCache>
                <c:ptCount val="2"/>
                <c:pt idx="0">
                  <c:v>Haushaltsplan</c:v>
                </c:pt>
                <c:pt idx="1">
                  <c:v>Ist</c:v>
                </c:pt>
              </c:strCache>
            </c:strRef>
          </c:cat>
          <c:val>
            <c:numRef>
              <c:f>'Table 1'!$C$10:$D$10</c:f>
              <c:numCache>
                <c:formatCode>_ * #,##0_ ;_ * \-#,##0_ ;_ * "-"??_ ;_ @_ </c:formatCode>
                <c:ptCount val="2"/>
                <c:pt idx="0">
                  <c:v>0</c:v>
                </c:pt>
                <c:pt idx="1">
                  <c:v>506.42326000000139</c:v>
                </c:pt>
              </c:numCache>
            </c:numRef>
          </c:val>
        </c:ser>
        <c:dLbls>
          <c:showLegendKey val="0"/>
          <c:showVal val="0"/>
          <c:showCatName val="0"/>
          <c:showSerName val="0"/>
          <c:showPercent val="0"/>
          <c:showBubbleSize val="0"/>
        </c:dLbls>
        <c:gapWidth val="75"/>
        <c:axId val="68995712"/>
        <c:axId val="70806528"/>
      </c:barChart>
      <c:catAx>
        <c:axId val="68995712"/>
        <c:scaling>
          <c:orientation val="minMax"/>
        </c:scaling>
        <c:delete val="0"/>
        <c:axPos val="b"/>
        <c:numFmt formatCode="General" sourceLinked="1"/>
        <c:majorTickMark val="none"/>
        <c:minorTickMark val="none"/>
        <c:tickLblPos val="nextTo"/>
        <c:crossAx val="70806528"/>
        <c:crosses val="autoZero"/>
        <c:auto val="1"/>
        <c:lblAlgn val="ctr"/>
        <c:lblOffset val="100"/>
        <c:noMultiLvlLbl val="0"/>
      </c:catAx>
      <c:valAx>
        <c:axId val="70806528"/>
        <c:scaling>
          <c:orientation val="minMax"/>
        </c:scaling>
        <c:delete val="0"/>
        <c:axPos val="l"/>
        <c:numFmt formatCode="_ * #,##0_ ;_ * \-#,##0_ ;_ * &quot;-&quot;??_ ;_ @_ " sourceLinked="1"/>
        <c:majorTickMark val="none"/>
        <c:minorTickMark val="none"/>
        <c:tickLblPos val="nextTo"/>
        <c:crossAx val="68995712"/>
        <c:crosses val="autoZero"/>
        <c:crossBetween val="between"/>
      </c:valAx>
    </c:plotArea>
    <c:legend>
      <c:legendPos val="b"/>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a:t>2012/13 Tatsächliche</a:t>
            </a:r>
            <a:r>
              <a:rPr lang="en-US" baseline="0"/>
              <a:t> Einnahmen</a:t>
            </a:r>
            <a:endParaRPr lang="en-US"/>
          </a:p>
        </c:rich>
      </c:tx>
      <c:overlay val="0"/>
    </c:title>
    <c:autoTitleDeleted val="0"/>
    <c:plotArea>
      <c:layout>
        <c:manualLayout>
          <c:layoutTarget val="inner"/>
          <c:xMode val="edge"/>
          <c:yMode val="edge"/>
          <c:x val="0.31046281714785651"/>
          <c:y val="0.17379192184310294"/>
          <c:w val="0.40804702537182852"/>
          <c:h val="0.68007837561971418"/>
        </c:manualLayout>
      </c:layout>
      <c:pieChart>
        <c:varyColors val="1"/>
        <c:ser>
          <c:idx val="0"/>
          <c:order val="0"/>
          <c:tx>
            <c:v>2012/13 Actual Income</c:v>
          </c:tx>
          <c:dPt>
            <c:idx val="0"/>
            <c:bubble3D val="0"/>
            <c:spPr>
              <a:gradFill>
                <a:gsLst>
                  <a:gs pos="0">
                    <a:schemeClr val="accent1">
                      <a:tint val="66000"/>
                      <a:satMod val="160000"/>
                    </a:schemeClr>
                  </a:gs>
                  <a:gs pos="89000">
                    <a:schemeClr val="accent1">
                      <a:tint val="44500"/>
                      <a:satMod val="160000"/>
                    </a:schemeClr>
                  </a:gs>
                  <a:gs pos="100000">
                    <a:schemeClr val="accent1">
                      <a:tint val="23500"/>
                      <a:satMod val="160000"/>
                    </a:schemeClr>
                  </a:gs>
                </a:gsLst>
                <a:lin ang="5400000" scaled="0"/>
              </a:gradFill>
            </c:spPr>
          </c:dPt>
          <c:dPt>
            <c:idx val="1"/>
            <c:bubble3D val="0"/>
          </c:dPt>
          <c:dPt>
            <c:idx val="2"/>
            <c:bubble3D val="0"/>
          </c:dPt>
          <c:dPt>
            <c:idx val="3"/>
            <c:bubble3D val="0"/>
          </c:dPt>
          <c:dLbls>
            <c:dLbl>
              <c:idx val="1"/>
              <c:layout>
                <c:manualLayout>
                  <c:x val="-4.1990157480314962E-2"/>
                  <c:y val="3.4413094196558761E-2"/>
                </c:manualLayout>
              </c:layout>
              <c:numFmt formatCode="0.0%" sourceLinked="0"/>
              <c:spPr/>
              <c:txPr>
                <a:bodyPr/>
                <a:lstStyle/>
                <a:p>
                  <a:pPr>
                    <a:defRPr/>
                  </a:pPr>
                  <a:endParaRPr lang="en-US"/>
                </a:p>
              </c:txPr>
              <c:dLblPos val="bestFit"/>
              <c:showLegendKey val="0"/>
              <c:showVal val="0"/>
              <c:showCatName val="0"/>
              <c:showSerName val="0"/>
              <c:showPercent val="1"/>
              <c:showBubbleSize val="0"/>
            </c:dLbl>
            <c:dLbl>
              <c:idx val="2"/>
              <c:layout>
                <c:manualLayout>
                  <c:x val="2.5286526684164479E-2"/>
                  <c:y val="1.7724555263925343E-2"/>
                </c:manualLayout>
              </c:layout>
              <c:numFmt formatCode="0.0%" sourceLinked="0"/>
              <c:spPr/>
              <c:txPr>
                <a:bodyPr/>
                <a:lstStyle/>
                <a:p>
                  <a:pPr>
                    <a:defRPr/>
                  </a:pPr>
                  <a:endParaRPr lang="en-US"/>
                </a:p>
              </c:txPr>
              <c:dLblPos val="bestFit"/>
              <c:showLegendKey val="0"/>
              <c:showVal val="0"/>
              <c:showCatName val="0"/>
              <c:showSerName val="0"/>
              <c:showPercent val="1"/>
              <c:showBubbleSize val="0"/>
            </c:dLbl>
            <c:dLbl>
              <c:idx val="3"/>
              <c:layout>
                <c:manualLayout>
                  <c:x val="8.9844269466316712E-2"/>
                  <c:y val="2.6624744823563719E-2"/>
                </c:manualLayout>
              </c:layout>
              <c:numFmt formatCode="0.0%" sourceLinked="0"/>
              <c:spPr/>
              <c:txPr>
                <a:bodyPr/>
                <a:lstStyle/>
                <a:p>
                  <a:pPr>
                    <a:defRPr/>
                  </a:pPr>
                  <a:endParaRPr lang="en-US"/>
                </a:p>
              </c:txPr>
              <c:dLblPos val="bestFit"/>
              <c:showLegendKey val="0"/>
              <c:showVal val="0"/>
              <c:showCatName val="0"/>
              <c:showSerName val="0"/>
              <c:showPercent val="1"/>
              <c:showBubbleSize val="0"/>
            </c:dLbl>
            <c:numFmt formatCode="0.0%" sourceLinked="0"/>
            <c:showLegendKey val="0"/>
            <c:showVal val="0"/>
            <c:showCatName val="0"/>
            <c:showSerName val="0"/>
            <c:showPercent val="1"/>
            <c:showBubbleSize val="0"/>
            <c:showLeaderLines val="1"/>
          </c:dLbls>
          <c:cat>
            <c:strRef>
              <c:f>Table2!$B$8:$B$11</c:f>
              <c:strCache>
                <c:ptCount val="4"/>
                <c:pt idx="0">
                  <c:v>Beiträge</c:v>
                </c:pt>
                <c:pt idx="1">
                  <c:v>Veröffentlichungen</c:v>
                </c:pt>
                <c:pt idx="2">
                  <c:v>Zinsen</c:v>
                </c:pt>
                <c:pt idx="3">
                  <c:v>Sonstige</c:v>
                </c:pt>
              </c:strCache>
            </c:strRef>
          </c:cat>
          <c:val>
            <c:numRef>
              <c:f>Table2!$D$8:$D$11</c:f>
              <c:numCache>
                <c:formatCode>_(* #,##0_);_(* \(#,##0\);_(* "-"??_);_(@_)</c:formatCode>
                <c:ptCount val="4"/>
                <c:pt idx="0">
                  <c:v>6646.1</c:v>
                </c:pt>
                <c:pt idx="1">
                  <c:v>3.81</c:v>
                </c:pt>
                <c:pt idx="2" formatCode="_ * #,##0_ ;_ * \-#,##0_ ;_ * &quot;-&quot;??_ ;_ @_ ">
                  <c:v>29.17</c:v>
                </c:pt>
                <c:pt idx="3" formatCode="_ * #,##0_ ;_ * \-#,##0_ ;_ * &quot;-&quot;??_ ;_ @_ ">
                  <c:v>112.265</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10119488188976378"/>
          <c:y val="0.89963728492271799"/>
          <c:w val="0.77936067366579176"/>
          <c:h val="8.4868766404199492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7103-C210-4FA0-977B-309F03C2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29</Pages>
  <Words>4851</Words>
  <Characters>35810</Characters>
  <Application>Microsoft Office Word</Application>
  <DocSecurity>0</DocSecurity>
  <Lines>2238</Lines>
  <Paragraphs>1355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C/48/</vt:lpstr>
      <vt:lpstr>C/48/</vt:lpstr>
    </vt:vector>
  </TitlesOfParts>
  <Company>UPOV</Company>
  <LinksUpToDate>false</LinksUpToDate>
  <CharactersWithSpaces>39306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62</cp:revision>
  <cp:lastPrinted>2014-08-29T12:46:00Z</cp:lastPrinted>
  <dcterms:created xsi:type="dcterms:W3CDTF">2014-07-22T14:03:00Z</dcterms:created>
  <dcterms:modified xsi:type="dcterms:W3CDTF">2014-08-29T13:42:00Z</dcterms:modified>
</cp:coreProperties>
</file>