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F3305" w:rsidRPr="00C5280D" w:rsidTr="000F3305">
        <w:trPr>
          <w:trHeight w:val="1760"/>
        </w:trPr>
        <w:tc>
          <w:tcPr>
            <w:tcW w:w="3993" w:type="dxa"/>
          </w:tcPr>
          <w:p w:rsidR="000F3305" w:rsidRPr="00C5280D" w:rsidRDefault="000F3305" w:rsidP="000F3305"/>
        </w:tc>
        <w:tc>
          <w:tcPr>
            <w:tcW w:w="1549" w:type="dxa"/>
            <w:vAlign w:val="center"/>
          </w:tcPr>
          <w:p w:rsidR="000F3305" w:rsidRPr="00C5280D" w:rsidRDefault="000F3305" w:rsidP="000F3305">
            <w:pPr>
              <w:pStyle w:val="LogoUPOV"/>
            </w:pPr>
            <w:r>
              <w:rPr>
                <w:noProof/>
              </w:rPr>
              <w:drawing>
                <wp:inline distT="0" distB="0" distL="0" distR="0" wp14:anchorId="3CBD74CA" wp14:editId="4B36441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F3305" w:rsidRPr="00F8038E" w:rsidRDefault="000F3305" w:rsidP="000F3305">
            <w:pPr>
              <w:pStyle w:val="Lettrine"/>
            </w:pPr>
            <w:r w:rsidRPr="00F8038E">
              <w:t>G</w:t>
            </w:r>
          </w:p>
          <w:p w:rsidR="000F3305" w:rsidRPr="00F8038E" w:rsidRDefault="000F3305" w:rsidP="000F3305">
            <w:pPr>
              <w:pStyle w:val="Docoriginal"/>
            </w:pPr>
            <w:r w:rsidRPr="00F8038E">
              <w:t>C/47/10</w:t>
            </w:r>
            <w:bookmarkStart w:id="0" w:name="Code"/>
            <w:bookmarkEnd w:id="0"/>
          </w:p>
          <w:p w:rsidR="000F3305" w:rsidRPr="00F8038E" w:rsidRDefault="000F3305" w:rsidP="000F3305">
            <w:pPr>
              <w:pStyle w:val="Docoriginal"/>
              <w:rPr>
                <w:b w:val="0"/>
                <w:spacing w:val="0"/>
              </w:rPr>
            </w:pPr>
            <w:r w:rsidRPr="00F8038E">
              <w:rPr>
                <w:rStyle w:val="StyleDoclangBold"/>
                <w:b/>
                <w:spacing w:val="0"/>
              </w:rPr>
              <w:t>ORIGINAL</w:t>
            </w:r>
            <w:r w:rsidRPr="00F8038E">
              <w:rPr>
                <w:rStyle w:val="StyleDoclangBold"/>
                <w:spacing w:val="0"/>
              </w:rPr>
              <w:t>:</w:t>
            </w:r>
            <w:r w:rsidRPr="00F8038E">
              <w:rPr>
                <w:rStyle w:val="StyleDocoriginalNotBold1"/>
                <w:spacing w:val="0"/>
              </w:rPr>
              <w:t xml:space="preserve"> </w:t>
            </w:r>
            <w:bookmarkStart w:id="1" w:name="Original"/>
            <w:bookmarkEnd w:id="1"/>
            <w:r w:rsidRPr="00F8038E">
              <w:rPr>
                <w:b w:val="0"/>
                <w:spacing w:val="0"/>
              </w:rPr>
              <w:t>englisch</w:t>
            </w:r>
          </w:p>
          <w:p w:rsidR="000F3305" w:rsidRPr="00F8038E" w:rsidRDefault="000F3305" w:rsidP="00F8038E">
            <w:pPr>
              <w:pStyle w:val="Docoriginal"/>
              <w:rPr>
                <w:highlight w:val="yellow"/>
              </w:rPr>
            </w:pPr>
            <w:r w:rsidRPr="00F8038E">
              <w:t>DATUM</w:t>
            </w:r>
            <w:r w:rsidRPr="00F8038E">
              <w:rPr>
                <w:b w:val="0"/>
              </w:rPr>
              <w:t>:</w:t>
            </w:r>
            <w:r w:rsidRPr="00F8038E">
              <w:rPr>
                <w:rStyle w:val="StyleDocoriginalNotBold1"/>
                <w:spacing w:val="0"/>
              </w:rPr>
              <w:t xml:space="preserve"> </w:t>
            </w:r>
            <w:bookmarkStart w:id="2" w:name="Date"/>
            <w:bookmarkEnd w:id="2"/>
            <w:r w:rsidRPr="00F8038E">
              <w:rPr>
                <w:b w:val="0"/>
                <w:spacing w:val="0"/>
              </w:rPr>
              <w:t>4. September 2013</w:t>
            </w:r>
          </w:p>
        </w:tc>
      </w:tr>
      <w:tr w:rsidR="000F3305" w:rsidRPr="00C5280D" w:rsidTr="000F3305">
        <w:tc>
          <w:tcPr>
            <w:tcW w:w="9534" w:type="dxa"/>
            <w:gridSpan w:val="3"/>
          </w:tcPr>
          <w:p w:rsidR="000F3305" w:rsidRPr="00C5280D" w:rsidRDefault="000F3305" w:rsidP="000F3305">
            <w:pPr>
              <w:pStyle w:val="upove"/>
              <w:rPr>
                <w:sz w:val="28"/>
              </w:rPr>
            </w:pPr>
            <w:r>
              <w:t xml:space="preserve">INTERNATIONALER VERBAND ZUM SCHUTZ VON PFLANZENZÜCHTUNGEN </w:t>
            </w:r>
          </w:p>
        </w:tc>
      </w:tr>
      <w:tr w:rsidR="000F3305" w:rsidRPr="00C5280D" w:rsidTr="000F3305">
        <w:tc>
          <w:tcPr>
            <w:tcW w:w="9534" w:type="dxa"/>
            <w:gridSpan w:val="3"/>
          </w:tcPr>
          <w:p w:rsidR="000F3305" w:rsidRPr="00C5280D" w:rsidRDefault="000F3305" w:rsidP="000F3305">
            <w:pPr>
              <w:pStyle w:val="Country"/>
            </w:pPr>
            <w:r>
              <w:t>Genf</w:t>
            </w:r>
          </w:p>
        </w:tc>
      </w:tr>
    </w:tbl>
    <w:p w:rsidR="000F3305" w:rsidRPr="00C5280D" w:rsidRDefault="000F3305" w:rsidP="000F3305">
      <w:pPr>
        <w:pStyle w:val="Sessiontc"/>
      </w:pPr>
      <w:r>
        <w:t>DER RAT</w:t>
      </w:r>
    </w:p>
    <w:p w:rsidR="000F3305" w:rsidRPr="00C5280D" w:rsidRDefault="000F3305" w:rsidP="000F3305">
      <w:pPr>
        <w:pStyle w:val="Sessiontcplacedate"/>
      </w:pPr>
      <w:r>
        <w:t>Siebenundvierzigste ordentliche Tagung</w:t>
      </w:r>
      <w:r>
        <w:br/>
        <w:t>Genf, 24. Oktober 2013</w:t>
      </w:r>
    </w:p>
    <w:p w:rsidR="000F3305" w:rsidRPr="00C5280D" w:rsidRDefault="000F3305" w:rsidP="000F3305">
      <w:pPr>
        <w:pStyle w:val="Titleofdoc0"/>
      </w:pPr>
      <w:bookmarkStart w:id="3" w:name="TitleOfDoc"/>
      <w:bookmarkEnd w:id="3"/>
      <w:r>
        <w:t>Bericht über den Fortschritt der Arbeiten des Technischen Ausschusses,</w:t>
      </w:r>
      <w:r w:rsidR="00843DAC">
        <w:br/>
      </w:r>
      <w:r>
        <w:t>der Technischen Arbei</w:t>
      </w:r>
      <w:r w:rsidR="00843DAC">
        <w:t>tsgruppen und der Arbeitsgruppe</w:t>
      </w:r>
      <w:r w:rsidR="00843DAC">
        <w:br/>
      </w:r>
      <w:r>
        <w:t>für bioche</w:t>
      </w:r>
      <w:r w:rsidR="00843DAC">
        <w:t>mische und molekulare Verfahren</w:t>
      </w:r>
      <w:r w:rsidR="00843DAC">
        <w:br/>
      </w:r>
      <w:r>
        <w:t>und insbesondere für DNS-Profilierungsverfahren</w:t>
      </w:r>
    </w:p>
    <w:p w:rsidR="000F3305" w:rsidRPr="00C5280D" w:rsidRDefault="00F8038E" w:rsidP="000F3305">
      <w:pPr>
        <w:pStyle w:val="preparedby1"/>
      </w:pPr>
      <w:bookmarkStart w:id="4" w:name="Prepared"/>
      <w:bookmarkEnd w:id="4"/>
      <w:r>
        <w:t xml:space="preserve">Vom </w:t>
      </w:r>
      <w:r w:rsidR="000F3305">
        <w:t>Verbandsbüro erstelltes Dokument</w:t>
      </w:r>
      <w:r w:rsidR="000F3305">
        <w:br/>
      </w:r>
      <w:r w:rsidR="000F3305">
        <w:br/>
      </w:r>
      <w:r w:rsidR="000F3305">
        <w:rPr>
          <w:color w:val="A6A6A6" w:themeColor="background1" w:themeShade="A6"/>
        </w:rPr>
        <w:t>Haftungsausschluß:  dieses Dokument gibt nicht die Grundsätze oder eine Anleitung der UPOV wieder</w:t>
      </w:r>
    </w:p>
    <w:p w:rsidR="000F3305" w:rsidRPr="00262B2F" w:rsidRDefault="000F3305" w:rsidP="000F3305">
      <w:pPr>
        <w:rPr>
          <w:szCs w:val="24"/>
        </w:rPr>
      </w:pPr>
      <w:r w:rsidRPr="00262B2F">
        <w:fldChar w:fldCharType="begin"/>
      </w:r>
      <w:r w:rsidRPr="00262B2F">
        <w:instrText xml:space="preserve"> AUTONUM  </w:instrText>
      </w:r>
      <w:r w:rsidRPr="00262B2F">
        <w:fldChar w:fldCharType="end"/>
      </w:r>
      <w:r>
        <w:tab/>
      </w:r>
      <w:r>
        <w:rPr>
          <w:szCs w:val="24"/>
        </w:rPr>
        <w:t>Dieses Dokument enthält einen Bericht über den Fortschritt der Arbeiten des Technischen Ausschusses (TC), seiner Technischen Arbeitsgruppen (TWP) und der Arbeitsgruppe für biochemische und molekulare Verfahren und insbesondere für DNS Profilierungsverfahren (BMT).</w:t>
      </w:r>
    </w:p>
    <w:p w:rsidR="000F3305" w:rsidRPr="00262B2F" w:rsidRDefault="000F3305" w:rsidP="000F3305">
      <w:pPr>
        <w:rPr>
          <w:szCs w:val="24"/>
        </w:rPr>
      </w:pPr>
    </w:p>
    <w:p w:rsidR="000F3305" w:rsidRPr="00262B2F" w:rsidRDefault="000F3305" w:rsidP="000F3305">
      <w:r w:rsidRPr="00262B2F">
        <w:fldChar w:fldCharType="begin"/>
      </w:r>
      <w:r w:rsidRPr="00262B2F">
        <w:instrText xml:space="preserve"> AUTONUM  </w:instrText>
      </w:r>
      <w:r w:rsidRPr="00262B2F">
        <w:fldChar w:fldCharType="end"/>
      </w:r>
      <w:r>
        <w:tab/>
        <w:t>In diesem Dokument werden folgende Abkürzungen verwendet:</w:t>
      </w:r>
    </w:p>
    <w:p w:rsidR="000F3305" w:rsidRPr="00262B2F" w:rsidRDefault="000F3305" w:rsidP="000F3305"/>
    <w:p w:rsidR="000F3305" w:rsidRPr="00262B2F" w:rsidRDefault="000F3305" w:rsidP="000F3305">
      <w:pPr>
        <w:tabs>
          <w:tab w:val="left" w:pos="567"/>
        </w:tabs>
        <w:ind w:left="2552" w:right="-1" w:hanging="2552"/>
        <w:jc w:val="left"/>
      </w:pPr>
      <w:r>
        <w:tab/>
        <w:t>CAJ</w:t>
      </w:r>
      <w:r>
        <w:tab/>
        <w:t xml:space="preserve">Verwaltungs- und Rechtsausschuß </w:t>
      </w:r>
    </w:p>
    <w:p w:rsidR="000F3305" w:rsidRPr="00262B2F" w:rsidRDefault="000F3305" w:rsidP="000F3305">
      <w:pPr>
        <w:tabs>
          <w:tab w:val="left" w:pos="567"/>
        </w:tabs>
        <w:ind w:left="2552" w:right="-1" w:hanging="2552"/>
        <w:jc w:val="left"/>
      </w:pPr>
      <w:r>
        <w:tab/>
        <w:t>TC:</w:t>
      </w:r>
      <w:r>
        <w:tab/>
      </w:r>
      <w:r w:rsidR="00843DAC">
        <w:t xml:space="preserve">Technischer Ausschuß </w:t>
      </w:r>
    </w:p>
    <w:p w:rsidR="000F3305" w:rsidRPr="00262B2F" w:rsidRDefault="000F3305" w:rsidP="000F3305">
      <w:pPr>
        <w:tabs>
          <w:tab w:val="left" w:pos="567"/>
        </w:tabs>
        <w:ind w:left="2552" w:right="-1" w:hanging="2552"/>
        <w:jc w:val="left"/>
      </w:pPr>
      <w:r>
        <w:tab/>
        <w:t>TC</w:t>
      </w:r>
      <w:r>
        <w:noBreakHyphen/>
        <w:t>EDC:</w:t>
      </w:r>
      <w:r>
        <w:tab/>
        <w:t>Erweiterter Redaktionsausschuß</w:t>
      </w:r>
    </w:p>
    <w:p w:rsidR="000F3305" w:rsidRPr="00262B2F" w:rsidRDefault="000F3305" w:rsidP="000F3305">
      <w:pPr>
        <w:tabs>
          <w:tab w:val="left" w:pos="567"/>
        </w:tabs>
        <w:ind w:left="2552" w:right="-1" w:hanging="2552"/>
        <w:jc w:val="left"/>
      </w:pPr>
      <w:r>
        <w:tab/>
        <w:t>TWP:</w:t>
      </w:r>
      <w:r>
        <w:tab/>
        <w:t>Technische Arbeitsgruppen</w:t>
      </w:r>
    </w:p>
    <w:p w:rsidR="000F3305" w:rsidRPr="00262B2F" w:rsidRDefault="000F3305" w:rsidP="000F3305">
      <w:pPr>
        <w:tabs>
          <w:tab w:val="left" w:pos="567"/>
        </w:tabs>
        <w:ind w:left="2552" w:right="-1" w:hanging="2552"/>
        <w:jc w:val="left"/>
      </w:pPr>
      <w:r>
        <w:tab/>
        <w:t>TWA:</w:t>
      </w:r>
      <w:r>
        <w:tab/>
        <w:t>Technische Arbeitsgruppe für landwirtschaftliche Arten</w:t>
      </w:r>
    </w:p>
    <w:p w:rsidR="000F3305" w:rsidRPr="00262B2F" w:rsidRDefault="000F3305" w:rsidP="000F3305">
      <w:pPr>
        <w:tabs>
          <w:tab w:val="left" w:pos="567"/>
        </w:tabs>
        <w:ind w:left="2552" w:right="-1" w:hanging="2552"/>
        <w:jc w:val="left"/>
      </w:pPr>
      <w:r>
        <w:tab/>
        <w:t>TWC:</w:t>
      </w:r>
      <w:r>
        <w:tab/>
        <w:t>Technische Arbeitsgruppe für Automatisierung und Computerprogramme</w:t>
      </w:r>
    </w:p>
    <w:p w:rsidR="000F3305" w:rsidRPr="00262B2F" w:rsidRDefault="000F3305" w:rsidP="000F3305">
      <w:pPr>
        <w:tabs>
          <w:tab w:val="left" w:pos="567"/>
        </w:tabs>
        <w:ind w:left="2552" w:right="-1" w:hanging="2552"/>
        <w:jc w:val="left"/>
      </w:pPr>
      <w:r>
        <w:tab/>
        <w:t xml:space="preserve">TWF:  </w:t>
      </w:r>
      <w:r>
        <w:tab/>
        <w:t>Technische Arbeitsgruppe für Obstarten</w:t>
      </w:r>
    </w:p>
    <w:p w:rsidR="000F3305" w:rsidRPr="00262B2F" w:rsidRDefault="000F3305" w:rsidP="000F3305">
      <w:pPr>
        <w:tabs>
          <w:tab w:val="left" w:pos="567"/>
        </w:tabs>
        <w:ind w:left="2552" w:right="-1" w:hanging="2552"/>
        <w:jc w:val="left"/>
      </w:pPr>
      <w:r>
        <w:tab/>
        <w:t>TWO:</w:t>
      </w:r>
      <w:r>
        <w:tab/>
        <w:t>Technische Arbeitsgruppe für Zierpflanzen und forstliche Baumarten</w:t>
      </w:r>
    </w:p>
    <w:p w:rsidR="000F3305" w:rsidRPr="00262B2F" w:rsidRDefault="000F3305" w:rsidP="000F3305">
      <w:pPr>
        <w:tabs>
          <w:tab w:val="left" w:pos="567"/>
        </w:tabs>
        <w:ind w:left="2552" w:right="-1" w:hanging="2552"/>
        <w:jc w:val="left"/>
      </w:pPr>
      <w:r>
        <w:tab/>
        <w:t>TWV:</w:t>
      </w:r>
      <w:r>
        <w:tab/>
        <w:t>Technische Arbeitsgruppe für Gemüsearten</w:t>
      </w:r>
    </w:p>
    <w:p w:rsidR="000F3305" w:rsidRPr="00262B2F" w:rsidRDefault="000F3305" w:rsidP="000F3305">
      <w:pPr>
        <w:tabs>
          <w:tab w:val="left" w:pos="567"/>
        </w:tabs>
        <w:ind w:left="2552" w:right="-1" w:hanging="2552"/>
        <w:jc w:val="left"/>
      </w:pPr>
      <w:r>
        <w:tab/>
        <w:t>BMT:</w:t>
      </w:r>
      <w:r>
        <w:tab/>
        <w:t>Arbeitsgruppe für biochemische und molekulare Verfahren und insbesondere für DNS-Profilierungsverfahren</w:t>
      </w:r>
    </w:p>
    <w:p w:rsidR="007B72D4" w:rsidRDefault="000F3305" w:rsidP="000F3305">
      <w:pPr>
        <w:tabs>
          <w:tab w:val="left" w:pos="567"/>
        </w:tabs>
        <w:ind w:left="2552" w:right="-1" w:hanging="2552"/>
        <w:jc w:val="left"/>
      </w:pPr>
      <w:r>
        <w:tab/>
        <w:t>BMT-</w:t>
      </w:r>
    </w:p>
    <w:p w:rsidR="000F3305" w:rsidRPr="00262B2F" w:rsidRDefault="007B72D4" w:rsidP="000F3305">
      <w:pPr>
        <w:tabs>
          <w:tab w:val="left" w:pos="567"/>
        </w:tabs>
        <w:ind w:left="2552" w:right="-1" w:hanging="2552"/>
        <w:jc w:val="left"/>
      </w:pPr>
      <w:r>
        <w:tab/>
      </w:r>
      <w:r w:rsidR="000F3305">
        <w:t>Überprüfungsgruppe:</w:t>
      </w:r>
      <w:r w:rsidR="000F3305">
        <w:tab/>
      </w:r>
      <w:r w:rsidR="000F3305">
        <w:rPr>
          <w:i/>
        </w:rPr>
        <w:t>Ad-hoc</w:t>
      </w:r>
      <w:r w:rsidR="000F3305">
        <w:t>-Arbeitsgruppe technischer und juristischer Sachverständiger für biochemische und molekulare Verfahren</w:t>
      </w:r>
    </w:p>
    <w:p w:rsidR="000F3305" w:rsidRPr="00262B2F" w:rsidRDefault="000F3305" w:rsidP="000F3305">
      <w:pPr>
        <w:tabs>
          <w:tab w:val="left" w:pos="567"/>
        </w:tabs>
        <w:ind w:left="2552" w:right="-427" w:hanging="2552"/>
        <w:jc w:val="left"/>
        <w:rPr>
          <w:rFonts w:cs="Arial"/>
        </w:rPr>
      </w:pPr>
      <w:r>
        <w:tab/>
        <w:t xml:space="preserve">WG-PVD:  </w:t>
      </w:r>
      <w:r>
        <w:tab/>
      </w:r>
      <w:r>
        <w:rPr>
          <w:i/>
          <w:snapToGrid w:val="0"/>
        </w:rPr>
        <w:t>Ad-hoc-</w:t>
      </w:r>
      <w:r>
        <w:t>Arbeitsgruppe für die Veröffentlichung von Sortenbeschreibungen</w:t>
      </w:r>
      <w:r w:rsidR="007B72D4">
        <w:t xml:space="preserve"> </w:t>
      </w:r>
      <w:r>
        <w:t xml:space="preserve"> </w:t>
      </w:r>
    </w:p>
    <w:p w:rsidR="007B72D4" w:rsidRDefault="000F3305" w:rsidP="000F3305">
      <w:pPr>
        <w:tabs>
          <w:tab w:val="left" w:pos="567"/>
        </w:tabs>
        <w:ind w:left="2552" w:right="-1" w:hanging="2552"/>
        <w:jc w:val="left"/>
      </w:pPr>
      <w:r>
        <w:tab/>
        <w:t xml:space="preserve">Artenspezifische </w:t>
      </w:r>
    </w:p>
    <w:p w:rsidR="000F3305" w:rsidRPr="00262B2F" w:rsidRDefault="007B72D4" w:rsidP="000F3305">
      <w:pPr>
        <w:tabs>
          <w:tab w:val="left" w:pos="567"/>
        </w:tabs>
        <w:ind w:left="2552" w:right="-1" w:hanging="2552"/>
        <w:jc w:val="left"/>
        <w:rPr>
          <w:rFonts w:cs="Arial"/>
        </w:rPr>
      </w:pPr>
      <w:r>
        <w:tab/>
      </w:r>
      <w:r w:rsidR="000F3305">
        <w:t>Untergruppen:</w:t>
      </w:r>
      <w:r w:rsidR="000F3305">
        <w:tab/>
        <w:t xml:space="preserve">Artenspezifische </w:t>
      </w:r>
      <w:r w:rsidR="000F3305">
        <w:rPr>
          <w:i/>
        </w:rPr>
        <w:t>Ad-hoc</w:t>
      </w:r>
      <w:r w:rsidR="000F3305">
        <w:t>-Untergruppen für molekulare Verfahren</w:t>
      </w:r>
    </w:p>
    <w:p w:rsidR="000F3305" w:rsidRPr="00262B2F" w:rsidRDefault="000F3305" w:rsidP="000F3305">
      <w:pPr>
        <w:tabs>
          <w:tab w:val="left" w:pos="567"/>
        </w:tabs>
        <w:ind w:left="2552" w:right="-1" w:hanging="2552"/>
        <w:jc w:val="left"/>
        <w:rPr>
          <w:rFonts w:cs="Arial"/>
        </w:rPr>
      </w:pPr>
      <w:r>
        <w:tab/>
        <w:t>DUS:</w:t>
      </w:r>
      <w:r>
        <w:tab/>
        <w:t xml:space="preserve">Unterscheidbarkeit, Homogenität und Beständigkeit </w:t>
      </w:r>
    </w:p>
    <w:p w:rsidR="000F3305" w:rsidRPr="00262B2F" w:rsidRDefault="000F3305" w:rsidP="000F3305">
      <w:pPr>
        <w:tabs>
          <w:tab w:val="left" w:pos="567"/>
        </w:tabs>
        <w:ind w:left="2552" w:right="-1" w:hanging="2552"/>
        <w:jc w:val="left"/>
        <w:rPr>
          <w:rFonts w:cs="Arial"/>
        </w:rPr>
      </w:pPr>
      <w:r>
        <w:tab/>
        <w:t>Büro:</w:t>
      </w:r>
      <w:r>
        <w:tab/>
        <w:t>Verbandsbüro</w:t>
      </w:r>
    </w:p>
    <w:p w:rsidR="002B6DFD" w:rsidRPr="00262B2F" w:rsidRDefault="002B6DFD" w:rsidP="002B6DFD">
      <w:pPr>
        <w:spacing w:line="360" w:lineRule="auto"/>
        <w:jc w:val="center"/>
        <w:rPr>
          <w:rFonts w:cs="Arial"/>
        </w:rPr>
      </w:pPr>
    </w:p>
    <w:p w:rsidR="002B6DFD" w:rsidRPr="00262B2F" w:rsidRDefault="002B6DFD" w:rsidP="002B6DFD"/>
    <w:p w:rsidR="00C651CE" w:rsidRDefault="002B6DFD" w:rsidP="002B6DFD">
      <w:pPr>
        <w:rPr>
          <w:rFonts w:cs="Arial"/>
        </w:rPr>
      </w:pPr>
      <w:r w:rsidRPr="00262B2F">
        <w:rPr>
          <w:rFonts w:cs="Arial"/>
        </w:rPr>
        <w:br w:type="page"/>
      </w:r>
    </w:p>
    <w:p w:rsidR="00813DC0" w:rsidRPr="00C651CE" w:rsidRDefault="000F3305" w:rsidP="00813DC0">
      <w:pPr>
        <w:jc w:val="center"/>
      </w:pPr>
      <w:r>
        <w:rPr>
          <w:rFonts w:cs="Arial"/>
        </w:rPr>
        <w:lastRenderedPageBreak/>
        <w:t>INHALT</w:t>
      </w:r>
    </w:p>
    <w:sdt>
      <w:sdtPr>
        <w:id w:val="-721212279"/>
        <w:docPartObj>
          <w:docPartGallery w:val="Table of Contents"/>
          <w:docPartUnique/>
        </w:docPartObj>
      </w:sdtPr>
      <w:sdtEndPr>
        <w:rPr>
          <w:b/>
          <w:bCs/>
          <w:noProof/>
        </w:rPr>
      </w:sdtEndPr>
      <w:sdtContent>
        <w:p w:rsidR="00813DC0" w:rsidRDefault="00813DC0" w:rsidP="001002A7">
          <w:pPr>
            <w:spacing w:before="60"/>
            <w:jc w:val="center"/>
          </w:pPr>
        </w:p>
        <w:p w:rsidR="00747C66" w:rsidRDefault="001002A7">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368582999" w:history="1">
            <w:r w:rsidR="00747C66" w:rsidRPr="00D960FD">
              <w:rPr>
                <w:rStyle w:val="Hyperlink"/>
              </w:rPr>
              <w:t>I.</w:t>
            </w:r>
            <w:r w:rsidR="00747C66">
              <w:rPr>
                <w:rFonts w:asciiTheme="minorHAnsi" w:eastAsiaTheme="minorEastAsia" w:hAnsiTheme="minorHAnsi" w:cstheme="minorBidi"/>
                <w:caps w:val="0"/>
                <w:sz w:val="22"/>
                <w:szCs w:val="22"/>
              </w:rPr>
              <w:tab/>
            </w:r>
            <w:r w:rsidR="00747C66" w:rsidRPr="00D960FD">
              <w:rPr>
                <w:rStyle w:val="Hyperlink"/>
                <w:lang w:val="de-DE"/>
              </w:rPr>
              <w:t>BERICHT ÜBER DEN FORTSCHRITT DER ARBEITEN DES TECHNISCHEN AUSSCHUSSES</w:t>
            </w:r>
            <w:r w:rsidR="00747C66">
              <w:rPr>
                <w:webHidden/>
              </w:rPr>
              <w:tab/>
            </w:r>
            <w:r w:rsidR="00747C66">
              <w:rPr>
                <w:webHidden/>
              </w:rPr>
              <w:fldChar w:fldCharType="begin"/>
            </w:r>
            <w:r w:rsidR="00747C66">
              <w:rPr>
                <w:webHidden/>
              </w:rPr>
              <w:instrText xml:space="preserve"> PAGEREF _Toc368582999 \h </w:instrText>
            </w:r>
            <w:r w:rsidR="00747C66">
              <w:rPr>
                <w:webHidden/>
              </w:rPr>
            </w:r>
            <w:r w:rsidR="00747C66">
              <w:rPr>
                <w:webHidden/>
              </w:rPr>
              <w:fldChar w:fldCharType="separate"/>
            </w:r>
            <w:r w:rsidR="00747C66">
              <w:rPr>
                <w:webHidden/>
              </w:rPr>
              <w:t>4</w:t>
            </w:r>
            <w:r w:rsidR="00747C66">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00" w:history="1">
            <w:r w:rsidRPr="00D960FD">
              <w:rPr>
                <w:rStyle w:val="Hyperlink"/>
                <w:lang w:val="de-DE"/>
              </w:rPr>
              <w:t>Bericht über die Entwicklungen in der UPOV, u. a. die auf den letzten Tagungen des Verwaltungs- und Rechtsausschusses, des Beratenden Ausschusses und des Rates erörterten wichtigen Angelegenheiten (mündlicher Bericht des Stellvertretenden Generalsekretärs)</w:t>
            </w:r>
            <w:r>
              <w:rPr>
                <w:webHidden/>
              </w:rPr>
              <w:tab/>
            </w:r>
            <w:r>
              <w:rPr>
                <w:webHidden/>
              </w:rPr>
              <w:fldChar w:fldCharType="begin"/>
            </w:r>
            <w:r>
              <w:rPr>
                <w:webHidden/>
              </w:rPr>
              <w:instrText xml:space="preserve"> PAGEREF _Toc368583000 \h </w:instrText>
            </w:r>
            <w:r>
              <w:rPr>
                <w:webHidden/>
              </w:rPr>
            </w:r>
            <w:r>
              <w:rPr>
                <w:webHidden/>
              </w:rPr>
              <w:fldChar w:fldCharType="separate"/>
            </w:r>
            <w:r>
              <w:rPr>
                <w:webHidden/>
              </w:rPr>
              <w:t>4</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01" w:history="1">
            <w:r w:rsidRPr="00D960FD">
              <w:rPr>
                <w:rStyle w:val="Hyperlink"/>
                <w:lang w:val="de-DE"/>
              </w:rPr>
              <w:t>Berichte über den Fortschritt der Arbeiten der Technischen Arbeitsgruppen, einschließlich der Arbeitsgruppe für biochemische und molekulare Verfahren und insbesondere für DNS Profilierungsverfahren (BMT) und der artenspezifischen Ad-hoc-Untergruppen für molekulare Verfahren</w:t>
            </w:r>
            <w:r>
              <w:rPr>
                <w:webHidden/>
              </w:rPr>
              <w:tab/>
            </w:r>
            <w:r>
              <w:rPr>
                <w:webHidden/>
              </w:rPr>
              <w:fldChar w:fldCharType="begin"/>
            </w:r>
            <w:r>
              <w:rPr>
                <w:webHidden/>
              </w:rPr>
              <w:instrText xml:space="preserve"> PAGEREF _Toc368583001 \h </w:instrText>
            </w:r>
            <w:r>
              <w:rPr>
                <w:webHidden/>
              </w:rPr>
            </w:r>
            <w:r>
              <w:rPr>
                <w:webHidden/>
              </w:rPr>
              <w:fldChar w:fldCharType="separate"/>
            </w:r>
            <w:r>
              <w:rPr>
                <w:webHidden/>
              </w:rPr>
              <w:t>4</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02" w:history="1">
            <w:r w:rsidRPr="00D960FD">
              <w:rPr>
                <w:rStyle w:val="Hyperlink"/>
                <w:lang w:val="de-DE"/>
              </w:rPr>
              <w:t>Fragen, die von den technischen Arbeitsgruppen aufgeworfen wurden</w:t>
            </w:r>
            <w:r>
              <w:rPr>
                <w:webHidden/>
              </w:rPr>
              <w:tab/>
            </w:r>
            <w:r>
              <w:rPr>
                <w:webHidden/>
              </w:rPr>
              <w:fldChar w:fldCharType="begin"/>
            </w:r>
            <w:r>
              <w:rPr>
                <w:webHidden/>
              </w:rPr>
              <w:instrText xml:space="preserve"> PAGEREF _Toc368583002 \h </w:instrText>
            </w:r>
            <w:r>
              <w:rPr>
                <w:webHidden/>
              </w:rPr>
            </w:r>
            <w:r>
              <w:rPr>
                <w:webHidden/>
              </w:rPr>
              <w:fldChar w:fldCharType="separate"/>
            </w:r>
            <w:r>
              <w:rPr>
                <w:webHidden/>
              </w:rPr>
              <w:t>4</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03" w:history="1">
            <w:r w:rsidRPr="00D960FD">
              <w:rPr>
                <w:rStyle w:val="Hyperlink"/>
                <w:lang w:bidi="de-DE"/>
              </w:rPr>
              <w:t>Anleitung für Verfasser von Prüfungsrichtlinien</w:t>
            </w:r>
            <w:r>
              <w:rPr>
                <w:webHidden/>
              </w:rPr>
              <w:tab/>
            </w:r>
            <w:r>
              <w:rPr>
                <w:webHidden/>
              </w:rPr>
              <w:fldChar w:fldCharType="begin"/>
            </w:r>
            <w:r>
              <w:rPr>
                <w:webHidden/>
              </w:rPr>
              <w:instrText xml:space="preserve"> PAGEREF _Toc368583003 \h </w:instrText>
            </w:r>
            <w:r>
              <w:rPr>
                <w:webHidden/>
              </w:rPr>
            </w:r>
            <w:r>
              <w:rPr>
                <w:webHidden/>
              </w:rPr>
              <w:fldChar w:fldCharType="separate"/>
            </w:r>
            <w:r>
              <w:rPr>
                <w:webHidden/>
              </w:rPr>
              <w:t>4</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04" w:history="1">
            <w:r w:rsidRPr="00D960FD">
              <w:rPr>
                <w:rStyle w:val="Hyperlink"/>
                <w:lang w:bidi="de-DE"/>
              </w:rPr>
              <w:t>Webbasierte TG-Mustervorlage</w:t>
            </w:r>
            <w:r>
              <w:rPr>
                <w:webHidden/>
              </w:rPr>
              <w:tab/>
            </w:r>
            <w:r>
              <w:rPr>
                <w:webHidden/>
              </w:rPr>
              <w:fldChar w:fldCharType="begin"/>
            </w:r>
            <w:r>
              <w:rPr>
                <w:webHidden/>
              </w:rPr>
              <w:instrText xml:space="preserve"> PAGEREF _Toc368583004 \h </w:instrText>
            </w:r>
            <w:r>
              <w:rPr>
                <w:webHidden/>
              </w:rPr>
            </w:r>
            <w:r>
              <w:rPr>
                <w:webHidden/>
              </w:rPr>
              <w:fldChar w:fldCharType="separate"/>
            </w:r>
            <w:r>
              <w:rPr>
                <w:webHidden/>
              </w:rPr>
              <w:t>5</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05" w:history="1">
            <w:r w:rsidRPr="00D960FD">
              <w:rPr>
                <w:rStyle w:val="Hyperlink"/>
                <w:lang w:bidi="de-DE"/>
              </w:rPr>
              <w:t>Erfahrungen mit neuen Typen und Arten</w:t>
            </w:r>
            <w:r>
              <w:rPr>
                <w:webHidden/>
              </w:rPr>
              <w:tab/>
            </w:r>
            <w:r>
              <w:rPr>
                <w:webHidden/>
              </w:rPr>
              <w:fldChar w:fldCharType="begin"/>
            </w:r>
            <w:r>
              <w:rPr>
                <w:webHidden/>
              </w:rPr>
              <w:instrText xml:space="preserve"> PAGEREF _Toc368583005 \h </w:instrText>
            </w:r>
            <w:r>
              <w:rPr>
                <w:webHidden/>
              </w:rPr>
            </w:r>
            <w:r>
              <w:rPr>
                <w:webHidden/>
              </w:rPr>
              <w:fldChar w:fldCharType="separate"/>
            </w:r>
            <w:r>
              <w:rPr>
                <w:webHidden/>
              </w:rPr>
              <w:t>5</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06" w:history="1">
            <w:r w:rsidRPr="00D960FD">
              <w:rPr>
                <w:rStyle w:val="Hyperlink"/>
                <w:lang w:bidi="de-DE"/>
              </w:rPr>
              <w:t>Datenlogger</w:t>
            </w:r>
            <w:r>
              <w:rPr>
                <w:webHidden/>
              </w:rPr>
              <w:tab/>
            </w:r>
            <w:r>
              <w:rPr>
                <w:webHidden/>
              </w:rPr>
              <w:fldChar w:fldCharType="begin"/>
            </w:r>
            <w:r>
              <w:rPr>
                <w:webHidden/>
              </w:rPr>
              <w:instrText xml:space="preserve"> PAGEREF _Toc368583006 \h </w:instrText>
            </w:r>
            <w:r>
              <w:rPr>
                <w:webHidden/>
              </w:rPr>
            </w:r>
            <w:r>
              <w:rPr>
                <w:webHidden/>
              </w:rPr>
              <w:fldChar w:fldCharType="separate"/>
            </w:r>
            <w:r>
              <w:rPr>
                <w:webHidden/>
              </w:rPr>
              <w:t>5</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07" w:history="1">
            <w:r w:rsidRPr="00D960FD">
              <w:rPr>
                <w:rStyle w:val="Hyperlink"/>
                <w:lang w:bidi="de-DE"/>
              </w:rPr>
              <w:t>Umfrage zur Ermittlung der Effizienz der Technischen Arbeitsgruppen</w:t>
            </w:r>
            <w:r>
              <w:rPr>
                <w:webHidden/>
              </w:rPr>
              <w:tab/>
            </w:r>
            <w:r>
              <w:rPr>
                <w:webHidden/>
              </w:rPr>
              <w:fldChar w:fldCharType="begin"/>
            </w:r>
            <w:r>
              <w:rPr>
                <w:webHidden/>
              </w:rPr>
              <w:instrText xml:space="preserve"> PAGEREF _Toc368583007 \h </w:instrText>
            </w:r>
            <w:r>
              <w:rPr>
                <w:webHidden/>
              </w:rPr>
            </w:r>
            <w:r>
              <w:rPr>
                <w:webHidden/>
              </w:rPr>
              <w:fldChar w:fldCharType="separate"/>
            </w:r>
            <w:r>
              <w:rPr>
                <w:webHidden/>
              </w:rPr>
              <w:t>5</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08" w:history="1">
            <w:r w:rsidRPr="00D960FD">
              <w:rPr>
                <w:rStyle w:val="Hyperlink"/>
                <w:lang w:val="de-DE"/>
              </w:rPr>
              <w:t>TGP-Dokumente</w:t>
            </w:r>
            <w:r>
              <w:rPr>
                <w:webHidden/>
              </w:rPr>
              <w:tab/>
            </w:r>
            <w:r>
              <w:rPr>
                <w:webHidden/>
              </w:rPr>
              <w:fldChar w:fldCharType="begin"/>
            </w:r>
            <w:r>
              <w:rPr>
                <w:webHidden/>
              </w:rPr>
              <w:instrText xml:space="preserve"> PAGEREF _Toc368583008 \h </w:instrText>
            </w:r>
            <w:r>
              <w:rPr>
                <w:webHidden/>
              </w:rPr>
            </w:r>
            <w:r>
              <w:rPr>
                <w:webHidden/>
              </w:rPr>
              <w:fldChar w:fldCharType="separate"/>
            </w:r>
            <w:r>
              <w:rPr>
                <w:webHidden/>
              </w:rPr>
              <w:t>6</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09" w:history="1">
            <w:r w:rsidRPr="00D960FD">
              <w:rPr>
                <w:rStyle w:val="Hyperlink"/>
                <w:lang w:bidi="de-DE"/>
              </w:rPr>
              <w:t>a)</w:t>
            </w:r>
            <w:r>
              <w:rPr>
                <w:rFonts w:asciiTheme="minorHAnsi" w:eastAsiaTheme="minorEastAsia" w:hAnsiTheme="minorHAnsi" w:cstheme="minorBidi"/>
                <w:i w:val="0"/>
                <w:sz w:val="22"/>
                <w:szCs w:val="22"/>
                <w:lang w:val="en-US"/>
              </w:rPr>
              <w:tab/>
            </w:r>
            <w:r w:rsidRPr="00D960FD">
              <w:rPr>
                <w:rStyle w:val="Hyperlink"/>
                <w:lang w:bidi="de-DE"/>
              </w:rPr>
              <w:t>Neues TGP-Dokument</w:t>
            </w:r>
            <w:r>
              <w:rPr>
                <w:webHidden/>
              </w:rPr>
              <w:tab/>
            </w:r>
            <w:r>
              <w:rPr>
                <w:webHidden/>
              </w:rPr>
              <w:fldChar w:fldCharType="begin"/>
            </w:r>
            <w:r>
              <w:rPr>
                <w:webHidden/>
              </w:rPr>
              <w:instrText xml:space="preserve"> PAGEREF _Toc368583009 \h </w:instrText>
            </w:r>
            <w:r>
              <w:rPr>
                <w:webHidden/>
              </w:rPr>
            </w:r>
            <w:r>
              <w:rPr>
                <w:webHidden/>
              </w:rPr>
              <w:fldChar w:fldCharType="separate"/>
            </w:r>
            <w:r>
              <w:rPr>
                <w:webHidden/>
              </w:rPr>
              <w:t>6</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10" w:history="1">
            <w:r w:rsidRPr="00D960FD">
              <w:rPr>
                <w:rStyle w:val="Hyperlink"/>
                <w:lang w:bidi="de-DE"/>
              </w:rPr>
              <w:t>b)</w:t>
            </w:r>
            <w:r>
              <w:rPr>
                <w:rFonts w:asciiTheme="minorHAnsi" w:eastAsiaTheme="minorEastAsia" w:hAnsiTheme="minorHAnsi" w:cstheme="minorBidi"/>
                <w:i w:val="0"/>
                <w:sz w:val="22"/>
                <w:szCs w:val="22"/>
                <w:lang w:val="en-US"/>
              </w:rPr>
              <w:tab/>
            </w:r>
            <w:r w:rsidRPr="00D960FD">
              <w:rPr>
                <w:rStyle w:val="Hyperlink"/>
                <w:lang w:bidi="de-DE"/>
              </w:rPr>
              <w:t>Überarbeitung von TGP-Dokumenten</w:t>
            </w:r>
            <w:r>
              <w:rPr>
                <w:webHidden/>
              </w:rPr>
              <w:tab/>
            </w:r>
            <w:r>
              <w:rPr>
                <w:webHidden/>
              </w:rPr>
              <w:fldChar w:fldCharType="begin"/>
            </w:r>
            <w:r>
              <w:rPr>
                <w:webHidden/>
              </w:rPr>
              <w:instrText xml:space="preserve"> PAGEREF _Toc368583010 \h </w:instrText>
            </w:r>
            <w:r>
              <w:rPr>
                <w:webHidden/>
              </w:rPr>
            </w:r>
            <w:r>
              <w:rPr>
                <w:webHidden/>
              </w:rPr>
              <w:fldChar w:fldCharType="separate"/>
            </w:r>
            <w:r>
              <w:rPr>
                <w:webHidden/>
              </w:rPr>
              <w:t>7</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11" w:history="1">
            <w:r w:rsidRPr="00D960FD">
              <w:rPr>
                <w:rStyle w:val="Hyperlink"/>
                <w:lang w:bidi="de-DE"/>
              </w:rPr>
              <w:t>c)</w:t>
            </w:r>
            <w:r>
              <w:rPr>
                <w:rFonts w:asciiTheme="minorHAnsi" w:eastAsiaTheme="minorEastAsia" w:hAnsiTheme="minorHAnsi" w:cstheme="minorBidi"/>
                <w:i w:val="0"/>
                <w:sz w:val="22"/>
                <w:szCs w:val="22"/>
                <w:lang w:val="en-US"/>
              </w:rPr>
              <w:tab/>
            </w:r>
            <w:r w:rsidRPr="00D960FD">
              <w:rPr>
                <w:rStyle w:val="Hyperlink"/>
                <w:lang w:bidi="de-DE"/>
              </w:rPr>
              <w:t>Neue Vorschläge für eine künftige Überarbeitung von TGP-Dokumenten</w:t>
            </w:r>
            <w:r>
              <w:rPr>
                <w:webHidden/>
              </w:rPr>
              <w:tab/>
            </w:r>
            <w:r>
              <w:rPr>
                <w:webHidden/>
              </w:rPr>
              <w:fldChar w:fldCharType="begin"/>
            </w:r>
            <w:r>
              <w:rPr>
                <w:webHidden/>
              </w:rPr>
              <w:instrText xml:space="preserve"> PAGEREF _Toc368583011 \h </w:instrText>
            </w:r>
            <w:r>
              <w:rPr>
                <w:webHidden/>
              </w:rPr>
            </w:r>
            <w:r>
              <w:rPr>
                <w:webHidden/>
              </w:rPr>
              <w:fldChar w:fldCharType="separate"/>
            </w:r>
            <w:r>
              <w:rPr>
                <w:webHidden/>
              </w:rPr>
              <w:t>14</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12" w:history="1">
            <w:r w:rsidRPr="00D960FD">
              <w:rPr>
                <w:rStyle w:val="Hyperlink"/>
                <w:rFonts w:eastAsia="Calibri"/>
                <w:lang w:val="de-DE" w:eastAsia="de-DE" w:bidi="de-DE"/>
              </w:rPr>
              <w:t>Programm für die Erstellung von TGP-Dokumenten</w:t>
            </w:r>
            <w:r>
              <w:rPr>
                <w:webHidden/>
              </w:rPr>
              <w:tab/>
            </w:r>
            <w:r>
              <w:rPr>
                <w:webHidden/>
              </w:rPr>
              <w:fldChar w:fldCharType="begin"/>
            </w:r>
            <w:r>
              <w:rPr>
                <w:webHidden/>
              </w:rPr>
              <w:instrText xml:space="preserve"> PAGEREF _Toc368583012 \h </w:instrText>
            </w:r>
            <w:r>
              <w:rPr>
                <w:webHidden/>
              </w:rPr>
            </w:r>
            <w:r>
              <w:rPr>
                <w:webHidden/>
              </w:rPr>
              <w:fldChar w:fldCharType="separate"/>
            </w:r>
            <w:r>
              <w:rPr>
                <w:webHidden/>
              </w:rPr>
              <w:t>15</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13" w:history="1">
            <w:r w:rsidRPr="00D960FD">
              <w:rPr>
                <w:rStyle w:val="Hyperlink"/>
                <w:rFonts w:eastAsia="Calibri"/>
                <w:lang w:val="de-DE" w:eastAsia="de-DE" w:bidi="de-DE"/>
              </w:rPr>
              <w:t>Sortenbezeichnungen</w:t>
            </w:r>
            <w:r>
              <w:rPr>
                <w:webHidden/>
              </w:rPr>
              <w:tab/>
            </w:r>
            <w:r>
              <w:rPr>
                <w:webHidden/>
              </w:rPr>
              <w:fldChar w:fldCharType="begin"/>
            </w:r>
            <w:r>
              <w:rPr>
                <w:webHidden/>
              </w:rPr>
              <w:instrText xml:space="preserve"> PAGEREF _Toc368583013 \h </w:instrText>
            </w:r>
            <w:r>
              <w:rPr>
                <w:webHidden/>
              </w:rPr>
            </w:r>
            <w:r>
              <w:rPr>
                <w:webHidden/>
              </w:rPr>
              <w:fldChar w:fldCharType="separate"/>
            </w:r>
            <w:r>
              <w:rPr>
                <w:webHidden/>
              </w:rPr>
              <w:t>15</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14" w:history="1">
            <w:r w:rsidRPr="00D960FD">
              <w:rPr>
                <w:rStyle w:val="Hyperlink"/>
              </w:rPr>
              <w:t>Information and Databases</w:t>
            </w:r>
            <w:r>
              <w:rPr>
                <w:webHidden/>
              </w:rPr>
              <w:tab/>
            </w:r>
            <w:r>
              <w:rPr>
                <w:webHidden/>
              </w:rPr>
              <w:fldChar w:fldCharType="begin"/>
            </w:r>
            <w:r>
              <w:rPr>
                <w:webHidden/>
              </w:rPr>
              <w:instrText xml:space="preserve"> PAGEREF _Toc368583014 \h </w:instrText>
            </w:r>
            <w:r>
              <w:rPr>
                <w:webHidden/>
              </w:rPr>
            </w:r>
            <w:r>
              <w:rPr>
                <w:webHidden/>
              </w:rPr>
              <w:fldChar w:fldCharType="separate"/>
            </w:r>
            <w:r>
              <w:rPr>
                <w:webHidden/>
              </w:rPr>
              <w:t>15</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15" w:history="1">
            <w:r w:rsidRPr="00D960FD">
              <w:rPr>
                <w:rStyle w:val="Hyperlink"/>
                <w:lang w:bidi="de-DE"/>
              </w:rPr>
              <w:t>a)</w:t>
            </w:r>
            <w:r>
              <w:rPr>
                <w:rFonts w:asciiTheme="minorHAnsi" w:eastAsiaTheme="minorEastAsia" w:hAnsiTheme="minorHAnsi" w:cstheme="minorBidi"/>
                <w:i w:val="0"/>
                <w:sz w:val="22"/>
                <w:szCs w:val="22"/>
                <w:lang w:val="en-US"/>
              </w:rPr>
              <w:tab/>
            </w:r>
            <w:r w:rsidRPr="00D960FD">
              <w:rPr>
                <w:rStyle w:val="Hyperlink"/>
                <w:lang w:bidi="de-DE"/>
              </w:rPr>
              <w:t>UPOV-Informationsdatenbanken</w:t>
            </w:r>
            <w:r>
              <w:rPr>
                <w:webHidden/>
              </w:rPr>
              <w:tab/>
            </w:r>
            <w:r>
              <w:rPr>
                <w:webHidden/>
              </w:rPr>
              <w:fldChar w:fldCharType="begin"/>
            </w:r>
            <w:r>
              <w:rPr>
                <w:webHidden/>
              </w:rPr>
              <w:instrText xml:space="preserve"> PAGEREF _Toc368583015 \h </w:instrText>
            </w:r>
            <w:r>
              <w:rPr>
                <w:webHidden/>
              </w:rPr>
            </w:r>
            <w:r>
              <w:rPr>
                <w:webHidden/>
              </w:rPr>
              <w:fldChar w:fldCharType="separate"/>
            </w:r>
            <w:r>
              <w:rPr>
                <w:webHidden/>
              </w:rPr>
              <w:t>15</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16" w:history="1">
            <w:r w:rsidRPr="00D960FD">
              <w:rPr>
                <w:rStyle w:val="Hyperlink"/>
                <w:lang w:bidi="de-DE"/>
              </w:rPr>
              <w:t>b)</w:t>
            </w:r>
            <w:r>
              <w:rPr>
                <w:rFonts w:asciiTheme="minorHAnsi" w:eastAsiaTheme="minorEastAsia" w:hAnsiTheme="minorHAnsi" w:cstheme="minorBidi"/>
                <w:i w:val="0"/>
                <w:sz w:val="22"/>
                <w:szCs w:val="22"/>
                <w:lang w:val="en-US"/>
              </w:rPr>
              <w:tab/>
            </w:r>
            <w:r w:rsidRPr="00D960FD">
              <w:rPr>
                <w:rStyle w:val="Hyperlink"/>
                <w:lang w:bidi="de-DE"/>
              </w:rPr>
              <w:t>Datenbanken für Sortenbeschreibungen</w:t>
            </w:r>
            <w:r>
              <w:rPr>
                <w:webHidden/>
              </w:rPr>
              <w:tab/>
            </w:r>
            <w:r>
              <w:rPr>
                <w:webHidden/>
              </w:rPr>
              <w:fldChar w:fldCharType="begin"/>
            </w:r>
            <w:r>
              <w:rPr>
                <w:webHidden/>
              </w:rPr>
              <w:instrText xml:space="preserve"> PAGEREF _Toc368583016 \h </w:instrText>
            </w:r>
            <w:r>
              <w:rPr>
                <w:webHidden/>
              </w:rPr>
            </w:r>
            <w:r>
              <w:rPr>
                <w:webHidden/>
              </w:rPr>
              <w:fldChar w:fldCharType="separate"/>
            </w:r>
            <w:r>
              <w:rPr>
                <w:webHidden/>
              </w:rPr>
              <w:t>16</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17" w:history="1">
            <w:r w:rsidRPr="00D960FD">
              <w:rPr>
                <w:rStyle w:val="Hyperlink"/>
                <w:lang w:bidi="de-DE"/>
              </w:rPr>
              <w:t>c)</w:t>
            </w:r>
            <w:r>
              <w:rPr>
                <w:rFonts w:asciiTheme="minorHAnsi" w:eastAsiaTheme="minorEastAsia" w:hAnsiTheme="minorHAnsi" w:cstheme="minorBidi"/>
                <w:i w:val="0"/>
                <w:sz w:val="22"/>
                <w:szCs w:val="22"/>
                <w:lang w:val="en-US"/>
              </w:rPr>
              <w:tab/>
            </w:r>
            <w:r w:rsidRPr="00D960FD">
              <w:rPr>
                <w:rStyle w:val="Hyperlink"/>
                <w:lang w:bidi="de-DE"/>
              </w:rPr>
              <w:t>Austauschbare Software</w:t>
            </w:r>
            <w:r>
              <w:rPr>
                <w:webHidden/>
              </w:rPr>
              <w:tab/>
            </w:r>
            <w:r>
              <w:rPr>
                <w:webHidden/>
              </w:rPr>
              <w:fldChar w:fldCharType="begin"/>
            </w:r>
            <w:r>
              <w:rPr>
                <w:webHidden/>
              </w:rPr>
              <w:instrText xml:space="preserve"> PAGEREF _Toc368583017 \h </w:instrText>
            </w:r>
            <w:r>
              <w:rPr>
                <w:webHidden/>
              </w:rPr>
            </w:r>
            <w:r>
              <w:rPr>
                <w:webHidden/>
              </w:rPr>
              <w:fldChar w:fldCharType="separate"/>
            </w:r>
            <w:r>
              <w:rPr>
                <w:webHidden/>
              </w:rPr>
              <w:t>17</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18" w:history="1">
            <w:r w:rsidRPr="00D960FD">
              <w:rPr>
                <w:rStyle w:val="Hyperlink"/>
                <w:lang w:bidi="de-DE"/>
              </w:rPr>
              <w:t>d)</w:t>
            </w:r>
            <w:r>
              <w:rPr>
                <w:rFonts w:asciiTheme="minorHAnsi" w:eastAsiaTheme="minorEastAsia" w:hAnsiTheme="minorHAnsi" w:cstheme="minorBidi"/>
                <w:i w:val="0"/>
                <w:sz w:val="22"/>
                <w:szCs w:val="22"/>
                <w:lang w:val="en-US"/>
              </w:rPr>
              <w:tab/>
            </w:r>
            <w:r w:rsidRPr="00D960FD">
              <w:rPr>
                <w:rStyle w:val="Hyperlink"/>
                <w:lang w:bidi="de-DE"/>
              </w:rPr>
              <w:t>Elektronische Systeme für die Einreichung von Anträgen</w:t>
            </w:r>
            <w:r>
              <w:rPr>
                <w:webHidden/>
              </w:rPr>
              <w:tab/>
            </w:r>
            <w:r>
              <w:rPr>
                <w:webHidden/>
              </w:rPr>
              <w:fldChar w:fldCharType="begin"/>
            </w:r>
            <w:r>
              <w:rPr>
                <w:webHidden/>
              </w:rPr>
              <w:instrText xml:space="preserve"> PAGEREF _Toc368583018 \h </w:instrText>
            </w:r>
            <w:r>
              <w:rPr>
                <w:webHidden/>
              </w:rPr>
            </w:r>
            <w:r>
              <w:rPr>
                <w:webHidden/>
              </w:rPr>
              <w:fldChar w:fldCharType="separate"/>
            </w:r>
            <w:r>
              <w:rPr>
                <w:webHidden/>
              </w:rPr>
              <w:t>17</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19" w:history="1">
            <w:r w:rsidRPr="00D960FD">
              <w:rPr>
                <w:rStyle w:val="Hyperlink"/>
                <w:rFonts w:eastAsia="Calibri"/>
                <w:lang w:val="de-DE" w:eastAsia="de-DE" w:bidi="de-DE"/>
              </w:rPr>
              <w:t>Methode für die Berechnung von COYU</w:t>
            </w:r>
            <w:r>
              <w:rPr>
                <w:webHidden/>
              </w:rPr>
              <w:tab/>
            </w:r>
            <w:r>
              <w:rPr>
                <w:webHidden/>
              </w:rPr>
              <w:fldChar w:fldCharType="begin"/>
            </w:r>
            <w:r>
              <w:rPr>
                <w:webHidden/>
              </w:rPr>
              <w:instrText xml:space="preserve"> PAGEREF _Toc368583019 \h </w:instrText>
            </w:r>
            <w:r>
              <w:rPr>
                <w:webHidden/>
              </w:rPr>
            </w:r>
            <w:r>
              <w:rPr>
                <w:webHidden/>
              </w:rPr>
              <w:fldChar w:fldCharType="separate"/>
            </w:r>
            <w:r>
              <w:rPr>
                <w:webHidden/>
              </w:rPr>
              <w:t>17</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20" w:history="1">
            <w:r w:rsidRPr="00D960FD">
              <w:rPr>
                <w:rStyle w:val="Hyperlink"/>
                <w:rFonts w:eastAsia="Calibri"/>
                <w:lang w:val="de-DE" w:eastAsia="de-DE" w:bidi="de-DE"/>
              </w:rPr>
              <w:t>Prüfung der Homogenität anhand von Abweichern aufgrund von mehr als einer Probe oder Unterproben</w:t>
            </w:r>
            <w:r>
              <w:rPr>
                <w:webHidden/>
              </w:rPr>
              <w:tab/>
            </w:r>
            <w:r>
              <w:rPr>
                <w:webHidden/>
              </w:rPr>
              <w:fldChar w:fldCharType="begin"/>
            </w:r>
            <w:r>
              <w:rPr>
                <w:webHidden/>
              </w:rPr>
              <w:instrText xml:space="preserve"> PAGEREF _Toc368583020 \h </w:instrText>
            </w:r>
            <w:r>
              <w:rPr>
                <w:webHidden/>
              </w:rPr>
            </w:r>
            <w:r>
              <w:rPr>
                <w:webHidden/>
              </w:rPr>
              <w:fldChar w:fldCharType="separate"/>
            </w:r>
            <w:r>
              <w:rPr>
                <w:webHidden/>
              </w:rPr>
              <w:t>18</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21" w:history="1">
            <w:r w:rsidRPr="00D960FD">
              <w:rPr>
                <w:rStyle w:val="Hyperlink"/>
                <w:rFonts w:eastAsia="Calibri"/>
                <w:lang w:val="de-DE" w:eastAsia="de-DE" w:bidi="de-DE"/>
              </w:rPr>
              <w:t>Nutzung elektronischer Kommunikationsmittel auf Sitzungen</w:t>
            </w:r>
            <w:r>
              <w:rPr>
                <w:webHidden/>
              </w:rPr>
              <w:tab/>
            </w:r>
            <w:r>
              <w:rPr>
                <w:webHidden/>
              </w:rPr>
              <w:fldChar w:fldCharType="begin"/>
            </w:r>
            <w:r>
              <w:rPr>
                <w:webHidden/>
              </w:rPr>
              <w:instrText xml:space="preserve"> PAGEREF _Toc368583021 \h </w:instrText>
            </w:r>
            <w:r>
              <w:rPr>
                <w:webHidden/>
              </w:rPr>
            </w:r>
            <w:r>
              <w:rPr>
                <w:webHidden/>
              </w:rPr>
              <w:fldChar w:fldCharType="separate"/>
            </w:r>
            <w:r>
              <w:rPr>
                <w:webHidden/>
              </w:rPr>
              <w:t>18</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22" w:history="1">
            <w:r w:rsidRPr="00D960FD">
              <w:rPr>
                <w:rStyle w:val="Hyperlink"/>
                <w:rFonts w:eastAsia="Calibri"/>
                <w:lang w:val="de-DE" w:eastAsia="de-DE" w:bidi="de-DE"/>
              </w:rPr>
              <w:t>Vorbereitende Arbeitstagungen</w:t>
            </w:r>
            <w:r>
              <w:rPr>
                <w:webHidden/>
              </w:rPr>
              <w:tab/>
            </w:r>
            <w:r>
              <w:rPr>
                <w:webHidden/>
              </w:rPr>
              <w:fldChar w:fldCharType="begin"/>
            </w:r>
            <w:r>
              <w:rPr>
                <w:webHidden/>
              </w:rPr>
              <w:instrText xml:space="preserve"> PAGEREF _Toc368583022 \h </w:instrText>
            </w:r>
            <w:r>
              <w:rPr>
                <w:webHidden/>
              </w:rPr>
            </w:r>
            <w:r>
              <w:rPr>
                <w:webHidden/>
              </w:rPr>
              <w:fldChar w:fldCharType="separate"/>
            </w:r>
            <w:r>
              <w:rPr>
                <w:webHidden/>
              </w:rPr>
              <w:t>19</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23" w:history="1">
            <w:r w:rsidRPr="00D960FD">
              <w:rPr>
                <w:rStyle w:val="Hyperlink"/>
              </w:rPr>
              <w:t>Molekulare Verfahren</w:t>
            </w:r>
            <w:r>
              <w:rPr>
                <w:webHidden/>
              </w:rPr>
              <w:tab/>
            </w:r>
            <w:r>
              <w:rPr>
                <w:webHidden/>
              </w:rPr>
              <w:fldChar w:fldCharType="begin"/>
            </w:r>
            <w:r>
              <w:rPr>
                <w:webHidden/>
              </w:rPr>
              <w:instrText xml:space="preserve"> PAGEREF _Toc368583023 \h </w:instrText>
            </w:r>
            <w:r>
              <w:rPr>
                <w:webHidden/>
              </w:rPr>
            </w:r>
            <w:r>
              <w:rPr>
                <w:webHidden/>
              </w:rPr>
              <w:fldChar w:fldCharType="separate"/>
            </w:r>
            <w:r>
              <w:rPr>
                <w:webHidden/>
              </w:rPr>
              <w:t>19</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24" w:history="1">
            <w:r w:rsidRPr="00D960FD">
              <w:rPr>
                <w:rStyle w:val="Hyperlink"/>
                <w:lang w:bidi="de-DE"/>
              </w:rPr>
              <w:t>Arbeitsgruppe für biochemische und molekulare Verfahren und insbesondere für DNS</w:t>
            </w:r>
            <w:r w:rsidRPr="00D960FD">
              <w:rPr>
                <w:rStyle w:val="Hyperlink"/>
                <w:lang w:bidi="de-DE"/>
              </w:rPr>
              <w:noBreakHyphen/>
              <w:t>Profilierungsverfahren (BMT)</w:t>
            </w:r>
            <w:r>
              <w:rPr>
                <w:webHidden/>
              </w:rPr>
              <w:tab/>
            </w:r>
            <w:r>
              <w:rPr>
                <w:webHidden/>
              </w:rPr>
              <w:fldChar w:fldCharType="begin"/>
            </w:r>
            <w:r>
              <w:rPr>
                <w:webHidden/>
              </w:rPr>
              <w:instrText xml:space="preserve"> PAGEREF _Toc368583024 \h </w:instrText>
            </w:r>
            <w:r>
              <w:rPr>
                <w:webHidden/>
              </w:rPr>
            </w:r>
            <w:r>
              <w:rPr>
                <w:webHidden/>
              </w:rPr>
              <w:fldChar w:fldCharType="separate"/>
            </w:r>
            <w:r>
              <w:rPr>
                <w:webHidden/>
              </w:rPr>
              <w:t>19</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25" w:history="1">
            <w:r w:rsidRPr="00D960FD">
              <w:rPr>
                <w:rStyle w:val="Hyperlink"/>
                <w:rFonts w:eastAsia="Calibri"/>
                <w:lang w:val="de-DE" w:eastAsia="de-DE" w:bidi="de-DE"/>
              </w:rPr>
              <w:t>Erörterungen über molekulare Verfahren</w:t>
            </w:r>
            <w:r>
              <w:rPr>
                <w:webHidden/>
              </w:rPr>
              <w:tab/>
            </w:r>
            <w:r>
              <w:rPr>
                <w:webHidden/>
              </w:rPr>
              <w:fldChar w:fldCharType="begin"/>
            </w:r>
            <w:r>
              <w:rPr>
                <w:webHidden/>
              </w:rPr>
              <w:instrText xml:space="preserve"> PAGEREF _Toc368583025 \h </w:instrText>
            </w:r>
            <w:r>
              <w:rPr>
                <w:webHidden/>
              </w:rPr>
            </w:r>
            <w:r>
              <w:rPr>
                <w:webHidden/>
              </w:rPr>
              <w:fldChar w:fldCharType="separate"/>
            </w:r>
            <w:r>
              <w:rPr>
                <w:webHidden/>
              </w:rPr>
              <w:t>19</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26" w:history="1">
            <w:r w:rsidRPr="00D960FD">
              <w:rPr>
                <w:rStyle w:val="Hyperlink"/>
                <w:lang w:bidi="de-DE"/>
              </w:rPr>
              <w:t>Anwendung von Modellen durch Verbandsmitglieder</w:t>
            </w:r>
            <w:r>
              <w:rPr>
                <w:webHidden/>
              </w:rPr>
              <w:tab/>
            </w:r>
            <w:r>
              <w:rPr>
                <w:webHidden/>
              </w:rPr>
              <w:fldChar w:fldCharType="begin"/>
            </w:r>
            <w:r>
              <w:rPr>
                <w:webHidden/>
              </w:rPr>
              <w:instrText xml:space="preserve"> PAGEREF _Toc368583026 \h </w:instrText>
            </w:r>
            <w:r>
              <w:rPr>
                <w:webHidden/>
              </w:rPr>
            </w:r>
            <w:r>
              <w:rPr>
                <w:webHidden/>
              </w:rPr>
              <w:fldChar w:fldCharType="separate"/>
            </w:r>
            <w:r>
              <w:rPr>
                <w:webHidden/>
              </w:rPr>
              <w:t>19</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27" w:history="1">
            <w:r w:rsidRPr="00D960FD">
              <w:rPr>
                <w:rStyle w:val="Hyperlink"/>
                <w:lang w:bidi="de-DE"/>
              </w:rPr>
              <w:t>Darlegung der Lage im Hinblick auf molekulare Verfahren in anderen internationalen Organisationen</w:t>
            </w:r>
            <w:r>
              <w:rPr>
                <w:webHidden/>
              </w:rPr>
              <w:tab/>
            </w:r>
            <w:r>
              <w:rPr>
                <w:webHidden/>
              </w:rPr>
              <w:fldChar w:fldCharType="begin"/>
            </w:r>
            <w:r>
              <w:rPr>
                <w:webHidden/>
              </w:rPr>
              <w:instrText xml:space="preserve"> PAGEREF _Toc368583027 \h </w:instrText>
            </w:r>
            <w:r>
              <w:rPr>
                <w:webHidden/>
              </w:rPr>
            </w:r>
            <w:r>
              <w:rPr>
                <w:webHidden/>
              </w:rPr>
              <w:fldChar w:fldCharType="separate"/>
            </w:r>
            <w:r>
              <w:rPr>
                <w:webHidden/>
              </w:rPr>
              <w:t>20</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28" w:history="1">
            <w:r w:rsidRPr="00D960FD">
              <w:rPr>
                <w:rStyle w:val="Hyperlink"/>
                <w:lang w:bidi="de-DE"/>
              </w:rPr>
              <w:t>Erörterung</w:t>
            </w:r>
            <w:r>
              <w:rPr>
                <w:webHidden/>
              </w:rPr>
              <w:tab/>
            </w:r>
            <w:r>
              <w:rPr>
                <w:webHidden/>
              </w:rPr>
              <w:fldChar w:fldCharType="begin"/>
            </w:r>
            <w:r>
              <w:rPr>
                <w:webHidden/>
              </w:rPr>
              <w:instrText xml:space="preserve"> PAGEREF _Toc368583028 \h </w:instrText>
            </w:r>
            <w:r>
              <w:rPr>
                <w:webHidden/>
              </w:rPr>
            </w:r>
            <w:r>
              <w:rPr>
                <w:webHidden/>
              </w:rPr>
              <w:fldChar w:fldCharType="separate"/>
            </w:r>
            <w:r>
              <w:rPr>
                <w:webHidden/>
              </w:rPr>
              <w:t>20</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29" w:history="1">
            <w:r w:rsidRPr="00D960FD">
              <w:rPr>
                <w:rStyle w:val="Hyperlink"/>
                <w:lang w:val="de-DE"/>
              </w:rPr>
              <w:t>Verwendung von DUS-Prüfungsberichten durch Verbandsmitglieder</w:t>
            </w:r>
            <w:r>
              <w:rPr>
                <w:webHidden/>
              </w:rPr>
              <w:tab/>
            </w:r>
            <w:r>
              <w:rPr>
                <w:webHidden/>
              </w:rPr>
              <w:fldChar w:fldCharType="begin"/>
            </w:r>
            <w:r>
              <w:rPr>
                <w:webHidden/>
              </w:rPr>
              <w:instrText xml:space="preserve"> PAGEREF _Toc368583029 \h </w:instrText>
            </w:r>
            <w:r>
              <w:rPr>
                <w:webHidden/>
              </w:rPr>
            </w:r>
            <w:r>
              <w:rPr>
                <w:webHidden/>
              </w:rPr>
              <w:fldChar w:fldCharType="separate"/>
            </w:r>
            <w:r>
              <w:rPr>
                <w:webHidden/>
              </w:rPr>
              <w:t>21</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30" w:history="1">
            <w:r w:rsidRPr="00D960FD">
              <w:rPr>
                <w:rStyle w:val="Hyperlink"/>
                <w:lang w:val="de-DE"/>
              </w:rPr>
              <w:t>Einleitung</w:t>
            </w:r>
            <w:r>
              <w:rPr>
                <w:webHidden/>
              </w:rPr>
              <w:tab/>
            </w:r>
            <w:r>
              <w:rPr>
                <w:webHidden/>
              </w:rPr>
              <w:fldChar w:fldCharType="begin"/>
            </w:r>
            <w:r>
              <w:rPr>
                <w:webHidden/>
              </w:rPr>
              <w:instrText xml:space="preserve"> PAGEREF _Toc368583030 \h </w:instrText>
            </w:r>
            <w:r>
              <w:rPr>
                <w:webHidden/>
              </w:rPr>
            </w:r>
            <w:r>
              <w:rPr>
                <w:webHidden/>
              </w:rPr>
              <w:fldChar w:fldCharType="separate"/>
            </w:r>
            <w:r>
              <w:rPr>
                <w:webHidden/>
              </w:rPr>
              <w:t>21</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31" w:history="1">
            <w:r w:rsidRPr="00D960FD">
              <w:rPr>
                <w:rStyle w:val="Hyperlink"/>
                <w:lang w:val="de-DE"/>
              </w:rPr>
              <w:t>Die Verwendung von DUS-Prüfungsberichten in Australien</w:t>
            </w:r>
            <w:r>
              <w:rPr>
                <w:webHidden/>
              </w:rPr>
              <w:tab/>
            </w:r>
            <w:r>
              <w:rPr>
                <w:webHidden/>
              </w:rPr>
              <w:fldChar w:fldCharType="begin"/>
            </w:r>
            <w:r>
              <w:rPr>
                <w:webHidden/>
              </w:rPr>
              <w:instrText xml:space="preserve"> PAGEREF _Toc368583031 \h </w:instrText>
            </w:r>
            <w:r>
              <w:rPr>
                <w:webHidden/>
              </w:rPr>
            </w:r>
            <w:r>
              <w:rPr>
                <w:webHidden/>
              </w:rPr>
              <w:fldChar w:fldCharType="separate"/>
            </w:r>
            <w:r>
              <w:rPr>
                <w:webHidden/>
              </w:rPr>
              <w:t>21</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32" w:history="1">
            <w:r w:rsidRPr="00D960FD">
              <w:rPr>
                <w:rStyle w:val="Hyperlink"/>
                <w:lang w:val="de-DE"/>
              </w:rPr>
              <w:t>Die Verwendung von DUS-Prüfungsberichten in Brasilien</w:t>
            </w:r>
            <w:r>
              <w:rPr>
                <w:webHidden/>
              </w:rPr>
              <w:tab/>
            </w:r>
            <w:r>
              <w:rPr>
                <w:webHidden/>
              </w:rPr>
              <w:fldChar w:fldCharType="begin"/>
            </w:r>
            <w:r>
              <w:rPr>
                <w:webHidden/>
              </w:rPr>
              <w:instrText xml:space="preserve"> PAGEREF _Toc368583032 \h </w:instrText>
            </w:r>
            <w:r>
              <w:rPr>
                <w:webHidden/>
              </w:rPr>
            </w:r>
            <w:r>
              <w:rPr>
                <w:webHidden/>
              </w:rPr>
              <w:fldChar w:fldCharType="separate"/>
            </w:r>
            <w:r>
              <w:rPr>
                <w:webHidden/>
              </w:rPr>
              <w:t>21</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33" w:history="1">
            <w:r w:rsidRPr="00D960FD">
              <w:rPr>
                <w:rStyle w:val="Hyperlink"/>
                <w:lang w:val="de-DE"/>
              </w:rPr>
              <w:t>Die Verwendung von DUS-Prüfungsberichten in der Europäischen Union</w:t>
            </w:r>
            <w:r>
              <w:rPr>
                <w:webHidden/>
              </w:rPr>
              <w:tab/>
            </w:r>
            <w:r>
              <w:rPr>
                <w:webHidden/>
              </w:rPr>
              <w:fldChar w:fldCharType="begin"/>
            </w:r>
            <w:r>
              <w:rPr>
                <w:webHidden/>
              </w:rPr>
              <w:instrText xml:space="preserve"> PAGEREF _Toc368583033 \h </w:instrText>
            </w:r>
            <w:r>
              <w:rPr>
                <w:webHidden/>
              </w:rPr>
            </w:r>
            <w:r>
              <w:rPr>
                <w:webHidden/>
              </w:rPr>
              <w:fldChar w:fldCharType="separate"/>
            </w:r>
            <w:r>
              <w:rPr>
                <w:webHidden/>
              </w:rPr>
              <w:t>21</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34" w:history="1">
            <w:r w:rsidRPr="00D960FD">
              <w:rPr>
                <w:rStyle w:val="Hyperlink"/>
                <w:lang w:val="de-DE"/>
              </w:rPr>
              <w:t>Die Verwendung von DUS-Prüfungsberichten in Frankreich</w:t>
            </w:r>
            <w:r>
              <w:rPr>
                <w:webHidden/>
              </w:rPr>
              <w:tab/>
            </w:r>
            <w:r>
              <w:rPr>
                <w:webHidden/>
              </w:rPr>
              <w:fldChar w:fldCharType="begin"/>
            </w:r>
            <w:r>
              <w:rPr>
                <w:webHidden/>
              </w:rPr>
              <w:instrText xml:space="preserve"> PAGEREF _Toc368583034 \h </w:instrText>
            </w:r>
            <w:r>
              <w:rPr>
                <w:webHidden/>
              </w:rPr>
            </w:r>
            <w:r>
              <w:rPr>
                <w:webHidden/>
              </w:rPr>
              <w:fldChar w:fldCharType="separate"/>
            </w:r>
            <w:r>
              <w:rPr>
                <w:webHidden/>
              </w:rPr>
              <w:t>21</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35" w:history="1">
            <w:r w:rsidRPr="00D960FD">
              <w:rPr>
                <w:rStyle w:val="Hyperlink"/>
                <w:lang w:val="de-DE"/>
              </w:rPr>
              <w:t>Die Verwendung von DUS-Prüfungsberichten in Deutschland</w:t>
            </w:r>
            <w:r>
              <w:rPr>
                <w:webHidden/>
              </w:rPr>
              <w:tab/>
            </w:r>
            <w:r>
              <w:rPr>
                <w:webHidden/>
              </w:rPr>
              <w:fldChar w:fldCharType="begin"/>
            </w:r>
            <w:r>
              <w:rPr>
                <w:webHidden/>
              </w:rPr>
              <w:instrText xml:space="preserve"> PAGEREF _Toc368583035 \h </w:instrText>
            </w:r>
            <w:r>
              <w:rPr>
                <w:webHidden/>
              </w:rPr>
            </w:r>
            <w:r>
              <w:rPr>
                <w:webHidden/>
              </w:rPr>
              <w:fldChar w:fldCharType="separate"/>
            </w:r>
            <w:r>
              <w:rPr>
                <w:webHidden/>
              </w:rPr>
              <w:t>21</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36" w:history="1">
            <w:r w:rsidRPr="00D960FD">
              <w:rPr>
                <w:rStyle w:val="Hyperlink"/>
                <w:lang w:val="de-DE"/>
              </w:rPr>
              <w:t>Die Verwendung von DUS-Prüfungsberichten in Japan</w:t>
            </w:r>
            <w:r>
              <w:rPr>
                <w:webHidden/>
              </w:rPr>
              <w:tab/>
            </w:r>
            <w:r>
              <w:rPr>
                <w:webHidden/>
              </w:rPr>
              <w:fldChar w:fldCharType="begin"/>
            </w:r>
            <w:r>
              <w:rPr>
                <w:webHidden/>
              </w:rPr>
              <w:instrText xml:space="preserve"> PAGEREF _Toc368583036 \h </w:instrText>
            </w:r>
            <w:r>
              <w:rPr>
                <w:webHidden/>
              </w:rPr>
            </w:r>
            <w:r>
              <w:rPr>
                <w:webHidden/>
              </w:rPr>
              <w:fldChar w:fldCharType="separate"/>
            </w:r>
            <w:r>
              <w:rPr>
                <w:webHidden/>
              </w:rPr>
              <w:t>22</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37" w:history="1">
            <w:r w:rsidRPr="00D960FD">
              <w:rPr>
                <w:rStyle w:val="Hyperlink"/>
                <w:lang w:val="de-DE"/>
              </w:rPr>
              <w:t>Die Verwendung von DUS-Prüfungsberichten in Mexiko</w:t>
            </w:r>
            <w:r>
              <w:rPr>
                <w:webHidden/>
              </w:rPr>
              <w:tab/>
            </w:r>
            <w:r>
              <w:rPr>
                <w:webHidden/>
              </w:rPr>
              <w:fldChar w:fldCharType="begin"/>
            </w:r>
            <w:r>
              <w:rPr>
                <w:webHidden/>
              </w:rPr>
              <w:instrText xml:space="preserve"> PAGEREF _Toc368583037 \h </w:instrText>
            </w:r>
            <w:r>
              <w:rPr>
                <w:webHidden/>
              </w:rPr>
            </w:r>
            <w:r>
              <w:rPr>
                <w:webHidden/>
              </w:rPr>
              <w:fldChar w:fldCharType="separate"/>
            </w:r>
            <w:r>
              <w:rPr>
                <w:webHidden/>
              </w:rPr>
              <w:t>22</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38" w:history="1">
            <w:r w:rsidRPr="00D960FD">
              <w:rPr>
                <w:rStyle w:val="Hyperlink"/>
                <w:lang w:val="de-DE"/>
              </w:rPr>
              <w:t>Die Verwendung von DUS-Prüfungsberichten in den Niederlanden</w:t>
            </w:r>
            <w:r>
              <w:rPr>
                <w:webHidden/>
              </w:rPr>
              <w:tab/>
            </w:r>
            <w:r>
              <w:rPr>
                <w:webHidden/>
              </w:rPr>
              <w:fldChar w:fldCharType="begin"/>
            </w:r>
            <w:r>
              <w:rPr>
                <w:webHidden/>
              </w:rPr>
              <w:instrText xml:space="preserve"> PAGEREF _Toc368583038 \h </w:instrText>
            </w:r>
            <w:r>
              <w:rPr>
                <w:webHidden/>
              </w:rPr>
            </w:r>
            <w:r>
              <w:rPr>
                <w:webHidden/>
              </w:rPr>
              <w:fldChar w:fldCharType="separate"/>
            </w:r>
            <w:r>
              <w:rPr>
                <w:webHidden/>
              </w:rPr>
              <w:t>22</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39" w:history="1">
            <w:r w:rsidRPr="00D960FD">
              <w:rPr>
                <w:rStyle w:val="Hyperlink"/>
                <w:lang w:bidi="de-DE"/>
              </w:rPr>
              <w:t>Erörterung</w:t>
            </w:r>
            <w:r>
              <w:rPr>
                <w:webHidden/>
              </w:rPr>
              <w:tab/>
            </w:r>
            <w:r>
              <w:rPr>
                <w:webHidden/>
              </w:rPr>
              <w:fldChar w:fldCharType="begin"/>
            </w:r>
            <w:r>
              <w:rPr>
                <w:webHidden/>
              </w:rPr>
              <w:instrText xml:space="preserve"> PAGEREF _Toc368583039 \h </w:instrText>
            </w:r>
            <w:r>
              <w:rPr>
                <w:webHidden/>
              </w:rPr>
            </w:r>
            <w:r>
              <w:rPr>
                <w:webHidden/>
              </w:rPr>
              <w:fldChar w:fldCharType="separate"/>
            </w:r>
            <w:r>
              <w:rPr>
                <w:webHidden/>
              </w:rPr>
              <w:t>22</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40" w:history="1">
            <w:r w:rsidRPr="00D960FD">
              <w:rPr>
                <w:rStyle w:val="Hyperlink"/>
              </w:rPr>
              <w:t>Prüfungsrichtlinien</w:t>
            </w:r>
            <w:r>
              <w:rPr>
                <w:webHidden/>
              </w:rPr>
              <w:tab/>
            </w:r>
            <w:r>
              <w:rPr>
                <w:webHidden/>
              </w:rPr>
              <w:fldChar w:fldCharType="begin"/>
            </w:r>
            <w:r>
              <w:rPr>
                <w:webHidden/>
              </w:rPr>
              <w:instrText xml:space="preserve"> PAGEREF _Toc368583040 \h </w:instrText>
            </w:r>
            <w:r>
              <w:rPr>
                <w:webHidden/>
              </w:rPr>
            </w:r>
            <w:r>
              <w:rPr>
                <w:webHidden/>
              </w:rPr>
              <w:fldChar w:fldCharType="separate"/>
            </w:r>
            <w:r>
              <w:rPr>
                <w:webHidden/>
              </w:rPr>
              <w:t>22</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41" w:history="1">
            <w:r w:rsidRPr="00D960FD">
              <w:rPr>
                <w:rStyle w:val="Hyperlink"/>
                <w:lang w:bidi="de-DE"/>
              </w:rPr>
              <w:t>Zusätzliche Merkmale</w:t>
            </w:r>
            <w:r>
              <w:rPr>
                <w:webHidden/>
              </w:rPr>
              <w:tab/>
            </w:r>
            <w:r>
              <w:rPr>
                <w:webHidden/>
              </w:rPr>
              <w:fldChar w:fldCharType="begin"/>
            </w:r>
            <w:r>
              <w:rPr>
                <w:webHidden/>
              </w:rPr>
              <w:instrText xml:space="preserve"> PAGEREF _Toc368583041 \h </w:instrText>
            </w:r>
            <w:r>
              <w:rPr>
                <w:webHidden/>
              </w:rPr>
            </w:r>
            <w:r>
              <w:rPr>
                <w:webHidden/>
              </w:rPr>
              <w:fldChar w:fldCharType="separate"/>
            </w:r>
            <w:r>
              <w:rPr>
                <w:webHidden/>
              </w:rPr>
              <w:t>24</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42" w:history="1">
            <w:r w:rsidRPr="00D960FD">
              <w:rPr>
                <w:rStyle w:val="Hyperlink"/>
                <w:lang w:bidi="de-DE"/>
              </w:rPr>
              <w:t>Korrekturen an Prüfungsrichtlinien</w:t>
            </w:r>
            <w:r>
              <w:rPr>
                <w:webHidden/>
              </w:rPr>
              <w:tab/>
            </w:r>
            <w:r>
              <w:rPr>
                <w:webHidden/>
              </w:rPr>
              <w:fldChar w:fldCharType="begin"/>
            </w:r>
            <w:r>
              <w:rPr>
                <w:webHidden/>
              </w:rPr>
              <w:instrText xml:space="preserve"> PAGEREF _Toc368583042 \h </w:instrText>
            </w:r>
            <w:r>
              <w:rPr>
                <w:webHidden/>
              </w:rPr>
            </w:r>
            <w:r>
              <w:rPr>
                <w:webHidden/>
              </w:rPr>
              <w:fldChar w:fldCharType="separate"/>
            </w:r>
            <w:r>
              <w:rPr>
                <w:webHidden/>
              </w:rPr>
              <w:t>24</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43" w:history="1">
            <w:r w:rsidRPr="00D960FD">
              <w:rPr>
                <w:rStyle w:val="Hyperlink"/>
                <w:lang w:bidi="de-DE"/>
              </w:rPr>
              <w:t>Von den Technischen Arbeitsgruppen im Jahr 2012 behandelte Prüfungsrichtlinien</w:t>
            </w:r>
            <w:r>
              <w:rPr>
                <w:webHidden/>
              </w:rPr>
              <w:tab/>
            </w:r>
            <w:r>
              <w:rPr>
                <w:webHidden/>
              </w:rPr>
              <w:fldChar w:fldCharType="begin"/>
            </w:r>
            <w:r>
              <w:rPr>
                <w:webHidden/>
              </w:rPr>
              <w:instrText xml:space="preserve"> PAGEREF _Toc368583043 \h </w:instrText>
            </w:r>
            <w:r>
              <w:rPr>
                <w:webHidden/>
              </w:rPr>
            </w:r>
            <w:r>
              <w:rPr>
                <w:webHidden/>
              </w:rPr>
              <w:fldChar w:fldCharType="separate"/>
            </w:r>
            <w:r>
              <w:rPr>
                <w:webHidden/>
              </w:rPr>
              <w:t>24</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44" w:history="1">
            <w:r w:rsidRPr="00D960FD">
              <w:rPr>
                <w:rStyle w:val="Hyperlink"/>
                <w:lang w:bidi="de-DE"/>
              </w:rPr>
              <w:t>Von den Technischen Arbeitsgruppen im Jahr 2013 zu behandelnde Prüfungsrichtlinien</w:t>
            </w:r>
            <w:r>
              <w:rPr>
                <w:webHidden/>
              </w:rPr>
              <w:tab/>
            </w:r>
            <w:r>
              <w:rPr>
                <w:webHidden/>
              </w:rPr>
              <w:fldChar w:fldCharType="begin"/>
            </w:r>
            <w:r>
              <w:rPr>
                <w:webHidden/>
              </w:rPr>
              <w:instrText xml:space="preserve"> PAGEREF _Toc368583044 \h </w:instrText>
            </w:r>
            <w:r>
              <w:rPr>
                <w:webHidden/>
              </w:rPr>
            </w:r>
            <w:r>
              <w:rPr>
                <w:webHidden/>
              </w:rPr>
              <w:fldChar w:fldCharType="separate"/>
            </w:r>
            <w:r>
              <w:rPr>
                <w:webHidden/>
              </w:rPr>
              <w:t>24</w:t>
            </w:r>
            <w:r>
              <w:rPr>
                <w:webHidden/>
              </w:rPr>
              <w:fldChar w:fldCharType="end"/>
            </w:r>
          </w:hyperlink>
        </w:p>
        <w:p w:rsidR="00747C66" w:rsidRDefault="00747C66">
          <w:pPr>
            <w:pStyle w:val="TOC3"/>
            <w:rPr>
              <w:rFonts w:asciiTheme="minorHAnsi" w:eastAsiaTheme="minorEastAsia" w:hAnsiTheme="minorHAnsi" w:cstheme="minorBidi"/>
              <w:i w:val="0"/>
              <w:sz w:val="22"/>
              <w:szCs w:val="22"/>
              <w:lang w:val="en-US"/>
            </w:rPr>
          </w:pPr>
          <w:hyperlink w:anchor="_Toc368583045" w:history="1">
            <w:r w:rsidRPr="00D960FD">
              <w:rPr>
                <w:rStyle w:val="Hyperlink"/>
                <w:lang w:bidi="de-DE"/>
              </w:rPr>
              <w:t>Prüfungsrichtlinien auf der UPOV-Website</w:t>
            </w:r>
            <w:r>
              <w:rPr>
                <w:webHidden/>
              </w:rPr>
              <w:tab/>
            </w:r>
            <w:r>
              <w:rPr>
                <w:webHidden/>
              </w:rPr>
              <w:fldChar w:fldCharType="begin"/>
            </w:r>
            <w:r>
              <w:rPr>
                <w:webHidden/>
              </w:rPr>
              <w:instrText xml:space="preserve"> PAGEREF _Toc368583045 \h </w:instrText>
            </w:r>
            <w:r>
              <w:rPr>
                <w:webHidden/>
              </w:rPr>
            </w:r>
            <w:r>
              <w:rPr>
                <w:webHidden/>
              </w:rPr>
              <w:fldChar w:fldCharType="separate"/>
            </w:r>
            <w:r>
              <w:rPr>
                <w:webHidden/>
              </w:rPr>
              <w:t>24</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46" w:history="1">
            <w:r w:rsidRPr="00D960FD">
              <w:rPr>
                <w:rStyle w:val="Hyperlink"/>
                <w:snapToGrid w:val="0"/>
                <w:lang w:val="de-DE" w:eastAsia="de-DE" w:bidi="de-DE"/>
              </w:rPr>
              <w:t>Liste der Gattungen und Arten, für die die Behörden über praktische Erfahrung bei der Prüfung der Unterscheidbarkeit, Homogenität und Beständigkeit verfügen</w:t>
            </w:r>
            <w:r>
              <w:rPr>
                <w:webHidden/>
              </w:rPr>
              <w:tab/>
            </w:r>
            <w:r>
              <w:rPr>
                <w:webHidden/>
              </w:rPr>
              <w:fldChar w:fldCharType="begin"/>
            </w:r>
            <w:r>
              <w:rPr>
                <w:webHidden/>
              </w:rPr>
              <w:instrText xml:space="preserve"> PAGEREF _Toc368583046 \h </w:instrText>
            </w:r>
            <w:r>
              <w:rPr>
                <w:webHidden/>
              </w:rPr>
            </w:r>
            <w:r>
              <w:rPr>
                <w:webHidden/>
              </w:rPr>
              <w:fldChar w:fldCharType="separate"/>
            </w:r>
            <w:r>
              <w:rPr>
                <w:webHidden/>
              </w:rPr>
              <w:t>25</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47" w:history="1">
            <w:r w:rsidRPr="00D960FD">
              <w:rPr>
                <w:rStyle w:val="Hyperlink"/>
                <w:snapToGrid w:val="0"/>
                <w:lang w:val="de-DE" w:eastAsia="de-DE" w:bidi="de-DE"/>
              </w:rPr>
              <w:t>Programm für die fünfzigste Tagung</w:t>
            </w:r>
            <w:r>
              <w:rPr>
                <w:webHidden/>
              </w:rPr>
              <w:tab/>
            </w:r>
            <w:r>
              <w:rPr>
                <w:webHidden/>
              </w:rPr>
              <w:fldChar w:fldCharType="begin"/>
            </w:r>
            <w:r>
              <w:rPr>
                <w:webHidden/>
              </w:rPr>
              <w:instrText xml:space="preserve"> PAGEREF _Toc368583047 \h </w:instrText>
            </w:r>
            <w:r>
              <w:rPr>
                <w:webHidden/>
              </w:rPr>
            </w:r>
            <w:r>
              <w:rPr>
                <w:webHidden/>
              </w:rPr>
              <w:fldChar w:fldCharType="separate"/>
            </w:r>
            <w:r>
              <w:rPr>
                <w:webHidden/>
              </w:rPr>
              <w:t>25</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48" w:history="1">
            <w:r w:rsidRPr="00D960FD">
              <w:rPr>
                <w:rStyle w:val="Hyperlink"/>
                <w:lang w:val="de-DE" w:eastAsia="de-DE" w:bidi="de-DE"/>
              </w:rPr>
              <w:t>Vorsitzender und stellvertretender Vorsitzender</w:t>
            </w:r>
            <w:r>
              <w:rPr>
                <w:webHidden/>
              </w:rPr>
              <w:tab/>
            </w:r>
            <w:r>
              <w:rPr>
                <w:webHidden/>
              </w:rPr>
              <w:fldChar w:fldCharType="begin"/>
            </w:r>
            <w:r>
              <w:rPr>
                <w:webHidden/>
              </w:rPr>
              <w:instrText xml:space="preserve"> PAGEREF _Toc368583048 \h </w:instrText>
            </w:r>
            <w:r>
              <w:rPr>
                <w:webHidden/>
              </w:rPr>
            </w:r>
            <w:r>
              <w:rPr>
                <w:webHidden/>
              </w:rPr>
              <w:fldChar w:fldCharType="separate"/>
            </w:r>
            <w:r>
              <w:rPr>
                <w:webHidden/>
              </w:rPr>
              <w:t>26</w:t>
            </w:r>
            <w:r>
              <w:rPr>
                <w:webHidden/>
              </w:rPr>
              <w:fldChar w:fldCharType="end"/>
            </w:r>
          </w:hyperlink>
        </w:p>
        <w:p w:rsidR="00747C66" w:rsidRDefault="00747C66">
          <w:pPr>
            <w:pStyle w:val="TOC1"/>
            <w:rPr>
              <w:rFonts w:asciiTheme="minorHAnsi" w:eastAsiaTheme="minorEastAsia" w:hAnsiTheme="minorHAnsi" w:cstheme="minorBidi"/>
              <w:caps w:val="0"/>
              <w:sz w:val="22"/>
              <w:szCs w:val="22"/>
            </w:rPr>
          </w:pPr>
          <w:hyperlink w:anchor="_Toc368583049" w:history="1">
            <w:r w:rsidRPr="00D960FD">
              <w:rPr>
                <w:rStyle w:val="Hyperlink"/>
              </w:rPr>
              <w:t>II.</w:t>
            </w:r>
            <w:r>
              <w:rPr>
                <w:rFonts w:asciiTheme="minorHAnsi" w:eastAsiaTheme="minorEastAsia" w:hAnsiTheme="minorHAnsi" w:cstheme="minorBidi"/>
                <w:caps w:val="0"/>
                <w:sz w:val="22"/>
                <w:szCs w:val="22"/>
              </w:rPr>
              <w:tab/>
            </w:r>
            <w:r w:rsidRPr="00D960FD">
              <w:rPr>
                <w:rStyle w:val="Hyperlink"/>
              </w:rPr>
              <w:t>Bericht über den Fortschritt der Arbeiten der Technischen Arbeitsgruppen und der Arbeitsgruppe für biochemische und molekulare Verfahren und insbesondere für DNS-Profilierungsverfahren im Jahr 2012</w:t>
            </w:r>
            <w:r>
              <w:rPr>
                <w:webHidden/>
              </w:rPr>
              <w:tab/>
            </w:r>
            <w:r>
              <w:rPr>
                <w:webHidden/>
              </w:rPr>
              <w:fldChar w:fldCharType="begin"/>
            </w:r>
            <w:r>
              <w:rPr>
                <w:webHidden/>
              </w:rPr>
              <w:instrText xml:space="preserve"> PAGEREF _Toc368583049 \h </w:instrText>
            </w:r>
            <w:r>
              <w:rPr>
                <w:webHidden/>
              </w:rPr>
            </w:r>
            <w:r>
              <w:rPr>
                <w:webHidden/>
              </w:rPr>
              <w:fldChar w:fldCharType="separate"/>
            </w:r>
            <w:r>
              <w:rPr>
                <w:webHidden/>
              </w:rPr>
              <w:t>26</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50" w:history="1">
            <w:r w:rsidRPr="00D960FD">
              <w:rPr>
                <w:rStyle w:val="Hyperlink"/>
              </w:rPr>
              <w:t>Technische Arbeitsgruppe für landwirtschaftliche Arten (TWA)</w:t>
            </w:r>
            <w:r>
              <w:rPr>
                <w:webHidden/>
              </w:rPr>
              <w:tab/>
            </w:r>
            <w:r>
              <w:rPr>
                <w:webHidden/>
              </w:rPr>
              <w:fldChar w:fldCharType="begin"/>
            </w:r>
            <w:r>
              <w:rPr>
                <w:webHidden/>
              </w:rPr>
              <w:instrText xml:space="preserve"> PAGEREF _Toc368583050 \h </w:instrText>
            </w:r>
            <w:r>
              <w:rPr>
                <w:webHidden/>
              </w:rPr>
            </w:r>
            <w:r>
              <w:rPr>
                <w:webHidden/>
              </w:rPr>
              <w:fldChar w:fldCharType="separate"/>
            </w:r>
            <w:r>
              <w:rPr>
                <w:webHidden/>
              </w:rPr>
              <w:t>26</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51" w:history="1">
            <w:r w:rsidRPr="00D960FD">
              <w:rPr>
                <w:rStyle w:val="Hyperlink"/>
              </w:rPr>
              <w:t>Technische Arbeitsgruppe für Automatisierung und Computerprogramme (TWC)</w:t>
            </w:r>
            <w:r>
              <w:rPr>
                <w:webHidden/>
              </w:rPr>
              <w:tab/>
            </w:r>
            <w:r>
              <w:rPr>
                <w:webHidden/>
              </w:rPr>
              <w:fldChar w:fldCharType="begin"/>
            </w:r>
            <w:r>
              <w:rPr>
                <w:webHidden/>
              </w:rPr>
              <w:instrText xml:space="preserve"> PAGEREF _Toc368583051 \h </w:instrText>
            </w:r>
            <w:r>
              <w:rPr>
                <w:webHidden/>
              </w:rPr>
            </w:r>
            <w:r>
              <w:rPr>
                <w:webHidden/>
              </w:rPr>
              <w:fldChar w:fldCharType="separate"/>
            </w:r>
            <w:r>
              <w:rPr>
                <w:webHidden/>
              </w:rPr>
              <w:t>28</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52" w:history="1">
            <w:r w:rsidRPr="00D960FD">
              <w:rPr>
                <w:rStyle w:val="Hyperlink"/>
              </w:rPr>
              <w:t>Technische Arbeitsgruppe für Obstarten (TWF)</w:t>
            </w:r>
            <w:r>
              <w:rPr>
                <w:webHidden/>
              </w:rPr>
              <w:tab/>
            </w:r>
            <w:r>
              <w:rPr>
                <w:webHidden/>
              </w:rPr>
              <w:fldChar w:fldCharType="begin"/>
            </w:r>
            <w:r>
              <w:rPr>
                <w:webHidden/>
              </w:rPr>
              <w:instrText xml:space="preserve"> PAGEREF _Toc368583052 \h </w:instrText>
            </w:r>
            <w:r>
              <w:rPr>
                <w:webHidden/>
              </w:rPr>
            </w:r>
            <w:r>
              <w:rPr>
                <w:webHidden/>
              </w:rPr>
              <w:fldChar w:fldCharType="separate"/>
            </w:r>
            <w:r>
              <w:rPr>
                <w:webHidden/>
              </w:rPr>
              <w:t>31</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53" w:history="1">
            <w:r w:rsidRPr="00D960FD">
              <w:rPr>
                <w:rStyle w:val="Hyperlink"/>
              </w:rPr>
              <w:t>Technische Arbeitsgruppe für Zierpflanzen und forstliche Baumarten (TWO)</w:t>
            </w:r>
            <w:r>
              <w:rPr>
                <w:webHidden/>
              </w:rPr>
              <w:tab/>
            </w:r>
            <w:r>
              <w:rPr>
                <w:webHidden/>
              </w:rPr>
              <w:fldChar w:fldCharType="begin"/>
            </w:r>
            <w:r>
              <w:rPr>
                <w:webHidden/>
              </w:rPr>
              <w:instrText xml:space="preserve"> PAGEREF _Toc368583053 \h </w:instrText>
            </w:r>
            <w:r>
              <w:rPr>
                <w:webHidden/>
              </w:rPr>
            </w:r>
            <w:r>
              <w:rPr>
                <w:webHidden/>
              </w:rPr>
              <w:fldChar w:fldCharType="separate"/>
            </w:r>
            <w:r>
              <w:rPr>
                <w:webHidden/>
              </w:rPr>
              <w:t>33</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54" w:history="1">
            <w:r w:rsidRPr="00D960FD">
              <w:rPr>
                <w:rStyle w:val="Hyperlink"/>
              </w:rPr>
              <w:t>Technische Arbeitsgruppe für Gemüsearten (TWV)</w:t>
            </w:r>
            <w:r>
              <w:rPr>
                <w:webHidden/>
              </w:rPr>
              <w:tab/>
            </w:r>
            <w:r>
              <w:rPr>
                <w:webHidden/>
              </w:rPr>
              <w:fldChar w:fldCharType="begin"/>
            </w:r>
            <w:r>
              <w:rPr>
                <w:webHidden/>
              </w:rPr>
              <w:instrText xml:space="preserve"> PAGEREF _Toc368583054 \h </w:instrText>
            </w:r>
            <w:r>
              <w:rPr>
                <w:webHidden/>
              </w:rPr>
            </w:r>
            <w:r>
              <w:rPr>
                <w:webHidden/>
              </w:rPr>
              <w:fldChar w:fldCharType="separate"/>
            </w:r>
            <w:r>
              <w:rPr>
                <w:webHidden/>
              </w:rPr>
              <w:t>36</w:t>
            </w:r>
            <w:r>
              <w:rPr>
                <w:webHidden/>
              </w:rPr>
              <w:fldChar w:fldCharType="end"/>
            </w:r>
          </w:hyperlink>
        </w:p>
        <w:p w:rsidR="00747C66" w:rsidRDefault="00747C66">
          <w:pPr>
            <w:pStyle w:val="TOC2"/>
            <w:rPr>
              <w:rFonts w:asciiTheme="minorHAnsi" w:eastAsiaTheme="minorEastAsia" w:hAnsiTheme="minorHAnsi" w:cstheme="minorBidi"/>
              <w:sz w:val="22"/>
              <w:szCs w:val="22"/>
            </w:rPr>
          </w:pPr>
          <w:hyperlink w:anchor="_Toc368583055" w:history="1">
            <w:r w:rsidRPr="00D960FD">
              <w:rPr>
                <w:rStyle w:val="Hyperlink"/>
              </w:rPr>
              <w:t>Arbeitsgruppe für biochemische und molekulare Verfahren und insbesondere für DNS-Profilierungsverfahren (BMT)</w:t>
            </w:r>
            <w:r>
              <w:rPr>
                <w:webHidden/>
              </w:rPr>
              <w:tab/>
            </w:r>
            <w:r>
              <w:rPr>
                <w:webHidden/>
              </w:rPr>
              <w:fldChar w:fldCharType="begin"/>
            </w:r>
            <w:r>
              <w:rPr>
                <w:webHidden/>
              </w:rPr>
              <w:instrText xml:space="preserve"> PAGEREF _Toc368583055 \h </w:instrText>
            </w:r>
            <w:r>
              <w:rPr>
                <w:webHidden/>
              </w:rPr>
            </w:r>
            <w:r>
              <w:rPr>
                <w:webHidden/>
              </w:rPr>
              <w:fldChar w:fldCharType="separate"/>
            </w:r>
            <w:r>
              <w:rPr>
                <w:webHidden/>
              </w:rPr>
              <w:t>38</w:t>
            </w:r>
            <w:r>
              <w:rPr>
                <w:webHidden/>
              </w:rPr>
              <w:fldChar w:fldCharType="end"/>
            </w:r>
          </w:hyperlink>
        </w:p>
        <w:p w:rsidR="00651D2A" w:rsidRDefault="001002A7" w:rsidP="000A68B4">
          <w:pPr>
            <w:rPr>
              <w:b/>
              <w:bCs/>
              <w:noProof/>
            </w:rPr>
          </w:pPr>
          <w:r>
            <w:rPr>
              <w:b/>
              <w:bCs/>
              <w:noProof/>
            </w:rPr>
            <w:fldChar w:fldCharType="end"/>
          </w:r>
        </w:p>
      </w:sdtContent>
    </w:sdt>
    <w:p w:rsidR="002B6DFD" w:rsidRDefault="00BB3534" w:rsidP="000A68B4">
      <w:r>
        <w:t>ANLAGE</w:t>
      </w:r>
      <w:r w:rsidR="00651D2A">
        <w:t>:</w:t>
      </w:r>
      <w:r w:rsidR="00651D2A">
        <w:tab/>
      </w:r>
      <w:r w:rsidR="00651D2A">
        <w:tab/>
        <w:t>PROGRAM</w:t>
      </w:r>
      <w:r>
        <w:t>M FÜR DIE ENTWICKLUNG VON TGP-DOKUMENTEN</w:t>
      </w:r>
    </w:p>
    <w:p w:rsidR="00651D2A" w:rsidRDefault="00BB3534" w:rsidP="000A68B4">
      <w:r>
        <w:t>ANHANG</w:t>
      </w:r>
      <w:r w:rsidR="00651D2A">
        <w:t xml:space="preserve"> I</w:t>
      </w:r>
      <w:r w:rsidR="00651D2A">
        <w:tab/>
      </w:r>
      <w:r w:rsidR="00651D2A">
        <w:tab/>
        <w:t>PROGRAM</w:t>
      </w:r>
      <w:r>
        <w:t>M FÜR DIE ÜBERARBEITUNG VON DOK</w:t>
      </w:r>
      <w:r w:rsidR="00651D2A">
        <w:t>UMENT TGP/7</w:t>
      </w:r>
    </w:p>
    <w:p w:rsidR="00651D2A" w:rsidRDefault="00BB3534" w:rsidP="000A68B4">
      <w:r>
        <w:t>ANHANG</w:t>
      </w:r>
      <w:r w:rsidR="00651D2A">
        <w:t xml:space="preserve"> II</w:t>
      </w:r>
      <w:r w:rsidR="00651D2A">
        <w:tab/>
      </w:r>
      <w:r>
        <w:tab/>
      </w:r>
      <w:r w:rsidR="00651D2A">
        <w:t>PROGRAM</w:t>
      </w:r>
      <w:r>
        <w:t>M</w:t>
      </w:r>
      <w:r w:rsidR="00651D2A">
        <w:t xml:space="preserve"> F</w:t>
      </w:r>
      <w:r>
        <w:t>Ü</w:t>
      </w:r>
      <w:r w:rsidR="00651D2A">
        <w:t xml:space="preserve">R </w:t>
      </w:r>
      <w:r>
        <w:t xml:space="preserve">DIE ÜBERARBEITUNG VON DOKUMENT </w:t>
      </w:r>
      <w:r w:rsidR="00651D2A">
        <w:t>TGP/8</w:t>
      </w:r>
    </w:p>
    <w:p w:rsidR="002B6DFD" w:rsidRDefault="002B6DFD">
      <w:pPr>
        <w:jc w:val="left"/>
      </w:pPr>
      <w:r>
        <w:br w:type="page"/>
      </w:r>
    </w:p>
    <w:p w:rsidR="002B6DFD" w:rsidRPr="00816118" w:rsidRDefault="002B6DFD" w:rsidP="0009000B">
      <w:pPr>
        <w:pStyle w:val="Heading1"/>
        <w:rPr>
          <w:lang w:val="de-DE"/>
        </w:rPr>
      </w:pPr>
      <w:bookmarkStart w:id="5" w:name="_Toc336593112"/>
      <w:bookmarkStart w:id="6" w:name="_Toc368582999"/>
      <w:r w:rsidRPr="00262B2F">
        <w:lastRenderedPageBreak/>
        <w:t>I.</w:t>
      </w:r>
      <w:r w:rsidRPr="00262B2F">
        <w:tab/>
      </w:r>
      <w:r w:rsidR="000F3305" w:rsidRPr="00816118">
        <w:rPr>
          <w:lang w:val="de-DE"/>
        </w:rPr>
        <w:t>BERICHT ÜBER DEN FORTSCHRITT DER ARBEITEN DES TECHNISCHEN AUSSCHUSSES</w:t>
      </w:r>
      <w:bookmarkEnd w:id="5"/>
      <w:bookmarkEnd w:id="6"/>
    </w:p>
    <w:p w:rsidR="002B6DFD" w:rsidRPr="00816118" w:rsidRDefault="002B6DFD" w:rsidP="002B6DFD">
      <w:pPr>
        <w:tabs>
          <w:tab w:val="left" w:pos="426"/>
          <w:tab w:val="left" w:pos="2694"/>
        </w:tabs>
        <w:ind w:left="2694" w:right="-1" w:hanging="2694"/>
        <w:jc w:val="left"/>
        <w:rPr>
          <w:lang w:val="de-DE"/>
        </w:rPr>
      </w:pPr>
    </w:p>
    <w:p w:rsidR="002B6DFD" w:rsidRPr="00816118" w:rsidRDefault="002B6DFD" w:rsidP="002B6DFD">
      <w:pPr>
        <w:rPr>
          <w:lang w:val="de-DE"/>
        </w:rPr>
      </w:pPr>
      <w:r w:rsidRPr="00816118">
        <w:rPr>
          <w:lang w:val="de-DE"/>
        </w:rPr>
        <w:fldChar w:fldCharType="begin"/>
      </w:r>
      <w:r w:rsidRPr="00816118">
        <w:rPr>
          <w:lang w:val="de-DE"/>
        </w:rPr>
        <w:instrText xml:space="preserve"> AUTONUM  </w:instrText>
      </w:r>
      <w:r w:rsidRPr="00816118">
        <w:rPr>
          <w:lang w:val="de-DE"/>
        </w:rPr>
        <w:fldChar w:fldCharType="end"/>
      </w:r>
      <w:r w:rsidR="000F3305" w:rsidRPr="00816118">
        <w:rPr>
          <w:lang w:val="de-DE"/>
        </w:rPr>
        <w:tab/>
        <w:t>Der Technische Ausschuß</w:t>
      </w:r>
      <w:r w:rsidRPr="00816118">
        <w:rPr>
          <w:lang w:val="de-DE"/>
        </w:rPr>
        <w:t xml:space="preserve"> (TC) </w:t>
      </w:r>
      <w:r w:rsidR="000F3305" w:rsidRPr="00816118">
        <w:rPr>
          <w:lang w:val="de-DE"/>
        </w:rPr>
        <w:t xml:space="preserve">hielt seine neunundvierzigste Tagung vom 18. bis </w:t>
      </w:r>
      <w:r w:rsidR="000F3305" w:rsidRPr="00C37E95">
        <w:rPr>
          <w:lang w:val="de-DE"/>
        </w:rPr>
        <w:t>20.</w:t>
      </w:r>
      <w:r w:rsidR="000F3305" w:rsidRPr="00816118">
        <w:rPr>
          <w:lang w:val="de-DE"/>
        </w:rPr>
        <w:t xml:space="preserve"> März 2013 unter dem Vorsitz von Herrn Joël Guiard (Frankreich), Vorsitzender des TC, in Genf ab. Der Bericht über die Beschlüße der Tagung ist in Dokument </w:t>
      </w:r>
      <w:r w:rsidRPr="00816118">
        <w:rPr>
          <w:lang w:val="de-DE"/>
        </w:rPr>
        <w:t>TC/49/41</w:t>
      </w:r>
      <w:r w:rsidR="00BB3534">
        <w:rPr>
          <w:lang w:val="de-DE"/>
        </w:rPr>
        <w:t xml:space="preserve"> „</w:t>
      </w:r>
      <w:r w:rsidR="000F3305" w:rsidRPr="00816118">
        <w:rPr>
          <w:lang w:val="de-DE"/>
        </w:rPr>
        <w:t>Bericht über die Entschließungen</w:t>
      </w:r>
      <w:r w:rsidRPr="00816118">
        <w:rPr>
          <w:lang w:val="de-DE"/>
        </w:rPr>
        <w:t>”</w:t>
      </w:r>
      <w:r w:rsidR="000F3305" w:rsidRPr="00816118">
        <w:rPr>
          <w:lang w:val="de-DE"/>
        </w:rPr>
        <w:t xml:space="preserve"> enthalten</w:t>
      </w:r>
      <w:r w:rsidRPr="00816118">
        <w:rPr>
          <w:lang w:val="de-DE"/>
        </w:rPr>
        <w:t xml:space="preserve">. </w:t>
      </w:r>
      <w:r w:rsidR="000F3305" w:rsidRPr="00816118">
        <w:rPr>
          <w:lang w:val="de-DE"/>
        </w:rPr>
        <w:t xml:space="preserve">Der ausführliche Bericht wird in Dokument </w:t>
      </w:r>
      <w:r w:rsidRPr="00816118">
        <w:rPr>
          <w:lang w:val="de-DE"/>
        </w:rPr>
        <w:t>TC/49/4</w:t>
      </w:r>
      <w:r w:rsidR="00BB3534">
        <w:rPr>
          <w:lang w:val="de-DE"/>
        </w:rPr>
        <w:t>2 „</w:t>
      </w:r>
      <w:r w:rsidR="000F3305" w:rsidRPr="00816118">
        <w:rPr>
          <w:lang w:val="de-DE"/>
        </w:rPr>
        <w:t>Bericht</w:t>
      </w:r>
      <w:r w:rsidR="00147FCD" w:rsidRPr="00816118">
        <w:rPr>
          <w:lang w:val="de-DE"/>
        </w:rPr>
        <w:t>”</w:t>
      </w:r>
      <w:r w:rsidR="000F3305" w:rsidRPr="00816118">
        <w:rPr>
          <w:lang w:val="de-DE"/>
        </w:rPr>
        <w:t xml:space="preserve"> enthalten sein</w:t>
      </w:r>
      <w:r w:rsidRPr="00816118">
        <w:rPr>
          <w:lang w:val="de-DE"/>
        </w:rPr>
        <w:t>.</w:t>
      </w:r>
    </w:p>
    <w:p w:rsidR="002B6DFD" w:rsidRPr="00816118" w:rsidRDefault="002B6DFD" w:rsidP="002B6DFD">
      <w:pPr>
        <w:rPr>
          <w:lang w:val="de-DE"/>
        </w:rPr>
      </w:pPr>
    </w:p>
    <w:p w:rsidR="002B6DFD" w:rsidRPr="00816118" w:rsidRDefault="002B6DFD" w:rsidP="002B6DFD">
      <w:pPr>
        <w:rPr>
          <w:snapToGrid w:val="0"/>
          <w:lang w:val="de-DE"/>
        </w:rPr>
      </w:pPr>
      <w:r w:rsidRPr="00816118">
        <w:rPr>
          <w:snapToGrid w:val="0"/>
          <w:lang w:val="de-DE"/>
        </w:rPr>
        <w:fldChar w:fldCharType="begin"/>
      </w:r>
      <w:r w:rsidRPr="00816118">
        <w:rPr>
          <w:snapToGrid w:val="0"/>
          <w:lang w:val="de-DE"/>
        </w:rPr>
        <w:instrText xml:space="preserve"> AUTONUM  </w:instrText>
      </w:r>
      <w:r w:rsidRPr="00816118">
        <w:rPr>
          <w:snapToGrid w:val="0"/>
          <w:lang w:val="de-DE"/>
        </w:rPr>
        <w:fldChar w:fldCharType="end"/>
      </w:r>
      <w:r w:rsidRPr="00816118">
        <w:rPr>
          <w:snapToGrid w:val="0"/>
          <w:lang w:val="de-DE"/>
        </w:rPr>
        <w:tab/>
      </w:r>
      <w:r w:rsidR="000F3305" w:rsidRPr="00816118">
        <w:rPr>
          <w:snapToGrid w:val="0"/>
          <w:lang w:val="de-DE"/>
        </w:rPr>
        <w:t xml:space="preserve">An der Tagung nahmen </w:t>
      </w:r>
      <w:r w:rsidRPr="00816118">
        <w:rPr>
          <w:snapToGrid w:val="0"/>
          <w:lang w:val="de-DE"/>
        </w:rPr>
        <w:t xml:space="preserve">77 </w:t>
      </w:r>
      <w:r w:rsidR="000F3305" w:rsidRPr="00816118">
        <w:rPr>
          <w:snapToGrid w:val="0"/>
          <w:lang w:val="de-DE"/>
        </w:rPr>
        <w:t>Teilnehmer aus 36 Verbandmitgliedern, sieben Beobachterstaaten und vier Beobachterorganisationen teil</w:t>
      </w:r>
      <w:r w:rsidRPr="00816118">
        <w:rPr>
          <w:snapToGrid w:val="0"/>
          <w:lang w:val="de-DE"/>
        </w:rPr>
        <w:t>.</w:t>
      </w:r>
    </w:p>
    <w:p w:rsidR="002B6DFD" w:rsidRDefault="002B6DFD" w:rsidP="002B6DFD">
      <w:pPr>
        <w:rPr>
          <w:snapToGrid w:val="0"/>
          <w:lang w:val="de-DE"/>
        </w:rPr>
      </w:pPr>
    </w:p>
    <w:p w:rsidR="00DF74FD" w:rsidRPr="00816118" w:rsidRDefault="00DF74FD" w:rsidP="002B6DFD">
      <w:pPr>
        <w:rPr>
          <w:snapToGrid w:val="0"/>
          <w:lang w:val="de-DE"/>
        </w:rPr>
      </w:pPr>
    </w:p>
    <w:p w:rsidR="00B27AE7" w:rsidRPr="00816118" w:rsidRDefault="00816118" w:rsidP="00747C66">
      <w:pPr>
        <w:pStyle w:val="Heading2"/>
        <w:rPr>
          <w:lang w:val="de-DE"/>
        </w:rPr>
      </w:pPr>
      <w:bookmarkStart w:id="7" w:name="_Toc368583000"/>
      <w:r w:rsidRPr="00816118">
        <w:rPr>
          <w:lang w:val="de-DE"/>
        </w:rPr>
        <w:t>Bericht über die Entwicklungen in der UPOV, u. a. die auf den letzten Tagungen des Verwaltungs- und Rechtsausschusses, des Beratenden Ausschusses und des Rates erörterten wichtigen Angelegenheiten (mündlicher Bericht des Stellvertretenden Generalsekretärs)</w:t>
      </w:r>
      <w:bookmarkEnd w:id="7"/>
      <w:r w:rsidRPr="00816118">
        <w:rPr>
          <w:lang w:val="de-DE"/>
        </w:rPr>
        <w:t xml:space="preserve"> </w:t>
      </w:r>
    </w:p>
    <w:p w:rsidR="00B27AE7" w:rsidRPr="00816118" w:rsidRDefault="00B27AE7" w:rsidP="00B27AE7">
      <w:pPr>
        <w:rPr>
          <w:snapToGrid w:val="0"/>
          <w:lang w:val="de-DE"/>
        </w:rPr>
      </w:pPr>
    </w:p>
    <w:p w:rsidR="00B27AE7" w:rsidRPr="00816118" w:rsidRDefault="00B27AE7" w:rsidP="00B27AE7">
      <w:pPr>
        <w:rPr>
          <w:lang w:val="de-DE"/>
        </w:rPr>
      </w:pPr>
      <w:r w:rsidRPr="00816118">
        <w:rPr>
          <w:lang w:val="de-DE"/>
        </w:rPr>
        <w:fldChar w:fldCharType="begin"/>
      </w:r>
      <w:r w:rsidRPr="00816118">
        <w:rPr>
          <w:lang w:val="de-DE"/>
        </w:rPr>
        <w:instrText xml:space="preserve"> AUTONUM  \* Arabic </w:instrText>
      </w:r>
      <w:r w:rsidRPr="00816118">
        <w:rPr>
          <w:lang w:val="de-DE"/>
        </w:rPr>
        <w:fldChar w:fldCharType="end"/>
      </w:r>
      <w:r w:rsidRPr="00816118">
        <w:rPr>
          <w:lang w:val="de-DE"/>
        </w:rPr>
        <w:tab/>
      </w:r>
      <w:r w:rsidR="00816118" w:rsidRPr="00816118">
        <w:rPr>
          <w:lang w:val="de-DE"/>
        </w:rPr>
        <w:t>Der stellvertretende Generalsekretär berichtete in Form einer Powerpoint-Präsentation mündlich über die fünfundsechzigste und die sechsundsechzigste Tagung des CAJ, die dreiundachtzigste und die vierundachtzigste Tagung des Beratenden Ausschusses und die neunundzwanzigste außerordentliche Tagung sowie die sechsundvierzigste ordentliche Tagung des Rates. Der TC merkte an, daß die Anlage des Tagungsberichts eine Abschrift dieser Präsentation enthalten werde (vergleiche Dok</w:t>
      </w:r>
      <w:r w:rsidR="00980AB6" w:rsidRPr="00816118">
        <w:rPr>
          <w:lang w:val="de-DE"/>
        </w:rPr>
        <w:t>ument TC/</w:t>
      </w:r>
      <w:r w:rsidR="00BB3534">
        <w:rPr>
          <w:lang w:val="de-DE"/>
        </w:rPr>
        <w:t>49/41 „</w:t>
      </w:r>
      <w:r w:rsidR="00816118" w:rsidRPr="00816118">
        <w:rPr>
          <w:lang w:val="de-DE"/>
        </w:rPr>
        <w:t>Bericht über die Entschließungen”, Absatz</w:t>
      </w:r>
      <w:r w:rsidR="00980AB6" w:rsidRPr="00816118">
        <w:rPr>
          <w:lang w:val="de-DE"/>
        </w:rPr>
        <w:t xml:space="preserve"> </w:t>
      </w:r>
      <w:r w:rsidR="00193D55" w:rsidRPr="00816118">
        <w:rPr>
          <w:lang w:val="de-DE"/>
        </w:rPr>
        <w:t>7</w:t>
      </w:r>
      <w:r w:rsidR="00980AB6" w:rsidRPr="00816118">
        <w:rPr>
          <w:lang w:val="de-DE"/>
        </w:rPr>
        <w:t>)</w:t>
      </w:r>
      <w:r w:rsidRPr="00816118">
        <w:rPr>
          <w:lang w:val="de-DE"/>
        </w:rPr>
        <w:t>.</w:t>
      </w:r>
    </w:p>
    <w:p w:rsidR="00B27AE7" w:rsidRDefault="00B27AE7" w:rsidP="002B6DFD">
      <w:pPr>
        <w:rPr>
          <w:snapToGrid w:val="0"/>
        </w:rPr>
      </w:pPr>
    </w:p>
    <w:p w:rsidR="00DF74FD" w:rsidRPr="00262B2F" w:rsidRDefault="00DF74FD" w:rsidP="002B6DFD">
      <w:pPr>
        <w:rPr>
          <w:snapToGrid w:val="0"/>
        </w:rPr>
      </w:pPr>
    </w:p>
    <w:p w:rsidR="00816118" w:rsidRPr="00C970DD" w:rsidRDefault="00816118" w:rsidP="00747C66">
      <w:pPr>
        <w:pStyle w:val="Heading2"/>
        <w:rPr>
          <w:lang w:val="de-DE"/>
        </w:rPr>
      </w:pPr>
      <w:bookmarkStart w:id="8" w:name="_Toc368583001"/>
      <w:r w:rsidRPr="00C970DD">
        <w:rPr>
          <w:lang w:val="de-DE"/>
        </w:rPr>
        <w:t>Berichte über den Fortschritt der Arbeiten der Technischen Arbeitsgruppen, einschließlich der Arbeitsgruppe für biochemische und molekulare Verfahren und insbesondere für DNS Profilierungsverfahren (BMT) und der artenspezifischen Ad-hoc-Untergruppen für molekulare Verfahren</w:t>
      </w:r>
      <w:bookmarkEnd w:id="8"/>
    </w:p>
    <w:p w:rsidR="00196886" w:rsidRPr="00AF342C" w:rsidRDefault="00196886" w:rsidP="00196886">
      <w:pPr>
        <w:keepNext/>
        <w:rPr>
          <w:u w:val="single"/>
        </w:rPr>
      </w:pPr>
    </w:p>
    <w:p w:rsidR="00196886" w:rsidRPr="00AF342C" w:rsidRDefault="00196886" w:rsidP="00196886">
      <w:r w:rsidRPr="00AF342C">
        <w:fldChar w:fldCharType="begin"/>
      </w:r>
      <w:r w:rsidRPr="00AF342C">
        <w:instrText xml:space="preserve"> AUTONUM  \* Arabic </w:instrText>
      </w:r>
      <w:r w:rsidRPr="00AF342C">
        <w:fldChar w:fldCharType="end"/>
      </w:r>
      <w:r w:rsidRPr="00AF342C">
        <w:tab/>
      </w:r>
      <w:r w:rsidR="00816118" w:rsidRPr="00C970DD">
        <w:rPr>
          <w:lang w:val="de-DE"/>
        </w:rPr>
        <w:t>Der TC hörte mündliche Berichte der Vorsitzenden in Form von Powerpoint-Präsentationen über die Arbeit der Technischen Arbeitsgruppe für landwirtschaftliche Arten (TWA), der Technischen Arbeitsgruppe für Automatisierung und Computerprogramme (TWC), der Technischen Arbeitsgruppe für Obstarten (TWF), der Technischen Arbeitsgruppe für Zierpflanzen und forstliche Baumarten (TWO) und der Technischen Arbeitsgruppe für Gemüsearten (TWV). Der TC nahm zur Kenntnis, daß seit der achtundvierzigste</w:t>
      </w:r>
      <w:r w:rsidR="00816118">
        <w:rPr>
          <w:lang w:val="de-DE"/>
        </w:rPr>
        <w:t>n Tagung des TC keine Tagung</w:t>
      </w:r>
      <w:r w:rsidR="00816118" w:rsidRPr="00C970DD">
        <w:rPr>
          <w:lang w:val="de-DE"/>
        </w:rPr>
        <w:t xml:space="preserve"> der Arbeitsgruppe für biochemische und molekulare Verfahren und insbesondere für DNS-Profilierungsverfahren (BMT) abgehalten worden sei. Er nahm zur Kenntnis, daß Abschriften dieser Präsentationen im Tagungsbericht in einer Anlage wiedergegeben werden</w:t>
      </w:r>
      <w:r w:rsidR="00816118">
        <w:rPr>
          <w:lang w:val="de-DE"/>
        </w:rPr>
        <w:t xml:space="preserve"> </w:t>
      </w:r>
      <w:r w:rsidR="00816118">
        <w:t>(</w:t>
      </w:r>
      <w:r w:rsidR="00816118" w:rsidRPr="00816118">
        <w:rPr>
          <w:lang w:val="de-DE"/>
        </w:rPr>
        <w:t>vergleiche Dokument TC/</w:t>
      </w:r>
      <w:r w:rsidR="00816118">
        <w:rPr>
          <w:lang w:val="de-DE"/>
        </w:rPr>
        <w:t>49/41 „</w:t>
      </w:r>
      <w:r w:rsidR="00816118" w:rsidRPr="00816118">
        <w:rPr>
          <w:lang w:val="de-DE"/>
        </w:rPr>
        <w:t xml:space="preserve">Bericht über die Entschließungen”, Absatz </w:t>
      </w:r>
      <w:r w:rsidR="00193D55">
        <w:t>8)</w:t>
      </w:r>
      <w:r w:rsidRPr="00AF342C">
        <w:t>.</w:t>
      </w:r>
    </w:p>
    <w:p w:rsidR="00196886" w:rsidRDefault="00196886" w:rsidP="00196886">
      <w:pPr>
        <w:rPr>
          <w:u w:val="single"/>
        </w:rPr>
      </w:pPr>
    </w:p>
    <w:p w:rsidR="00DF74FD" w:rsidRPr="00AF342C" w:rsidRDefault="00DF74FD" w:rsidP="00196886">
      <w:pPr>
        <w:rPr>
          <w:u w:val="single"/>
        </w:rPr>
      </w:pPr>
    </w:p>
    <w:p w:rsidR="00196886" w:rsidRPr="00C875B0" w:rsidRDefault="00C875B0" w:rsidP="00747C66">
      <w:pPr>
        <w:pStyle w:val="Heading2"/>
        <w:rPr>
          <w:lang w:val="de-DE"/>
        </w:rPr>
      </w:pPr>
      <w:bookmarkStart w:id="9" w:name="_Toc368583002"/>
      <w:r w:rsidRPr="00C970DD">
        <w:rPr>
          <w:lang w:val="de-DE"/>
        </w:rPr>
        <w:t>Fragen, die von den technischen Arbeitsgruppen aufgeworfen wurden</w:t>
      </w:r>
      <w:bookmarkEnd w:id="9"/>
    </w:p>
    <w:p w:rsidR="00196886" w:rsidRPr="00AF342C" w:rsidRDefault="00196886" w:rsidP="00196886">
      <w:pPr>
        <w:keepNext/>
        <w:rPr>
          <w:u w:val="single"/>
        </w:rPr>
      </w:pPr>
    </w:p>
    <w:p w:rsidR="00A3004D" w:rsidRPr="00C970DD" w:rsidRDefault="00196886" w:rsidP="00A3004D">
      <w:pPr>
        <w:keepNext/>
        <w:rPr>
          <w:lang w:val="de-DE"/>
        </w:rPr>
      </w:pPr>
      <w:r w:rsidRPr="00AF342C">
        <w:fldChar w:fldCharType="begin"/>
      </w:r>
      <w:r w:rsidRPr="00AF342C">
        <w:instrText xml:space="preserve"> AUTONUM  \* Arabic </w:instrText>
      </w:r>
      <w:r w:rsidRPr="00AF342C">
        <w:fldChar w:fldCharType="end"/>
      </w:r>
      <w:r w:rsidRPr="00AF342C">
        <w:tab/>
      </w:r>
      <w:r w:rsidR="00A3004D" w:rsidRPr="00C970DD">
        <w:rPr>
          <w:lang w:val="de-DE"/>
        </w:rPr>
        <w:t>Der TC prüfte das Dokument TC/49/3.</w:t>
      </w:r>
    </w:p>
    <w:p w:rsidR="00A3004D" w:rsidRPr="00C970DD" w:rsidRDefault="00A3004D" w:rsidP="00A3004D">
      <w:pPr>
        <w:keepNext/>
        <w:rPr>
          <w:lang w:val="de-DE"/>
        </w:rPr>
      </w:pPr>
    </w:p>
    <w:p w:rsidR="00A3004D" w:rsidRPr="00C970DD" w:rsidRDefault="00A3004D" w:rsidP="00B027B0">
      <w:pPr>
        <w:pStyle w:val="Heading3"/>
      </w:pPr>
      <w:bookmarkStart w:id="10" w:name="_Toc368583003"/>
      <w:r w:rsidRPr="00C970DD">
        <w:t>Anleitung für Verfasser von Prüfungsrichtlinien</w:t>
      </w:r>
      <w:bookmarkEnd w:id="10"/>
    </w:p>
    <w:p w:rsidR="00A3004D" w:rsidRPr="00C970DD" w:rsidRDefault="00A3004D" w:rsidP="00A3004D">
      <w:pPr>
        <w:keepNext/>
        <w:rPr>
          <w:lang w:val="de-DE"/>
        </w:rPr>
      </w:pPr>
    </w:p>
    <w:p w:rsidR="00A3004D" w:rsidRDefault="00A3004D" w:rsidP="00A3004D">
      <w:pPr>
        <w:rPr>
          <w:lang w:val="de-DE"/>
        </w:rPr>
      </w:pPr>
      <w:r w:rsidRPr="00C970DD">
        <w:rPr>
          <w:lang w:val="de-DE"/>
        </w:rPr>
        <w:fldChar w:fldCharType="begin"/>
      </w:r>
      <w:r w:rsidRPr="00C970DD">
        <w:rPr>
          <w:lang w:val="de-DE"/>
        </w:rPr>
        <w:instrText xml:space="preserve"> AUTONUM  </w:instrText>
      </w:r>
      <w:r w:rsidRPr="00C970DD">
        <w:rPr>
          <w:lang w:val="de-DE"/>
        </w:rPr>
        <w:fldChar w:fldCharType="end"/>
      </w:r>
      <w:r w:rsidRPr="00C970DD">
        <w:rPr>
          <w:lang w:val="de-DE"/>
        </w:rPr>
        <w:tab/>
        <w:t xml:space="preserve">Der TC </w:t>
      </w:r>
      <w:r>
        <w:rPr>
          <w:lang w:val="de-DE"/>
        </w:rPr>
        <w:t xml:space="preserve">nahm die Bemerkungen der TWP auf ihren Tagungen 2012 betreffend den </w:t>
      </w:r>
      <w:r w:rsidRPr="00C970DD">
        <w:rPr>
          <w:spacing w:val="-2"/>
          <w:lang w:val="de-DE"/>
        </w:rPr>
        <w:t>„Praktischen Leitfaden für Verfasser (</w:t>
      </w:r>
      <w:r>
        <w:rPr>
          <w:spacing w:val="-2"/>
          <w:lang w:val="de-DE"/>
        </w:rPr>
        <w:t>f</w:t>
      </w:r>
      <w:r w:rsidRPr="00C970DD">
        <w:rPr>
          <w:spacing w:val="-2"/>
          <w:lang w:val="de-DE"/>
        </w:rPr>
        <w:t>ührende Sachverständige)</w:t>
      </w:r>
      <w:r w:rsidRPr="00C970DD">
        <w:rPr>
          <w:lang w:val="de-DE"/>
        </w:rPr>
        <w:t xml:space="preserve"> von UPOV-Prüfungsrichtlinien”, Abschnitt „In der Technischen Arbeitsgruppe zu </w:t>
      </w:r>
      <w:r>
        <w:rPr>
          <w:lang w:val="de-DE"/>
        </w:rPr>
        <w:t>prüfende</w:t>
      </w:r>
      <w:r w:rsidRPr="00C970DD">
        <w:rPr>
          <w:lang w:val="de-DE"/>
        </w:rPr>
        <w:t xml:space="preserve"> Prüfungsrichtlinien”</w:t>
      </w:r>
      <w:r>
        <w:rPr>
          <w:lang w:val="de-DE"/>
        </w:rPr>
        <w:t xml:space="preserve">, </w:t>
      </w:r>
      <w:r w:rsidRPr="00C970DD">
        <w:rPr>
          <w:lang w:val="de-DE"/>
        </w:rPr>
        <w:t xml:space="preserve">wie in der Anlage </w:t>
      </w:r>
      <w:r>
        <w:rPr>
          <w:lang w:val="de-DE"/>
        </w:rPr>
        <w:t>zu</w:t>
      </w:r>
      <w:r w:rsidRPr="00C970DD">
        <w:rPr>
          <w:lang w:val="de-DE"/>
        </w:rPr>
        <w:t xml:space="preserve"> Dokument TC/49/3 wiedergegeben, </w:t>
      </w:r>
      <w:r>
        <w:rPr>
          <w:lang w:val="de-DE"/>
        </w:rPr>
        <w:t>zur Kenntnis.</w:t>
      </w:r>
    </w:p>
    <w:p w:rsidR="00A3004D" w:rsidRPr="00C970DD" w:rsidRDefault="00A3004D" w:rsidP="00A3004D">
      <w:pPr>
        <w:rPr>
          <w:rFonts w:cs="Arial"/>
          <w:lang w:val="de-DE"/>
        </w:rPr>
      </w:pPr>
    </w:p>
    <w:p w:rsidR="00A3004D" w:rsidRPr="00D87396" w:rsidRDefault="00A3004D" w:rsidP="00A3004D">
      <w:pPr>
        <w:rPr>
          <w:lang w:val="de-DE"/>
        </w:rPr>
      </w:pPr>
      <w:r w:rsidRPr="002F6EFE">
        <w:fldChar w:fldCharType="begin"/>
      </w:r>
      <w:r w:rsidRPr="009E5D70">
        <w:rPr>
          <w:lang w:val="de-DE"/>
        </w:rPr>
        <w:instrText xml:space="preserve"> AUTONUM  </w:instrText>
      </w:r>
      <w:r w:rsidRPr="002F6EFE">
        <w:fldChar w:fldCharType="end"/>
      </w:r>
      <w:r w:rsidRPr="009E5D70">
        <w:rPr>
          <w:lang w:val="de-DE"/>
        </w:rPr>
        <w:tab/>
      </w:r>
      <w:r w:rsidRPr="00D87396">
        <w:rPr>
          <w:lang w:val="de-DE"/>
        </w:rPr>
        <w:t xml:space="preserve">Der TC vereinbarte, daß Prüfungsrichtlinien allgemein von den Erörterungen in den TWP zurückgezogen werden sollten, wenn der </w:t>
      </w:r>
      <w:r>
        <w:rPr>
          <w:lang w:val="de-DE"/>
        </w:rPr>
        <w:t>f</w:t>
      </w:r>
      <w:r w:rsidRPr="00D87396">
        <w:rPr>
          <w:lang w:val="de-DE"/>
        </w:rPr>
        <w:t xml:space="preserve">ührende Sachverständige nicht bei der Tagung anwesend sei, außer wenn ausreichend lange vor der Tagung mit einem geeigneten alternativen Sachverständigen vereinbart werden könne, daß er als führender Sachverständiger agieren werde oder wenn der </w:t>
      </w:r>
      <w:r>
        <w:rPr>
          <w:lang w:val="de-DE"/>
        </w:rPr>
        <w:t>f</w:t>
      </w:r>
      <w:r w:rsidRPr="00D87396">
        <w:rPr>
          <w:lang w:val="de-DE"/>
        </w:rPr>
        <w:t>ührende Sachverständige über elektronische Medien teilnehmen könne. Der TC vereinbarte, daß eine diesbezügliche Anleitung in eine künftige Überarbeitung von Dokument TGP/7, Abschnitt 2.2.5.3 „Voraussetzungen für die Prüfung der Entwürfe von Prüfungsrichtlinien durch die Technischen Arbeitsgruppen“ aufgenommen werden solle.</w:t>
      </w:r>
    </w:p>
    <w:p w:rsidR="00196886" w:rsidRPr="002F6EFE" w:rsidRDefault="00196886" w:rsidP="00196886"/>
    <w:p w:rsidR="00196886" w:rsidRPr="002F6EFE" w:rsidRDefault="00196886" w:rsidP="00196886">
      <w:r w:rsidRPr="002F6EFE">
        <w:fldChar w:fldCharType="begin"/>
      </w:r>
      <w:r w:rsidRPr="002F6EFE">
        <w:instrText xml:space="preserve"> AUTONUM  </w:instrText>
      </w:r>
      <w:r w:rsidRPr="002F6EFE">
        <w:fldChar w:fldCharType="end"/>
      </w:r>
      <w:r w:rsidRPr="002F6EFE">
        <w:tab/>
      </w:r>
      <w:r w:rsidR="00A3004D" w:rsidRPr="00D87396">
        <w:rPr>
          <w:lang w:val="de-DE"/>
        </w:rPr>
        <w:t xml:space="preserve">Der TC war sich darin einig, daß es nicht zweckmäßig sei, den Namen des </w:t>
      </w:r>
      <w:r w:rsidR="00A3004D">
        <w:rPr>
          <w:lang w:val="de-DE"/>
        </w:rPr>
        <w:t>f</w:t>
      </w:r>
      <w:r w:rsidR="00A3004D" w:rsidRPr="00D87396">
        <w:rPr>
          <w:lang w:val="de-DE"/>
        </w:rPr>
        <w:t xml:space="preserve">ührenden Sachverständigen im Entwurf oder in den angenommenen Prüfungsrichtlinien aufzuführen, da der </w:t>
      </w:r>
      <w:r w:rsidR="00A3004D">
        <w:rPr>
          <w:lang w:val="de-DE"/>
        </w:rPr>
        <w:t>f</w:t>
      </w:r>
      <w:r w:rsidR="00A3004D" w:rsidRPr="00D87396">
        <w:rPr>
          <w:lang w:val="de-DE"/>
        </w:rPr>
        <w:t>ührende Sachverständige im Namen des Verbandsmitgliedes und nicht als Einzelner handle. Der TC nahm auch zur Kenntnis, daß oftmals mehr als ein Sachverständiger an der Ausarbeitung der Prüfungsrichtlinien beteiligt sei</w:t>
      </w:r>
      <w:r w:rsidR="00A3004D">
        <w:rPr>
          <w:lang w:val="de-DE"/>
        </w:rPr>
        <w:t>en</w:t>
      </w:r>
      <w:r w:rsidR="00A3004D" w:rsidRPr="00D87396">
        <w:rPr>
          <w:lang w:val="de-DE"/>
        </w:rPr>
        <w:t>. Zum Zwecke einer wirksamen Kommunikation erinnerte der T</w:t>
      </w:r>
      <w:r w:rsidR="00A3004D">
        <w:rPr>
          <w:lang w:val="de-DE"/>
        </w:rPr>
        <w:t xml:space="preserve">C daran, daß der Name und die </w:t>
      </w:r>
      <w:r w:rsidR="00A3004D">
        <w:rPr>
          <w:lang w:val="de-DE"/>
        </w:rPr>
        <w:lastRenderedPageBreak/>
        <w:t>E</w:t>
      </w:r>
      <w:r w:rsidR="00A3004D">
        <w:rPr>
          <w:lang w:val="de-DE"/>
        </w:rPr>
        <w:noBreakHyphen/>
      </w:r>
      <w:r w:rsidR="00A3004D" w:rsidRPr="00D87396">
        <w:rPr>
          <w:lang w:val="de-DE"/>
        </w:rPr>
        <w:t>Mail</w:t>
      </w:r>
      <w:r w:rsidR="00A3004D">
        <w:rPr>
          <w:lang w:val="de-DE"/>
        </w:rPr>
        <w:noBreakHyphen/>
      </w:r>
      <w:r w:rsidR="00A3004D" w:rsidRPr="00D87396">
        <w:rPr>
          <w:lang w:val="de-DE"/>
        </w:rPr>
        <w:t xml:space="preserve">Adresse des </w:t>
      </w:r>
      <w:r w:rsidR="00A3004D">
        <w:rPr>
          <w:lang w:val="de-DE"/>
        </w:rPr>
        <w:t>f</w:t>
      </w:r>
      <w:r w:rsidR="00A3004D" w:rsidRPr="00D87396">
        <w:rPr>
          <w:lang w:val="de-DE"/>
        </w:rPr>
        <w:t>ührenden Sachverständigen im TWP-Bericht und auf der Webs</w:t>
      </w:r>
      <w:r w:rsidR="00A3004D">
        <w:rPr>
          <w:lang w:val="de-DE"/>
        </w:rPr>
        <w:t>e</w:t>
      </w:r>
      <w:r w:rsidR="00A3004D" w:rsidRPr="00D87396">
        <w:rPr>
          <w:lang w:val="de-DE"/>
        </w:rPr>
        <w:t>ite für Verfasser von Prüfungsrichtlinien angegeben seien</w:t>
      </w:r>
      <w:r w:rsidR="00A3004D">
        <w:rPr>
          <w:lang w:val="de-DE"/>
        </w:rPr>
        <w:t xml:space="preserve"> </w:t>
      </w:r>
      <w:r w:rsidR="00193D55">
        <w:t>(</w:t>
      </w:r>
      <w:r w:rsidR="00816118" w:rsidRPr="00816118">
        <w:rPr>
          <w:lang w:val="de-DE"/>
        </w:rPr>
        <w:t>vergleiche Dokument TC/</w:t>
      </w:r>
      <w:r w:rsidR="00816118">
        <w:rPr>
          <w:lang w:val="de-DE"/>
        </w:rPr>
        <w:t>49/41 „</w:t>
      </w:r>
      <w:r w:rsidR="00816118" w:rsidRPr="00816118">
        <w:rPr>
          <w:lang w:val="de-DE"/>
        </w:rPr>
        <w:t xml:space="preserve">Bericht über die Entschließungen”, </w:t>
      </w:r>
      <w:r w:rsidR="00816118">
        <w:rPr>
          <w:lang w:val="de-DE"/>
        </w:rPr>
        <w:t>Absätze</w:t>
      </w:r>
      <w:r w:rsidR="00816118">
        <w:t xml:space="preserve"> 10 bis</w:t>
      </w:r>
      <w:r w:rsidR="00193D55">
        <w:t xml:space="preserve"> 12)</w:t>
      </w:r>
      <w:r w:rsidRPr="002F6EFE">
        <w:t xml:space="preserve">. </w:t>
      </w:r>
    </w:p>
    <w:p w:rsidR="00196886" w:rsidRPr="002F6EFE" w:rsidRDefault="00196886" w:rsidP="00196886">
      <w:pPr>
        <w:spacing w:line="360" w:lineRule="auto"/>
      </w:pPr>
    </w:p>
    <w:p w:rsidR="0017210C" w:rsidRPr="00D87396" w:rsidRDefault="0017210C" w:rsidP="00B027B0">
      <w:pPr>
        <w:pStyle w:val="Heading3"/>
      </w:pPr>
      <w:bookmarkStart w:id="11" w:name="_Toc348535867"/>
      <w:bookmarkStart w:id="12" w:name="_Toc368583004"/>
      <w:r w:rsidRPr="00D87396">
        <w:t>Webbasierte TG</w:t>
      </w:r>
      <w:bookmarkEnd w:id="11"/>
      <w:r>
        <w:t>-Musterv</w:t>
      </w:r>
      <w:r w:rsidRPr="00D87396">
        <w:t>orlage</w:t>
      </w:r>
      <w:bookmarkEnd w:id="12"/>
    </w:p>
    <w:p w:rsidR="0017210C" w:rsidRPr="00D87396" w:rsidRDefault="0017210C" w:rsidP="0017210C">
      <w:pPr>
        <w:keepNext/>
        <w:rPr>
          <w:lang w:val="de-DE"/>
        </w:rPr>
      </w:pPr>
    </w:p>
    <w:p w:rsidR="0017210C" w:rsidRPr="00D87396" w:rsidRDefault="0017210C" w:rsidP="0017210C">
      <w:pPr>
        <w:rPr>
          <w:lang w:val="de-DE"/>
        </w:rPr>
      </w:pPr>
      <w:r w:rsidRPr="00D87396">
        <w:rPr>
          <w:lang w:val="de-DE"/>
        </w:rPr>
        <w:fldChar w:fldCharType="begin"/>
      </w:r>
      <w:r w:rsidRPr="00D87396">
        <w:rPr>
          <w:lang w:val="de-DE"/>
        </w:rPr>
        <w:instrText xml:space="preserve"> AUTONUM  </w:instrText>
      </w:r>
      <w:r w:rsidRPr="00D87396">
        <w:rPr>
          <w:lang w:val="de-DE"/>
        </w:rPr>
        <w:fldChar w:fldCharType="end"/>
      </w:r>
      <w:r w:rsidRPr="00D87396">
        <w:rPr>
          <w:lang w:val="de-DE"/>
        </w:rPr>
        <w:tab/>
        <w:t xml:space="preserve">Der TC </w:t>
      </w:r>
      <w:r>
        <w:rPr>
          <w:lang w:val="de-DE"/>
        </w:rPr>
        <w:t>hörte eine Präsentation</w:t>
      </w:r>
      <w:r w:rsidRPr="00D87396">
        <w:rPr>
          <w:lang w:val="de-DE"/>
        </w:rPr>
        <w:t xml:space="preserve"> über das Projekt der Entwickl</w:t>
      </w:r>
      <w:r>
        <w:rPr>
          <w:lang w:val="de-DE"/>
        </w:rPr>
        <w:t>ung einer webbasierten TG</w:t>
      </w:r>
      <w:r>
        <w:rPr>
          <w:lang w:val="de-DE"/>
        </w:rPr>
        <w:noBreakHyphen/>
        <w:t>Musterv</w:t>
      </w:r>
      <w:r w:rsidRPr="00D87396">
        <w:rPr>
          <w:lang w:val="de-DE"/>
        </w:rPr>
        <w:t>orlag</w:t>
      </w:r>
      <w:r>
        <w:rPr>
          <w:lang w:val="de-DE"/>
        </w:rPr>
        <w:t>e vom</w:t>
      </w:r>
      <w:r w:rsidRPr="00D87396">
        <w:rPr>
          <w:lang w:val="de-DE"/>
        </w:rPr>
        <w:t xml:space="preserve"> Verbandsbüro</w:t>
      </w:r>
      <w:r>
        <w:rPr>
          <w:lang w:val="de-DE"/>
        </w:rPr>
        <w:t xml:space="preserve"> und </w:t>
      </w:r>
      <w:r w:rsidRPr="00D87396">
        <w:rPr>
          <w:lang w:val="de-DE"/>
        </w:rPr>
        <w:t xml:space="preserve">einem Sachverständigen aus Australien und nahm zur </w:t>
      </w:r>
      <w:r>
        <w:rPr>
          <w:lang w:val="de-DE"/>
        </w:rPr>
        <w:t>Kenntnis, daß eine Abschrift der Präsentation</w:t>
      </w:r>
      <w:r w:rsidRPr="00D87396">
        <w:rPr>
          <w:lang w:val="de-DE"/>
        </w:rPr>
        <w:t xml:space="preserve"> in einer Ergänzung zu Dokument TC/49/3 dargelegt werde. Der Generalsekretär berichtete, daß die Entwicklung eines Prototyps zur Prüfung durch interessierte Sachverstä</w:t>
      </w:r>
      <w:r>
        <w:rPr>
          <w:lang w:val="de-DE"/>
        </w:rPr>
        <w:t>ndige bis Ende 2013 geplant sei</w:t>
      </w:r>
      <w:r w:rsidRPr="00D87396">
        <w:rPr>
          <w:lang w:val="de-DE"/>
        </w:rPr>
        <w:t>.</w:t>
      </w:r>
    </w:p>
    <w:p w:rsidR="0017210C" w:rsidRPr="00D87396" w:rsidRDefault="0017210C" w:rsidP="0017210C">
      <w:pPr>
        <w:rPr>
          <w:lang w:val="de-DE"/>
        </w:rPr>
      </w:pPr>
    </w:p>
    <w:p w:rsidR="00196886" w:rsidRPr="002F6EFE" w:rsidRDefault="0017210C" w:rsidP="0017210C">
      <w:pPr>
        <w:spacing w:after="360"/>
      </w:pPr>
      <w:r w:rsidRPr="00D87396">
        <w:rPr>
          <w:lang w:val="de-DE"/>
        </w:rPr>
        <w:fldChar w:fldCharType="begin"/>
      </w:r>
      <w:r w:rsidRPr="00D87396">
        <w:rPr>
          <w:lang w:val="de-DE"/>
        </w:rPr>
        <w:instrText xml:space="preserve"> AUTONUM  </w:instrText>
      </w:r>
      <w:r w:rsidRPr="00D87396">
        <w:rPr>
          <w:lang w:val="de-DE"/>
        </w:rPr>
        <w:fldChar w:fldCharType="end"/>
      </w:r>
      <w:r w:rsidRPr="00D87396">
        <w:rPr>
          <w:lang w:val="de-DE"/>
        </w:rPr>
        <w:tab/>
        <w:t xml:space="preserve">Der TC brachte zum Ausdruck, daß er das Projekt unterstütze und nahm dabei zur Kenntnis, daß die </w:t>
      </w:r>
      <w:r>
        <w:rPr>
          <w:lang w:val="de-DE"/>
        </w:rPr>
        <w:t>Musterv</w:t>
      </w:r>
      <w:r w:rsidRPr="00D87396">
        <w:rPr>
          <w:lang w:val="de-DE"/>
        </w:rPr>
        <w:t xml:space="preserve">orlage den Verfassern von Prüfungsrichtlinien ausreichend Flexibilität </w:t>
      </w:r>
      <w:r>
        <w:rPr>
          <w:lang w:val="de-DE"/>
        </w:rPr>
        <w:t>geben</w:t>
      </w:r>
      <w:r w:rsidRPr="00D87396">
        <w:rPr>
          <w:lang w:val="de-DE"/>
        </w:rPr>
        <w:t xml:space="preserve"> werde, um Vorschläge einbringen zu können, die nicht vom bestehenden Standardwortlaut abgedeckt werden. </w:t>
      </w:r>
      <w:r>
        <w:rPr>
          <w:lang w:val="de-DE"/>
        </w:rPr>
        <w:t>Er nahm die Anmerkungen</w:t>
      </w:r>
      <w:r w:rsidRPr="00D87396">
        <w:rPr>
          <w:lang w:val="de-DE"/>
        </w:rPr>
        <w:t xml:space="preserve"> der TWP zu diesem Projekt auf ihren Tagungen im Jahr 2012 sowie die Notwendigkeit der </w:t>
      </w:r>
      <w:r>
        <w:rPr>
          <w:lang w:val="de-DE"/>
        </w:rPr>
        <w:t>Beibe</w:t>
      </w:r>
      <w:r w:rsidRPr="00D87396">
        <w:rPr>
          <w:lang w:val="de-DE"/>
        </w:rPr>
        <w:t xml:space="preserve">haltung </w:t>
      </w:r>
      <w:r w:rsidRPr="002B68BB">
        <w:rPr>
          <w:lang w:val="de-DE"/>
        </w:rPr>
        <w:t>einer</w:t>
      </w:r>
      <w:r>
        <w:rPr>
          <w:lang w:val="de-DE"/>
        </w:rPr>
        <w:t xml:space="preserve"> gewissen </w:t>
      </w:r>
      <w:r w:rsidRPr="002B68BB">
        <w:rPr>
          <w:lang w:val="de-DE"/>
        </w:rPr>
        <w:t>Flexibilität in der Struktur im Hinblick</w:t>
      </w:r>
      <w:r w:rsidRPr="00D87396">
        <w:rPr>
          <w:lang w:val="de-DE"/>
        </w:rPr>
        <w:t xml:space="preserve"> auf die Weiterentwicklung von Prüfungsrichtlinien durch UPOV-Mitglieder zur Kenntnis</w:t>
      </w:r>
      <w:r w:rsidR="00193D55">
        <w:t xml:space="preserve"> (</w:t>
      </w:r>
      <w:r w:rsidR="00816118" w:rsidRPr="00816118">
        <w:rPr>
          <w:lang w:val="de-DE"/>
        </w:rPr>
        <w:t>vergleiche Dokument TC/</w:t>
      </w:r>
      <w:r w:rsidR="00816118">
        <w:rPr>
          <w:lang w:val="de-DE"/>
        </w:rPr>
        <w:t>49/41 „</w:t>
      </w:r>
      <w:r w:rsidR="00816118" w:rsidRPr="00816118">
        <w:rPr>
          <w:lang w:val="de-DE"/>
        </w:rPr>
        <w:t xml:space="preserve">Bericht über die Entschließungen”, </w:t>
      </w:r>
      <w:r w:rsidR="00816118">
        <w:rPr>
          <w:lang w:val="de-DE"/>
        </w:rPr>
        <w:t>Absätze</w:t>
      </w:r>
      <w:r w:rsidR="00816118" w:rsidRPr="00816118">
        <w:rPr>
          <w:lang w:val="de-DE"/>
        </w:rPr>
        <w:t xml:space="preserve"> </w:t>
      </w:r>
      <w:r w:rsidR="00816118">
        <w:t>13 u</w:t>
      </w:r>
      <w:r w:rsidR="00193D55">
        <w:t>nd 14)</w:t>
      </w:r>
      <w:r w:rsidR="00196886" w:rsidRPr="002F6EFE">
        <w:t>.</w:t>
      </w:r>
    </w:p>
    <w:p w:rsidR="00B463AC" w:rsidRPr="00B463AC" w:rsidRDefault="00B463AC" w:rsidP="00B027B0">
      <w:pPr>
        <w:pStyle w:val="Heading3"/>
      </w:pPr>
      <w:bookmarkStart w:id="13" w:name="_Toc348535868"/>
      <w:bookmarkStart w:id="14" w:name="_Toc368583005"/>
      <w:r w:rsidRPr="00B463AC">
        <w:t>Erfahrungen mit neuen Typen und Arten</w:t>
      </w:r>
      <w:bookmarkEnd w:id="14"/>
    </w:p>
    <w:p w:rsidR="00B463AC" w:rsidRPr="00B463AC" w:rsidRDefault="00B463AC" w:rsidP="00B463AC">
      <w:pPr>
        <w:keepNext/>
        <w:rPr>
          <w:lang w:val="de-DE"/>
        </w:rPr>
      </w:pPr>
    </w:p>
    <w:p w:rsidR="00196886" w:rsidRPr="00BB3534" w:rsidRDefault="00BB3534" w:rsidP="00BB3534">
      <w:r w:rsidRPr="002F6EFE">
        <w:fldChar w:fldCharType="begin"/>
      </w:r>
      <w:r w:rsidRPr="002F6EFE">
        <w:instrText xml:space="preserve"> AUTONUM  </w:instrText>
      </w:r>
      <w:r w:rsidRPr="002F6EFE">
        <w:fldChar w:fldCharType="end"/>
      </w:r>
      <w:r>
        <w:tab/>
      </w:r>
      <w:r w:rsidR="00B463AC" w:rsidRPr="00BB3534">
        <w:t>Der TC nahm die Information betreffend neue Typen und Arten, wie in Dokument TC/49/3 dargelegt, zur Kenntnis</w:t>
      </w:r>
      <w:bookmarkEnd w:id="13"/>
      <w:r w:rsidR="00B463AC" w:rsidRPr="00BB3534">
        <w:t xml:space="preserve"> </w:t>
      </w:r>
      <w:r w:rsidR="00193D55" w:rsidRPr="00BB3534">
        <w:t>(</w:t>
      </w:r>
      <w:r w:rsidR="00816118" w:rsidRPr="00BB3534">
        <w:t xml:space="preserve">vergleiche Dokument TC/49/41 „Bericht über die Entschließungen”, Absatz </w:t>
      </w:r>
      <w:r w:rsidR="00193D55" w:rsidRPr="00BB3534">
        <w:t>15)</w:t>
      </w:r>
      <w:r w:rsidR="00196886" w:rsidRPr="00BB3534">
        <w:t>.</w:t>
      </w:r>
    </w:p>
    <w:p w:rsidR="00196886" w:rsidRPr="002F6EFE" w:rsidRDefault="00196886" w:rsidP="00196886">
      <w:pPr>
        <w:spacing w:line="360" w:lineRule="auto"/>
      </w:pPr>
    </w:p>
    <w:p w:rsidR="00B463AC" w:rsidRPr="00D87396" w:rsidRDefault="00B463AC" w:rsidP="00B463AC">
      <w:pPr>
        <w:keepNext/>
        <w:rPr>
          <w:i/>
          <w:lang w:val="de-DE"/>
        </w:rPr>
      </w:pPr>
      <w:bookmarkStart w:id="15" w:name="_Toc348535869"/>
      <w:r w:rsidRPr="00D87396">
        <w:rPr>
          <w:i/>
          <w:lang w:val="de-DE"/>
        </w:rPr>
        <w:t>Homogenitätsniveaus anhand der Ausprägungsstufen von obligatorischen Krankheitsresistenzmerkmalen und Sorten, die nicht für die Ausprägung einer solchen Krankheitsresistenz gezüchtet werden</w:t>
      </w:r>
      <w:bookmarkEnd w:id="15"/>
    </w:p>
    <w:p w:rsidR="00B463AC" w:rsidRPr="00D87396" w:rsidRDefault="00B463AC" w:rsidP="00B463AC">
      <w:pPr>
        <w:keepNext/>
        <w:rPr>
          <w:lang w:val="de-DE"/>
        </w:rPr>
      </w:pPr>
    </w:p>
    <w:p w:rsidR="00196886" w:rsidRPr="002F6EFE" w:rsidRDefault="00E3653C" w:rsidP="00E3653C">
      <w:r w:rsidRPr="002F6EFE">
        <w:fldChar w:fldCharType="begin"/>
      </w:r>
      <w:r w:rsidRPr="002F6EFE">
        <w:instrText xml:space="preserve"> AUTONUM  </w:instrText>
      </w:r>
      <w:r w:rsidRPr="002F6EFE">
        <w:fldChar w:fldCharType="end"/>
      </w:r>
      <w:r w:rsidRPr="002F6EFE">
        <w:tab/>
      </w:r>
      <w:r w:rsidRPr="00D87396">
        <w:rPr>
          <w:lang w:val="de-DE"/>
        </w:rPr>
        <w:t xml:space="preserve">Die Delegation der Europäischen Union informierte den TC darüber, daß auf der siebenundvierzigsten Tagung der TWV aufgrund jüngster Entwicklungen keine Daten von Mitgliedern </w:t>
      </w:r>
      <w:r>
        <w:rPr>
          <w:lang w:val="de-DE"/>
        </w:rPr>
        <w:t xml:space="preserve">aus </w:t>
      </w:r>
      <w:r w:rsidRPr="00D87396">
        <w:rPr>
          <w:lang w:val="de-DE"/>
        </w:rPr>
        <w:t xml:space="preserve">der Europäischen Union </w:t>
      </w:r>
      <w:r>
        <w:rPr>
          <w:lang w:val="de-DE"/>
        </w:rPr>
        <w:t xml:space="preserve">über </w:t>
      </w:r>
      <w:r w:rsidRPr="00D87396">
        <w:rPr>
          <w:lang w:val="de-DE"/>
        </w:rPr>
        <w:t>„</w:t>
      </w:r>
      <w:r w:rsidRPr="00F21886">
        <w:rPr>
          <w:lang w:val="de-DE"/>
        </w:rPr>
        <w:t>Homogenitätsniveaus anhand der Ausprägungsstufen von obligatorischen Krankheitsresistenzmerkmalen und Sorten, die nicht für die Ausprägung einer solchen Krankheitsresistenz gezüchtet werden</w:t>
      </w:r>
      <w:r w:rsidRPr="00D87396">
        <w:rPr>
          <w:lang w:val="de-DE"/>
        </w:rPr>
        <w:t>” vorgestellt würden und auf einer späteren Tagung vorgelegt würden</w:t>
      </w:r>
      <w:r>
        <w:t xml:space="preserve"> (</w:t>
      </w:r>
      <w:r w:rsidRPr="00816118">
        <w:rPr>
          <w:lang w:val="de-DE"/>
        </w:rPr>
        <w:t>vergleiche Dokument TC/</w:t>
      </w:r>
      <w:r>
        <w:rPr>
          <w:lang w:val="de-DE"/>
        </w:rPr>
        <w:t>49/41 „</w:t>
      </w:r>
      <w:r w:rsidRPr="00816118">
        <w:rPr>
          <w:lang w:val="de-DE"/>
        </w:rPr>
        <w:t xml:space="preserve">Bericht über die Entschließungen”, Absatz </w:t>
      </w:r>
      <w:r>
        <w:t>16).</w:t>
      </w:r>
    </w:p>
    <w:p w:rsidR="00196886" w:rsidRPr="002F6EFE" w:rsidRDefault="00196886" w:rsidP="00196886">
      <w:pPr>
        <w:spacing w:line="360" w:lineRule="auto"/>
      </w:pPr>
    </w:p>
    <w:p w:rsidR="00AE0934" w:rsidRPr="00D87396" w:rsidRDefault="00AE0934" w:rsidP="00B027B0">
      <w:pPr>
        <w:pStyle w:val="Heading3"/>
      </w:pPr>
      <w:bookmarkStart w:id="16" w:name="_Toc348535870"/>
      <w:bookmarkStart w:id="17" w:name="_Toc368583006"/>
      <w:r w:rsidRPr="00D87396">
        <w:t>Datenlogger</w:t>
      </w:r>
      <w:bookmarkEnd w:id="16"/>
      <w:bookmarkEnd w:id="17"/>
    </w:p>
    <w:p w:rsidR="00AE0934" w:rsidRPr="00D87396" w:rsidRDefault="00AE0934" w:rsidP="00AE0934">
      <w:pPr>
        <w:keepNext/>
        <w:rPr>
          <w:lang w:val="de-DE"/>
        </w:rPr>
      </w:pPr>
    </w:p>
    <w:p w:rsidR="00196886" w:rsidRPr="002F6EFE" w:rsidRDefault="00AE0934" w:rsidP="00AE0934">
      <w:r w:rsidRPr="00D87396">
        <w:rPr>
          <w:lang w:val="de-DE"/>
        </w:rPr>
        <w:fldChar w:fldCharType="begin"/>
      </w:r>
      <w:r w:rsidRPr="00D87396">
        <w:rPr>
          <w:lang w:val="de-DE"/>
        </w:rPr>
        <w:instrText xml:space="preserve"> AUTONUM  </w:instrText>
      </w:r>
      <w:r w:rsidRPr="00D87396">
        <w:rPr>
          <w:lang w:val="de-DE"/>
        </w:rPr>
        <w:fldChar w:fldCharType="end"/>
      </w:r>
      <w:r w:rsidRPr="00D87396">
        <w:rPr>
          <w:lang w:val="de-DE"/>
        </w:rPr>
        <w:tab/>
      </w:r>
      <w:r w:rsidRPr="00D87396">
        <w:rPr>
          <w:rFonts w:eastAsia="Calibri"/>
          <w:lang w:val="de-DE" w:eastAsia="de-DE" w:bidi="de-DE"/>
        </w:rPr>
        <w:t xml:space="preserve">Der TC vereinbarte, daß das Verbandsbüro ein neues Rundschreiben betreffend </w:t>
      </w:r>
      <w:r w:rsidRPr="00D87396">
        <w:rPr>
          <w:lang w:val="de-DE"/>
        </w:rPr>
        <w:t>Handgeräte zur Datenerhebung</w:t>
      </w:r>
      <w:r w:rsidRPr="00D87396">
        <w:rPr>
          <w:rFonts w:eastAsia="Calibri"/>
          <w:lang w:val="de-DE" w:eastAsia="de-DE" w:bidi="de-DE"/>
        </w:rPr>
        <w:t xml:space="preserve"> versenden solle, in dem</w:t>
      </w:r>
      <w:r w:rsidRPr="00D87396">
        <w:rPr>
          <w:lang w:val="de-DE"/>
        </w:rPr>
        <w:t xml:space="preserve"> </w:t>
      </w:r>
      <w:r w:rsidRPr="00D87396">
        <w:rPr>
          <w:rFonts w:eastAsia="Calibri"/>
          <w:lang w:val="de-DE" w:eastAsia="de-DE" w:bidi="de-DE"/>
        </w:rPr>
        <w:t>um weitere Einträge im Vorfeld der einunddreißigsten Tagung der TWC gebeten wird</w:t>
      </w:r>
      <w:r w:rsidR="00193D55">
        <w:t xml:space="preserve"> (</w:t>
      </w:r>
      <w:r w:rsidR="00816118" w:rsidRPr="00816118">
        <w:rPr>
          <w:lang w:val="de-DE"/>
        </w:rPr>
        <w:t>vergleiche Dokument TC/</w:t>
      </w:r>
      <w:r w:rsidR="00816118">
        <w:rPr>
          <w:lang w:val="de-DE"/>
        </w:rPr>
        <w:t>49/41 „</w:t>
      </w:r>
      <w:r w:rsidR="00816118" w:rsidRPr="00816118">
        <w:rPr>
          <w:lang w:val="de-DE"/>
        </w:rPr>
        <w:t xml:space="preserve">Bericht über die Entschließungen”, Absatz </w:t>
      </w:r>
      <w:r w:rsidR="00193D55">
        <w:t>17)</w:t>
      </w:r>
      <w:r w:rsidR="00196886" w:rsidRPr="002F6EFE">
        <w:t>.</w:t>
      </w:r>
    </w:p>
    <w:p w:rsidR="00196886" w:rsidRPr="002F6EFE" w:rsidRDefault="00196886" w:rsidP="00196886">
      <w:pPr>
        <w:spacing w:line="360" w:lineRule="auto"/>
      </w:pPr>
    </w:p>
    <w:p w:rsidR="00AE0934" w:rsidRPr="00D87396" w:rsidRDefault="00AE0934" w:rsidP="00B027B0">
      <w:pPr>
        <w:pStyle w:val="Heading3"/>
      </w:pPr>
      <w:bookmarkStart w:id="18" w:name="_Toc348535871"/>
      <w:bookmarkStart w:id="19" w:name="_Toc368583007"/>
      <w:r>
        <w:t xml:space="preserve">Umfrage zur Ermittlung der Effizienz der </w:t>
      </w:r>
      <w:r w:rsidRPr="00D87396">
        <w:t>Technischen Arbeitsgruppen</w:t>
      </w:r>
      <w:bookmarkEnd w:id="18"/>
      <w:bookmarkEnd w:id="19"/>
    </w:p>
    <w:p w:rsidR="00AE0934" w:rsidRPr="00D87396" w:rsidRDefault="00AE0934" w:rsidP="00AE0934">
      <w:pPr>
        <w:keepNext/>
        <w:rPr>
          <w:lang w:val="de-DE"/>
        </w:rPr>
      </w:pPr>
    </w:p>
    <w:p w:rsidR="00AE0934" w:rsidRPr="00D87396" w:rsidRDefault="00AE0934" w:rsidP="00AE0934">
      <w:pPr>
        <w:rPr>
          <w:lang w:val="de-DE"/>
        </w:rPr>
      </w:pPr>
      <w:r w:rsidRPr="00D87396">
        <w:rPr>
          <w:lang w:val="de-DE"/>
        </w:rPr>
        <w:fldChar w:fldCharType="begin"/>
      </w:r>
      <w:r w:rsidRPr="00D87396">
        <w:rPr>
          <w:lang w:val="de-DE"/>
        </w:rPr>
        <w:instrText xml:space="preserve"> AUTONUM  </w:instrText>
      </w:r>
      <w:r w:rsidRPr="00D87396">
        <w:rPr>
          <w:lang w:val="de-DE"/>
        </w:rPr>
        <w:fldChar w:fldCharType="end"/>
      </w:r>
      <w:r w:rsidRPr="00D87396">
        <w:rPr>
          <w:lang w:val="de-DE"/>
        </w:rPr>
        <w:tab/>
        <w:t xml:space="preserve">Der TC </w:t>
      </w:r>
      <w:r>
        <w:rPr>
          <w:lang w:val="de-DE"/>
        </w:rPr>
        <w:t xml:space="preserve">hörte </w:t>
      </w:r>
      <w:r w:rsidRPr="001759D2">
        <w:rPr>
          <w:lang w:val="de-DE"/>
        </w:rPr>
        <w:t>Ausführungen</w:t>
      </w:r>
      <w:r w:rsidRPr="00D87396">
        <w:rPr>
          <w:lang w:val="de-DE"/>
        </w:rPr>
        <w:t xml:space="preserve"> des Verbandsbüros über eine Befragung von Teilnehmern an der fünfundvierzigsten Tagung der TWO vom 6. bis 10. August 2012 in Jeju, Republik Korea, und an der dreiundvierzigsten Tagung der TWF vom 30. Juli bis 3. August 2012 in Peking, China, sowie eine Auswertung der Teilnahme am TC und an den TWP, wobei er zur Kenntnis nahm, daß Abschriften davon in einer Ergänzung zu Dokument TC/49/3 enthalten sein werden.</w:t>
      </w:r>
    </w:p>
    <w:p w:rsidR="00AE0934" w:rsidRPr="006A1820" w:rsidRDefault="00AE0934" w:rsidP="00AE0934">
      <w:pPr>
        <w:rPr>
          <w:lang w:val="de-DE"/>
        </w:rPr>
      </w:pPr>
    </w:p>
    <w:p w:rsidR="00AE0934" w:rsidRPr="0018413D" w:rsidRDefault="00AE0934" w:rsidP="00AE0934">
      <w:pPr>
        <w:rPr>
          <w:lang w:val="de-DE"/>
        </w:rPr>
      </w:pPr>
      <w:r w:rsidRPr="002F6EFE">
        <w:fldChar w:fldCharType="begin"/>
      </w:r>
      <w:r w:rsidRPr="00E329EB">
        <w:rPr>
          <w:lang w:val="de-DE"/>
        </w:rPr>
        <w:instrText xml:space="preserve"> AUTONUM  </w:instrText>
      </w:r>
      <w:r w:rsidRPr="002F6EFE">
        <w:fldChar w:fldCharType="end"/>
      </w:r>
      <w:r w:rsidRPr="00E329EB">
        <w:rPr>
          <w:lang w:val="de-DE"/>
        </w:rPr>
        <w:tab/>
      </w:r>
      <w:r w:rsidRPr="0018413D">
        <w:rPr>
          <w:lang w:val="de-DE"/>
        </w:rPr>
        <w:t>Der TC nahm folgende Vorschläge zu möglichen Maßnahme</w:t>
      </w:r>
      <w:r>
        <w:rPr>
          <w:lang w:val="de-DE"/>
        </w:rPr>
        <w:t>n zur Verbesserung der Effizienz</w:t>
      </w:r>
      <w:r w:rsidRPr="0018413D">
        <w:rPr>
          <w:lang w:val="de-DE"/>
        </w:rPr>
        <w:t xml:space="preserve"> der TWP als Grundlage für künftige Erwägungen zur Kenntnis:</w:t>
      </w:r>
    </w:p>
    <w:p w:rsidR="00AE0934" w:rsidRPr="0018413D" w:rsidRDefault="00AE0934" w:rsidP="00AE0934">
      <w:pPr>
        <w:rPr>
          <w:lang w:val="de-DE"/>
        </w:rPr>
      </w:pPr>
    </w:p>
    <w:p w:rsidR="00AE0934" w:rsidRPr="0018413D" w:rsidRDefault="00AE0934" w:rsidP="00AE0934">
      <w:pPr>
        <w:rPr>
          <w:rFonts w:eastAsia="MS Mincho" w:cs="Arial"/>
          <w:lang w:val="de-DE" w:eastAsia="ja-JP"/>
        </w:rPr>
      </w:pPr>
      <w:r w:rsidRPr="0018413D">
        <w:rPr>
          <w:rFonts w:eastAsia="MS Mincho" w:cs="Arial"/>
          <w:lang w:val="de-DE" w:eastAsia="ja-JP"/>
        </w:rPr>
        <w:tab/>
        <w:t>a)</w:t>
      </w:r>
      <w:r w:rsidRPr="0018413D">
        <w:rPr>
          <w:rFonts w:eastAsia="MS Mincho" w:cs="Arial"/>
          <w:lang w:val="de-DE" w:eastAsia="ja-JP"/>
        </w:rPr>
        <w:tab/>
        <w:t>mögliche Vorteile einer regionalen Verteilung der TWP-Tagungsorte i</w:t>
      </w:r>
      <w:r>
        <w:rPr>
          <w:rFonts w:eastAsia="MS Mincho" w:cs="Arial"/>
          <w:lang w:val="de-DE" w:eastAsia="ja-JP"/>
        </w:rPr>
        <w:t>nnerhalb</w:t>
      </w:r>
      <w:r w:rsidRPr="0018413D">
        <w:rPr>
          <w:rFonts w:eastAsia="MS Mincho" w:cs="Arial"/>
          <w:lang w:val="de-DE" w:eastAsia="ja-JP"/>
        </w:rPr>
        <w:t xml:space="preserve"> eines Jahres, um die Möglichkeiten zur Teilnahme zu maximieren;</w:t>
      </w:r>
    </w:p>
    <w:p w:rsidR="00AE0934" w:rsidRPr="0018413D" w:rsidRDefault="00AE0934" w:rsidP="00AE0934">
      <w:pPr>
        <w:rPr>
          <w:rFonts w:eastAsia="MS Mincho" w:cs="Arial"/>
          <w:lang w:val="de-DE" w:eastAsia="ja-JP"/>
        </w:rPr>
      </w:pPr>
    </w:p>
    <w:p w:rsidR="00AE0934" w:rsidRPr="0018413D" w:rsidRDefault="00AE0934" w:rsidP="00AE0934">
      <w:pPr>
        <w:rPr>
          <w:rFonts w:cs="Arial"/>
          <w:lang w:val="de-DE"/>
        </w:rPr>
      </w:pPr>
      <w:r w:rsidRPr="0018413D">
        <w:rPr>
          <w:rFonts w:cs="Arial"/>
          <w:lang w:val="de-DE"/>
        </w:rPr>
        <w:tab/>
        <w:t>b)</w:t>
      </w:r>
      <w:r w:rsidRPr="0018413D">
        <w:rPr>
          <w:rFonts w:cs="Arial"/>
          <w:lang w:val="de-DE"/>
        </w:rPr>
        <w:tab/>
        <w:t xml:space="preserve">die TWP </w:t>
      </w:r>
      <w:r>
        <w:rPr>
          <w:rFonts w:cs="Arial"/>
          <w:lang w:val="de-DE"/>
        </w:rPr>
        <w:t>zu ersuchen</w:t>
      </w:r>
      <w:r w:rsidRPr="0018413D">
        <w:rPr>
          <w:rFonts w:cs="Arial"/>
          <w:lang w:val="de-DE"/>
        </w:rPr>
        <w:t>, je nach Tagesordnung und Anzahl der zu erörternden Prüfungsrichtlinien eine Änderung der Länge der TWP-Tagungen (Kürzung oder Verlängerung) in Erwägung zu ziehen;</w:t>
      </w:r>
    </w:p>
    <w:p w:rsidR="00AE0934" w:rsidRPr="0018413D" w:rsidRDefault="00AE0934" w:rsidP="00AE0934">
      <w:pPr>
        <w:rPr>
          <w:rFonts w:eastAsia="MS Mincho" w:cs="Arial"/>
          <w:lang w:val="de-DE" w:eastAsia="ja-JP"/>
        </w:rPr>
      </w:pPr>
    </w:p>
    <w:p w:rsidR="00AE0934" w:rsidRPr="0018413D" w:rsidRDefault="00AE0934" w:rsidP="00AE0934">
      <w:pPr>
        <w:rPr>
          <w:rFonts w:eastAsia="MS Mincho" w:cs="Arial"/>
          <w:lang w:val="de-DE" w:eastAsia="ja-JP"/>
        </w:rPr>
      </w:pPr>
      <w:r w:rsidRPr="0018413D">
        <w:rPr>
          <w:rFonts w:eastAsia="MS Mincho" w:cs="Arial"/>
          <w:lang w:val="de-DE" w:eastAsia="ja-JP"/>
        </w:rPr>
        <w:lastRenderedPageBreak/>
        <w:tab/>
        <w:t>c)</w:t>
      </w:r>
      <w:r w:rsidRPr="0018413D">
        <w:rPr>
          <w:rFonts w:eastAsia="MS Mincho" w:cs="Arial"/>
          <w:lang w:val="de-DE" w:eastAsia="ja-JP"/>
        </w:rPr>
        <w:tab/>
        <w:t xml:space="preserve">eine Zusammenfassung der wichtigsten Änderungen an TGP-Dokumenten und der wichtigsten Merkmale </w:t>
      </w:r>
      <w:r>
        <w:rPr>
          <w:rFonts w:eastAsia="MS Mincho" w:cs="Arial"/>
          <w:lang w:val="de-DE" w:eastAsia="ja-JP"/>
        </w:rPr>
        <w:t>maßgeblicher TGP-Dokumente</w:t>
      </w:r>
      <w:r w:rsidRPr="0018413D">
        <w:rPr>
          <w:rFonts w:eastAsia="MS Mincho" w:cs="Arial"/>
          <w:lang w:val="de-DE" w:eastAsia="ja-JP"/>
        </w:rPr>
        <w:t xml:space="preserve"> (z. B. TGP/7, TGP/8 und TGP/14) unter Tagesordnungspunkt 3 b) „Berichte über die Entwicklungen in der UPOV” bereitstellen;</w:t>
      </w:r>
    </w:p>
    <w:p w:rsidR="00AE0934" w:rsidRPr="0018413D" w:rsidRDefault="00AE0934" w:rsidP="00AE0934">
      <w:pPr>
        <w:rPr>
          <w:rFonts w:cs="Arial"/>
          <w:lang w:val="de-DE"/>
        </w:rPr>
      </w:pPr>
    </w:p>
    <w:p w:rsidR="00AE0934" w:rsidRPr="0018413D" w:rsidRDefault="00AE0934" w:rsidP="00AE0934">
      <w:pPr>
        <w:rPr>
          <w:rFonts w:cs="Arial"/>
          <w:lang w:val="de-DE"/>
        </w:rPr>
      </w:pPr>
      <w:r w:rsidRPr="0018413D">
        <w:rPr>
          <w:rFonts w:cs="Arial"/>
          <w:lang w:val="de-DE"/>
        </w:rPr>
        <w:tab/>
        <w:t>d)</w:t>
      </w:r>
      <w:r w:rsidRPr="0018413D">
        <w:rPr>
          <w:rFonts w:cs="Arial"/>
          <w:lang w:val="de-DE"/>
        </w:rPr>
        <w:tab/>
      </w:r>
      <w:r>
        <w:rPr>
          <w:rFonts w:cs="Arial"/>
          <w:lang w:val="de-DE"/>
        </w:rPr>
        <w:t>e</w:t>
      </w:r>
      <w:r w:rsidRPr="0018413D">
        <w:rPr>
          <w:rFonts w:cs="Arial"/>
          <w:lang w:val="de-DE"/>
        </w:rPr>
        <w:t>in Anleitungsdokument für TWP-Teilnehmer in Form einer „</w:t>
      </w:r>
      <w:r w:rsidRPr="0018413D">
        <w:rPr>
          <w:rFonts w:eastAsia="MS Mincho" w:cs="Arial"/>
          <w:lang w:val="de-DE" w:eastAsia="ja-JP"/>
        </w:rPr>
        <w:t>Kurzübersicht</w:t>
      </w:r>
      <w:r w:rsidRPr="0018413D">
        <w:rPr>
          <w:rFonts w:cs="Arial"/>
          <w:lang w:val="de-DE"/>
        </w:rPr>
        <w:t>” mit Auszügen aus beispielsweise den Dokumenten TGP/7 und TGP/14 erstellen</w:t>
      </w:r>
      <w:r>
        <w:rPr>
          <w:rFonts w:cs="Arial"/>
          <w:lang w:val="de-DE"/>
        </w:rPr>
        <w:t>, die die in</w:t>
      </w:r>
      <w:r w:rsidRPr="0018413D">
        <w:rPr>
          <w:rFonts w:cs="Arial"/>
          <w:lang w:val="de-DE"/>
        </w:rPr>
        <w:t xml:space="preserve"> den Prüfungsrichtlinien häufig vorkommende</w:t>
      </w:r>
      <w:r>
        <w:rPr>
          <w:rFonts w:cs="Arial"/>
          <w:lang w:val="de-DE"/>
        </w:rPr>
        <w:t>n Punkte</w:t>
      </w:r>
      <w:r w:rsidRPr="0018413D">
        <w:rPr>
          <w:rFonts w:cs="Arial"/>
          <w:lang w:val="de-DE"/>
        </w:rPr>
        <w:t xml:space="preserve"> (z. B. Verhältnis/Form, Farbe, Noten, Ausprägungstypen, Erfassungsmethoden) </w:t>
      </w:r>
      <w:r>
        <w:rPr>
          <w:rFonts w:cs="Arial"/>
          <w:lang w:val="de-DE"/>
        </w:rPr>
        <w:t>enthält</w:t>
      </w:r>
      <w:r w:rsidRPr="0018413D">
        <w:rPr>
          <w:rFonts w:cs="Arial"/>
          <w:lang w:val="de-DE"/>
        </w:rPr>
        <w:t xml:space="preserve">; </w:t>
      </w:r>
    </w:p>
    <w:p w:rsidR="00AE0934" w:rsidRPr="0018413D" w:rsidRDefault="00AE0934" w:rsidP="00AE0934">
      <w:pPr>
        <w:rPr>
          <w:rFonts w:cs="Arial"/>
          <w:lang w:val="de-DE"/>
        </w:rPr>
      </w:pPr>
    </w:p>
    <w:p w:rsidR="00AE0934" w:rsidRPr="0018413D" w:rsidRDefault="00AE0934" w:rsidP="00AE0934">
      <w:pPr>
        <w:rPr>
          <w:rFonts w:cs="Arial"/>
          <w:lang w:val="de-DE"/>
        </w:rPr>
      </w:pPr>
      <w:r w:rsidRPr="0018413D">
        <w:rPr>
          <w:rFonts w:cs="Arial"/>
          <w:lang w:val="de-DE"/>
        </w:rPr>
        <w:t xml:space="preserve"> </w:t>
      </w:r>
      <w:r w:rsidRPr="0018413D">
        <w:rPr>
          <w:rFonts w:cs="Arial"/>
          <w:lang w:val="de-DE"/>
        </w:rPr>
        <w:tab/>
        <w:t>e)</w:t>
      </w:r>
      <w:r w:rsidRPr="0018413D">
        <w:rPr>
          <w:rFonts w:cs="Arial"/>
          <w:lang w:val="de-DE"/>
        </w:rPr>
        <w:tab/>
      </w:r>
      <w:r>
        <w:rPr>
          <w:rFonts w:cs="Arial"/>
          <w:lang w:val="de-DE"/>
        </w:rPr>
        <w:t>einen Absatz</w:t>
      </w:r>
      <w:r w:rsidRPr="0018413D">
        <w:rPr>
          <w:rFonts w:cs="Arial"/>
          <w:lang w:val="de-DE"/>
        </w:rPr>
        <w:t xml:space="preserve"> zur Entscheidungsfindung in die TWP-Dokumente</w:t>
      </w:r>
      <w:r>
        <w:rPr>
          <w:rFonts w:cs="Arial"/>
          <w:lang w:val="de-DE"/>
        </w:rPr>
        <w:t xml:space="preserve"> aufnehmen, um</w:t>
      </w:r>
      <w:r w:rsidRPr="0018413D">
        <w:rPr>
          <w:rFonts w:cs="Arial"/>
          <w:lang w:val="de-DE"/>
        </w:rPr>
        <w:t xml:space="preserve"> schneller eine eindeutige Entscheidung z</w:t>
      </w:r>
      <w:r>
        <w:rPr>
          <w:rFonts w:cs="Arial"/>
          <w:lang w:val="de-DE"/>
        </w:rPr>
        <w:t>u wichtigen Punkten zu erzielen</w:t>
      </w:r>
      <w:r w:rsidRPr="0018413D">
        <w:rPr>
          <w:rFonts w:cs="Arial"/>
          <w:lang w:val="de-DE"/>
        </w:rPr>
        <w:t>; und</w:t>
      </w:r>
    </w:p>
    <w:p w:rsidR="00AE0934" w:rsidRPr="0018413D" w:rsidRDefault="00AE0934" w:rsidP="00AE0934">
      <w:pPr>
        <w:rPr>
          <w:rFonts w:eastAsia="MS Mincho" w:cs="Arial"/>
          <w:lang w:val="de-DE" w:eastAsia="ja-JP"/>
        </w:rPr>
      </w:pPr>
    </w:p>
    <w:p w:rsidR="00196886" w:rsidRPr="002F6EFE" w:rsidRDefault="00AE0934" w:rsidP="00AE0934">
      <w:pPr>
        <w:rPr>
          <w:rFonts w:cs="Arial"/>
        </w:rPr>
      </w:pPr>
      <w:r w:rsidRPr="0018413D">
        <w:rPr>
          <w:rFonts w:eastAsia="MS Mincho" w:cs="Arial"/>
          <w:lang w:val="de-DE" w:eastAsia="ja-JP"/>
        </w:rPr>
        <w:tab/>
        <w:t>f)</w:t>
      </w:r>
      <w:r w:rsidRPr="0018413D">
        <w:rPr>
          <w:rFonts w:eastAsia="MS Mincho" w:cs="Arial"/>
          <w:lang w:val="de-DE" w:eastAsia="ja-JP"/>
        </w:rPr>
        <w:tab/>
      </w:r>
      <w:r>
        <w:rPr>
          <w:rFonts w:eastAsia="MS Mincho" w:cs="Arial"/>
          <w:lang w:val="de-DE" w:eastAsia="ja-JP"/>
        </w:rPr>
        <w:t>d</w:t>
      </w:r>
      <w:r w:rsidRPr="0018413D">
        <w:rPr>
          <w:rFonts w:eastAsia="MS Mincho" w:cs="Arial"/>
          <w:lang w:val="de-DE" w:eastAsia="ja-JP"/>
        </w:rPr>
        <w:t>ie TWP darum ersuchen, die Ergebnisse der Befragung der TWO- und TWF-Teilnehmer auf ihren Tagungen im Jahr 2013 zu prüfen</w:t>
      </w:r>
      <w:r w:rsidR="00196886" w:rsidRPr="002F6EFE">
        <w:rPr>
          <w:rFonts w:eastAsia="MS Mincho" w:cs="Arial"/>
          <w:lang w:eastAsia="ja-JP"/>
        </w:rPr>
        <w:t>.</w:t>
      </w:r>
    </w:p>
    <w:p w:rsidR="00196886" w:rsidRPr="002F6EFE" w:rsidRDefault="00196886" w:rsidP="00196886"/>
    <w:p w:rsidR="00645A24" w:rsidRPr="0018413D" w:rsidRDefault="00196886" w:rsidP="00645A24">
      <w:pPr>
        <w:rPr>
          <w:lang w:val="de-DE"/>
        </w:rPr>
      </w:pPr>
      <w:r>
        <w:fldChar w:fldCharType="begin"/>
      </w:r>
      <w:r>
        <w:instrText xml:space="preserve"> AUTONUM  </w:instrText>
      </w:r>
      <w:r>
        <w:fldChar w:fldCharType="end"/>
      </w:r>
      <w:r>
        <w:tab/>
      </w:r>
      <w:r w:rsidR="00645A24" w:rsidRPr="0018413D">
        <w:rPr>
          <w:lang w:val="de-DE"/>
        </w:rPr>
        <w:t xml:space="preserve">Ferner vereinbarte der TC, daß die Organisation von Untergruppen für spezifische Angelegenheiten, z. B. Untergruppen für TGP-Dokumente und die Abhaltung von Sitzungen der Technischen Arbeitsgruppen in </w:t>
      </w:r>
      <w:r w:rsidR="00645A24">
        <w:rPr>
          <w:lang w:val="de-DE"/>
        </w:rPr>
        <w:t>aufeinander</w:t>
      </w:r>
      <w:r w:rsidR="00645A24" w:rsidRPr="0018413D">
        <w:rPr>
          <w:lang w:val="de-DE"/>
        </w:rPr>
        <w:t>folgenden Wochen, wie das für die TWO und TWF umgesetzt wurde, geprüft werden sollte.</w:t>
      </w:r>
    </w:p>
    <w:p w:rsidR="00645A24" w:rsidRPr="0018413D" w:rsidRDefault="00645A24" w:rsidP="00645A24">
      <w:pPr>
        <w:rPr>
          <w:lang w:val="de-DE"/>
        </w:rPr>
      </w:pPr>
    </w:p>
    <w:p w:rsidR="00645A24" w:rsidRPr="0018413D" w:rsidRDefault="00645A24" w:rsidP="00645A24">
      <w:pPr>
        <w:keepNext/>
        <w:rPr>
          <w:lang w:val="de-DE"/>
        </w:rPr>
      </w:pPr>
      <w:r w:rsidRPr="0018413D">
        <w:rPr>
          <w:lang w:val="de-DE"/>
        </w:rPr>
        <w:fldChar w:fldCharType="begin"/>
      </w:r>
      <w:r w:rsidRPr="0018413D">
        <w:rPr>
          <w:lang w:val="de-DE"/>
        </w:rPr>
        <w:instrText xml:space="preserve"> AUTONUM  </w:instrText>
      </w:r>
      <w:r w:rsidRPr="0018413D">
        <w:rPr>
          <w:lang w:val="de-DE"/>
        </w:rPr>
        <w:fldChar w:fldCharType="end"/>
      </w:r>
      <w:r w:rsidRPr="0018413D">
        <w:rPr>
          <w:lang w:val="de-DE"/>
        </w:rPr>
        <w:tab/>
        <w:t>Der TC stimmte dem Vorschlag des Verbandsbüros zu, eine Befragung durchzuführen:</w:t>
      </w:r>
    </w:p>
    <w:p w:rsidR="00645A24" w:rsidRPr="0018413D" w:rsidRDefault="00645A24" w:rsidP="00645A24">
      <w:pPr>
        <w:keepNext/>
        <w:rPr>
          <w:lang w:val="de-DE"/>
        </w:rPr>
      </w:pPr>
    </w:p>
    <w:p w:rsidR="00645A24" w:rsidRPr="0018413D" w:rsidRDefault="00645A24" w:rsidP="00645A24">
      <w:pPr>
        <w:rPr>
          <w:rFonts w:eastAsia="MS Mincho" w:cs="Arial"/>
          <w:lang w:val="de-DE" w:eastAsia="ja-JP"/>
        </w:rPr>
      </w:pPr>
      <w:r w:rsidRPr="0018413D">
        <w:rPr>
          <w:rFonts w:eastAsia="MS Mincho" w:cs="Arial"/>
          <w:lang w:val="de-DE" w:eastAsia="ja-JP"/>
        </w:rPr>
        <w:tab/>
        <w:t>a)</w:t>
      </w:r>
      <w:r w:rsidRPr="0018413D">
        <w:rPr>
          <w:rFonts w:eastAsia="MS Mincho" w:cs="Arial"/>
          <w:lang w:val="de-DE" w:eastAsia="ja-JP"/>
        </w:rPr>
        <w:tab/>
        <w:t>von Teilnehmern an TWP-Tagungen im Jahr 2013, wie in der Anlage III von Dokument TC/49/3 vorgeschlagen;</w:t>
      </w:r>
    </w:p>
    <w:p w:rsidR="00645A24" w:rsidRPr="0018413D" w:rsidRDefault="00645A24" w:rsidP="00645A24">
      <w:pPr>
        <w:rPr>
          <w:rFonts w:eastAsia="MS Mincho" w:cs="Arial"/>
          <w:lang w:val="de-DE" w:eastAsia="ja-JP"/>
        </w:rPr>
      </w:pPr>
    </w:p>
    <w:p w:rsidR="00645A24" w:rsidRPr="0018413D" w:rsidRDefault="00645A24" w:rsidP="00645A24">
      <w:pPr>
        <w:rPr>
          <w:rFonts w:eastAsia="MS Mincho" w:cs="Arial"/>
          <w:lang w:val="de-DE" w:eastAsia="ja-JP"/>
        </w:rPr>
      </w:pPr>
      <w:r w:rsidRPr="0018413D">
        <w:rPr>
          <w:rFonts w:eastAsia="MS Mincho" w:cs="Arial"/>
          <w:lang w:val="de-DE" w:eastAsia="ja-JP"/>
        </w:rPr>
        <w:tab/>
        <w:t>b)</w:t>
      </w:r>
      <w:r w:rsidRPr="0018413D">
        <w:rPr>
          <w:rFonts w:eastAsia="MS Mincho" w:cs="Arial"/>
          <w:lang w:val="de-DE" w:eastAsia="ja-JP"/>
        </w:rPr>
        <w:tab/>
        <w:t>von Teilnehmern an den vorbereitenden Arbeitstagungen im Jahr 2013, wie in Dok</w:t>
      </w:r>
      <w:r>
        <w:rPr>
          <w:rFonts w:eastAsia="MS Mincho" w:cs="Arial"/>
          <w:lang w:val="de-DE" w:eastAsia="ja-JP"/>
        </w:rPr>
        <w:t>ument </w:t>
      </w:r>
      <w:r w:rsidRPr="0018413D">
        <w:rPr>
          <w:rFonts w:eastAsia="MS Mincho" w:cs="Arial"/>
          <w:lang w:val="de-DE" w:eastAsia="ja-JP"/>
        </w:rPr>
        <w:t>TC/49/10 ausgeführt;</w:t>
      </w:r>
    </w:p>
    <w:p w:rsidR="00645A24" w:rsidRPr="0018413D" w:rsidRDefault="00645A24" w:rsidP="00645A24">
      <w:pPr>
        <w:rPr>
          <w:rFonts w:eastAsia="MS Mincho" w:cs="Arial"/>
          <w:lang w:val="de-DE" w:eastAsia="ja-JP"/>
        </w:rPr>
      </w:pPr>
    </w:p>
    <w:p w:rsidR="00645A24" w:rsidRPr="0018413D" w:rsidRDefault="00645A24" w:rsidP="00645A24">
      <w:pPr>
        <w:keepNext/>
        <w:spacing w:after="240"/>
        <w:rPr>
          <w:rFonts w:eastAsia="MS Mincho" w:cs="Arial"/>
          <w:spacing w:val="-2"/>
          <w:lang w:val="de-DE" w:eastAsia="ja-JP"/>
        </w:rPr>
      </w:pPr>
      <w:r w:rsidRPr="0018413D">
        <w:rPr>
          <w:rFonts w:eastAsia="MS Mincho" w:cs="Arial"/>
          <w:spacing w:val="-2"/>
          <w:lang w:val="de-DE" w:eastAsia="ja-JP"/>
        </w:rPr>
        <w:tab/>
        <w:t>c)</w:t>
      </w:r>
      <w:r w:rsidRPr="0018413D">
        <w:rPr>
          <w:rFonts w:eastAsia="MS Mincho" w:cs="Arial"/>
          <w:spacing w:val="-2"/>
          <w:lang w:val="de-DE" w:eastAsia="ja-JP"/>
        </w:rPr>
        <w:tab/>
        <w:t>von Teilnehmern an der neunundvierzigsten Tagung des TC, wie in Anlage IV von Dokum</w:t>
      </w:r>
      <w:r>
        <w:rPr>
          <w:rFonts w:eastAsia="MS Mincho" w:cs="Arial"/>
          <w:spacing w:val="-2"/>
          <w:lang w:val="de-DE" w:eastAsia="ja-JP"/>
        </w:rPr>
        <w:t>ent </w:t>
      </w:r>
      <w:r w:rsidRPr="0018413D">
        <w:rPr>
          <w:rFonts w:eastAsia="MS Mincho" w:cs="Arial"/>
          <w:spacing w:val="-2"/>
          <w:lang w:val="de-DE" w:eastAsia="ja-JP"/>
        </w:rPr>
        <w:t>TC/49/3 vorgeschlagen; und</w:t>
      </w:r>
    </w:p>
    <w:p w:rsidR="00196886" w:rsidRPr="002F6EFE" w:rsidRDefault="00645A24" w:rsidP="00196886">
      <w:pPr>
        <w:rPr>
          <w:rFonts w:eastAsia="MS Mincho" w:cs="Arial"/>
          <w:lang w:eastAsia="ja-JP"/>
        </w:rPr>
      </w:pPr>
      <w:r w:rsidRPr="0018413D">
        <w:rPr>
          <w:rFonts w:eastAsia="MS Mincho" w:cs="Arial"/>
          <w:lang w:val="de-DE" w:eastAsia="ja-JP"/>
        </w:rPr>
        <w:tab/>
        <w:t>d)</w:t>
      </w:r>
      <w:r w:rsidRPr="0018413D">
        <w:rPr>
          <w:rFonts w:eastAsia="MS Mincho" w:cs="Arial"/>
          <w:lang w:val="de-DE" w:eastAsia="ja-JP"/>
        </w:rPr>
        <w:tab/>
        <w:t>von jenen Verbandsmitgliedern, die nicht an den TC- und TWP-Tagungen teilgenommen haben</w:t>
      </w:r>
      <w:r w:rsidR="00196886" w:rsidRPr="002F6EFE">
        <w:rPr>
          <w:rFonts w:eastAsia="MS Mincho" w:cs="Arial"/>
          <w:lang w:eastAsia="ja-JP"/>
        </w:rPr>
        <w:t xml:space="preserve">. </w:t>
      </w:r>
    </w:p>
    <w:p w:rsidR="00196886" w:rsidRPr="002F6EFE" w:rsidRDefault="00196886" w:rsidP="00196886">
      <w:pPr>
        <w:rPr>
          <w:rFonts w:eastAsia="MS Mincho" w:cs="Arial"/>
          <w:lang w:eastAsia="ja-JP"/>
        </w:rPr>
      </w:pPr>
    </w:p>
    <w:p w:rsidR="00645A24" w:rsidRPr="0018413D" w:rsidRDefault="00196886" w:rsidP="00645A24">
      <w:pPr>
        <w:rPr>
          <w:lang w:val="de-DE"/>
        </w:rPr>
      </w:pPr>
      <w:r w:rsidRPr="002F6EFE">
        <w:fldChar w:fldCharType="begin"/>
      </w:r>
      <w:r w:rsidRPr="002F6EFE">
        <w:instrText xml:space="preserve"> AUTONUM  </w:instrText>
      </w:r>
      <w:r w:rsidRPr="002F6EFE">
        <w:fldChar w:fldCharType="end"/>
      </w:r>
      <w:r w:rsidRPr="002F6EFE">
        <w:tab/>
      </w:r>
      <w:r w:rsidR="00645A24" w:rsidRPr="0018413D">
        <w:rPr>
          <w:lang w:val="de-DE"/>
        </w:rPr>
        <w:t>Der TC vereinbarte, daß die Prüfung möglicher Maßnahme</w:t>
      </w:r>
      <w:r w:rsidR="00645A24">
        <w:rPr>
          <w:lang w:val="de-DE"/>
        </w:rPr>
        <w:t>n zur Verbesserung der Effektivität</w:t>
      </w:r>
      <w:r w:rsidR="00645A24" w:rsidRPr="0018413D">
        <w:rPr>
          <w:lang w:val="de-DE"/>
        </w:rPr>
        <w:t xml:space="preserve"> der TWP bis zu seiner fünfzigsten Tagung vertagt werden solle, damit die Ergebnisse der oben genannten Befragungen einbezogen werden können.     </w:t>
      </w:r>
    </w:p>
    <w:p w:rsidR="00645A24" w:rsidRPr="0018413D" w:rsidRDefault="00645A24" w:rsidP="00645A24">
      <w:pPr>
        <w:rPr>
          <w:lang w:val="de-DE"/>
        </w:rPr>
      </w:pPr>
    </w:p>
    <w:p w:rsidR="00196886" w:rsidRDefault="00645A24" w:rsidP="00645A24">
      <w:r w:rsidRPr="0018413D">
        <w:rPr>
          <w:lang w:val="de-DE"/>
        </w:rPr>
        <w:fldChar w:fldCharType="begin"/>
      </w:r>
      <w:r w:rsidRPr="0018413D">
        <w:rPr>
          <w:lang w:val="de-DE"/>
        </w:rPr>
        <w:instrText xml:space="preserve"> AUTONUM  </w:instrText>
      </w:r>
      <w:r w:rsidRPr="0018413D">
        <w:rPr>
          <w:lang w:val="de-DE"/>
        </w:rPr>
        <w:fldChar w:fldCharType="end"/>
      </w:r>
      <w:r w:rsidRPr="0018413D">
        <w:rPr>
          <w:lang w:val="de-DE"/>
        </w:rPr>
        <w:tab/>
        <w:t xml:space="preserve">Der TC war sich darin einig, daß es wichtig </w:t>
      </w:r>
      <w:r>
        <w:rPr>
          <w:lang w:val="de-DE"/>
        </w:rPr>
        <w:t>sei</w:t>
      </w:r>
      <w:r w:rsidRPr="0018413D">
        <w:rPr>
          <w:lang w:val="de-DE"/>
        </w:rPr>
        <w:t>, die Verbandmitgliede</w:t>
      </w:r>
      <w:r>
        <w:rPr>
          <w:lang w:val="de-DE"/>
        </w:rPr>
        <w:t>r, die nicht an den TC- und TWP</w:t>
      </w:r>
      <w:r>
        <w:rPr>
          <w:lang w:val="de-DE"/>
        </w:rPr>
        <w:noBreakHyphen/>
      </w:r>
      <w:r w:rsidRPr="0018413D">
        <w:rPr>
          <w:lang w:val="de-DE"/>
        </w:rPr>
        <w:t>Tagungen teilgenommen haben, zu befragen, um die Gründe, aus denen sie nicht teilgenommen haben, in Erfahrung zu bringen</w:t>
      </w:r>
      <w:r>
        <w:rPr>
          <w:lang w:val="de-DE"/>
        </w:rPr>
        <w:t xml:space="preserve"> </w:t>
      </w:r>
      <w:r w:rsidR="00193D55">
        <w:t>(</w:t>
      </w:r>
      <w:r w:rsidRPr="00816118">
        <w:rPr>
          <w:lang w:val="de-DE"/>
        </w:rPr>
        <w:t>vergleiche Dokument TC/</w:t>
      </w:r>
      <w:r>
        <w:rPr>
          <w:lang w:val="de-DE"/>
        </w:rPr>
        <w:t>49/41 „</w:t>
      </w:r>
      <w:r w:rsidRPr="00816118">
        <w:rPr>
          <w:lang w:val="de-DE"/>
        </w:rPr>
        <w:t xml:space="preserve">Bericht über die Entschließungen”, </w:t>
      </w:r>
      <w:r>
        <w:rPr>
          <w:lang w:val="de-DE"/>
        </w:rPr>
        <w:t>Absätze</w:t>
      </w:r>
      <w:r w:rsidRPr="00816118">
        <w:rPr>
          <w:lang w:val="de-DE"/>
        </w:rPr>
        <w:t xml:space="preserve"> </w:t>
      </w:r>
      <w:r>
        <w:t>18 bis</w:t>
      </w:r>
      <w:r w:rsidR="00193D55">
        <w:t xml:space="preserve"> 23)</w:t>
      </w:r>
      <w:r w:rsidR="00196886" w:rsidRPr="002F6EFE">
        <w:t>.</w:t>
      </w:r>
    </w:p>
    <w:p w:rsidR="00645A24" w:rsidRDefault="00645A24" w:rsidP="00645A24"/>
    <w:p w:rsidR="00DF74FD" w:rsidRPr="002F6EFE" w:rsidRDefault="00DF74FD" w:rsidP="00645A24"/>
    <w:p w:rsidR="00364873" w:rsidRPr="0018413D" w:rsidRDefault="00364873" w:rsidP="00747C66">
      <w:pPr>
        <w:pStyle w:val="Heading2"/>
        <w:rPr>
          <w:lang w:val="de-DE"/>
        </w:rPr>
      </w:pPr>
      <w:bookmarkStart w:id="20" w:name="_Toc368583008"/>
      <w:r w:rsidRPr="0018413D">
        <w:rPr>
          <w:lang w:val="de-DE"/>
        </w:rPr>
        <w:t>TGP-Dokumente</w:t>
      </w:r>
      <w:bookmarkEnd w:id="20"/>
    </w:p>
    <w:p w:rsidR="00364873" w:rsidRPr="0018413D" w:rsidRDefault="00364873" w:rsidP="00364873">
      <w:pPr>
        <w:keepNext/>
        <w:rPr>
          <w:u w:val="single"/>
          <w:lang w:val="de-DE"/>
        </w:rPr>
      </w:pPr>
    </w:p>
    <w:p w:rsidR="00196886" w:rsidRPr="002F6EFE" w:rsidRDefault="00364873" w:rsidP="00364873">
      <w:pPr>
        <w:keepNext/>
      </w:pPr>
      <w:r w:rsidRPr="0018413D">
        <w:rPr>
          <w:lang w:val="de-DE"/>
        </w:rPr>
        <w:fldChar w:fldCharType="begin"/>
      </w:r>
      <w:r w:rsidRPr="0018413D">
        <w:rPr>
          <w:lang w:val="de-DE"/>
        </w:rPr>
        <w:instrText xml:space="preserve"> AUTONUM  </w:instrText>
      </w:r>
      <w:r w:rsidRPr="0018413D">
        <w:rPr>
          <w:lang w:val="de-DE"/>
        </w:rPr>
        <w:fldChar w:fldCharType="end"/>
      </w:r>
      <w:r w:rsidRPr="0018413D">
        <w:rPr>
          <w:lang w:val="de-DE"/>
        </w:rPr>
        <w:tab/>
        <w:t>In Verbindung mit Dokument TC/49/5 prüfte der TC folgende Dokumente</w:t>
      </w:r>
      <w:r w:rsidR="00196886" w:rsidRPr="002F6EFE">
        <w:t>.</w:t>
      </w:r>
    </w:p>
    <w:p w:rsidR="00196886" w:rsidRDefault="00196886" w:rsidP="00196886">
      <w:pPr>
        <w:keepNext/>
        <w:rPr>
          <w:snapToGrid w:val="0"/>
        </w:rPr>
      </w:pPr>
    </w:p>
    <w:p w:rsidR="00193D55" w:rsidRPr="002F6EFE" w:rsidRDefault="00193D55" w:rsidP="00196886">
      <w:pPr>
        <w:keepNext/>
        <w:rPr>
          <w:snapToGrid w:val="0"/>
        </w:rPr>
      </w:pPr>
    </w:p>
    <w:p w:rsidR="00196886" w:rsidRPr="00134A84" w:rsidRDefault="00196886" w:rsidP="00B027B0">
      <w:pPr>
        <w:pStyle w:val="Heading3"/>
        <w:rPr>
          <w:u w:val="single"/>
        </w:rPr>
      </w:pPr>
      <w:bookmarkStart w:id="21" w:name="_Toc368583009"/>
      <w:r w:rsidRPr="00134A84">
        <w:t>a)</w:t>
      </w:r>
      <w:r w:rsidRPr="00134A84">
        <w:tab/>
      </w:r>
      <w:r w:rsidR="00851260" w:rsidRPr="00134A84">
        <w:t>Neues TGP-Dok</w:t>
      </w:r>
      <w:r w:rsidR="003954EF" w:rsidRPr="00134A84">
        <w:t>ument</w:t>
      </w:r>
      <w:bookmarkEnd w:id="21"/>
    </w:p>
    <w:p w:rsidR="00196886" w:rsidRPr="00134A84" w:rsidRDefault="00196886" w:rsidP="00196886">
      <w:pPr>
        <w:keepNext/>
      </w:pPr>
    </w:p>
    <w:p w:rsidR="00851260" w:rsidRPr="00134A84" w:rsidRDefault="00851260" w:rsidP="00E447BD">
      <w:pPr>
        <w:pStyle w:val="Heading4"/>
        <w:rPr>
          <w:caps w:val="0"/>
          <w:snapToGrid w:val="0"/>
          <w:lang w:val="de-DE"/>
        </w:rPr>
      </w:pPr>
      <w:r w:rsidRPr="00134A84">
        <w:rPr>
          <w:snapToGrid w:val="0"/>
          <w:lang w:val="de-DE"/>
        </w:rPr>
        <w:t>TGP/15</w:t>
      </w:r>
      <w:r w:rsidRPr="00134A84">
        <w:rPr>
          <w:snapToGrid w:val="0"/>
          <w:lang w:val="de-DE"/>
        </w:rPr>
        <w:tab/>
      </w:r>
      <w:r w:rsidRPr="00134A84">
        <w:rPr>
          <w:caps w:val="0"/>
          <w:strike/>
          <w:snapToGrid w:val="0"/>
          <w:lang w:val="de-DE"/>
        </w:rPr>
        <w:t>[Neue Merkmalstypen]</w:t>
      </w:r>
      <w:r w:rsidRPr="00134A84">
        <w:rPr>
          <w:caps w:val="0"/>
          <w:snapToGrid w:val="0"/>
          <w:lang w:val="de-DE"/>
        </w:rPr>
        <w:t xml:space="preserve"> [Anleitung zur Verwendung biochemischer und molekularer Marker bei der Prüfung der Unterscheidbarkeit, der Homogenität und der Beständigkeit (DUS)]</w:t>
      </w:r>
    </w:p>
    <w:p w:rsidR="00196886" w:rsidRPr="00134A84" w:rsidRDefault="00196886" w:rsidP="00196886">
      <w:pPr>
        <w:rPr>
          <w:rFonts w:cs="Arial"/>
          <w:caps/>
          <w:snapToGrid w:val="0"/>
        </w:rPr>
      </w:pPr>
    </w:p>
    <w:p w:rsidR="00851260" w:rsidRPr="0018413D" w:rsidRDefault="00196886" w:rsidP="00851260">
      <w:pPr>
        <w:rPr>
          <w:color w:val="000000"/>
          <w:lang w:val="de-DE"/>
        </w:rPr>
      </w:pPr>
      <w:r w:rsidRPr="002F6EFE">
        <w:rPr>
          <w:rFonts w:cs="Arial"/>
          <w:snapToGrid w:val="0"/>
        </w:rPr>
        <w:fldChar w:fldCharType="begin"/>
      </w:r>
      <w:r w:rsidRPr="002F6EFE">
        <w:rPr>
          <w:rFonts w:cs="Arial"/>
          <w:snapToGrid w:val="0"/>
        </w:rPr>
        <w:instrText xml:space="preserve"> AUTONUM  </w:instrText>
      </w:r>
      <w:r w:rsidRPr="002F6EFE">
        <w:rPr>
          <w:rFonts w:cs="Arial"/>
          <w:snapToGrid w:val="0"/>
        </w:rPr>
        <w:fldChar w:fldCharType="end"/>
      </w:r>
      <w:r w:rsidRPr="002F6EFE">
        <w:rPr>
          <w:rFonts w:cs="Arial"/>
          <w:snapToGrid w:val="0"/>
        </w:rPr>
        <w:tab/>
      </w:r>
      <w:r w:rsidR="00851260" w:rsidRPr="0018413D">
        <w:rPr>
          <w:color w:val="000000"/>
          <w:lang w:val="de-DE"/>
        </w:rPr>
        <w:t xml:space="preserve">Der TC prüfte </w:t>
      </w:r>
      <w:r w:rsidR="00851260">
        <w:rPr>
          <w:color w:val="000000"/>
          <w:lang w:val="de-DE"/>
        </w:rPr>
        <w:t xml:space="preserve">das </w:t>
      </w:r>
      <w:r w:rsidR="00851260" w:rsidRPr="0018413D">
        <w:rPr>
          <w:color w:val="000000"/>
          <w:lang w:val="de-DE"/>
        </w:rPr>
        <w:t xml:space="preserve">Dokument TGP/15/1 Draft 4. </w:t>
      </w:r>
    </w:p>
    <w:p w:rsidR="00851260" w:rsidRPr="00DF74FD" w:rsidRDefault="00851260" w:rsidP="00851260">
      <w:pPr>
        <w:rPr>
          <w:color w:val="000000"/>
          <w:spacing w:val="-2"/>
          <w:lang w:val="de-DE"/>
        </w:rPr>
      </w:pPr>
    </w:p>
    <w:p w:rsidR="00851260" w:rsidRPr="002F6EFE" w:rsidRDefault="00851260" w:rsidP="00851260">
      <w:r w:rsidRPr="00DF74FD">
        <w:rPr>
          <w:rFonts w:cs="Arial"/>
          <w:spacing w:val="-2"/>
          <w:lang w:val="de-DE"/>
        </w:rPr>
        <w:fldChar w:fldCharType="begin"/>
      </w:r>
      <w:r w:rsidRPr="00DF74FD">
        <w:rPr>
          <w:rFonts w:cs="Arial"/>
          <w:spacing w:val="-2"/>
          <w:lang w:val="de-DE"/>
        </w:rPr>
        <w:instrText xml:space="preserve"> AUTONUM  </w:instrText>
      </w:r>
      <w:r w:rsidRPr="00DF74FD">
        <w:rPr>
          <w:rFonts w:cs="Arial"/>
          <w:spacing w:val="-2"/>
          <w:lang w:val="de-DE"/>
        </w:rPr>
        <w:fldChar w:fldCharType="end"/>
      </w:r>
      <w:r w:rsidRPr="00DF74FD">
        <w:rPr>
          <w:rFonts w:cs="Arial"/>
          <w:spacing w:val="-2"/>
          <w:lang w:val="de-DE"/>
        </w:rPr>
        <w:tab/>
      </w:r>
      <w:r w:rsidRPr="00DF74FD">
        <w:rPr>
          <w:color w:val="000000"/>
          <w:spacing w:val="-2"/>
          <w:lang w:val="de-DE"/>
        </w:rPr>
        <w:t>Der TC vereinbarte, vorbehaltlich der Zustimmung des</w:t>
      </w:r>
      <w:r w:rsidRPr="00DF74FD">
        <w:rPr>
          <w:iCs/>
          <w:snapToGrid w:val="0"/>
          <w:spacing w:val="-2"/>
          <w:lang w:val="de-DE"/>
        </w:rPr>
        <w:t xml:space="preserve"> CAJ auf seiner siebenundsechzigsten Tagung am 21. März 2013 in Genf, </w:t>
      </w:r>
      <w:r w:rsidRPr="00DF74FD">
        <w:rPr>
          <w:color w:val="000000"/>
          <w:spacing w:val="-2"/>
          <w:lang w:val="de-DE"/>
        </w:rPr>
        <w:t>dem Rat Dokument TGP/15/1 Draft 5 „</w:t>
      </w:r>
      <w:r w:rsidRPr="00DF74FD">
        <w:rPr>
          <w:snapToGrid w:val="0"/>
          <w:spacing w:val="-2"/>
          <w:lang w:val="de-DE"/>
        </w:rPr>
        <w:t>Anleitung zur Verwendung biochemischer und molekularer Marker bei der Prüfung der Unterscheidbarkeit, der Homogenität und der Beständigkeit (DUS)</w:t>
      </w:r>
      <w:r w:rsidRPr="00DF74FD">
        <w:rPr>
          <w:color w:val="000000"/>
          <w:spacing w:val="-2"/>
          <w:lang w:val="de-DE"/>
        </w:rPr>
        <w:t xml:space="preserve">” als Grundlage zur Annahme von </w:t>
      </w:r>
      <w:r w:rsidRPr="00DF74FD">
        <w:rPr>
          <w:iCs/>
          <w:snapToGrid w:val="0"/>
          <w:spacing w:val="-2"/>
          <w:lang w:val="de-DE"/>
        </w:rPr>
        <w:t>TGP/15 durch den Rat auf seiner siebenundvierzigsten Tagung am 24. Oktober 2013 vorzulegen. Der TC nahm zur Kenntnis, daß der Originaltext auf Englisch sowie die Übersetzungen ins Deutsche, Französische und Spanische von den entsprechenden Mitgliedern des Redaktionsausschusses vor der Vorlage des Entwurfs des Dokuments TGP/15/1 an den Rat überprüft würden.</w:t>
      </w:r>
    </w:p>
    <w:p w:rsidR="00DF74FD" w:rsidRPr="002F6EFE" w:rsidRDefault="00DF74FD" w:rsidP="00196886">
      <w:pPr>
        <w:rPr>
          <w:color w:val="000000"/>
        </w:rPr>
      </w:pPr>
    </w:p>
    <w:p w:rsidR="00196886" w:rsidRPr="002F6EFE" w:rsidRDefault="00196886" w:rsidP="00196886">
      <w:pPr>
        <w:rPr>
          <w:rFonts w:cs="Arial"/>
          <w:snapToGrid w:val="0"/>
        </w:rPr>
      </w:pPr>
      <w:r w:rsidRPr="002F6EFE">
        <w:rPr>
          <w:rFonts w:cs="Arial"/>
          <w:snapToGrid w:val="0"/>
        </w:rPr>
        <w:lastRenderedPageBreak/>
        <w:fldChar w:fldCharType="begin"/>
      </w:r>
      <w:r w:rsidRPr="002F6EFE">
        <w:rPr>
          <w:rFonts w:cs="Arial"/>
          <w:snapToGrid w:val="0"/>
        </w:rPr>
        <w:instrText xml:space="preserve"> AUTONUM  </w:instrText>
      </w:r>
      <w:r w:rsidRPr="002F6EFE">
        <w:rPr>
          <w:rFonts w:cs="Arial"/>
          <w:snapToGrid w:val="0"/>
        </w:rPr>
        <w:fldChar w:fldCharType="end"/>
      </w:r>
      <w:r w:rsidRPr="002F6EFE">
        <w:rPr>
          <w:rFonts w:cs="Arial"/>
          <w:snapToGrid w:val="0"/>
        </w:rPr>
        <w:tab/>
      </w:r>
      <w:r w:rsidR="001428D1" w:rsidRPr="0018413D">
        <w:rPr>
          <w:rFonts w:cs="Arial"/>
          <w:snapToGrid w:val="0"/>
          <w:lang w:val="de-DE"/>
        </w:rPr>
        <w:t>Der TC nahm zur Kenntnis, daß Dok</w:t>
      </w:r>
      <w:r w:rsidR="001428D1" w:rsidRPr="0018413D">
        <w:rPr>
          <w:rFonts w:cs="Arial"/>
          <w:lang w:val="de-DE"/>
        </w:rPr>
        <w:t xml:space="preserve">ument TGP/15/1 künftig </w:t>
      </w:r>
      <w:r w:rsidR="001428D1">
        <w:rPr>
          <w:rFonts w:cs="Arial"/>
          <w:lang w:val="de-DE"/>
        </w:rPr>
        <w:t>überarbeitet</w:t>
      </w:r>
      <w:r w:rsidR="001428D1" w:rsidRPr="0018413D">
        <w:rPr>
          <w:rFonts w:cs="Arial"/>
          <w:lang w:val="de-DE"/>
        </w:rPr>
        <w:t xml:space="preserve"> werden könne, um beispielsweise weitere Beispiele für die Modelle aufzunehmen</w:t>
      </w:r>
      <w:r w:rsidR="00193D55">
        <w:rPr>
          <w:rFonts w:cs="Arial"/>
        </w:rPr>
        <w:t xml:space="preserve"> </w:t>
      </w:r>
      <w:r w:rsidR="00193D55">
        <w:t>(</w:t>
      </w:r>
      <w:r w:rsidR="001428D1" w:rsidRPr="00816118">
        <w:rPr>
          <w:lang w:val="de-DE"/>
        </w:rPr>
        <w:t>vergleiche Dokument TC/</w:t>
      </w:r>
      <w:r w:rsidR="001428D1">
        <w:rPr>
          <w:lang w:val="de-DE"/>
        </w:rPr>
        <w:t>49/41 „</w:t>
      </w:r>
      <w:r w:rsidR="001428D1" w:rsidRPr="00816118">
        <w:rPr>
          <w:lang w:val="de-DE"/>
        </w:rPr>
        <w:t xml:space="preserve">Bericht über die Entschließungen”, </w:t>
      </w:r>
      <w:r w:rsidR="001428D1">
        <w:rPr>
          <w:lang w:val="de-DE"/>
        </w:rPr>
        <w:t>Absätze</w:t>
      </w:r>
      <w:r w:rsidR="001428D1" w:rsidRPr="00816118">
        <w:rPr>
          <w:lang w:val="de-DE"/>
        </w:rPr>
        <w:t xml:space="preserve"> </w:t>
      </w:r>
      <w:r w:rsidR="001428D1">
        <w:t>26 bis</w:t>
      </w:r>
      <w:r w:rsidR="00193D55">
        <w:t xml:space="preserve"> 28)</w:t>
      </w:r>
      <w:r w:rsidRPr="002F6EFE">
        <w:rPr>
          <w:rFonts w:cs="Arial"/>
        </w:rPr>
        <w:t>.</w:t>
      </w:r>
    </w:p>
    <w:p w:rsidR="00196886" w:rsidRDefault="00196886" w:rsidP="00196886">
      <w:pPr>
        <w:rPr>
          <w:rFonts w:cs="Arial"/>
          <w:snapToGrid w:val="0"/>
        </w:rPr>
      </w:pPr>
    </w:p>
    <w:p w:rsidR="00196886" w:rsidRPr="002F6EFE" w:rsidRDefault="00196886" w:rsidP="00196886">
      <w:pPr>
        <w:rPr>
          <w:rFonts w:cs="Arial"/>
          <w:snapToGrid w:val="0"/>
        </w:rPr>
      </w:pPr>
    </w:p>
    <w:p w:rsidR="00196886" w:rsidRPr="00134A84" w:rsidRDefault="00196886" w:rsidP="00B027B0">
      <w:pPr>
        <w:pStyle w:val="Heading3"/>
        <w:rPr>
          <w:rFonts w:cs="Arial"/>
        </w:rPr>
      </w:pPr>
      <w:bookmarkStart w:id="22" w:name="_Toc368583010"/>
      <w:r w:rsidRPr="00134A84">
        <w:t>b)</w:t>
      </w:r>
      <w:r w:rsidRPr="00134A84">
        <w:tab/>
      </w:r>
      <w:r w:rsidR="001428D1" w:rsidRPr="00134A84">
        <w:t>Überarbeitung von TGP-Dok</w:t>
      </w:r>
      <w:r w:rsidR="003954EF" w:rsidRPr="00134A84">
        <w:t>ument</w:t>
      </w:r>
      <w:r w:rsidR="001428D1" w:rsidRPr="00134A84">
        <w:t>en</w:t>
      </w:r>
      <w:bookmarkEnd w:id="22"/>
    </w:p>
    <w:p w:rsidR="00196886" w:rsidRPr="002F6EFE" w:rsidRDefault="00196886" w:rsidP="00196886">
      <w:pPr>
        <w:keepNext/>
        <w:ind w:left="567"/>
        <w:rPr>
          <w:rFonts w:cs="Arial"/>
          <w:i/>
          <w:snapToGrid w:val="0"/>
        </w:rPr>
      </w:pPr>
    </w:p>
    <w:p w:rsidR="001428D1" w:rsidRPr="00CC410D" w:rsidRDefault="001428D1" w:rsidP="00E447BD">
      <w:pPr>
        <w:pStyle w:val="Heading4"/>
        <w:rPr>
          <w:i w:val="0"/>
          <w:snapToGrid w:val="0"/>
          <w:lang w:val="de-DE" w:eastAsia="de-DE" w:bidi="de-DE"/>
        </w:rPr>
      </w:pPr>
      <w:bookmarkStart w:id="23" w:name="_Toc346296998"/>
      <w:r w:rsidRPr="00CC410D">
        <w:rPr>
          <w:rFonts w:eastAsia="Calibri"/>
          <w:i w:val="0"/>
          <w:snapToGrid w:val="0"/>
          <w:lang w:val="de-DE" w:eastAsia="de-DE" w:bidi="de-DE"/>
        </w:rPr>
        <w:t>TGP/14:</w:t>
      </w:r>
      <w:r w:rsidRPr="00CC410D">
        <w:rPr>
          <w:rFonts w:ascii="Calibri" w:eastAsia="Calibri" w:hAnsi="Calibri"/>
          <w:sz w:val="22"/>
          <w:szCs w:val="22"/>
          <w:lang w:val="de-DE" w:eastAsia="de-DE" w:bidi="de-DE"/>
        </w:rPr>
        <w:tab/>
      </w:r>
      <w:r w:rsidRPr="001428D1">
        <w:rPr>
          <w:rFonts w:eastAsia="Calibri"/>
          <w:i w:val="0"/>
          <w:caps w:val="0"/>
          <w:snapToGrid w:val="0"/>
          <w:lang w:val="de-DE" w:eastAsia="de-DE" w:bidi="de-DE"/>
        </w:rPr>
        <w:t>Glossar der in den UPOV-Dokumenten verwendeten Begriffe</w:t>
      </w:r>
    </w:p>
    <w:p w:rsidR="001428D1" w:rsidRPr="00CC410D" w:rsidRDefault="001428D1" w:rsidP="001428D1">
      <w:pPr>
        <w:keepNext/>
        <w:rPr>
          <w:lang w:val="de-DE" w:eastAsia="de-DE" w:bidi="de-DE"/>
        </w:rPr>
      </w:pPr>
    </w:p>
    <w:p w:rsidR="001428D1" w:rsidRPr="00CC410D" w:rsidRDefault="001428D1" w:rsidP="00E447BD">
      <w:pPr>
        <w:pStyle w:val="Heading5"/>
        <w:rPr>
          <w:i/>
        </w:rPr>
      </w:pPr>
      <w:r w:rsidRPr="00CC410D">
        <w:rPr>
          <w:i/>
        </w:rPr>
        <w:t xml:space="preserve">Überarbeitung bestehender Abschnitte des Dokuments TGP/14: Abschnitt 2: Botanische Begriffe, Unterabschnitt 2: Formen und Strukturen </w:t>
      </w:r>
    </w:p>
    <w:p w:rsidR="001428D1" w:rsidRPr="00CC410D" w:rsidRDefault="001428D1" w:rsidP="001428D1">
      <w:pPr>
        <w:keepNext/>
        <w:rPr>
          <w:lang w:val="de-DE" w:eastAsia="de-DE" w:bidi="de-DE"/>
        </w:rPr>
      </w:pPr>
    </w:p>
    <w:p w:rsidR="001428D1" w:rsidRPr="00CC410D" w:rsidRDefault="001428D1" w:rsidP="00E447BD">
      <w:pPr>
        <w:pStyle w:val="Heading5"/>
        <w:rPr>
          <w:i/>
        </w:rPr>
      </w:pPr>
      <w:r w:rsidRPr="00CC410D">
        <w:rPr>
          <w:i/>
        </w:rPr>
        <w:t>Überarbeitung von Dokument TGP/14: Abschnitt 2: Botanische Begriffe, Unterabschnitt 3: Farbe</w:t>
      </w:r>
    </w:p>
    <w:bookmarkEnd w:id="23"/>
    <w:p w:rsidR="00196886" w:rsidRPr="00B22F6D" w:rsidRDefault="00196886" w:rsidP="00196886">
      <w:pPr>
        <w:keepNext/>
      </w:pPr>
    </w:p>
    <w:p w:rsidR="00196886" w:rsidRPr="00B22F6D" w:rsidRDefault="00196886" w:rsidP="00196886">
      <w:pPr>
        <w:keepNext/>
        <w:ind w:left="567"/>
        <w:rPr>
          <w:rFonts w:cs="Arial"/>
        </w:rPr>
      </w:pPr>
    </w:p>
    <w:p w:rsidR="00196886" w:rsidRPr="00B22F6D" w:rsidRDefault="00196886" w:rsidP="00196886">
      <w:pPr>
        <w:keepNext/>
        <w:rPr>
          <w:rFonts w:cs="Arial"/>
        </w:rPr>
      </w:pPr>
      <w:r w:rsidRPr="00B22F6D">
        <w:fldChar w:fldCharType="begin"/>
      </w:r>
      <w:r w:rsidRPr="00B22F6D">
        <w:instrText xml:space="preserve"> AUTONUM  </w:instrText>
      </w:r>
      <w:r w:rsidRPr="00B22F6D">
        <w:fldChar w:fldCharType="end"/>
      </w:r>
      <w:r w:rsidRPr="00B22F6D">
        <w:tab/>
      </w:r>
      <w:r w:rsidR="00FB154B" w:rsidRPr="00CC410D">
        <w:rPr>
          <w:rFonts w:eastAsia="Calibri"/>
          <w:lang w:val="de-DE" w:eastAsia="de-DE" w:bidi="de-DE"/>
        </w:rPr>
        <w:t>Der TC prüfte die Dokumente TC/49/35 und TC/49/36</w:t>
      </w:r>
      <w:r w:rsidR="00FB154B">
        <w:rPr>
          <w:rFonts w:eastAsia="Calibri"/>
          <w:lang w:val="de-DE" w:eastAsia="de-DE" w:bidi="de-DE"/>
        </w:rPr>
        <w:t>.</w:t>
      </w:r>
    </w:p>
    <w:p w:rsidR="00196886" w:rsidRPr="00B22F6D" w:rsidRDefault="00196886" w:rsidP="00196886">
      <w:pPr>
        <w:rPr>
          <w:rFonts w:cs="Arial"/>
        </w:rPr>
      </w:pPr>
    </w:p>
    <w:p w:rsidR="00FB154B" w:rsidRPr="00B027B0" w:rsidRDefault="00196886" w:rsidP="00FB154B">
      <w:pPr>
        <w:rPr>
          <w:spacing w:val="-2"/>
          <w:lang w:val="de-DE" w:eastAsia="de-DE" w:bidi="de-DE"/>
        </w:rPr>
      </w:pPr>
      <w:r w:rsidRPr="00B027B0">
        <w:rPr>
          <w:spacing w:val="-2"/>
        </w:rPr>
        <w:fldChar w:fldCharType="begin"/>
      </w:r>
      <w:r w:rsidRPr="00B027B0">
        <w:rPr>
          <w:spacing w:val="-2"/>
        </w:rPr>
        <w:instrText xml:space="preserve"> AUTONUM  </w:instrText>
      </w:r>
      <w:r w:rsidRPr="00B027B0">
        <w:rPr>
          <w:spacing w:val="-2"/>
        </w:rPr>
        <w:fldChar w:fldCharType="end"/>
      </w:r>
      <w:r w:rsidRPr="00B027B0">
        <w:rPr>
          <w:spacing w:val="-2"/>
        </w:rPr>
        <w:tab/>
      </w:r>
      <w:r w:rsidR="00FB154B" w:rsidRPr="00B027B0">
        <w:rPr>
          <w:rFonts w:eastAsia="Calibri"/>
          <w:color w:val="000000"/>
          <w:spacing w:val="-2"/>
          <w:lang w:val="de-DE" w:eastAsia="de-DE" w:bidi="de-DE"/>
        </w:rPr>
        <w:t>Der TC vereinbarte</w:t>
      </w:r>
      <w:r w:rsidR="00FB154B" w:rsidRPr="00B027B0">
        <w:rPr>
          <w:rFonts w:eastAsia="Calibri"/>
          <w:iCs/>
          <w:snapToGrid w:val="0"/>
          <w:spacing w:val="-2"/>
          <w:lang w:val="de-DE" w:eastAsia="de-DE" w:bidi="de-DE"/>
        </w:rPr>
        <w:t>, vorbehaltlich der Zustimmung des CAJ auf seiner siebenundsechzigsten Tagung am 21. März 2013 in Genf,</w:t>
      </w:r>
      <w:r w:rsidR="00FB154B" w:rsidRPr="00B027B0">
        <w:rPr>
          <w:rFonts w:eastAsia="Calibri"/>
          <w:color w:val="000000"/>
          <w:spacing w:val="-2"/>
          <w:lang w:val="de-DE" w:eastAsia="de-DE" w:bidi="de-DE"/>
        </w:rPr>
        <w:t xml:space="preserve"> den Rat </w:t>
      </w:r>
      <w:r w:rsidR="00FB154B" w:rsidRPr="00B027B0">
        <w:rPr>
          <w:rFonts w:eastAsia="Calibri"/>
          <w:iCs/>
          <w:snapToGrid w:val="0"/>
          <w:spacing w:val="-2"/>
          <w:lang w:val="de-DE" w:eastAsia="de-DE" w:bidi="de-DE"/>
        </w:rPr>
        <w:t>zu ersuchen, Dokument TGP/14/2 „Glossar der in den UPOV</w:t>
      </w:r>
      <w:r w:rsidR="00FB154B" w:rsidRPr="00B027B0">
        <w:rPr>
          <w:rFonts w:eastAsia="Calibri"/>
          <w:iCs/>
          <w:snapToGrid w:val="0"/>
          <w:spacing w:val="-2"/>
          <w:lang w:val="de-DE" w:eastAsia="de-DE" w:bidi="de-DE"/>
        </w:rPr>
        <w:noBreakHyphen/>
        <w:t>Dokumenten verwendeten Begriffe” auf seiner siebenundvierzigsten Tagung am 24. Oktober 2013 auf der Grundlage der Dokumente TC/49/35 und TC/49</w:t>
      </w:r>
      <w:r w:rsidR="00FB154B" w:rsidRPr="00B027B0">
        <w:rPr>
          <w:rFonts w:eastAsia="Calibri"/>
          <w:spacing w:val="-2"/>
          <w:lang w:val="de-DE" w:eastAsia="de-DE" w:bidi="de-DE"/>
        </w:rPr>
        <w:t>/36, vorbehaltlich folgender Änderungen, anzunehmen</w:t>
      </w:r>
      <w:r w:rsidRPr="00B027B0">
        <w:rPr>
          <w:spacing w:val="-2"/>
        </w:rPr>
        <w:t>:</w:t>
      </w:r>
      <w:r w:rsidR="00FB154B" w:rsidRPr="00B027B0">
        <w:rPr>
          <w:spacing w:val="-2"/>
          <w:lang w:val="de-DE" w:eastAsia="de-DE" w:bidi="de-DE"/>
        </w:rPr>
        <w:t xml:space="preserve"> </w:t>
      </w:r>
    </w:p>
    <w:p w:rsidR="00FB154B" w:rsidRPr="00CC410D" w:rsidRDefault="00FB154B" w:rsidP="00FB154B">
      <w:pPr>
        <w:rPr>
          <w:lang w:val="de-DE" w:eastAsia="de-DE" w:bidi="de-DE"/>
        </w:rPr>
      </w:pPr>
    </w:p>
    <w:tbl>
      <w:tblPr>
        <w:tblW w:w="0" w:type="auto"/>
        <w:tblInd w:w="675" w:type="dxa"/>
        <w:tblLook w:val="01E0" w:firstRow="1" w:lastRow="1" w:firstColumn="1" w:lastColumn="1" w:noHBand="0" w:noVBand="0"/>
      </w:tblPr>
      <w:tblGrid>
        <w:gridCol w:w="4253"/>
        <w:gridCol w:w="4927"/>
      </w:tblGrid>
      <w:tr w:rsidR="00FB154B" w:rsidRPr="000945B2" w:rsidTr="00132ABD">
        <w:tc>
          <w:tcPr>
            <w:tcW w:w="4253" w:type="dxa"/>
            <w:shd w:val="clear" w:color="auto" w:fill="auto"/>
          </w:tcPr>
          <w:p w:rsidR="00FB154B" w:rsidRPr="00CC410D" w:rsidRDefault="00FB154B" w:rsidP="00132ABD">
            <w:pPr>
              <w:spacing w:after="60"/>
              <w:rPr>
                <w:lang w:val="de-DE" w:eastAsia="de-DE" w:bidi="de-DE"/>
              </w:rPr>
            </w:pPr>
            <w:r w:rsidRPr="00CC410D">
              <w:rPr>
                <w:rFonts w:eastAsia="Calibri"/>
                <w:lang w:val="de-DE" w:eastAsia="de-DE" w:bidi="de-DE"/>
              </w:rPr>
              <w:t xml:space="preserve">Dokument </w:t>
            </w:r>
            <w:r>
              <w:rPr>
                <w:rFonts w:eastAsia="Calibri"/>
                <w:lang w:val="de-DE" w:eastAsia="de-DE" w:bidi="de-DE"/>
              </w:rPr>
              <w:t>T</w:t>
            </w:r>
            <w:r w:rsidRPr="00CC410D">
              <w:rPr>
                <w:rFonts w:eastAsia="Calibri"/>
                <w:lang w:val="de-DE" w:eastAsia="de-DE" w:bidi="de-DE"/>
              </w:rPr>
              <w:t>C/49/35, Anlage I, Abschnitt 1.5</w:t>
            </w:r>
          </w:p>
        </w:tc>
        <w:tc>
          <w:tcPr>
            <w:tcW w:w="4927" w:type="dxa"/>
            <w:shd w:val="clear" w:color="auto" w:fill="auto"/>
          </w:tcPr>
          <w:p w:rsidR="00FB154B" w:rsidRPr="00CC410D" w:rsidRDefault="00FB154B" w:rsidP="00132ABD">
            <w:pPr>
              <w:spacing w:after="60"/>
              <w:rPr>
                <w:lang w:val="de-DE" w:eastAsia="de-DE" w:bidi="de-DE"/>
              </w:rPr>
            </w:pPr>
            <w:r w:rsidRPr="00CC410D">
              <w:rPr>
                <w:rFonts w:eastAsia="Calibri"/>
                <w:lang w:val="de-DE" w:eastAsia="de-DE" w:bidi="de-DE"/>
              </w:rPr>
              <w:t xml:space="preserve">„schmal“ und „breit“ ändern in „lang“ und „kurz“ </w:t>
            </w:r>
          </w:p>
        </w:tc>
      </w:tr>
      <w:tr w:rsidR="00FB154B" w:rsidRPr="000945B2" w:rsidTr="00132ABD">
        <w:tc>
          <w:tcPr>
            <w:tcW w:w="4253" w:type="dxa"/>
            <w:shd w:val="clear" w:color="auto" w:fill="auto"/>
          </w:tcPr>
          <w:p w:rsidR="00FB154B" w:rsidRPr="00CC410D" w:rsidRDefault="00FB154B" w:rsidP="00132ABD">
            <w:pPr>
              <w:rPr>
                <w:lang w:val="de-DE" w:eastAsia="de-DE" w:bidi="de-DE"/>
              </w:rPr>
            </w:pPr>
            <w:r w:rsidRPr="00CC410D">
              <w:rPr>
                <w:rFonts w:eastAsia="Calibri"/>
                <w:lang w:val="de-DE" w:eastAsia="de-DE" w:bidi="de-DE"/>
              </w:rPr>
              <w:t>Dokument TC/49/36, Teil IV, 4.1</w:t>
            </w:r>
          </w:p>
          <w:p w:rsidR="00FB154B" w:rsidRPr="00CC410D" w:rsidRDefault="00FB154B" w:rsidP="00132ABD">
            <w:pPr>
              <w:rPr>
                <w:lang w:val="de-DE" w:eastAsia="de-DE" w:bidi="de-DE"/>
              </w:rPr>
            </w:pPr>
            <w:r w:rsidRPr="00CC410D">
              <w:rPr>
                <w:rFonts w:eastAsia="Calibri"/>
                <w:lang w:val="de-DE" w:eastAsia="de-DE" w:bidi="de-DE"/>
              </w:rPr>
              <w:t xml:space="preserve">„Schematischer Überblick“ und 4.2.1.2 </w:t>
            </w:r>
          </w:p>
        </w:tc>
        <w:tc>
          <w:tcPr>
            <w:tcW w:w="4927" w:type="dxa"/>
            <w:shd w:val="clear" w:color="auto" w:fill="auto"/>
          </w:tcPr>
          <w:p w:rsidR="00FB154B" w:rsidRPr="00CC410D" w:rsidRDefault="00FB154B" w:rsidP="00132ABD">
            <w:pPr>
              <w:rPr>
                <w:lang w:val="de-DE" w:eastAsia="de-DE" w:bidi="de-DE"/>
              </w:rPr>
            </w:pPr>
            <w:r w:rsidRPr="00CC410D">
              <w:rPr>
                <w:rFonts w:eastAsia="Calibri"/>
                <w:lang w:val="de-DE" w:eastAsia="de-DE" w:bidi="de-DE"/>
              </w:rPr>
              <w:t xml:space="preserve">im Englischen „sharply” in „sharp” (im Deutschen jeweils scharf) ändern </w:t>
            </w:r>
          </w:p>
        </w:tc>
      </w:tr>
    </w:tbl>
    <w:p w:rsidR="00196886" w:rsidRDefault="00196886" w:rsidP="00196886"/>
    <w:p w:rsidR="00196886" w:rsidRPr="002F6EFE" w:rsidRDefault="00196886" w:rsidP="00196886">
      <w:r>
        <w:fldChar w:fldCharType="begin"/>
      </w:r>
      <w:r>
        <w:instrText xml:space="preserve"> AUTONUM  </w:instrText>
      </w:r>
      <w:r>
        <w:fldChar w:fldCharType="end"/>
      </w:r>
      <w:r>
        <w:tab/>
      </w:r>
      <w:r w:rsidR="00A2654F" w:rsidRPr="00CC410D">
        <w:rPr>
          <w:rFonts w:eastAsia="Calibri"/>
          <w:lang w:val="de-DE" w:eastAsia="de-DE" w:bidi="de-DE"/>
        </w:rPr>
        <w:t>Der TC nahm zur Kenntnis, daß die Aktualisierung der Definitionen von Begriffen und Indizes sowie die Überprüfung der Übersetzungen des englischen Originaltextes ins Deutsche, Französische und Spanische durch die entsprechenden Mitglieder des TC-EDC vor der Vor</w:t>
      </w:r>
      <w:r w:rsidR="00A2654F">
        <w:rPr>
          <w:rFonts w:eastAsia="Calibri"/>
          <w:lang w:val="de-DE" w:eastAsia="de-DE" w:bidi="de-DE"/>
        </w:rPr>
        <w:t>lage des Entwurfs des Dokuments </w:t>
      </w:r>
      <w:r w:rsidR="00A2654F" w:rsidRPr="00CC410D">
        <w:rPr>
          <w:rFonts w:eastAsia="Calibri"/>
          <w:lang w:val="de-DE" w:eastAsia="de-DE" w:bidi="de-DE"/>
        </w:rPr>
        <w:t>TGP/14/2 an den Rat erfolgen werde</w:t>
      </w:r>
      <w:r w:rsidR="00A2654F">
        <w:rPr>
          <w:rFonts w:eastAsia="Calibri"/>
          <w:lang w:val="de-DE" w:eastAsia="de-DE" w:bidi="de-DE"/>
        </w:rPr>
        <w:t xml:space="preserve"> </w:t>
      </w:r>
      <w:r w:rsidR="00193D55">
        <w:t>(</w:t>
      </w:r>
      <w:r w:rsidR="00A2654F" w:rsidRPr="00816118">
        <w:rPr>
          <w:lang w:val="de-DE"/>
        </w:rPr>
        <w:t>vergleiche Dokument TC/</w:t>
      </w:r>
      <w:r w:rsidR="00A2654F">
        <w:rPr>
          <w:lang w:val="de-DE"/>
        </w:rPr>
        <w:t>49/41 „</w:t>
      </w:r>
      <w:r w:rsidR="00A2654F" w:rsidRPr="00816118">
        <w:rPr>
          <w:lang w:val="de-DE"/>
        </w:rPr>
        <w:t xml:space="preserve">Bericht über die Entschließungen”, </w:t>
      </w:r>
      <w:r w:rsidR="00A2654F">
        <w:rPr>
          <w:lang w:val="de-DE"/>
        </w:rPr>
        <w:t>Absätze</w:t>
      </w:r>
      <w:r w:rsidR="00A2654F" w:rsidRPr="00816118">
        <w:rPr>
          <w:lang w:val="de-DE"/>
        </w:rPr>
        <w:t xml:space="preserve"> </w:t>
      </w:r>
      <w:r w:rsidR="00A2654F">
        <w:t>29 bis</w:t>
      </w:r>
      <w:r w:rsidR="00193D55">
        <w:t xml:space="preserve"> 31)</w:t>
      </w:r>
      <w:r w:rsidRPr="002F6EFE">
        <w:t xml:space="preserve">.  </w:t>
      </w:r>
    </w:p>
    <w:p w:rsidR="00196886" w:rsidRPr="002F6EFE" w:rsidRDefault="00196886" w:rsidP="00196886">
      <w:pPr>
        <w:spacing w:line="360" w:lineRule="auto"/>
      </w:pPr>
    </w:p>
    <w:p w:rsidR="00622BB5" w:rsidRPr="00CC410D" w:rsidRDefault="00622BB5" w:rsidP="00E447BD">
      <w:pPr>
        <w:pStyle w:val="Heading4"/>
        <w:rPr>
          <w:i w:val="0"/>
          <w:lang w:val="de-DE" w:eastAsia="de-DE" w:bidi="de-DE"/>
        </w:rPr>
      </w:pPr>
      <w:r w:rsidRPr="00CC410D">
        <w:rPr>
          <w:rFonts w:eastAsia="Calibri"/>
          <w:i w:val="0"/>
          <w:lang w:val="de-DE" w:eastAsia="de-DE" w:bidi="de-DE"/>
        </w:rPr>
        <w:t xml:space="preserve">TGP/0:  </w:t>
      </w:r>
      <w:r w:rsidRPr="00622BB5">
        <w:rPr>
          <w:rFonts w:eastAsia="Calibri"/>
          <w:i w:val="0"/>
          <w:caps w:val="0"/>
          <w:lang w:val="de-DE" w:eastAsia="de-DE" w:bidi="de-DE"/>
        </w:rPr>
        <w:t>Liste der TGP-Dokumente und jüngstes Ausgabedatum</w:t>
      </w:r>
    </w:p>
    <w:p w:rsidR="00196886" w:rsidRPr="002F6EFE" w:rsidRDefault="00196886" w:rsidP="00196886"/>
    <w:p w:rsidR="00196886" w:rsidRPr="002F6EFE" w:rsidRDefault="00196886" w:rsidP="00196886">
      <w:r w:rsidRPr="002F6EFE">
        <w:fldChar w:fldCharType="begin"/>
      </w:r>
      <w:r w:rsidRPr="002F6EFE">
        <w:instrText xml:space="preserve"> AUTONUM  </w:instrText>
      </w:r>
      <w:r w:rsidRPr="002F6EFE">
        <w:fldChar w:fldCharType="end"/>
      </w:r>
      <w:r w:rsidRPr="002F6EFE">
        <w:tab/>
      </w:r>
      <w:r w:rsidR="00622BB5" w:rsidRPr="00CC410D">
        <w:rPr>
          <w:rFonts w:eastAsia="Calibri"/>
          <w:lang w:val="de-DE" w:eastAsia="de-DE" w:bidi="de-DE"/>
        </w:rPr>
        <w:t xml:space="preserve">Der TC nahm zur Kenntnis, </w:t>
      </w:r>
      <w:r w:rsidR="00622BB5">
        <w:rPr>
          <w:rFonts w:eastAsia="Calibri"/>
          <w:lang w:val="de-DE" w:eastAsia="de-DE" w:bidi="de-DE"/>
        </w:rPr>
        <w:t>daß der Rat ersucht we</w:t>
      </w:r>
      <w:r w:rsidR="00622BB5" w:rsidRPr="00CC410D">
        <w:rPr>
          <w:rFonts w:eastAsia="Calibri"/>
          <w:lang w:val="de-DE" w:eastAsia="de-DE" w:bidi="de-DE"/>
        </w:rPr>
        <w:t>rde, Dokument TGP/0/6 anzunehmen, um die Annahme der Dokumente TGP/15/1 und TGP/14/2 wiederzugeben</w:t>
      </w:r>
      <w:r w:rsidR="00193D55">
        <w:t xml:space="preserve"> (</w:t>
      </w:r>
      <w:r w:rsidR="00622BB5" w:rsidRPr="00816118">
        <w:rPr>
          <w:lang w:val="de-DE"/>
        </w:rPr>
        <w:t>vergleiche Dokument TC/</w:t>
      </w:r>
      <w:r w:rsidR="00622BB5">
        <w:rPr>
          <w:lang w:val="de-DE"/>
        </w:rPr>
        <w:t>49/41 „</w:t>
      </w:r>
      <w:r w:rsidR="00622BB5" w:rsidRPr="00816118">
        <w:rPr>
          <w:lang w:val="de-DE"/>
        </w:rPr>
        <w:t xml:space="preserve">Bericht über die Entschließungen”, </w:t>
      </w:r>
      <w:r w:rsidR="00622BB5">
        <w:rPr>
          <w:lang w:val="de-DE"/>
        </w:rPr>
        <w:t>Absatz</w:t>
      </w:r>
      <w:r w:rsidR="00622BB5">
        <w:t xml:space="preserve"> </w:t>
      </w:r>
      <w:r w:rsidR="00193D55">
        <w:t>32)</w:t>
      </w:r>
      <w:r w:rsidRPr="002F6EFE">
        <w:t>.</w:t>
      </w:r>
    </w:p>
    <w:p w:rsidR="00196886" w:rsidRPr="002F6EFE" w:rsidRDefault="00196886" w:rsidP="00196886">
      <w:pPr>
        <w:spacing w:line="360" w:lineRule="auto"/>
      </w:pPr>
    </w:p>
    <w:p w:rsidR="006E7A74" w:rsidRPr="00CC410D" w:rsidRDefault="006E7A74" w:rsidP="00E447BD">
      <w:pPr>
        <w:pStyle w:val="Heading4"/>
        <w:rPr>
          <w:i w:val="0"/>
          <w:snapToGrid w:val="0"/>
          <w:lang w:val="de-DE" w:eastAsia="de-DE" w:bidi="de-DE"/>
        </w:rPr>
      </w:pPr>
      <w:r w:rsidRPr="00CC410D">
        <w:rPr>
          <w:rFonts w:eastAsia="Calibri"/>
          <w:i w:val="0"/>
          <w:snapToGrid w:val="0"/>
          <w:lang w:val="de-DE" w:eastAsia="de-DE" w:bidi="de-DE"/>
        </w:rPr>
        <w:t xml:space="preserve">TGP/7:  </w:t>
      </w:r>
      <w:r w:rsidRPr="006E7A74">
        <w:rPr>
          <w:rFonts w:eastAsia="Calibri"/>
          <w:i w:val="0"/>
          <w:caps w:val="0"/>
          <w:snapToGrid w:val="0"/>
          <w:lang w:val="de-DE" w:eastAsia="de-DE" w:bidi="de-DE"/>
        </w:rPr>
        <w:t>Erstellung von Prüfungsrichtlinien</w:t>
      </w:r>
    </w:p>
    <w:p w:rsidR="00196886" w:rsidRPr="002F6EFE" w:rsidRDefault="00196886" w:rsidP="00196886">
      <w:pPr>
        <w:keepNext/>
        <w:ind w:left="567"/>
        <w:rPr>
          <w:rFonts w:cs="Arial"/>
          <w:i/>
          <w:snapToGrid w:val="0"/>
        </w:rPr>
      </w:pPr>
    </w:p>
    <w:p w:rsidR="00196886" w:rsidRPr="002F6EFE" w:rsidRDefault="00196886" w:rsidP="00196886">
      <w:pPr>
        <w:keepNext/>
      </w:pPr>
      <w:r w:rsidRPr="002F6EFE">
        <w:fldChar w:fldCharType="begin"/>
      </w:r>
      <w:r w:rsidRPr="002F6EFE">
        <w:instrText xml:space="preserve"> AUTONUM  </w:instrText>
      </w:r>
      <w:r w:rsidRPr="002F6EFE">
        <w:fldChar w:fldCharType="end"/>
      </w:r>
      <w:r w:rsidRPr="002F6EFE">
        <w:tab/>
      </w:r>
      <w:r w:rsidR="006E7A74" w:rsidRPr="00CC410D">
        <w:rPr>
          <w:rFonts w:eastAsia="Calibri"/>
          <w:lang w:val="de-DE" w:eastAsia="de-DE" w:bidi="de-DE"/>
        </w:rPr>
        <w:t>Der TC prüfte das Dokument TC/49/16</w:t>
      </w:r>
      <w:r w:rsidRPr="002F6EFE">
        <w:t>.</w:t>
      </w:r>
    </w:p>
    <w:p w:rsidR="00196886" w:rsidRPr="002F6EFE" w:rsidRDefault="00196886" w:rsidP="00196886"/>
    <w:p w:rsidR="00196886" w:rsidRPr="002F6EFE" w:rsidRDefault="00196886" w:rsidP="00196886">
      <w:pPr>
        <w:rPr>
          <w:rFonts w:cs="Arial"/>
        </w:rPr>
      </w:pPr>
      <w:r w:rsidRPr="002F6EFE">
        <w:fldChar w:fldCharType="begin"/>
      </w:r>
      <w:r w:rsidRPr="002F6EFE">
        <w:instrText xml:space="preserve"> AUTONUM  </w:instrText>
      </w:r>
      <w:r w:rsidRPr="002F6EFE">
        <w:fldChar w:fldCharType="end"/>
      </w:r>
      <w:r w:rsidRPr="002F6EFE">
        <w:tab/>
      </w:r>
      <w:r w:rsidR="006E7A74" w:rsidRPr="00CC410D">
        <w:rPr>
          <w:rFonts w:eastAsia="Calibri"/>
          <w:lang w:val="de-DE" w:eastAsia="de-DE" w:bidi="de-DE"/>
        </w:rPr>
        <w:t>Der TC nahm folgende Angelegenheiten zur Kenntnis, zu denen der TC im Hinblick auf eine künftige Überarbeitung von Dokument TGP/7 „Erstellung von Prüfungsrichtlinien” bereits zuvor eine Entscheidung getroffen hat</w:t>
      </w:r>
      <w:r w:rsidR="00774628">
        <w:rPr>
          <w:rFonts w:cs="Arial"/>
        </w:rPr>
        <w:t xml:space="preserve"> </w:t>
      </w:r>
      <w:r w:rsidR="00774628">
        <w:t>(</w:t>
      </w:r>
      <w:r w:rsidR="006E7A74" w:rsidRPr="00816118">
        <w:rPr>
          <w:lang w:val="de-DE"/>
        </w:rPr>
        <w:t>vergleiche Dokument TC/</w:t>
      </w:r>
      <w:r w:rsidR="006E7A74">
        <w:rPr>
          <w:lang w:val="de-DE"/>
        </w:rPr>
        <w:t>49/41 „</w:t>
      </w:r>
      <w:r w:rsidR="006E7A74" w:rsidRPr="00816118">
        <w:rPr>
          <w:lang w:val="de-DE"/>
        </w:rPr>
        <w:t xml:space="preserve">Bericht über die Entschließungen”, </w:t>
      </w:r>
      <w:r w:rsidR="006E7A74">
        <w:rPr>
          <w:lang w:val="de-DE"/>
        </w:rPr>
        <w:t>Absätze</w:t>
      </w:r>
      <w:r w:rsidR="006E7A74" w:rsidRPr="00816118">
        <w:rPr>
          <w:lang w:val="de-DE"/>
        </w:rPr>
        <w:t xml:space="preserve"> </w:t>
      </w:r>
      <w:r w:rsidR="006E7A74">
        <w:t>33 und</w:t>
      </w:r>
      <w:r w:rsidR="00774628">
        <w:t xml:space="preserve"> 34)</w:t>
      </w:r>
      <w:r w:rsidRPr="002F6EFE">
        <w:rPr>
          <w:rFonts w:cs="Arial"/>
        </w:rPr>
        <w:t>:</w:t>
      </w:r>
    </w:p>
    <w:p w:rsidR="00196886" w:rsidRPr="002F6EFE" w:rsidRDefault="00196886" w:rsidP="00196886">
      <w:pPr>
        <w:rPr>
          <w:rFonts w:cs="Arial"/>
        </w:rPr>
      </w:pPr>
    </w:p>
    <w:p w:rsidR="009774DA" w:rsidRPr="00CC410D" w:rsidRDefault="009774DA" w:rsidP="00B027B0">
      <w:pPr>
        <w:ind w:left="567"/>
        <w:rPr>
          <w:iCs/>
          <w:snapToGrid w:val="0"/>
          <w:color w:val="000000"/>
          <w:spacing w:val="-2"/>
          <w:sz w:val="18"/>
          <w:u w:val="single"/>
          <w:lang w:val="de-DE" w:eastAsia="de-DE" w:bidi="de-DE"/>
        </w:rPr>
      </w:pPr>
      <w:bookmarkStart w:id="24" w:name="_Toc347908323"/>
      <w:r w:rsidRPr="00CC410D">
        <w:rPr>
          <w:rFonts w:eastAsia="Calibri"/>
          <w:sz w:val="18"/>
          <w:u w:val="single"/>
          <w:lang w:val="de-DE" w:eastAsia="de-DE" w:bidi="de-DE"/>
        </w:rPr>
        <w:t>Behandlung von Sortentypen in Prüfungsrichtlinien</w:t>
      </w:r>
    </w:p>
    <w:p w:rsidR="009774DA" w:rsidRPr="00CC410D" w:rsidRDefault="009774DA" w:rsidP="00B027B0">
      <w:pPr>
        <w:ind w:left="1134" w:right="567"/>
        <w:rPr>
          <w:rFonts w:cs="Arial"/>
          <w:iCs/>
          <w:snapToGrid w:val="0"/>
          <w:color w:val="000000"/>
          <w:spacing w:val="-2"/>
          <w:sz w:val="18"/>
          <w:lang w:val="de-DE" w:eastAsia="de-DE" w:bidi="de-DE"/>
        </w:rPr>
      </w:pPr>
    </w:p>
    <w:p w:rsidR="009774DA" w:rsidRPr="00CC410D" w:rsidRDefault="009774DA" w:rsidP="00B027B0">
      <w:pPr>
        <w:ind w:left="567" w:right="567"/>
        <w:rPr>
          <w:rFonts w:cs="Arial"/>
          <w:sz w:val="18"/>
          <w:lang w:val="de-DE" w:eastAsia="de-DE" w:bidi="de-DE"/>
        </w:rPr>
      </w:pPr>
      <w:r w:rsidRPr="00CC410D">
        <w:rPr>
          <w:rFonts w:eastAsia="Calibri"/>
          <w:sz w:val="18"/>
          <w:lang w:val="de-DE" w:eastAsia="de-DE" w:bidi="de-DE"/>
        </w:rPr>
        <w:t>(vergleiche Dokument TC/47/26 „Bericht über die Entschließungen“, Absatz 54)</w:t>
      </w:r>
    </w:p>
    <w:p w:rsidR="009774DA" w:rsidRPr="00CC410D" w:rsidRDefault="009774DA" w:rsidP="00B027B0">
      <w:pPr>
        <w:ind w:left="1134" w:right="567"/>
        <w:rPr>
          <w:rFonts w:cs="Arial"/>
          <w:sz w:val="18"/>
          <w:lang w:val="de-DE" w:eastAsia="de-DE" w:bidi="de-DE"/>
        </w:rPr>
      </w:pPr>
    </w:p>
    <w:p w:rsidR="009774DA" w:rsidRPr="00CC410D" w:rsidRDefault="009774DA" w:rsidP="00B027B0">
      <w:pPr>
        <w:ind w:left="567"/>
        <w:rPr>
          <w:sz w:val="18"/>
          <w:u w:val="single"/>
          <w:lang w:val="de-DE" w:eastAsia="de-DE" w:bidi="de-DE"/>
        </w:rPr>
      </w:pPr>
      <w:r w:rsidRPr="00CC410D">
        <w:rPr>
          <w:rFonts w:eastAsia="Calibri"/>
          <w:sz w:val="18"/>
          <w:u w:val="single"/>
          <w:lang w:val="de-DE" w:eastAsia="de-DE" w:bidi="de-DE"/>
        </w:rPr>
        <w:t>Auswahl von Merkmalen mit Sternchen</w:t>
      </w:r>
    </w:p>
    <w:p w:rsidR="009774DA" w:rsidRPr="00CC410D" w:rsidRDefault="009774DA" w:rsidP="00B027B0">
      <w:pPr>
        <w:ind w:left="567"/>
        <w:rPr>
          <w:sz w:val="18"/>
          <w:u w:val="single"/>
          <w:lang w:val="de-DE" w:eastAsia="de-DE" w:bidi="de-DE"/>
        </w:rPr>
      </w:pPr>
    </w:p>
    <w:p w:rsidR="009774DA" w:rsidRPr="00CC410D" w:rsidRDefault="009774DA" w:rsidP="00B027B0">
      <w:pPr>
        <w:ind w:left="567"/>
        <w:rPr>
          <w:rFonts w:cs="Arial"/>
          <w:sz w:val="18"/>
          <w:lang w:val="de-DE" w:eastAsia="de-DE" w:bidi="de-DE"/>
        </w:rPr>
      </w:pPr>
      <w:r w:rsidRPr="00CC410D">
        <w:rPr>
          <w:rFonts w:eastAsia="Calibri"/>
          <w:sz w:val="18"/>
          <w:lang w:val="de-DE" w:eastAsia="de-DE" w:bidi="de-DE"/>
        </w:rPr>
        <w:t>(vergleiche Dokument TC/47/26 „Bericht über die Entschließungen“, Absatz 59)</w:t>
      </w:r>
    </w:p>
    <w:p w:rsidR="009774DA" w:rsidRPr="00CC410D" w:rsidRDefault="009774DA" w:rsidP="00B027B0">
      <w:pPr>
        <w:ind w:left="567"/>
        <w:rPr>
          <w:rFonts w:cs="Arial"/>
          <w:sz w:val="18"/>
          <w:lang w:val="de-DE" w:eastAsia="de-DE" w:bidi="de-DE"/>
        </w:rPr>
      </w:pPr>
    </w:p>
    <w:p w:rsidR="009774DA" w:rsidRPr="00CC410D" w:rsidRDefault="009774DA" w:rsidP="00B027B0">
      <w:pPr>
        <w:ind w:left="567"/>
        <w:rPr>
          <w:sz w:val="18"/>
          <w:u w:val="single"/>
          <w:lang w:val="de-DE" w:eastAsia="de-DE" w:bidi="de-DE"/>
        </w:rPr>
      </w:pPr>
      <w:r w:rsidRPr="00CC410D">
        <w:rPr>
          <w:rFonts w:eastAsia="Calibri"/>
          <w:sz w:val="18"/>
          <w:u w:val="single"/>
          <w:lang w:val="de-DE" w:eastAsia="de-DE" w:bidi="de-DE"/>
        </w:rPr>
        <w:t>Standardverweise im Technischen Fragebogen</w:t>
      </w:r>
    </w:p>
    <w:p w:rsidR="009774DA" w:rsidRPr="00CC410D" w:rsidRDefault="009774DA" w:rsidP="00B027B0">
      <w:pPr>
        <w:ind w:left="567"/>
        <w:rPr>
          <w:rFonts w:cs="Arial"/>
          <w:sz w:val="18"/>
          <w:u w:val="single"/>
          <w:lang w:val="de-DE" w:eastAsia="de-DE" w:bidi="de-DE"/>
        </w:rPr>
      </w:pPr>
    </w:p>
    <w:p w:rsidR="009774DA" w:rsidRPr="00CC410D" w:rsidRDefault="009774DA" w:rsidP="00B027B0">
      <w:pPr>
        <w:ind w:left="567"/>
        <w:rPr>
          <w:sz w:val="18"/>
          <w:lang w:val="de-DE" w:eastAsia="de-DE" w:bidi="de-DE"/>
        </w:rPr>
      </w:pPr>
      <w:r w:rsidRPr="00CC410D">
        <w:rPr>
          <w:rFonts w:eastAsia="Calibri"/>
          <w:sz w:val="18"/>
          <w:lang w:val="de-DE" w:eastAsia="de-DE" w:bidi="de-DE"/>
        </w:rPr>
        <w:t>(vergleiche Dokument TC/47/26 „Bericht über die Entschließungen“, Absatz 68)</w:t>
      </w:r>
    </w:p>
    <w:p w:rsidR="009774DA" w:rsidRPr="00CC410D" w:rsidRDefault="009774DA" w:rsidP="00B027B0">
      <w:pPr>
        <w:ind w:left="567"/>
        <w:rPr>
          <w:sz w:val="18"/>
          <w:lang w:val="de-DE" w:eastAsia="de-DE" w:bidi="de-DE"/>
        </w:rPr>
      </w:pPr>
    </w:p>
    <w:p w:rsidR="009774DA" w:rsidRPr="00CC410D" w:rsidRDefault="009774DA" w:rsidP="00B027B0">
      <w:pPr>
        <w:ind w:left="567"/>
        <w:rPr>
          <w:sz w:val="18"/>
          <w:u w:val="single"/>
          <w:lang w:val="de-DE" w:eastAsia="de-DE" w:bidi="de-DE"/>
        </w:rPr>
      </w:pPr>
      <w:r w:rsidRPr="00CC410D">
        <w:rPr>
          <w:rFonts w:eastAsia="Calibri"/>
          <w:sz w:val="18"/>
          <w:u w:val="single"/>
          <w:lang w:val="de-DE" w:eastAsia="de-DE" w:bidi="de-DE"/>
        </w:rPr>
        <w:t>Anträge für Sorten mit geringer Keimfähigkeit</w:t>
      </w:r>
    </w:p>
    <w:p w:rsidR="009774DA" w:rsidRPr="00CC410D" w:rsidRDefault="009774DA" w:rsidP="00B027B0">
      <w:pPr>
        <w:ind w:left="567"/>
        <w:rPr>
          <w:sz w:val="18"/>
          <w:u w:val="single"/>
          <w:lang w:val="de-DE" w:eastAsia="de-DE" w:bidi="de-DE"/>
        </w:rPr>
      </w:pPr>
    </w:p>
    <w:p w:rsidR="009774DA" w:rsidRPr="00CC410D" w:rsidRDefault="009774DA" w:rsidP="00B027B0">
      <w:pPr>
        <w:ind w:left="567"/>
        <w:rPr>
          <w:sz w:val="18"/>
          <w:lang w:val="de-DE" w:eastAsia="de-DE" w:bidi="de-DE"/>
        </w:rPr>
      </w:pPr>
      <w:r w:rsidRPr="00CC410D">
        <w:rPr>
          <w:rFonts w:eastAsia="Calibri"/>
          <w:sz w:val="18"/>
          <w:lang w:val="de-DE" w:eastAsia="de-DE" w:bidi="de-DE"/>
        </w:rPr>
        <w:t>(vergleiche Dokumente TC/47/26 „Bericht über die Entschließungen“, Absatz 60 und TC/48/22 „Bericht über die Entschließungen“, Absätze 38 und 39)</w:t>
      </w:r>
    </w:p>
    <w:p w:rsidR="009774DA" w:rsidRPr="00CC410D" w:rsidRDefault="009774DA" w:rsidP="00B027B0">
      <w:pPr>
        <w:ind w:left="567"/>
        <w:rPr>
          <w:sz w:val="18"/>
          <w:lang w:val="de-DE" w:eastAsia="de-DE" w:bidi="de-DE"/>
        </w:rPr>
      </w:pPr>
    </w:p>
    <w:p w:rsidR="009774DA" w:rsidRPr="00CC410D" w:rsidRDefault="009774DA" w:rsidP="00B027B0">
      <w:pPr>
        <w:keepNext/>
        <w:ind w:left="567"/>
        <w:rPr>
          <w:snapToGrid w:val="0"/>
          <w:sz w:val="18"/>
          <w:u w:val="single"/>
          <w:lang w:val="de-DE" w:eastAsia="de-DE" w:bidi="de-DE"/>
        </w:rPr>
      </w:pPr>
      <w:r w:rsidRPr="00CC410D">
        <w:rPr>
          <w:rFonts w:eastAsia="Calibri"/>
          <w:sz w:val="18"/>
          <w:u w:val="single"/>
          <w:lang w:val="de-DE" w:eastAsia="de-DE" w:bidi="de-DE"/>
        </w:rPr>
        <w:lastRenderedPageBreak/>
        <w:t xml:space="preserve">Verfahren für die Erarbeitung von Prüfungsrichtlinien </w:t>
      </w:r>
    </w:p>
    <w:p w:rsidR="009774DA" w:rsidRPr="00CC410D" w:rsidRDefault="009774DA" w:rsidP="00B027B0">
      <w:pPr>
        <w:keepNext/>
        <w:ind w:left="567"/>
        <w:rPr>
          <w:sz w:val="18"/>
          <w:lang w:val="de-DE" w:eastAsia="de-DE" w:bidi="de-DE"/>
        </w:rPr>
      </w:pPr>
    </w:p>
    <w:p w:rsidR="00196886" w:rsidRDefault="009774DA" w:rsidP="00B027B0">
      <w:pPr>
        <w:ind w:left="567"/>
        <w:rPr>
          <w:rFonts w:eastAsia="Calibri"/>
          <w:sz w:val="18"/>
          <w:lang w:val="de-DE" w:eastAsia="de-DE" w:bidi="de-DE"/>
        </w:rPr>
      </w:pPr>
      <w:r w:rsidRPr="00CC410D">
        <w:rPr>
          <w:rFonts w:eastAsia="Calibri"/>
          <w:sz w:val="18"/>
          <w:lang w:val="de-DE" w:eastAsia="de-DE" w:bidi="de-DE"/>
        </w:rPr>
        <w:t>(vergleiche Dokument TC/48/22 „Bericht über die Entschließungen“, Absatz 48)</w:t>
      </w:r>
      <w:bookmarkEnd w:id="24"/>
    </w:p>
    <w:p w:rsidR="00B027B0" w:rsidRPr="009774DA" w:rsidRDefault="00B027B0" w:rsidP="00E447BD">
      <w:pPr>
        <w:rPr>
          <w:rFonts w:ascii="ArialMT" w:hAnsi="ArialMT" w:cs="ArialMT"/>
          <w:sz w:val="18"/>
          <w:lang w:val="de-DE" w:eastAsia="de-DE" w:bidi="de-DE"/>
        </w:rPr>
      </w:pPr>
    </w:p>
    <w:p w:rsidR="00196886" w:rsidRPr="002F6EFE" w:rsidRDefault="00196886" w:rsidP="00E447BD">
      <w:r w:rsidRPr="002F6EFE">
        <w:fldChar w:fldCharType="begin"/>
      </w:r>
      <w:r w:rsidRPr="002F6EFE">
        <w:instrText xml:space="preserve"> AUTONUM  </w:instrText>
      </w:r>
      <w:r w:rsidRPr="002F6EFE">
        <w:fldChar w:fldCharType="end"/>
      </w:r>
      <w:r w:rsidRPr="002F6EFE">
        <w:tab/>
      </w:r>
      <w:r w:rsidR="00A85FEB" w:rsidRPr="00CC410D">
        <w:rPr>
          <w:rFonts w:eastAsia="Calibri"/>
          <w:lang w:val="de-DE" w:eastAsia="de-DE" w:bidi="de-DE"/>
        </w:rPr>
        <w:t>Der TC vereinbarte folgenden Text für GN 7 (TG-</w:t>
      </w:r>
      <w:r w:rsidR="00A85FEB">
        <w:rPr>
          <w:rFonts w:eastAsia="Calibri"/>
          <w:lang w:val="de-DE" w:eastAsia="de-DE" w:bidi="de-DE"/>
        </w:rPr>
        <w:t>Musterv</w:t>
      </w:r>
      <w:r w:rsidR="00A85FEB" w:rsidRPr="00CC410D">
        <w:rPr>
          <w:rFonts w:eastAsia="Calibri"/>
          <w:lang w:val="de-DE" w:eastAsia="de-DE" w:bidi="de-DE"/>
        </w:rPr>
        <w:t>orlage: Kapitel 2.3) „Menge des erforderlichen Vermehrungsmaterials„</w:t>
      </w:r>
      <w:r w:rsidR="00A85FEB">
        <w:t xml:space="preserve"> </w:t>
      </w:r>
      <w:r w:rsidR="00774628">
        <w:t>(</w:t>
      </w:r>
      <w:r w:rsidR="00A85FEB" w:rsidRPr="00816118">
        <w:rPr>
          <w:lang w:val="de-DE"/>
        </w:rPr>
        <w:t>vergleiche Dokument TC/</w:t>
      </w:r>
      <w:r w:rsidR="00A85FEB">
        <w:rPr>
          <w:lang w:val="de-DE"/>
        </w:rPr>
        <w:t>49/41 „</w:t>
      </w:r>
      <w:r w:rsidR="00A85FEB" w:rsidRPr="00816118">
        <w:rPr>
          <w:lang w:val="de-DE"/>
        </w:rPr>
        <w:t xml:space="preserve">Bericht über die Entschließungen”, </w:t>
      </w:r>
      <w:r w:rsidR="00A85FEB">
        <w:rPr>
          <w:lang w:val="de-DE"/>
        </w:rPr>
        <w:t>Absatz</w:t>
      </w:r>
      <w:r w:rsidR="00A85FEB">
        <w:t xml:space="preserve"> </w:t>
      </w:r>
      <w:r w:rsidR="00774628">
        <w:t>35)</w:t>
      </w:r>
      <w:r w:rsidRPr="002F6EFE">
        <w:t>:</w:t>
      </w:r>
    </w:p>
    <w:p w:rsidR="00196886" w:rsidRPr="002F6EFE" w:rsidRDefault="00196886" w:rsidP="00196886"/>
    <w:p w:rsidR="00A85FEB" w:rsidRPr="00CC410D" w:rsidRDefault="00A85FEB" w:rsidP="00A85FEB">
      <w:pPr>
        <w:ind w:left="567" w:right="567"/>
        <w:rPr>
          <w:rFonts w:cs="Arial"/>
          <w:sz w:val="18"/>
          <w:szCs w:val="18"/>
          <w:lang w:val="de-DE" w:eastAsia="de-DE" w:bidi="de-DE"/>
        </w:rPr>
      </w:pPr>
      <w:r w:rsidRPr="00CC410D">
        <w:rPr>
          <w:rFonts w:eastAsia="Calibri"/>
          <w:sz w:val="18"/>
          <w:szCs w:val="18"/>
          <w:lang w:val="de-DE" w:eastAsia="de-DE" w:bidi="de-DE"/>
        </w:rPr>
        <w:t>„Der Verfasser der Prüfungsrichtlinien sollte bei der Bestimmung der Menge des erforderlichen Vermehrungsmaterials folgende Faktoren berücksichtigen:</w:t>
      </w:r>
    </w:p>
    <w:p w:rsidR="00A85FEB" w:rsidRPr="00CC410D" w:rsidRDefault="00A85FEB" w:rsidP="00A85FEB">
      <w:pPr>
        <w:ind w:left="567" w:right="567"/>
        <w:rPr>
          <w:rFonts w:cs="Arial"/>
          <w:sz w:val="18"/>
          <w:szCs w:val="18"/>
          <w:lang w:val="de-DE" w:eastAsia="de-DE" w:bidi="de-DE"/>
        </w:rPr>
      </w:pPr>
    </w:p>
    <w:p w:rsidR="00A85FEB" w:rsidRPr="00CC410D" w:rsidRDefault="00A85FEB" w:rsidP="00A85FEB">
      <w:pPr>
        <w:tabs>
          <w:tab w:val="right" w:pos="567"/>
        </w:tabs>
        <w:ind w:left="1701" w:hanging="567"/>
        <w:rPr>
          <w:sz w:val="18"/>
          <w:szCs w:val="18"/>
          <w:lang w:val="de-DE" w:eastAsia="de-DE" w:bidi="de-DE"/>
        </w:rPr>
      </w:pPr>
      <w:r w:rsidRPr="00CC410D">
        <w:rPr>
          <w:rFonts w:eastAsia="Calibri"/>
          <w:sz w:val="18"/>
          <w:szCs w:val="18"/>
          <w:lang w:val="de-DE" w:eastAsia="de-DE" w:bidi="de-DE"/>
        </w:rPr>
        <w:t>i)</w:t>
      </w:r>
      <w:r w:rsidRPr="00CC410D">
        <w:rPr>
          <w:rFonts w:ascii="Calibri" w:eastAsia="Calibri" w:hAnsi="Calibri"/>
          <w:sz w:val="22"/>
          <w:szCs w:val="22"/>
          <w:lang w:val="de-DE" w:eastAsia="de-DE" w:bidi="de-DE"/>
        </w:rPr>
        <w:tab/>
      </w:r>
      <w:r w:rsidRPr="00CC410D">
        <w:rPr>
          <w:rFonts w:eastAsia="Calibri"/>
          <w:sz w:val="18"/>
          <w:szCs w:val="18"/>
          <w:lang w:val="de-DE" w:eastAsia="de-DE" w:bidi="de-DE"/>
        </w:rPr>
        <w:t>Anzahl der zu prüfenden Pflanzen / Pflanzenteile</w:t>
      </w:r>
    </w:p>
    <w:p w:rsidR="00A85FEB" w:rsidRPr="00CC410D" w:rsidRDefault="00A85FEB" w:rsidP="00A85FEB">
      <w:pPr>
        <w:tabs>
          <w:tab w:val="right" w:pos="426"/>
        </w:tabs>
        <w:ind w:left="1701" w:hanging="567"/>
        <w:rPr>
          <w:sz w:val="18"/>
          <w:szCs w:val="18"/>
          <w:lang w:val="de-DE" w:eastAsia="de-DE" w:bidi="de-DE"/>
        </w:rPr>
      </w:pPr>
      <w:r w:rsidRPr="00CC410D">
        <w:rPr>
          <w:rFonts w:eastAsia="Calibri"/>
          <w:sz w:val="18"/>
          <w:szCs w:val="18"/>
          <w:lang w:val="de-DE" w:eastAsia="de-DE" w:bidi="de-DE"/>
        </w:rPr>
        <w:t>ii)</w:t>
      </w:r>
      <w:r w:rsidRPr="00CC410D">
        <w:rPr>
          <w:rFonts w:ascii="Calibri" w:eastAsia="Calibri" w:hAnsi="Calibri"/>
          <w:sz w:val="22"/>
          <w:szCs w:val="22"/>
          <w:lang w:val="de-DE" w:eastAsia="de-DE" w:bidi="de-DE"/>
        </w:rPr>
        <w:tab/>
      </w:r>
      <w:r w:rsidRPr="00CC410D">
        <w:rPr>
          <w:rFonts w:eastAsia="Calibri"/>
          <w:sz w:val="18"/>
          <w:szCs w:val="18"/>
          <w:lang w:val="de-DE" w:eastAsia="de-DE" w:bidi="de-DE"/>
        </w:rPr>
        <w:t>Anzahl von Wachstumsperioden</w:t>
      </w:r>
    </w:p>
    <w:p w:rsidR="00A85FEB" w:rsidRPr="00CC410D" w:rsidRDefault="00A85FEB" w:rsidP="00A85FEB">
      <w:pPr>
        <w:tabs>
          <w:tab w:val="right" w:pos="567"/>
        </w:tabs>
        <w:ind w:left="1701" w:hanging="567"/>
        <w:rPr>
          <w:sz w:val="18"/>
          <w:szCs w:val="18"/>
          <w:lang w:val="de-DE" w:eastAsia="de-DE" w:bidi="de-DE"/>
        </w:rPr>
      </w:pPr>
      <w:r w:rsidRPr="00CC410D">
        <w:rPr>
          <w:rFonts w:eastAsia="Calibri"/>
          <w:sz w:val="18"/>
          <w:szCs w:val="18"/>
          <w:lang w:val="de-DE" w:eastAsia="de-DE" w:bidi="de-DE"/>
        </w:rPr>
        <w:t>iii)</w:t>
      </w:r>
      <w:r w:rsidRPr="00CC410D">
        <w:rPr>
          <w:rFonts w:ascii="Calibri" w:eastAsia="Calibri" w:hAnsi="Calibri"/>
          <w:sz w:val="22"/>
          <w:szCs w:val="22"/>
          <w:lang w:val="de-DE" w:eastAsia="de-DE" w:bidi="de-DE"/>
        </w:rPr>
        <w:tab/>
      </w:r>
      <w:r w:rsidRPr="00CC410D">
        <w:rPr>
          <w:rFonts w:eastAsia="Calibri"/>
          <w:sz w:val="18"/>
          <w:szCs w:val="18"/>
          <w:lang w:val="de-DE" w:eastAsia="de-DE" w:bidi="de-DE"/>
        </w:rPr>
        <w:t>Variabilität innerhalb der Art</w:t>
      </w:r>
    </w:p>
    <w:p w:rsidR="00A85FEB" w:rsidRPr="00CC410D" w:rsidRDefault="00A85FEB" w:rsidP="00A85FEB">
      <w:pPr>
        <w:ind w:left="1701" w:hanging="567"/>
        <w:rPr>
          <w:sz w:val="18"/>
          <w:szCs w:val="18"/>
          <w:lang w:val="de-DE" w:eastAsia="de-DE" w:bidi="de-DE"/>
        </w:rPr>
      </w:pPr>
      <w:r w:rsidRPr="00CC410D">
        <w:rPr>
          <w:rFonts w:eastAsia="Calibri"/>
          <w:sz w:val="18"/>
          <w:szCs w:val="18"/>
          <w:lang w:val="de-DE" w:eastAsia="de-DE" w:bidi="de-DE"/>
        </w:rPr>
        <w:t>iv)</w:t>
      </w:r>
      <w:r w:rsidRPr="00CC410D">
        <w:rPr>
          <w:rFonts w:ascii="Calibri" w:eastAsia="Calibri" w:hAnsi="Calibri"/>
          <w:sz w:val="22"/>
          <w:szCs w:val="22"/>
          <w:lang w:val="de-DE" w:eastAsia="de-DE" w:bidi="de-DE"/>
        </w:rPr>
        <w:tab/>
      </w:r>
      <w:r w:rsidRPr="00CC410D">
        <w:rPr>
          <w:rFonts w:eastAsia="Calibri"/>
          <w:sz w:val="18"/>
          <w:szCs w:val="18"/>
          <w:lang w:val="de-DE" w:eastAsia="de-DE" w:bidi="de-DE"/>
        </w:rPr>
        <w:t xml:space="preserve">Zusätzliche Prüfungen (z.B. Resistenzprüfungen, Schoßprüfungen) </w:t>
      </w:r>
    </w:p>
    <w:p w:rsidR="00A85FEB" w:rsidRPr="00CC410D" w:rsidRDefault="00A85FEB" w:rsidP="00B027B0">
      <w:pPr>
        <w:ind w:left="1701" w:right="567" w:hanging="567"/>
        <w:rPr>
          <w:sz w:val="18"/>
          <w:szCs w:val="18"/>
          <w:lang w:val="de-DE" w:eastAsia="de-DE" w:bidi="de-DE"/>
        </w:rPr>
      </w:pPr>
      <w:r w:rsidRPr="00CC410D">
        <w:rPr>
          <w:rFonts w:eastAsia="Calibri"/>
          <w:sz w:val="18"/>
          <w:szCs w:val="18"/>
          <w:lang w:val="de-DE" w:eastAsia="de-DE" w:bidi="de-DE"/>
        </w:rPr>
        <w:t>v)</w:t>
      </w:r>
      <w:r w:rsidRPr="00CC410D">
        <w:rPr>
          <w:rFonts w:ascii="Calibri" w:eastAsia="Calibri" w:hAnsi="Calibri"/>
          <w:sz w:val="22"/>
          <w:szCs w:val="22"/>
          <w:lang w:val="de-DE" w:eastAsia="de-DE" w:bidi="de-DE"/>
        </w:rPr>
        <w:tab/>
      </w:r>
      <w:r w:rsidRPr="00CC410D">
        <w:rPr>
          <w:rFonts w:eastAsia="Calibri"/>
          <w:sz w:val="18"/>
          <w:szCs w:val="18"/>
          <w:lang w:val="de-DE" w:eastAsia="de-DE" w:bidi="de-DE"/>
        </w:rPr>
        <w:t xml:space="preserve">Besonderheiten der Vermehrung (z.B. Fremdbefruchtung, Selbstbefruchtung, vegetative Vermehrung) </w:t>
      </w:r>
    </w:p>
    <w:p w:rsidR="00A85FEB" w:rsidRPr="00CC410D" w:rsidRDefault="00A85FEB" w:rsidP="00A85FEB">
      <w:pPr>
        <w:ind w:left="1701" w:hanging="567"/>
        <w:rPr>
          <w:sz w:val="18"/>
          <w:szCs w:val="18"/>
          <w:lang w:val="de-DE" w:eastAsia="de-DE" w:bidi="de-DE"/>
        </w:rPr>
      </w:pPr>
      <w:r w:rsidRPr="00CC410D">
        <w:rPr>
          <w:rFonts w:eastAsia="Calibri"/>
          <w:sz w:val="18"/>
          <w:szCs w:val="18"/>
          <w:lang w:val="de-DE" w:eastAsia="de-DE" w:bidi="de-DE"/>
        </w:rPr>
        <w:t>vi)</w:t>
      </w:r>
      <w:r w:rsidRPr="00CC410D">
        <w:rPr>
          <w:rFonts w:ascii="Calibri" w:eastAsia="Calibri" w:hAnsi="Calibri"/>
          <w:sz w:val="22"/>
          <w:szCs w:val="22"/>
          <w:lang w:val="de-DE" w:eastAsia="de-DE" w:bidi="de-DE"/>
        </w:rPr>
        <w:tab/>
      </w:r>
      <w:r w:rsidRPr="00CC410D">
        <w:rPr>
          <w:rFonts w:eastAsia="Calibri"/>
          <w:sz w:val="18"/>
          <w:szCs w:val="18"/>
          <w:lang w:val="de-DE" w:eastAsia="de-DE" w:bidi="de-DE"/>
        </w:rPr>
        <w:t xml:space="preserve">Pflanzentyp (z.B. Wurzelpflanze, Blattpflanze, Obstpflanze, Schnittblume, Getreide, usw.) </w:t>
      </w:r>
    </w:p>
    <w:p w:rsidR="00A85FEB" w:rsidRPr="00CC410D" w:rsidRDefault="00A85FEB" w:rsidP="00A85FEB">
      <w:pPr>
        <w:tabs>
          <w:tab w:val="right" w:pos="1418"/>
        </w:tabs>
        <w:ind w:left="1701" w:hanging="567"/>
        <w:rPr>
          <w:sz w:val="18"/>
          <w:szCs w:val="18"/>
          <w:lang w:val="de-DE" w:eastAsia="de-DE" w:bidi="de-DE"/>
        </w:rPr>
      </w:pPr>
      <w:r w:rsidRPr="00CC410D">
        <w:rPr>
          <w:rFonts w:eastAsia="Calibri"/>
          <w:sz w:val="18"/>
          <w:szCs w:val="18"/>
          <w:lang w:val="de-DE" w:eastAsia="de-DE" w:bidi="de-DE"/>
        </w:rPr>
        <w:t>vii)</w:t>
      </w:r>
      <w:r w:rsidRPr="00CC410D">
        <w:rPr>
          <w:rFonts w:eastAsia="Calibri"/>
          <w:sz w:val="18"/>
          <w:szCs w:val="18"/>
          <w:lang w:val="de-DE" w:eastAsia="de-DE" w:bidi="de-DE"/>
        </w:rPr>
        <w:tab/>
      </w:r>
      <w:r w:rsidRPr="00CC410D">
        <w:rPr>
          <w:rFonts w:ascii="Calibri" w:eastAsia="Calibri" w:hAnsi="Calibri"/>
          <w:sz w:val="22"/>
          <w:szCs w:val="22"/>
          <w:lang w:val="de-DE" w:eastAsia="de-DE" w:bidi="de-DE"/>
        </w:rPr>
        <w:tab/>
      </w:r>
      <w:r w:rsidRPr="00CC410D">
        <w:rPr>
          <w:rFonts w:eastAsia="Calibri"/>
          <w:sz w:val="18"/>
          <w:szCs w:val="18"/>
          <w:lang w:val="de-DE" w:eastAsia="de-DE" w:bidi="de-DE"/>
        </w:rPr>
        <w:t>Aufbewahrung in Sortensammlung</w:t>
      </w:r>
    </w:p>
    <w:p w:rsidR="00A85FEB" w:rsidRPr="00CC410D" w:rsidRDefault="00A85FEB" w:rsidP="00A85FEB">
      <w:pPr>
        <w:tabs>
          <w:tab w:val="right" w:pos="1418"/>
        </w:tabs>
        <w:ind w:left="1701" w:hanging="567"/>
        <w:rPr>
          <w:sz w:val="18"/>
          <w:szCs w:val="18"/>
          <w:lang w:val="de-DE" w:eastAsia="de-DE" w:bidi="de-DE"/>
        </w:rPr>
      </w:pPr>
      <w:r w:rsidRPr="00CC410D">
        <w:rPr>
          <w:rFonts w:eastAsia="Calibri"/>
          <w:sz w:val="18"/>
          <w:szCs w:val="18"/>
          <w:lang w:val="de-DE" w:eastAsia="de-DE" w:bidi="de-DE"/>
        </w:rPr>
        <w:t>viii)</w:t>
      </w:r>
      <w:r w:rsidRPr="00CC410D">
        <w:rPr>
          <w:rFonts w:eastAsia="Calibri"/>
          <w:sz w:val="18"/>
          <w:szCs w:val="18"/>
          <w:lang w:val="de-DE" w:eastAsia="de-DE" w:bidi="de-DE"/>
        </w:rPr>
        <w:tab/>
      </w:r>
      <w:r w:rsidRPr="00CC410D">
        <w:rPr>
          <w:rFonts w:ascii="Calibri" w:eastAsia="Calibri" w:hAnsi="Calibri"/>
          <w:sz w:val="22"/>
          <w:szCs w:val="22"/>
          <w:lang w:val="de-DE" w:eastAsia="de-DE" w:bidi="de-DE"/>
        </w:rPr>
        <w:tab/>
      </w:r>
      <w:r w:rsidRPr="00CC410D">
        <w:rPr>
          <w:rFonts w:eastAsia="Calibri"/>
          <w:sz w:val="18"/>
          <w:szCs w:val="18"/>
          <w:lang w:val="de-DE" w:eastAsia="de-DE" w:bidi="de-DE"/>
        </w:rPr>
        <w:t>Austausch zwischen Prüfungsbehörden</w:t>
      </w:r>
    </w:p>
    <w:p w:rsidR="00A85FEB" w:rsidRPr="00CC410D" w:rsidRDefault="00A85FEB" w:rsidP="00A85FEB">
      <w:pPr>
        <w:ind w:left="1701" w:hanging="567"/>
        <w:rPr>
          <w:sz w:val="18"/>
          <w:szCs w:val="18"/>
          <w:lang w:val="de-DE" w:eastAsia="de-DE" w:bidi="de-DE"/>
        </w:rPr>
      </w:pPr>
      <w:r w:rsidRPr="00CC410D">
        <w:rPr>
          <w:rFonts w:eastAsia="Calibri"/>
          <w:sz w:val="18"/>
          <w:szCs w:val="18"/>
          <w:lang w:val="de-DE" w:eastAsia="de-DE" w:bidi="de-DE"/>
        </w:rPr>
        <w:t>ix)</w:t>
      </w:r>
      <w:r w:rsidRPr="00CC410D">
        <w:rPr>
          <w:rFonts w:ascii="Calibri" w:eastAsia="Calibri" w:hAnsi="Calibri"/>
          <w:sz w:val="22"/>
          <w:szCs w:val="22"/>
          <w:lang w:val="de-DE" w:eastAsia="de-DE" w:bidi="de-DE"/>
        </w:rPr>
        <w:tab/>
      </w:r>
      <w:r w:rsidRPr="00CC410D">
        <w:rPr>
          <w:rFonts w:eastAsia="Calibri"/>
          <w:sz w:val="18"/>
          <w:szCs w:val="18"/>
          <w:lang w:val="de-DE" w:eastAsia="de-DE" w:bidi="de-DE"/>
        </w:rPr>
        <w:t>Anforderungen an die Saatgutqualität (Keimfähigkeit)</w:t>
      </w:r>
    </w:p>
    <w:p w:rsidR="00A85FEB" w:rsidRPr="00CC410D" w:rsidRDefault="00A85FEB" w:rsidP="00A85FEB">
      <w:pPr>
        <w:ind w:left="1701" w:hanging="567"/>
        <w:rPr>
          <w:sz w:val="18"/>
          <w:szCs w:val="18"/>
          <w:lang w:val="de-DE" w:eastAsia="de-DE" w:bidi="de-DE"/>
        </w:rPr>
      </w:pPr>
      <w:r w:rsidRPr="00CC410D">
        <w:rPr>
          <w:rFonts w:eastAsia="Calibri"/>
          <w:sz w:val="18"/>
          <w:szCs w:val="18"/>
          <w:lang w:val="de-DE" w:eastAsia="de-DE" w:bidi="de-DE"/>
        </w:rPr>
        <w:t>x)</w:t>
      </w:r>
      <w:r w:rsidRPr="00CC410D">
        <w:rPr>
          <w:rFonts w:ascii="Calibri" w:eastAsia="Calibri" w:hAnsi="Calibri"/>
          <w:sz w:val="22"/>
          <w:szCs w:val="22"/>
          <w:lang w:val="de-DE" w:eastAsia="de-DE" w:bidi="de-DE"/>
        </w:rPr>
        <w:tab/>
      </w:r>
      <w:r w:rsidRPr="00CC410D">
        <w:rPr>
          <w:rFonts w:eastAsia="Calibri"/>
          <w:sz w:val="18"/>
          <w:szCs w:val="18"/>
          <w:lang w:val="de-DE" w:eastAsia="de-DE" w:bidi="de-DE"/>
        </w:rPr>
        <w:t xml:space="preserve">Anbaumethode (Freiland/Gewächshaus) </w:t>
      </w:r>
    </w:p>
    <w:p w:rsidR="00A85FEB" w:rsidRPr="00CC410D" w:rsidRDefault="00A85FEB" w:rsidP="00A85FEB">
      <w:pPr>
        <w:ind w:left="1701" w:hanging="567"/>
        <w:rPr>
          <w:sz w:val="18"/>
          <w:szCs w:val="18"/>
          <w:lang w:val="de-DE" w:eastAsia="de-DE" w:bidi="de-DE"/>
        </w:rPr>
      </w:pPr>
      <w:r w:rsidRPr="00CC410D">
        <w:rPr>
          <w:rFonts w:eastAsia="Calibri"/>
          <w:sz w:val="18"/>
          <w:szCs w:val="18"/>
          <w:lang w:val="de-DE" w:eastAsia="de-DE" w:bidi="de-DE"/>
        </w:rPr>
        <w:t>xi)</w:t>
      </w:r>
      <w:r w:rsidRPr="00CC410D">
        <w:rPr>
          <w:rFonts w:ascii="Calibri" w:eastAsia="Calibri" w:hAnsi="Calibri"/>
          <w:sz w:val="22"/>
          <w:szCs w:val="22"/>
          <w:lang w:val="de-DE" w:eastAsia="de-DE" w:bidi="de-DE"/>
        </w:rPr>
        <w:tab/>
      </w:r>
      <w:r w:rsidRPr="00CC410D">
        <w:rPr>
          <w:rFonts w:eastAsia="Calibri"/>
          <w:sz w:val="18"/>
          <w:szCs w:val="18"/>
          <w:lang w:val="de-DE" w:eastAsia="de-DE" w:bidi="de-DE"/>
        </w:rPr>
        <w:t>Sämethode</w:t>
      </w:r>
    </w:p>
    <w:p w:rsidR="00A85FEB" w:rsidRPr="00CC410D" w:rsidRDefault="00A85FEB" w:rsidP="00A85FEB">
      <w:pPr>
        <w:tabs>
          <w:tab w:val="right" w:pos="1418"/>
        </w:tabs>
        <w:ind w:left="1701" w:hanging="567"/>
        <w:rPr>
          <w:sz w:val="18"/>
          <w:szCs w:val="18"/>
          <w:lang w:val="de-DE" w:eastAsia="de-DE" w:bidi="de-DE"/>
        </w:rPr>
      </w:pPr>
      <w:r w:rsidRPr="00CC410D">
        <w:rPr>
          <w:rFonts w:eastAsia="Calibri"/>
          <w:sz w:val="18"/>
          <w:szCs w:val="18"/>
          <w:lang w:val="de-DE" w:eastAsia="de-DE" w:bidi="de-DE"/>
        </w:rPr>
        <w:t>xii)</w:t>
      </w:r>
      <w:r w:rsidRPr="00CC410D">
        <w:rPr>
          <w:rFonts w:eastAsia="Calibri"/>
          <w:sz w:val="18"/>
          <w:szCs w:val="18"/>
          <w:lang w:val="de-DE" w:eastAsia="de-DE" w:bidi="de-DE"/>
        </w:rPr>
        <w:tab/>
      </w:r>
      <w:r w:rsidRPr="00CC410D">
        <w:rPr>
          <w:rFonts w:ascii="Calibri" w:eastAsia="Calibri" w:hAnsi="Calibri"/>
          <w:sz w:val="22"/>
          <w:szCs w:val="22"/>
          <w:lang w:val="de-DE" w:eastAsia="de-DE" w:bidi="de-DE"/>
        </w:rPr>
        <w:tab/>
      </w:r>
      <w:r w:rsidRPr="00CC410D">
        <w:rPr>
          <w:rFonts w:eastAsia="Calibri"/>
          <w:sz w:val="18"/>
          <w:szCs w:val="18"/>
          <w:lang w:val="de-DE" w:eastAsia="de-DE" w:bidi="de-DE"/>
        </w:rPr>
        <w:t xml:space="preserve">Hauptsächliche Art der Erfassung (z.B. MS, VG) </w:t>
      </w:r>
    </w:p>
    <w:p w:rsidR="00A85FEB" w:rsidRPr="00CC410D" w:rsidRDefault="00A85FEB" w:rsidP="00A85FEB">
      <w:pPr>
        <w:ind w:left="1134"/>
        <w:rPr>
          <w:rFonts w:cs="Arial"/>
          <w:sz w:val="18"/>
          <w:szCs w:val="18"/>
          <w:lang w:val="de-DE" w:eastAsia="de-DE" w:bidi="de-DE"/>
        </w:rPr>
      </w:pPr>
    </w:p>
    <w:p w:rsidR="00196886" w:rsidRPr="002F6EFE" w:rsidRDefault="00A85FEB" w:rsidP="00A85FEB">
      <w:pPr>
        <w:ind w:left="567" w:right="567"/>
        <w:rPr>
          <w:rFonts w:cs="Arial"/>
          <w:sz w:val="18"/>
          <w:szCs w:val="18"/>
        </w:rPr>
      </w:pPr>
      <w:r w:rsidRPr="00CC410D">
        <w:rPr>
          <w:rFonts w:eastAsia="Calibri"/>
          <w:sz w:val="18"/>
          <w:szCs w:val="18"/>
          <w:lang w:val="de-DE" w:eastAsia="de-DE" w:bidi="de-DE"/>
        </w:rPr>
        <w:t xml:space="preserve">In der Regel entspricht bei </w:t>
      </w:r>
      <w:r w:rsidRPr="00CC410D">
        <w:rPr>
          <w:rFonts w:eastAsia="Calibri"/>
          <w:i/>
          <w:iCs/>
          <w:sz w:val="18"/>
          <w:szCs w:val="18"/>
          <w:lang w:val="de-DE" w:eastAsia="de-DE" w:bidi="de-DE"/>
        </w:rPr>
        <w:t>Pflanzen</w:t>
      </w:r>
      <w:r w:rsidRPr="00CC410D">
        <w:rPr>
          <w:rFonts w:eastAsia="Calibri"/>
          <w:sz w:val="18"/>
          <w:szCs w:val="18"/>
          <w:lang w:val="de-DE" w:eastAsia="de-DE" w:bidi="de-DE"/>
        </w:rPr>
        <w:t>, die nur für eine Wachstumsperiode benötigt werden (z. B. keine für besondere Prüfungen oder Sortensammlungen benötigte</w:t>
      </w:r>
      <w:r>
        <w:rPr>
          <w:rFonts w:eastAsia="Calibri"/>
          <w:sz w:val="18"/>
          <w:szCs w:val="18"/>
          <w:lang w:val="de-DE" w:eastAsia="de-DE" w:bidi="de-DE"/>
        </w:rPr>
        <w:t>n</w:t>
      </w:r>
      <w:r w:rsidRPr="00CC410D">
        <w:rPr>
          <w:rFonts w:eastAsia="Calibri"/>
          <w:sz w:val="18"/>
          <w:szCs w:val="18"/>
          <w:lang w:val="de-DE" w:eastAsia="de-DE" w:bidi="de-DE"/>
        </w:rPr>
        <w:t xml:space="preserve"> Pflanzen) die Anzahl der in Kapitel 2.3 verlangten Pflanzen oft der in den Kapiteln 3.4 „Gestaltung der Prüfung“ und 4.2 „Homogenität“ angegebenen Anzahl Pflanzen. Diesbezüglich wird daran erinnert, daß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w:t>
      </w:r>
      <w:r>
        <w:rPr>
          <w:rFonts w:eastAsia="Calibri"/>
          <w:sz w:val="18"/>
          <w:szCs w:val="18"/>
          <w:lang w:val="de-DE" w:eastAsia="de-DE" w:bidi="de-DE"/>
        </w:rPr>
        <w:t xml:space="preserve">nlegens der Prüfung (vergleiche </w:t>
      </w:r>
      <w:r w:rsidRPr="00CC410D">
        <w:rPr>
          <w:rFonts w:eastAsia="Calibri"/>
          <w:sz w:val="18"/>
          <w:szCs w:val="18"/>
          <w:lang w:val="de-DE" w:eastAsia="de-DE" w:bidi="de-DE"/>
        </w:rPr>
        <w:t>GN 7 a)</w:t>
      </w:r>
      <w:r w:rsidRPr="00CC410D">
        <w:rPr>
          <w:rFonts w:eastAsia="Calibri"/>
          <w:iCs/>
          <w:sz w:val="18"/>
          <w:szCs w:val="18"/>
          <w:lang w:val="de-DE" w:eastAsia="de-DE" w:bidi="de-DE"/>
        </w:rPr>
        <w:t>) zu berücksichtigen</w:t>
      </w:r>
      <w:r w:rsidRPr="00CC410D">
        <w:rPr>
          <w:rFonts w:eastAsia="Calibri"/>
          <w:sz w:val="18"/>
          <w:szCs w:val="18"/>
          <w:lang w:val="de-DE" w:eastAsia="de-DE" w:bidi="de-DE"/>
        </w:rPr>
        <w:t>. In bezug auf die in Kapitel 2.3 angegebene Anzahl Pflanzen sollte die Anzahl der zu prüfenden Pflanzen/Pflanzenteile (Kapitel 4.1.4) mindestens die Möglichkeit zulassen, daß Abweicherpflanzen innerhalb der zulässigen Anzahl von den Erfassungen ausgeschlossen werden.”</w:t>
      </w:r>
      <w:r w:rsidR="00196886" w:rsidRPr="002F6EFE">
        <w:rPr>
          <w:rFonts w:cs="Arial"/>
          <w:sz w:val="18"/>
          <w:szCs w:val="18"/>
        </w:rPr>
        <w:t xml:space="preserve"> </w:t>
      </w:r>
    </w:p>
    <w:p w:rsidR="00196886" w:rsidRPr="002F6EFE" w:rsidRDefault="00196886" w:rsidP="00196886"/>
    <w:p w:rsidR="00196886" w:rsidRPr="002F6EFE" w:rsidRDefault="00196886" w:rsidP="00196886">
      <w:pPr>
        <w:rPr>
          <w:rFonts w:cs="Arial"/>
        </w:rPr>
      </w:pPr>
      <w:r w:rsidRPr="002F6EFE">
        <w:fldChar w:fldCharType="begin"/>
      </w:r>
      <w:r w:rsidRPr="002F6EFE">
        <w:instrText xml:space="preserve"> AUTONUM  </w:instrText>
      </w:r>
      <w:r w:rsidRPr="002F6EFE">
        <w:fldChar w:fldCharType="end"/>
      </w:r>
      <w:r w:rsidRPr="002F6EFE">
        <w:tab/>
      </w:r>
      <w:r w:rsidR="00E521BC" w:rsidRPr="00CC410D">
        <w:rPr>
          <w:rFonts w:eastAsia="Calibri"/>
          <w:lang w:val="de-DE" w:eastAsia="de-DE" w:bidi="de-DE"/>
        </w:rPr>
        <w:t>Der TC war sich darin einig, daß es nicht zweckmäßig sei, die Ausarbeitung von zusätzlichem Standardwortlaut (ASW) für Kapitel 2.3 „Mindestmenge an Vermehrungsmaterial” anzustreben</w:t>
      </w:r>
      <w:r w:rsidR="00AF025E">
        <w:rPr>
          <w:rFonts w:cs="Arial"/>
        </w:rPr>
        <w:t xml:space="preserve"> </w:t>
      </w:r>
      <w:r w:rsidR="00AF025E">
        <w:t>(</w:t>
      </w:r>
      <w:r w:rsidR="00E521BC" w:rsidRPr="00816118">
        <w:rPr>
          <w:lang w:val="de-DE"/>
        </w:rPr>
        <w:t>vergleiche Dokument TC/</w:t>
      </w:r>
      <w:r w:rsidR="00E521BC">
        <w:rPr>
          <w:lang w:val="de-DE"/>
        </w:rPr>
        <w:t>49/41 „</w:t>
      </w:r>
      <w:r w:rsidR="00E521BC" w:rsidRPr="00816118">
        <w:rPr>
          <w:lang w:val="de-DE"/>
        </w:rPr>
        <w:t xml:space="preserve">Bericht über die Entschließungen”, </w:t>
      </w:r>
      <w:r w:rsidR="00E521BC">
        <w:rPr>
          <w:lang w:val="de-DE"/>
        </w:rPr>
        <w:t>Absatz</w:t>
      </w:r>
      <w:r w:rsidR="00E521BC">
        <w:t xml:space="preserve"> </w:t>
      </w:r>
      <w:r w:rsidR="00AF025E">
        <w:t>36)</w:t>
      </w:r>
      <w:r>
        <w:rPr>
          <w:rFonts w:cs="Arial"/>
        </w:rPr>
        <w:t>.</w:t>
      </w:r>
    </w:p>
    <w:p w:rsidR="00196886" w:rsidRPr="002F6EFE" w:rsidRDefault="00196886" w:rsidP="00196886">
      <w:pPr>
        <w:rPr>
          <w:rFonts w:cs="Arial"/>
        </w:rPr>
      </w:pPr>
    </w:p>
    <w:p w:rsidR="00196886" w:rsidRPr="002F6EFE" w:rsidRDefault="00196886" w:rsidP="00196886">
      <w:r w:rsidRPr="002F6EFE">
        <w:fldChar w:fldCharType="begin"/>
      </w:r>
      <w:r w:rsidRPr="002F6EFE">
        <w:instrText xml:space="preserve"> AUTONUM  </w:instrText>
      </w:r>
      <w:r w:rsidRPr="002F6EFE">
        <w:fldChar w:fldCharType="end"/>
      </w:r>
      <w:r w:rsidRPr="002F6EFE">
        <w:tab/>
      </w:r>
      <w:r w:rsidR="00851FD6" w:rsidRPr="00CC410D">
        <w:rPr>
          <w:rFonts w:eastAsia="Calibri"/>
          <w:lang w:val="de-DE" w:eastAsia="de-DE" w:bidi="de-DE"/>
        </w:rPr>
        <w:t>Der TC nahm zur Kenntnis, daß das Verbandsbüro eine Zusammenfassung der Information über angenommene Prüfungsrichtlinien zur Vorlage bei Untergruppen und interessierten Sachverständigen erstellen werde</w:t>
      </w:r>
      <w:r w:rsidR="00851FD6">
        <w:t xml:space="preserve"> </w:t>
      </w:r>
      <w:r w:rsidR="00AF025E">
        <w:t>(</w:t>
      </w:r>
      <w:r w:rsidR="00851FD6" w:rsidRPr="00816118">
        <w:rPr>
          <w:lang w:val="de-DE"/>
        </w:rPr>
        <w:t>vergleiche Dokument TC/</w:t>
      </w:r>
      <w:r w:rsidR="00851FD6">
        <w:rPr>
          <w:lang w:val="de-DE"/>
        </w:rPr>
        <w:t>49/41 „</w:t>
      </w:r>
      <w:r w:rsidR="00851FD6" w:rsidRPr="00816118">
        <w:rPr>
          <w:lang w:val="de-DE"/>
        </w:rPr>
        <w:t xml:space="preserve">Bericht über die Entschließungen”, </w:t>
      </w:r>
      <w:r w:rsidR="00851FD6">
        <w:rPr>
          <w:lang w:val="de-DE"/>
        </w:rPr>
        <w:t>Absatz</w:t>
      </w:r>
      <w:r w:rsidR="00851FD6">
        <w:t xml:space="preserve"> </w:t>
      </w:r>
      <w:r w:rsidR="00AF025E">
        <w:t>37)</w:t>
      </w:r>
      <w:r>
        <w:t>.</w:t>
      </w:r>
    </w:p>
    <w:p w:rsidR="00196886" w:rsidRDefault="00196886" w:rsidP="00196886"/>
    <w:p w:rsidR="00196886" w:rsidRDefault="00196886" w:rsidP="00196886">
      <w:r>
        <w:fldChar w:fldCharType="begin"/>
      </w:r>
      <w:r>
        <w:instrText xml:space="preserve"> AUTONUM  </w:instrText>
      </w:r>
      <w:r>
        <w:fldChar w:fldCharType="end"/>
      </w:r>
      <w:r>
        <w:tab/>
      </w:r>
      <w:r w:rsidR="00851FD6" w:rsidRPr="00CC410D">
        <w:rPr>
          <w:rFonts w:eastAsia="Calibri"/>
          <w:lang w:val="de-DE" w:eastAsia="de-DE" w:bidi="de-DE"/>
        </w:rPr>
        <w:t>Der TC rief in Erinnerung, daß er zuvor vereinbart hatte, die Anleitung in Dokument TGP/7, GN 7 zu erweitern, um führende Sachverständige zu unterstützen, die Menge des erforderlichen Vermehrungsmaterials für ähnliche Arten zu prüfen, um so weit wie möglich Konsistenz anzustreben. In dieser Hinsicht hatte er vereinbart, daß eine Zusammenfassung folgender Informationen für alle angenommenen Prüfungsrichtlinien vom Verbandsbüro erstellt und den führenden Sachverständigen auf der Webseite für Verfasser von Prüfungsrichtlinien zugänglich gemacht werden solle, damit der führende Sachverständige diese Informationen der Untergruppe beteiligter Sachverständiger darlegen könne</w:t>
      </w:r>
      <w:r w:rsidR="00851FD6">
        <w:t xml:space="preserve"> </w:t>
      </w:r>
      <w:r w:rsidR="00AF025E">
        <w:t>(</w:t>
      </w:r>
      <w:r w:rsidR="00851FD6" w:rsidRPr="00816118">
        <w:rPr>
          <w:lang w:val="de-DE"/>
        </w:rPr>
        <w:t>vergleiche Dokument TC/</w:t>
      </w:r>
      <w:r w:rsidR="00851FD6">
        <w:rPr>
          <w:lang w:val="de-DE"/>
        </w:rPr>
        <w:t>49/41 „</w:t>
      </w:r>
      <w:r w:rsidR="00851FD6" w:rsidRPr="00816118">
        <w:rPr>
          <w:lang w:val="de-DE"/>
        </w:rPr>
        <w:t xml:space="preserve">Bericht über die Entschließungen”, </w:t>
      </w:r>
      <w:r w:rsidR="00851FD6">
        <w:rPr>
          <w:lang w:val="de-DE"/>
        </w:rPr>
        <w:t>Absatz</w:t>
      </w:r>
      <w:r w:rsidR="00851FD6">
        <w:t xml:space="preserve"> </w:t>
      </w:r>
      <w:r w:rsidR="00AF025E">
        <w:t>38)</w:t>
      </w:r>
    </w:p>
    <w:p w:rsidR="00196886" w:rsidRDefault="00196886" w:rsidP="00196886"/>
    <w:p w:rsidR="00851FD6" w:rsidRPr="00CC410D" w:rsidRDefault="00851FD6" w:rsidP="00851FD6">
      <w:pPr>
        <w:tabs>
          <w:tab w:val="left" w:pos="1134"/>
          <w:tab w:val="left" w:pos="2478"/>
        </w:tabs>
        <w:ind w:left="1134" w:hanging="567"/>
        <w:rPr>
          <w:lang w:val="de-DE" w:eastAsia="de-DE" w:bidi="de-DE"/>
        </w:rPr>
      </w:pPr>
      <w:r w:rsidRPr="00CC410D">
        <w:rPr>
          <w:rFonts w:eastAsia="Calibri"/>
          <w:lang w:val="de-DE" w:eastAsia="de-DE" w:bidi="de-DE"/>
        </w:rPr>
        <w:t>a)</w:t>
      </w:r>
      <w:r w:rsidRPr="00CC410D">
        <w:rPr>
          <w:rFonts w:ascii="Calibri" w:eastAsia="Calibri" w:hAnsi="Calibri"/>
          <w:sz w:val="22"/>
          <w:szCs w:val="22"/>
          <w:lang w:val="de-DE" w:eastAsia="de-DE" w:bidi="de-DE"/>
        </w:rPr>
        <w:tab/>
      </w:r>
      <w:r w:rsidRPr="00CC410D">
        <w:rPr>
          <w:rFonts w:eastAsia="Calibri"/>
          <w:lang w:val="de-DE" w:eastAsia="de-DE" w:bidi="de-DE"/>
        </w:rPr>
        <w:t xml:space="preserve">Kapitel 2.3 </w:t>
      </w:r>
      <w:r w:rsidRPr="00CC410D">
        <w:rPr>
          <w:rFonts w:ascii="Calibri" w:eastAsia="Calibri" w:hAnsi="Calibri"/>
          <w:sz w:val="22"/>
          <w:szCs w:val="22"/>
          <w:lang w:val="de-DE" w:eastAsia="de-DE" w:bidi="de-DE"/>
        </w:rPr>
        <w:tab/>
      </w:r>
      <w:r w:rsidRPr="00CC410D">
        <w:rPr>
          <w:rFonts w:eastAsia="Calibri"/>
          <w:lang w:val="de-DE" w:eastAsia="de-DE" w:bidi="de-DE"/>
        </w:rPr>
        <w:t>Die vom Anmelder einzusendende Mindestmenge an Vermehrungsmaterial</w:t>
      </w:r>
    </w:p>
    <w:p w:rsidR="00851FD6" w:rsidRPr="00CC410D" w:rsidRDefault="00851FD6" w:rsidP="00851FD6">
      <w:pPr>
        <w:tabs>
          <w:tab w:val="left" w:pos="1134"/>
          <w:tab w:val="left" w:pos="2478"/>
        </w:tabs>
        <w:ind w:left="567"/>
        <w:rPr>
          <w:lang w:val="de-DE" w:eastAsia="de-DE" w:bidi="de-DE"/>
        </w:rPr>
      </w:pPr>
      <w:r w:rsidRPr="00CC410D">
        <w:rPr>
          <w:rFonts w:eastAsia="Calibri"/>
          <w:lang w:val="de-DE" w:eastAsia="de-DE" w:bidi="de-DE"/>
        </w:rPr>
        <w:t>b)</w:t>
      </w:r>
      <w:r w:rsidRPr="00CC410D">
        <w:rPr>
          <w:rFonts w:ascii="Calibri" w:eastAsia="Calibri" w:hAnsi="Calibri"/>
          <w:sz w:val="22"/>
          <w:szCs w:val="22"/>
          <w:lang w:val="de-DE" w:eastAsia="de-DE" w:bidi="de-DE"/>
        </w:rPr>
        <w:tab/>
      </w:r>
      <w:r w:rsidRPr="00CC410D">
        <w:rPr>
          <w:rFonts w:eastAsia="Calibri"/>
          <w:lang w:val="de-DE" w:eastAsia="de-DE" w:bidi="de-DE"/>
        </w:rPr>
        <w:t xml:space="preserve">Kapitel 3.1 </w:t>
      </w:r>
      <w:r w:rsidRPr="00CC410D">
        <w:rPr>
          <w:rFonts w:ascii="Calibri" w:eastAsia="Calibri" w:hAnsi="Calibri"/>
          <w:sz w:val="22"/>
          <w:szCs w:val="22"/>
          <w:lang w:val="de-DE" w:eastAsia="de-DE" w:bidi="de-DE"/>
        </w:rPr>
        <w:tab/>
      </w:r>
      <w:r w:rsidRPr="00CC410D">
        <w:rPr>
          <w:rFonts w:eastAsia="Calibri"/>
          <w:lang w:val="de-DE" w:eastAsia="de-DE" w:bidi="de-DE"/>
        </w:rPr>
        <w:t>Anzahl der Wachstumsperioden</w:t>
      </w:r>
    </w:p>
    <w:p w:rsidR="00851FD6" w:rsidRPr="00147A2A" w:rsidRDefault="00851FD6" w:rsidP="00851FD6">
      <w:pPr>
        <w:tabs>
          <w:tab w:val="left" w:pos="1134"/>
          <w:tab w:val="left" w:pos="2478"/>
        </w:tabs>
        <w:ind w:left="2478" w:hanging="1911"/>
        <w:rPr>
          <w:lang w:val="de-DE" w:eastAsia="de-DE" w:bidi="de-DE"/>
        </w:rPr>
      </w:pPr>
      <w:r w:rsidRPr="00CC410D">
        <w:rPr>
          <w:rFonts w:eastAsia="Calibri"/>
          <w:lang w:val="de-DE" w:eastAsia="de-DE" w:bidi="de-DE"/>
        </w:rPr>
        <w:t>c)</w:t>
      </w:r>
      <w:r w:rsidRPr="00CC410D">
        <w:rPr>
          <w:rFonts w:ascii="Calibri" w:eastAsia="Calibri" w:hAnsi="Calibri"/>
          <w:sz w:val="22"/>
          <w:szCs w:val="22"/>
          <w:lang w:val="de-DE" w:eastAsia="de-DE" w:bidi="de-DE"/>
        </w:rPr>
        <w:tab/>
      </w:r>
      <w:r w:rsidRPr="00CC410D">
        <w:rPr>
          <w:rFonts w:eastAsia="Calibri"/>
          <w:lang w:val="de-DE" w:eastAsia="de-DE" w:bidi="de-DE"/>
        </w:rPr>
        <w:t xml:space="preserve">Kapitel 3.4.1 </w:t>
      </w:r>
      <w:r w:rsidRPr="00CC410D">
        <w:rPr>
          <w:rFonts w:ascii="Calibri" w:eastAsia="Calibri" w:hAnsi="Calibri"/>
          <w:sz w:val="22"/>
          <w:szCs w:val="22"/>
          <w:lang w:val="de-DE" w:eastAsia="de-DE" w:bidi="de-DE"/>
        </w:rPr>
        <w:tab/>
      </w:r>
      <w:r w:rsidRPr="00CC410D">
        <w:rPr>
          <w:rFonts w:eastAsia="Calibri"/>
          <w:lang w:val="de-DE" w:eastAsia="de-DE" w:bidi="de-DE"/>
        </w:rPr>
        <w:t>Jede Prüfung sollte so gestaltet werden, daß sie insgesamt mindestens x Pflanzen umfaßt</w:t>
      </w:r>
    </w:p>
    <w:p w:rsidR="00851FD6" w:rsidRPr="00147A2A" w:rsidRDefault="00851FD6" w:rsidP="00851FD6">
      <w:pPr>
        <w:tabs>
          <w:tab w:val="left" w:pos="1134"/>
          <w:tab w:val="left" w:pos="2478"/>
        </w:tabs>
        <w:ind w:left="567"/>
        <w:rPr>
          <w:lang w:val="de-DE" w:eastAsia="de-DE" w:bidi="de-DE"/>
        </w:rPr>
      </w:pPr>
      <w:r w:rsidRPr="00147A2A">
        <w:rPr>
          <w:rFonts w:eastAsia="Calibri"/>
          <w:lang w:val="de-DE" w:eastAsia="de-DE" w:bidi="de-DE"/>
        </w:rPr>
        <w:t>d)</w:t>
      </w:r>
      <w:r w:rsidRPr="00147A2A">
        <w:rPr>
          <w:rFonts w:ascii="Calibri" w:eastAsia="Calibri" w:hAnsi="Calibri"/>
          <w:sz w:val="22"/>
          <w:szCs w:val="22"/>
          <w:lang w:val="de-DE" w:eastAsia="de-DE" w:bidi="de-DE"/>
        </w:rPr>
        <w:tab/>
      </w:r>
      <w:r w:rsidRPr="00147A2A">
        <w:rPr>
          <w:rFonts w:eastAsia="Calibri"/>
          <w:lang w:val="de-DE" w:eastAsia="de-DE" w:bidi="de-DE"/>
        </w:rPr>
        <w:t xml:space="preserve">Kapitel 4.1.4 </w:t>
      </w:r>
      <w:r w:rsidRPr="00147A2A">
        <w:rPr>
          <w:rFonts w:ascii="Calibri" w:eastAsia="Calibri" w:hAnsi="Calibri"/>
          <w:sz w:val="22"/>
          <w:szCs w:val="22"/>
          <w:lang w:val="de-DE" w:eastAsia="de-DE" w:bidi="de-DE"/>
        </w:rPr>
        <w:tab/>
      </w:r>
      <w:r w:rsidRPr="00147A2A">
        <w:rPr>
          <w:rFonts w:eastAsia="Calibri"/>
          <w:lang w:val="de-DE" w:eastAsia="de-DE" w:bidi="de-DE"/>
        </w:rPr>
        <w:t>Anzahl der auf Unterscheidbarkeit zu prüfenden Pflanzen / Pflanzenteile</w:t>
      </w:r>
    </w:p>
    <w:p w:rsidR="00851FD6" w:rsidRPr="00147A2A" w:rsidRDefault="00851FD6" w:rsidP="00851FD6">
      <w:pPr>
        <w:tabs>
          <w:tab w:val="left" w:pos="1134"/>
          <w:tab w:val="left" w:pos="2478"/>
        </w:tabs>
        <w:ind w:left="567"/>
        <w:rPr>
          <w:lang w:val="de-DE" w:eastAsia="de-DE" w:bidi="de-DE"/>
        </w:rPr>
      </w:pPr>
      <w:r w:rsidRPr="00147A2A">
        <w:rPr>
          <w:rFonts w:eastAsia="Calibri"/>
          <w:lang w:val="de-DE" w:eastAsia="de-DE" w:bidi="de-DE"/>
        </w:rPr>
        <w:t>e)</w:t>
      </w:r>
      <w:r w:rsidRPr="00147A2A">
        <w:rPr>
          <w:rFonts w:ascii="Calibri" w:eastAsia="Calibri" w:hAnsi="Calibri"/>
          <w:sz w:val="22"/>
          <w:szCs w:val="22"/>
          <w:lang w:val="de-DE" w:eastAsia="de-DE" w:bidi="de-DE"/>
        </w:rPr>
        <w:tab/>
      </w:r>
      <w:r w:rsidRPr="00147A2A">
        <w:rPr>
          <w:rFonts w:eastAsia="Calibri"/>
          <w:lang w:val="de-DE" w:eastAsia="de-DE" w:bidi="de-DE"/>
        </w:rPr>
        <w:t xml:space="preserve">Kapitel 4.2 </w:t>
      </w:r>
      <w:r w:rsidRPr="00147A2A">
        <w:rPr>
          <w:rFonts w:ascii="Calibri" w:eastAsia="Calibri" w:hAnsi="Calibri"/>
          <w:sz w:val="22"/>
          <w:szCs w:val="22"/>
          <w:lang w:val="de-DE" w:eastAsia="de-DE" w:bidi="de-DE"/>
        </w:rPr>
        <w:tab/>
      </w:r>
      <w:r w:rsidRPr="00147A2A">
        <w:rPr>
          <w:rFonts w:eastAsia="Calibri"/>
          <w:lang w:val="de-DE" w:eastAsia="de-DE" w:bidi="de-DE"/>
        </w:rPr>
        <w:t>Anzahl der auf Homogenität zu prüfenden Pflanzen</w:t>
      </w:r>
    </w:p>
    <w:p w:rsidR="00851FD6" w:rsidRPr="00147A2A" w:rsidRDefault="00851FD6" w:rsidP="00851FD6">
      <w:pPr>
        <w:tabs>
          <w:tab w:val="left" w:pos="1134"/>
          <w:tab w:val="left" w:pos="2478"/>
        </w:tabs>
        <w:ind w:left="567"/>
        <w:rPr>
          <w:lang w:val="de-DE" w:eastAsia="de-DE" w:bidi="de-DE"/>
        </w:rPr>
      </w:pPr>
      <w:r w:rsidRPr="00147A2A">
        <w:rPr>
          <w:rFonts w:eastAsia="Calibri"/>
          <w:lang w:val="de-DE" w:eastAsia="de-DE" w:bidi="de-DE"/>
        </w:rPr>
        <w:t>f)</w:t>
      </w:r>
      <w:r w:rsidRPr="00147A2A">
        <w:rPr>
          <w:rFonts w:ascii="Calibri" w:eastAsia="Calibri" w:hAnsi="Calibri"/>
          <w:sz w:val="22"/>
          <w:szCs w:val="22"/>
          <w:lang w:val="de-DE" w:eastAsia="de-DE" w:bidi="de-DE"/>
        </w:rPr>
        <w:tab/>
      </w:r>
      <w:r w:rsidRPr="00147A2A">
        <w:rPr>
          <w:rFonts w:eastAsia="Calibri"/>
          <w:lang w:val="de-DE" w:eastAsia="de-DE" w:bidi="de-DE"/>
        </w:rPr>
        <w:t>Anzahl der Pflanzen für besondere Prüfungen (z.B. Krankheitsresistenzprüfungen)</w:t>
      </w:r>
    </w:p>
    <w:p w:rsidR="00196886" w:rsidRPr="00147A2A" w:rsidRDefault="00196886" w:rsidP="00196886">
      <w:pPr>
        <w:ind w:left="567"/>
        <w:rPr>
          <w:lang w:val="de-DE"/>
        </w:rPr>
      </w:pPr>
    </w:p>
    <w:p w:rsidR="00196886" w:rsidRPr="00147A2A" w:rsidRDefault="00851FD6" w:rsidP="00196886">
      <w:pPr>
        <w:ind w:left="567"/>
        <w:rPr>
          <w:lang w:val="de-DE"/>
        </w:rPr>
      </w:pPr>
      <w:r w:rsidRPr="00147A2A">
        <w:rPr>
          <w:lang w:val="de-DE"/>
        </w:rPr>
        <w:t>(vergleiche Dok</w:t>
      </w:r>
      <w:r w:rsidR="00134A84">
        <w:rPr>
          <w:lang w:val="de-DE"/>
        </w:rPr>
        <w:t>u</w:t>
      </w:r>
      <w:r w:rsidR="00196886" w:rsidRPr="00147A2A">
        <w:rPr>
          <w:lang w:val="de-DE"/>
        </w:rPr>
        <w:t>ment TC/</w:t>
      </w:r>
      <w:r w:rsidR="00BB1321" w:rsidRPr="00147A2A">
        <w:rPr>
          <w:lang w:val="de-DE"/>
        </w:rPr>
        <w:t>47</w:t>
      </w:r>
      <w:r w:rsidR="00196886" w:rsidRPr="00147A2A">
        <w:rPr>
          <w:lang w:val="de-DE"/>
        </w:rPr>
        <w:t>/</w:t>
      </w:r>
      <w:r w:rsidR="00BB1321" w:rsidRPr="00147A2A">
        <w:rPr>
          <w:lang w:val="de-DE"/>
        </w:rPr>
        <w:t>26</w:t>
      </w:r>
      <w:r w:rsidRPr="00147A2A">
        <w:rPr>
          <w:lang w:val="de-DE"/>
        </w:rPr>
        <w:t xml:space="preserve"> </w:t>
      </w:r>
      <w:r w:rsidR="00147A2A">
        <w:rPr>
          <w:lang w:val="de-DE"/>
        </w:rPr>
        <w:t>„</w:t>
      </w:r>
      <w:r w:rsidRPr="00147A2A">
        <w:rPr>
          <w:lang w:val="de-DE"/>
        </w:rPr>
        <w:t>Bericht über die Entschließungen”, Absatz</w:t>
      </w:r>
      <w:r w:rsidR="00196886" w:rsidRPr="00147A2A">
        <w:rPr>
          <w:lang w:val="de-DE"/>
        </w:rPr>
        <w:t xml:space="preserve"> 57).</w:t>
      </w:r>
    </w:p>
    <w:p w:rsidR="00196886" w:rsidRPr="002F6EFE" w:rsidRDefault="00196886" w:rsidP="00196886">
      <w:pPr>
        <w:ind w:left="567" w:right="567"/>
        <w:rPr>
          <w:rFonts w:cs="Arial"/>
          <w:sz w:val="18"/>
          <w:lang w:eastAsia="ja-JP"/>
        </w:rPr>
      </w:pPr>
    </w:p>
    <w:p w:rsidR="00196886" w:rsidRPr="00AF342C" w:rsidRDefault="00196886" w:rsidP="00B027B0"/>
    <w:p w:rsidR="00147A2A" w:rsidRPr="00134A84" w:rsidRDefault="00147A2A" w:rsidP="00E447BD">
      <w:pPr>
        <w:pStyle w:val="Heading5"/>
        <w:rPr>
          <w:rFonts w:cs="Arial"/>
        </w:rPr>
      </w:pPr>
      <w:r w:rsidRPr="00134A84">
        <w:lastRenderedPageBreak/>
        <w:t>Anleitung zur Anzahl der (auf Unterscheidbarkeit) zu prüfenden Pflanzen</w:t>
      </w:r>
    </w:p>
    <w:p w:rsidR="00196886" w:rsidRPr="00B174E2" w:rsidRDefault="00196886" w:rsidP="00196886">
      <w:pPr>
        <w:keepNext/>
      </w:pPr>
    </w:p>
    <w:p w:rsidR="00147A2A" w:rsidRPr="00CC410D" w:rsidRDefault="00196886" w:rsidP="00147A2A">
      <w:pPr>
        <w:keepNext/>
        <w:rPr>
          <w:lang w:val="de-DE" w:eastAsia="de-DE" w:bidi="de-DE"/>
        </w:rPr>
      </w:pPr>
      <w:r w:rsidRPr="00B174E2">
        <w:fldChar w:fldCharType="begin"/>
      </w:r>
      <w:r w:rsidRPr="00B174E2">
        <w:instrText xml:space="preserve"> AUTONUM  </w:instrText>
      </w:r>
      <w:r w:rsidRPr="00B174E2">
        <w:fldChar w:fldCharType="end"/>
      </w:r>
      <w:r w:rsidRPr="00B174E2">
        <w:tab/>
      </w:r>
      <w:r w:rsidR="00147A2A" w:rsidRPr="00CC410D">
        <w:rPr>
          <w:rFonts w:eastAsia="Calibri"/>
          <w:lang w:val="de-DE" w:eastAsia="de-DE" w:bidi="de-DE"/>
        </w:rPr>
        <w:t>Der TC prüfte das Dokument TC/49/17.</w:t>
      </w:r>
    </w:p>
    <w:p w:rsidR="00147A2A" w:rsidRPr="00CC410D" w:rsidRDefault="00147A2A" w:rsidP="00147A2A">
      <w:pPr>
        <w:keepNext/>
        <w:rPr>
          <w:lang w:val="de-DE" w:eastAsia="de-DE" w:bidi="de-DE"/>
        </w:rPr>
      </w:pPr>
    </w:p>
    <w:p w:rsidR="00196886" w:rsidRPr="00B174E2" w:rsidRDefault="00147A2A" w:rsidP="00196886">
      <w:pPr>
        <w:rPr>
          <w:rFonts w:cs="Arial"/>
        </w:rPr>
      </w:pPr>
      <w:r w:rsidRPr="00CC410D">
        <w:rPr>
          <w:lang w:eastAsia="de-DE" w:bidi="de-DE"/>
        </w:rPr>
        <w:fldChar w:fldCharType="begin"/>
      </w:r>
      <w:r w:rsidRPr="00CC410D">
        <w:rPr>
          <w:lang w:val="de-DE" w:eastAsia="de-DE" w:bidi="de-DE"/>
        </w:rPr>
        <w:instrText xml:space="preserve"> AUTONUM  </w:instrText>
      </w:r>
      <w:r w:rsidRPr="00CC410D">
        <w:rPr>
          <w:lang w:eastAsia="de-DE" w:bidi="de-DE"/>
        </w:rPr>
        <w:fldChar w:fldCharType="end"/>
      </w:r>
      <w:r w:rsidRPr="00CC410D">
        <w:rPr>
          <w:rFonts w:ascii="Calibri" w:eastAsia="Calibri" w:hAnsi="Calibri"/>
          <w:sz w:val="22"/>
          <w:szCs w:val="22"/>
          <w:lang w:val="de-DE" w:eastAsia="de-DE" w:bidi="de-DE"/>
        </w:rPr>
        <w:tab/>
      </w:r>
      <w:r w:rsidRPr="00CC410D">
        <w:rPr>
          <w:rFonts w:eastAsia="Calibri"/>
          <w:snapToGrid w:val="0"/>
          <w:lang w:val="de-DE" w:eastAsia="de-DE" w:bidi="de-DE"/>
        </w:rPr>
        <w:t xml:space="preserve">Der TC </w:t>
      </w:r>
      <w:r w:rsidRPr="00CC410D">
        <w:rPr>
          <w:rFonts w:eastAsia="Calibri"/>
          <w:iCs/>
          <w:snapToGrid w:val="0"/>
          <w:lang w:val="de-DE" w:eastAsia="de-DE" w:bidi="de-DE"/>
        </w:rPr>
        <w:t xml:space="preserve">vereinbarte folgenden Text als Grundlage für die Aufnahme einer </w:t>
      </w:r>
      <w:r>
        <w:rPr>
          <w:rFonts w:eastAsia="Calibri"/>
          <w:snapToGrid w:val="0"/>
          <w:lang w:val="de-DE" w:eastAsia="de-DE" w:bidi="de-DE"/>
        </w:rPr>
        <w:t>Erläuterung</w:t>
      </w:r>
      <w:r w:rsidRPr="00CC410D">
        <w:rPr>
          <w:rFonts w:eastAsia="Calibri"/>
          <w:snapToGrid w:val="0"/>
          <w:lang w:val="de-DE" w:eastAsia="de-DE" w:bidi="de-DE"/>
        </w:rPr>
        <w:t xml:space="preserve"> in eine künftige Überarbeitung von Dokument TGP/7, Abschnitt 4.1.4, und in eine künftige Überarbeitung von TGP/9 „Prüfung der Unterscheidbarkeit“</w:t>
      </w:r>
      <w:r w:rsidR="00110A16">
        <w:rPr>
          <w:rFonts w:cs="Arial"/>
        </w:rPr>
        <w:t xml:space="preserve"> </w:t>
      </w:r>
      <w:r w:rsidR="00110A16">
        <w:t>(</w:t>
      </w:r>
      <w:r w:rsidRPr="00816118">
        <w:rPr>
          <w:lang w:val="de-DE"/>
        </w:rPr>
        <w:t>vergleiche Dokument TC/</w:t>
      </w:r>
      <w:r>
        <w:rPr>
          <w:lang w:val="de-DE"/>
        </w:rPr>
        <w:t>49/41 „</w:t>
      </w:r>
      <w:r w:rsidRPr="00816118">
        <w:rPr>
          <w:lang w:val="de-DE"/>
        </w:rPr>
        <w:t xml:space="preserve">Bericht über die Entschließungen”, </w:t>
      </w:r>
      <w:r>
        <w:rPr>
          <w:lang w:val="de-DE"/>
        </w:rPr>
        <w:t>Absatz</w:t>
      </w:r>
      <w:r>
        <w:t xml:space="preserve"> </w:t>
      </w:r>
      <w:r w:rsidR="00110A16">
        <w:t>40)</w:t>
      </w:r>
      <w:r w:rsidR="00196886" w:rsidRPr="00B174E2">
        <w:rPr>
          <w:rFonts w:cs="Arial"/>
        </w:rPr>
        <w:t>:</w:t>
      </w:r>
    </w:p>
    <w:p w:rsidR="00196886" w:rsidRPr="00B174E2" w:rsidRDefault="00196886" w:rsidP="00196886">
      <w:pPr>
        <w:rPr>
          <w:rFonts w:cs="Arial"/>
        </w:rPr>
      </w:pPr>
    </w:p>
    <w:p w:rsidR="00147A2A" w:rsidRPr="00CC410D" w:rsidRDefault="00196886" w:rsidP="00147A2A">
      <w:pPr>
        <w:ind w:left="567" w:right="567"/>
        <w:rPr>
          <w:sz w:val="18"/>
          <w:lang w:val="de-DE" w:eastAsia="de-DE" w:bidi="de-DE"/>
        </w:rPr>
      </w:pPr>
      <w:r w:rsidRPr="00B174E2">
        <w:rPr>
          <w:sz w:val="18"/>
        </w:rPr>
        <w:t>“1.</w:t>
      </w:r>
      <w:r w:rsidRPr="00B174E2">
        <w:rPr>
          <w:sz w:val="18"/>
        </w:rPr>
        <w:tab/>
      </w:r>
      <w:r w:rsidR="00147A2A" w:rsidRPr="00CC410D">
        <w:rPr>
          <w:rFonts w:eastAsia="Calibri" w:cs="Arial"/>
          <w:sz w:val="18"/>
          <w:szCs w:val="18"/>
          <w:lang w:val="de-DE" w:eastAsia="de-DE" w:bidi="de-DE"/>
        </w:rPr>
        <w:t xml:space="preserve">Die Erfassung der </w:t>
      </w:r>
      <w:r w:rsidR="00147A2A" w:rsidRPr="00CC410D">
        <w:rPr>
          <w:rFonts w:eastAsia="Calibri" w:cs="Arial"/>
          <w:i/>
          <w:sz w:val="18"/>
          <w:szCs w:val="18"/>
          <w:lang w:val="de-DE" w:eastAsia="de-DE" w:bidi="de-DE"/>
        </w:rPr>
        <w:t>‚typischen‘</w:t>
      </w:r>
      <w:r w:rsidR="00147A2A" w:rsidRPr="00CC410D">
        <w:rPr>
          <w:rFonts w:eastAsia="Calibri" w:cs="Arial"/>
          <w:sz w:val="18"/>
          <w:szCs w:val="18"/>
          <w:lang w:val="de-DE" w:eastAsia="de-DE" w:bidi="de-DE"/>
        </w:rPr>
        <w:t xml:space="preserve"> Ausprägung der Merkmale einer Sorte in einem spezifischen Umfeld ist von wesentlicher Bedeutung für die Prüfung der Unterscheidbarkeit. Die Genauigkeit der erfaßten (mittelwertigen) Ausprägung der zu vergleichenden Sorten ist ausschlaggebend bei der Prüfung der Frage, ob ein Unterschied ein deutlicher Unterschied ist</w:t>
      </w:r>
      <w:r w:rsidR="00147A2A" w:rsidRPr="00CC410D">
        <w:rPr>
          <w:rFonts w:eastAsia="Calibri"/>
          <w:sz w:val="18"/>
          <w:lang w:val="de-DE" w:eastAsia="de-DE" w:bidi="de-DE"/>
        </w:rPr>
        <w:t>.</w:t>
      </w:r>
    </w:p>
    <w:p w:rsidR="00147A2A" w:rsidRPr="00CC410D" w:rsidRDefault="00147A2A" w:rsidP="00147A2A">
      <w:pPr>
        <w:ind w:left="567" w:right="567"/>
        <w:rPr>
          <w:sz w:val="18"/>
          <w:lang w:val="de-DE" w:eastAsia="de-DE" w:bidi="de-DE"/>
        </w:rPr>
      </w:pPr>
    </w:p>
    <w:p w:rsidR="00147A2A" w:rsidRPr="00CC410D" w:rsidRDefault="00147A2A" w:rsidP="00147A2A">
      <w:pPr>
        <w:ind w:left="567" w:right="567"/>
        <w:rPr>
          <w:sz w:val="18"/>
          <w:lang w:val="de-DE" w:eastAsia="de-DE" w:bidi="de-DE"/>
        </w:rPr>
      </w:pPr>
      <w:r w:rsidRPr="00CC410D">
        <w:rPr>
          <w:rFonts w:eastAsia="Calibri"/>
          <w:sz w:val="18"/>
          <w:lang w:val="de-DE" w:eastAsia="de-DE" w:bidi="de-DE"/>
        </w:rPr>
        <w:t>2.</w:t>
      </w:r>
      <w:r w:rsidRPr="00CC410D">
        <w:rPr>
          <w:rFonts w:ascii="Calibri" w:eastAsia="Calibri" w:hAnsi="Calibri"/>
          <w:sz w:val="22"/>
          <w:szCs w:val="22"/>
          <w:lang w:val="de-DE" w:eastAsia="de-DE" w:bidi="de-DE"/>
        </w:rPr>
        <w:tab/>
      </w:r>
      <w:r w:rsidRPr="00CC410D">
        <w:rPr>
          <w:rFonts w:eastAsia="Calibri" w:cs="Arial"/>
          <w:sz w:val="18"/>
          <w:szCs w:val="18"/>
          <w:lang w:val="de-DE" w:eastAsia="de-DE" w:bidi="de-DE"/>
        </w:rPr>
        <w:t xml:space="preserve">Im Fall von qualitativen Merkmalen reicht eine geringe Anzahl Pflanzen aus, um die Ausprägung </w:t>
      </w:r>
      <w:r>
        <w:rPr>
          <w:rFonts w:eastAsia="Calibri" w:cs="Arial"/>
          <w:sz w:val="18"/>
          <w:szCs w:val="18"/>
          <w:lang w:val="de-DE" w:eastAsia="de-DE" w:bidi="de-DE"/>
        </w:rPr>
        <w:t>e</w:t>
      </w:r>
      <w:r w:rsidRPr="00CC410D">
        <w:rPr>
          <w:rFonts w:eastAsia="Calibri" w:cs="Arial"/>
          <w:sz w:val="18"/>
          <w:szCs w:val="18"/>
          <w:lang w:val="de-DE" w:eastAsia="de-DE" w:bidi="de-DE"/>
        </w:rPr>
        <w:t>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r w:rsidRPr="00CC410D">
        <w:rPr>
          <w:rFonts w:eastAsia="Calibri"/>
          <w:sz w:val="18"/>
          <w:lang w:val="de-DE" w:eastAsia="de-DE" w:bidi="de-DE"/>
        </w:rPr>
        <w:t>.</w:t>
      </w:r>
    </w:p>
    <w:p w:rsidR="00147A2A" w:rsidRPr="00CC410D" w:rsidRDefault="00147A2A" w:rsidP="00147A2A">
      <w:pPr>
        <w:ind w:left="567" w:right="567"/>
        <w:rPr>
          <w:sz w:val="18"/>
          <w:lang w:val="de-DE" w:eastAsia="de-DE" w:bidi="de-DE"/>
        </w:rPr>
      </w:pPr>
    </w:p>
    <w:p w:rsidR="00147A2A" w:rsidRPr="00CC410D" w:rsidRDefault="00147A2A" w:rsidP="00147A2A">
      <w:pPr>
        <w:ind w:left="567" w:right="567"/>
        <w:rPr>
          <w:rFonts w:cs="Arial"/>
          <w:sz w:val="18"/>
          <w:szCs w:val="18"/>
          <w:lang w:val="de-DE" w:eastAsia="de-DE" w:bidi="de-DE"/>
        </w:rPr>
      </w:pPr>
      <w:r w:rsidRPr="00CC410D">
        <w:rPr>
          <w:rFonts w:eastAsia="Calibri"/>
          <w:sz w:val="18"/>
          <w:lang w:val="de-DE" w:eastAsia="de-DE" w:bidi="de-DE"/>
        </w:rPr>
        <w:t>3.</w:t>
      </w:r>
      <w:r w:rsidRPr="00CC410D">
        <w:rPr>
          <w:rFonts w:ascii="Calibri" w:eastAsia="Calibri" w:hAnsi="Calibri"/>
          <w:sz w:val="22"/>
          <w:szCs w:val="22"/>
          <w:lang w:val="de-DE" w:eastAsia="de-DE" w:bidi="de-DE"/>
        </w:rPr>
        <w:tab/>
      </w:r>
      <w:r w:rsidRPr="00CC410D">
        <w:rPr>
          <w:rFonts w:eastAsia="Calibri" w:cs="Arial"/>
          <w:sz w:val="18"/>
          <w:szCs w:val="18"/>
          <w:lang w:val="de-DE" w:eastAsia="de-DE" w:bidi="de-DE"/>
        </w:rPr>
        <w:t xml:space="preserve">Im Fall von quantitativen Merkmalen (und bei pseudoqualitativen Merkmalen) ist die </w:t>
      </w:r>
      <w:r w:rsidRPr="00CC410D">
        <w:rPr>
          <w:rFonts w:eastAsia="Calibri" w:cs="Arial"/>
          <w:iCs/>
          <w:sz w:val="18"/>
          <w:szCs w:val="18"/>
          <w:lang w:val="de-DE" w:eastAsia="de-DE" w:bidi="de-DE"/>
        </w:rPr>
        <w:t xml:space="preserve">Variation innerhalb der Sorte bei der Definition eines deutlichen Unterschieds (durch Sachverständige oder genaue statistische Daten) zu berücksichtigen. Aufgrund des Zusammenhangs zwischen Variationen innerhalb der Sorten und dem als deutlich geltenden Unterschied bei der Bestimmung der Unterscheidbarkeit ist die Genauigkeit der Aufzeichnungen wichtig. </w:t>
      </w:r>
      <w:r w:rsidRPr="00CC410D">
        <w:rPr>
          <w:rFonts w:eastAsia="Calibri" w:cs="Arial"/>
          <w:sz w:val="18"/>
          <w:szCs w:val="18"/>
          <w:lang w:val="de-DE" w:eastAsia="de-DE" w:bidi="de-DE"/>
        </w:rPr>
        <w:t>Die Genauigkeit der Aufzeichnungen (Mittelwerte) wird beeinflußt durch die Stichprobengröße. Zwecks Harmonisierung sollte in den Prüfungsrichtlinien daher die geeignete Stichprobengröße angegeben werden.</w:t>
      </w:r>
    </w:p>
    <w:p w:rsidR="00147A2A" w:rsidRPr="00CC410D" w:rsidRDefault="00147A2A" w:rsidP="00147A2A">
      <w:pPr>
        <w:ind w:left="567" w:right="567"/>
        <w:rPr>
          <w:sz w:val="18"/>
          <w:lang w:val="de-DE" w:eastAsia="de-DE" w:bidi="de-DE"/>
        </w:rPr>
      </w:pPr>
    </w:p>
    <w:p w:rsidR="00147A2A" w:rsidRPr="00CC410D" w:rsidRDefault="00147A2A" w:rsidP="00147A2A">
      <w:pPr>
        <w:ind w:left="567" w:right="567"/>
        <w:rPr>
          <w:rFonts w:cs="Arial"/>
          <w:bCs/>
          <w:sz w:val="18"/>
          <w:szCs w:val="18"/>
          <w:lang w:val="de-DE" w:eastAsia="de-DE" w:bidi="de-DE"/>
        </w:rPr>
      </w:pPr>
      <w:r w:rsidRPr="00CC410D">
        <w:rPr>
          <w:rFonts w:eastAsia="Calibri"/>
          <w:sz w:val="18"/>
          <w:lang w:val="de-DE" w:eastAsia="de-DE" w:bidi="de-DE"/>
        </w:rPr>
        <w:t>4.</w:t>
      </w:r>
      <w:r w:rsidRPr="00CC410D">
        <w:rPr>
          <w:rFonts w:ascii="Calibri" w:eastAsia="Calibri" w:hAnsi="Calibri"/>
          <w:sz w:val="22"/>
          <w:szCs w:val="22"/>
          <w:lang w:val="de-DE" w:eastAsia="de-DE" w:bidi="de-DE"/>
        </w:rPr>
        <w:tab/>
      </w:r>
      <w:r w:rsidRPr="00CC410D">
        <w:rPr>
          <w:rFonts w:eastAsia="Calibri" w:cs="Arial"/>
          <w:sz w:val="18"/>
          <w:szCs w:val="18"/>
          <w:lang w:val="de-DE" w:eastAsia="de-DE" w:bidi="de-DE"/>
        </w:rPr>
        <w:t>Die folgenden allgemeinen Grundsätze sind zu berücksichtigen</w:t>
      </w:r>
      <w:r w:rsidRPr="00CC410D">
        <w:rPr>
          <w:rFonts w:eastAsia="Calibri" w:cs="Arial"/>
          <w:bCs/>
          <w:sz w:val="18"/>
          <w:szCs w:val="18"/>
          <w:lang w:val="de-DE" w:eastAsia="de-DE" w:bidi="de-DE"/>
        </w:rPr>
        <w:t>:</w:t>
      </w:r>
    </w:p>
    <w:p w:rsidR="00147A2A" w:rsidRPr="00CC410D" w:rsidRDefault="00147A2A" w:rsidP="00147A2A">
      <w:pPr>
        <w:ind w:left="567" w:right="567"/>
        <w:rPr>
          <w:bCs/>
          <w:sz w:val="18"/>
          <w:lang w:val="de-DE" w:eastAsia="de-DE" w:bidi="de-DE"/>
        </w:rPr>
      </w:pPr>
    </w:p>
    <w:p w:rsidR="00147A2A" w:rsidRPr="00E95A1B" w:rsidRDefault="00147A2A" w:rsidP="00147A2A">
      <w:pPr>
        <w:spacing w:after="200" w:line="276" w:lineRule="auto"/>
        <w:ind w:left="567" w:right="567"/>
        <w:rPr>
          <w:rFonts w:cs="Arial"/>
          <w:i/>
          <w:sz w:val="18"/>
          <w:szCs w:val="18"/>
          <w:lang w:val="de-DE"/>
        </w:rPr>
      </w:pPr>
      <w:r w:rsidRPr="00CC410D">
        <w:rPr>
          <w:rFonts w:cs="Arial"/>
          <w:i/>
          <w:sz w:val="18"/>
          <w:szCs w:val="18"/>
          <w:lang w:val="de-DE"/>
        </w:rPr>
        <w:t xml:space="preserve">Hinweise zur Anzahl der </w:t>
      </w:r>
      <w:r w:rsidRPr="00CC410D">
        <w:rPr>
          <w:rFonts w:cs="Arial"/>
          <w:bCs/>
          <w:i/>
          <w:sz w:val="18"/>
          <w:szCs w:val="18"/>
          <w:lang w:val="de-DE"/>
        </w:rPr>
        <w:t>im Fall von QN (</w:t>
      </w:r>
      <w:r w:rsidRPr="00CC410D">
        <w:rPr>
          <w:rFonts w:cs="Arial"/>
          <w:sz w:val="18"/>
          <w:szCs w:val="18"/>
          <w:lang w:val="de-DE"/>
        </w:rPr>
        <w:t>in manchen Fällen</w:t>
      </w:r>
      <w:r w:rsidRPr="00CC410D">
        <w:rPr>
          <w:rFonts w:cs="Arial"/>
          <w:bCs/>
          <w:i/>
          <w:sz w:val="18"/>
          <w:szCs w:val="18"/>
          <w:lang w:val="de-DE"/>
        </w:rPr>
        <w:t xml:space="preserve"> PQ) </w:t>
      </w:r>
      <w:r w:rsidRPr="00CC410D">
        <w:rPr>
          <w:rFonts w:cs="Arial"/>
          <w:i/>
          <w:sz w:val="18"/>
          <w:szCs w:val="18"/>
          <w:lang w:val="de-DE"/>
        </w:rPr>
        <w:t xml:space="preserve">auf Unterscheidbarkeit zu prüfenden </w:t>
      </w:r>
      <w:r w:rsidRPr="00E95A1B">
        <w:rPr>
          <w:rFonts w:cs="Arial"/>
          <w:i/>
          <w:sz w:val="18"/>
          <w:szCs w:val="18"/>
          <w:lang w:val="de-DE"/>
        </w:rPr>
        <w:t xml:space="preserve">Pflanzen </w:t>
      </w:r>
    </w:p>
    <w:p w:rsidR="00147A2A" w:rsidRPr="00E95A1B" w:rsidRDefault="00147A2A" w:rsidP="00147A2A">
      <w:pPr>
        <w:numPr>
          <w:ilvl w:val="0"/>
          <w:numId w:val="41"/>
        </w:numPr>
        <w:ind w:left="1418" w:hanging="567"/>
        <w:jc w:val="left"/>
        <w:rPr>
          <w:rFonts w:cs="Arial"/>
          <w:sz w:val="18"/>
          <w:szCs w:val="18"/>
          <w:lang w:val="de-DE"/>
        </w:rPr>
      </w:pPr>
      <w:r w:rsidRPr="00E95A1B">
        <w:rPr>
          <w:rFonts w:cs="Arial"/>
          <w:sz w:val="18"/>
          <w:szCs w:val="18"/>
          <w:lang w:val="de-DE"/>
        </w:rPr>
        <w:t>Erfassung einer ganzen Parzelle (VG/MG)</w:t>
      </w:r>
    </w:p>
    <w:p w:rsidR="00147A2A" w:rsidRPr="00E95A1B" w:rsidRDefault="00147A2A" w:rsidP="00147A2A">
      <w:pPr>
        <w:ind w:left="1418"/>
        <w:jc w:val="left"/>
        <w:rPr>
          <w:rFonts w:cs="Arial"/>
          <w:sz w:val="18"/>
          <w:szCs w:val="18"/>
          <w:lang w:val="de-DE"/>
        </w:rPr>
      </w:pPr>
      <w:r w:rsidRPr="00E95A1B">
        <w:rPr>
          <w:rFonts w:cs="Arial"/>
          <w:sz w:val="18"/>
          <w:szCs w:val="18"/>
          <w:lang w:val="de-DE"/>
        </w:rPr>
        <w:t>– angegebene Anzahl gilt als Mindestanzahl</w:t>
      </w:r>
    </w:p>
    <w:p w:rsidR="00147A2A" w:rsidRPr="00E95A1B" w:rsidRDefault="00147A2A" w:rsidP="00147A2A">
      <w:pPr>
        <w:ind w:left="1418" w:hanging="567"/>
        <w:jc w:val="left"/>
        <w:rPr>
          <w:rFonts w:cs="Arial"/>
          <w:sz w:val="18"/>
          <w:szCs w:val="18"/>
          <w:lang w:val="de-DE"/>
        </w:rPr>
      </w:pPr>
    </w:p>
    <w:p w:rsidR="00147A2A" w:rsidRPr="00E95A1B" w:rsidRDefault="00147A2A" w:rsidP="00147A2A">
      <w:pPr>
        <w:numPr>
          <w:ilvl w:val="0"/>
          <w:numId w:val="41"/>
        </w:numPr>
        <w:ind w:left="1418" w:hanging="567"/>
        <w:jc w:val="left"/>
        <w:rPr>
          <w:rFonts w:cs="Arial"/>
          <w:sz w:val="18"/>
          <w:szCs w:val="18"/>
          <w:lang w:val="de-DE"/>
        </w:rPr>
      </w:pPr>
      <w:r w:rsidRPr="00E95A1B">
        <w:rPr>
          <w:rFonts w:cs="Arial"/>
          <w:sz w:val="18"/>
          <w:szCs w:val="18"/>
          <w:lang w:val="de-DE"/>
        </w:rPr>
        <w:t>Erfassung einer Unterstichprobe aus der Parzelle (VG/MG)</w:t>
      </w:r>
    </w:p>
    <w:p w:rsidR="00147A2A" w:rsidRPr="00E95A1B" w:rsidRDefault="00147A2A" w:rsidP="00147A2A">
      <w:pPr>
        <w:ind w:left="1418"/>
        <w:jc w:val="left"/>
        <w:rPr>
          <w:rFonts w:cs="Arial"/>
          <w:sz w:val="18"/>
          <w:szCs w:val="18"/>
          <w:lang w:val="de-DE"/>
        </w:rPr>
      </w:pPr>
      <w:r w:rsidRPr="00E95A1B">
        <w:rPr>
          <w:rFonts w:cs="Arial"/>
          <w:sz w:val="18"/>
          <w:szCs w:val="18"/>
          <w:lang w:val="de-DE"/>
        </w:rPr>
        <w:t>– angegebene Anzahl gilt als Mindestanzahl</w:t>
      </w:r>
    </w:p>
    <w:p w:rsidR="00147A2A" w:rsidRPr="00E95A1B" w:rsidRDefault="00147A2A" w:rsidP="00147A2A">
      <w:pPr>
        <w:ind w:left="1418" w:hanging="567"/>
        <w:jc w:val="left"/>
        <w:rPr>
          <w:rFonts w:cs="Arial"/>
          <w:sz w:val="18"/>
          <w:szCs w:val="18"/>
          <w:lang w:val="de-DE"/>
        </w:rPr>
      </w:pPr>
    </w:p>
    <w:p w:rsidR="00147A2A" w:rsidRPr="00E95A1B" w:rsidRDefault="00147A2A" w:rsidP="00147A2A">
      <w:pPr>
        <w:numPr>
          <w:ilvl w:val="0"/>
          <w:numId w:val="41"/>
        </w:numPr>
        <w:ind w:left="1418" w:hanging="567"/>
        <w:jc w:val="left"/>
        <w:rPr>
          <w:rFonts w:cs="Arial"/>
          <w:sz w:val="18"/>
          <w:szCs w:val="18"/>
          <w:lang w:val="de-DE"/>
        </w:rPr>
      </w:pPr>
      <w:r w:rsidRPr="00E95A1B">
        <w:rPr>
          <w:rFonts w:cs="Arial"/>
          <w:sz w:val="18"/>
          <w:szCs w:val="18"/>
          <w:lang w:val="de-DE"/>
        </w:rPr>
        <w:t>Erfassung einzelner Pflanzen (VS/MS)</w:t>
      </w:r>
    </w:p>
    <w:p w:rsidR="00147A2A" w:rsidRPr="00E95A1B" w:rsidRDefault="00147A2A" w:rsidP="00147A2A">
      <w:pPr>
        <w:ind w:left="1418"/>
        <w:jc w:val="left"/>
        <w:rPr>
          <w:rFonts w:cs="Arial"/>
          <w:sz w:val="18"/>
          <w:szCs w:val="18"/>
          <w:lang w:val="de-DE"/>
        </w:rPr>
      </w:pPr>
      <w:r w:rsidRPr="00E95A1B">
        <w:rPr>
          <w:rFonts w:cs="Arial"/>
          <w:sz w:val="18"/>
          <w:szCs w:val="18"/>
          <w:lang w:val="de-DE"/>
        </w:rPr>
        <w:t xml:space="preserve">– Anzahl der Pflanzen wichtig für die Genauigkeit der Aufzeichnung </w:t>
      </w:r>
      <w:r w:rsidRPr="00E95A1B">
        <w:rPr>
          <w:rFonts w:cs="Arial"/>
          <w:sz w:val="18"/>
          <w:szCs w:val="18"/>
          <w:lang w:val="de-DE"/>
        </w:rPr>
        <w:br/>
        <w:t xml:space="preserve">– bestimmte Anzahl sollte angegeben werden </w:t>
      </w:r>
    </w:p>
    <w:p w:rsidR="00147A2A" w:rsidRPr="00CC410D" w:rsidRDefault="00147A2A" w:rsidP="00147A2A">
      <w:pPr>
        <w:ind w:left="567" w:right="567"/>
        <w:rPr>
          <w:bCs/>
          <w:sz w:val="18"/>
          <w:lang w:val="de-DE" w:eastAsia="de-DE" w:bidi="de-DE"/>
        </w:rPr>
      </w:pPr>
    </w:p>
    <w:p w:rsidR="00196886" w:rsidRPr="00B174E2" w:rsidRDefault="00147A2A" w:rsidP="00147A2A">
      <w:pPr>
        <w:ind w:left="567" w:right="567"/>
        <w:rPr>
          <w:sz w:val="18"/>
        </w:rPr>
      </w:pPr>
      <w:r w:rsidRPr="00CC410D">
        <w:rPr>
          <w:rFonts w:cs="Arial"/>
          <w:i/>
          <w:sz w:val="18"/>
          <w:szCs w:val="18"/>
          <w:lang w:val="de-DE"/>
        </w:rPr>
        <w:t>Hinweise zur Anzahl der Pflanzen bei Kandidatensorten und Sorten, die mit den Kandidatensorten verglichen werden sollen</w:t>
      </w:r>
      <w:r w:rsidR="00196886" w:rsidRPr="00B174E2">
        <w:rPr>
          <w:sz w:val="18"/>
        </w:rPr>
        <w:t xml:space="preserve"> </w:t>
      </w:r>
    </w:p>
    <w:p w:rsidR="00196886" w:rsidRPr="00B174E2" w:rsidRDefault="00196886" w:rsidP="00147A2A">
      <w:pPr>
        <w:ind w:right="567"/>
        <w:rPr>
          <w:sz w:val="18"/>
        </w:rPr>
      </w:pPr>
    </w:p>
    <w:p w:rsidR="00196886" w:rsidRDefault="00147A2A" w:rsidP="00196886">
      <w:pPr>
        <w:ind w:left="567" w:right="567"/>
        <w:rPr>
          <w:sz w:val="18"/>
        </w:rPr>
      </w:pPr>
      <w:r>
        <w:rPr>
          <w:sz w:val="18"/>
        </w:rPr>
        <w:t>“</w:t>
      </w:r>
      <w:r w:rsidR="00196886" w:rsidRPr="0082689A">
        <w:rPr>
          <w:sz w:val="18"/>
        </w:rPr>
        <w:t>5.</w:t>
      </w:r>
      <w:r w:rsidR="00196886" w:rsidRPr="0082689A">
        <w:rPr>
          <w:sz w:val="18"/>
        </w:rPr>
        <w:tab/>
      </w:r>
      <w:r w:rsidRPr="00CC410D">
        <w:rPr>
          <w:rFonts w:eastAsia="Calibri" w:cs="Arial"/>
          <w:sz w:val="18"/>
          <w:szCs w:val="18"/>
          <w:lang w:val="de-DE" w:eastAsia="de-DE" w:bidi="de-DE"/>
        </w:rPr>
        <w:t xml:space="preserve">Die erforderliche Genauigkeit der Erfassung hängt vom Ausmaß des Unterschieds zwischen der Kandidatensorte und den allgemein bekannten Sorten ab. Sind zwei Sorten sehr ähnlich, ist es wichtig, die Werte beider Sorten mit gleich hoher Genauigkeit aufzuzeichnen. Die in den Prüfungsrichtlinien festgelegte Anzahl der Pflanzen gilt sowohl für die Kandidatensorte als auch die ähnliche allgemein bekannte Sorte. </w:t>
      </w:r>
      <w:r>
        <w:rPr>
          <w:rFonts w:eastAsia="Calibri" w:cs="Arial"/>
          <w:sz w:val="18"/>
          <w:szCs w:val="18"/>
          <w:lang w:val="de-DE" w:eastAsia="de-DE" w:bidi="de-DE"/>
        </w:rPr>
        <w:t>Andernfalls</w:t>
      </w:r>
      <w:r w:rsidRPr="00CC410D">
        <w:rPr>
          <w:rFonts w:eastAsia="Calibri" w:cs="Arial"/>
          <w:sz w:val="18"/>
          <w:szCs w:val="18"/>
          <w:lang w:val="de-DE" w:eastAsia="de-DE" w:bidi="de-DE"/>
        </w:rPr>
        <w:t xml:space="preserve"> ist es möglich, im Anbauversuch eine geringere Anzahl von Pflanzen für die allgemein bekannte Sorte zu berücksichtigen, sofern für diese Sorte, d.h. Sorten in der Sortensammlung, keine Prüfung der Homogenität vorgesehen ist</w:t>
      </w:r>
      <w:r w:rsidR="00196886" w:rsidRPr="0082689A">
        <w:rPr>
          <w:sz w:val="18"/>
        </w:rPr>
        <w:t>.”</w:t>
      </w:r>
    </w:p>
    <w:p w:rsidR="00196886" w:rsidRPr="00AF342C" w:rsidRDefault="00196886" w:rsidP="00196886">
      <w:pPr>
        <w:spacing w:line="360" w:lineRule="auto"/>
        <w:rPr>
          <w:rFonts w:cs="Arial"/>
        </w:rPr>
      </w:pPr>
    </w:p>
    <w:p w:rsidR="00147A2A" w:rsidRPr="00147A2A" w:rsidRDefault="00147A2A" w:rsidP="00E447BD">
      <w:pPr>
        <w:pStyle w:val="Heading5"/>
        <w:rPr>
          <w:rFonts w:cs="Arial"/>
        </w:rPr>
      </w:pPr>
      <w:r w:rsidRPr="00147A2A">
        <w:t>Anleitung für die Erfassungsmethode</w:t>
      </w:r>
    </w:p>
    <w:p w:rsidR="00196886" w:rsidRPr="00AF342C" w:rsidRDefault="00196886" w:rsidP="00196886">
      <w:pPr>
        <w:keepNext/>
        <w:rPr>
          <w:rFonts w:cs="Arial"/>
        </w:rPr>
      </w:pPr>
    </w:p>
    <w:p w:rsidR="00E45FB3" w:rsidRPr="00CC410D" w:rsidRDefault="00196886" w:rsidP="00E45FB3">
      <w:pPr>
        <w:keepNext/>
        <w:rPr>
          <w:lang w:val="de-DE" w:eastAsia="de-DE" w:bidi="de-DE"/>
        </w:rPr>
      </w:pPr>
      <w:r w:rsidRPr="00AF342C">
        <w:fldChar w:fldCharType="begin"/>
      </w:r>
      <w:r w:rsidRPr="00AF342C">
        <w:instrText xml:space="preserve"> AUTONUM  </w:instrText>
      </w:r>
      <w:r w:rsidRPr="00AF342C">
        <w:fldChar w:fldCharType="end"/>
      </w:r>
      <w:r w:rsidRPr="00AF342C">
        <w:tab/>
      </w:r>
      <w:r w:rsidR="00E45FB3" w:rsidRPr="00CC410D">
        <w:rPr>
          <w:rFonts w:eastAsia="Calibri"/>
          <w:lang w:val="de-DE" w:eastAsia="de-DE" w:bidi="de-DE"/>
        </w:rPr>
        <w:t>Der TC prüfte das Dokument TC/49/18.</w:t>
      </w:r>
    </w:p>
    <w:p w:rsidR="00E45FB3" w:rsidRPr="00CC410D" w:rsidRDefault="00E45FB3" w:rsidP="00E45FB3">
      <w:pPr>
        <w:keepNext/>
        <w:rPr>
          <w:lang w:val="de-DE" w:eastAsia="de-DE" w:bidi="de-DE"/>
        </w:rPr>
      </w:pPr>
    </w:p>
    <w:p w:rsidR="00196886" w:rsidRPr="00AF342C" w:rsidRDefault="00E45FB3" w:rsidP="00196886">
      <w:r w:rsidRPr="00CC410D">
        <w:rPr>
          <w:lang w:eastAsia="de-DE" w:bidi="de-DE"/>
        </w:rPr>
        <w:fldChar w:fldCharType="begin"/>
      </w:r>
      <w:r w:rsidRPr="00CC410D">
        <w:rPr>
          <w:lang w:val="de-DE" w:eastAsia="de-DE" w:bidi="de-DE"/>
        </w:rPr>
        <w:instrText xml:space="preserve"> AUTONUM  </w:instrText>
      </w:r>
      <w:r w:rsidRPr="00CC410D">
        <w:rPr>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Der TC stimmte der vorgeschlagenen Überarbeitung von Doku</w:t>
      </w:r>
      <w:r>
        <w:rPr>
          <w:rFonts w:eastAsia="Calibri"/>
          <w:lang w:val="de-DE" w:eastAsia="de-DE" w:bidi="de-DE"/>
        </w:rPr>
        <w:t>ment TGP/7, GN 25 (TG</w:t>
      </w:r>
      <w:r>
        <w:rPr>
          <w:rFonts w:eastAsia="Calibri"/>
          <w:lang w:val="de-DE" w:eastAsia="de-DE" w:bidi="de-DE"/>
        </w:rPr>
        <w:noBreakHyphen/>
        <w:t xml:space="preserve">Mustervorlage: </w:t>
      </w:r>
      <w:r w:rsidRPr="00CC410D">
        <w:rPr>
          <w:rFonts w:eastAsia="Calibri"/>
          <w:lang w:val="de-DE" w:eastAsia="de-DE" w:bidi="de-DE"/>
        </w:rPr>
        <w:t xml:space="preserve">Kapitel 7:  Spalte 2, Kopfzeile </w:t>
      </w:r>
      <w:r>
        <w:rPr>
          <w:rFonts w:eastAsia="Calibri"/>
          <w:lang w:val="de-DE" w:eastAsia="de-DE" w:bidi="de-DE"/>
        </w:rPr>
        <w:t xml:space="preserve">Reihe </w:t>
      </w:r>
      <w:r w:rsidRPr="00CC410D">
        <w:rPr>
          <w:rFonts w:eastAsia="Calibri"/>
          <w:lang w:val="de-DE" w:eastAsia="de-DE" w:bidi="de-DE"/>
        </w:rPr>
        <w:t>1 oder 2) „Empfehlungen für die Durchführung der Prüfung“ auf der Grundlage folgenden Textes zur Aufnahme in eine künf</w:t>
      </w:r>
      <w:r>
        <w:rPr>
          <w:rFonts w:eastAsia="Calibri"/>
          <w:lang w:val="de-DE" w:eastAsia="de-DE" w:bidi="de-DE"/>
        </w:rPr>
        <w:t>tige Überarbeitung von Dokument </w:t>
      </w:r>
      <w:r w:rsidRPr="00CC410D">
        <w:rPr>
          <w:rFonts w:eastAsia="Calibri"/>
          <w:lang w:val="de-DE" w:eastAsia="de-DE" w:bidi="de-DE"/>
        </w:rPr>
        <w:t>TGP/7 zu</w:t>
      </w:r>
      <w:r w:rsidR="00E41780">
        <w:t xml:space="preserve"> (</w:t>
      </w:r>
      <w:r w:rsidRPr="00816118">
        <w:rPr>
          <w:lang w:val="de-DE"/>
        </w:rPr>
        <w:t>vergleiche Dokument TC/</w:t>
      </w:r>
      <w:r>
        <w:rPr>
          <w:lang w:val="de-DE"/>
        </w:rPr>
        <w:t>49/41 „</w:t>
      </w:r>
      <w:r w:rsidRPr="00816118">
        <w:rPr>
          <w:lang w:val="de-DE"/>
        </w:rPr>
        <w:t xml:space="preserve">Bericht über die Entschließungen”, </w:t>
      </w:r>
      <w:r>
        <w:rPr>
          <w:lang w:val="de-DE"/>
        </w:rPr>
        <w:t>Absatz</w:t>
      </w:r>
      <w:r>
        <w:t xml:space="preserve"> </w:t>
      </w:r>
      <w:r w:rsidR="00E41780">
        <w:t>42)</w:t>
      </w:r>
      <w:r w:rsidR="00196886" w:rsidRPr="00B174E2">
        <w:t>:</w:t>
      </w:r>
    </w:p>
    <w:p w:rsidR="00196886" w:rsidRPr="00AF342C" w:rsidRDefault="00196886" w:rsidP="00196886"/>
    <w:p w:rsidR="00E45FB3" w:rsidRPr="00CC410D" w:rsidRDefault="00E45FB3" w:rsidP="00E45FB3">
      <w:pPr>
        <w:ind w:left="567" w:right="567"/>
        <w:rPr>
          <w:sz w:val="18"/>
          <w:lang w:val="de-DE" w:eastAsia="de-DE" w:bidi="de-DE"/>
        </w:rPr>
      </w:pPr>
      <w:r w:rsidRPr="00CC410D">
        <w:rPr>
          <w:rFonts w:eastAsia="Calibri"/>
          <w:sz w:val="18"/>
          <w:lang w:val="de-DE" w:eastAsia="de-DE" w:bidi="de-DE"/>
        </w:rPr>
        <w:t xml:space="preserve">„Dieser Kasten enthält die Kennzeichnung für die Anleitung zur Durchführung der Prüfung. Beispielsweise können Empfehlungen zur Erfassungsmethode (z.B. visuelle Erfassung oder Messung, Beobachtung von Einzelpflanzen oder Gruppen von Pflanzen) oder zum Parzellentyp (z.B. Einzelpflanzen, Einzelreihen, </w:t>
      </w:r>
      <w:r w:rsidRPr="00CC410D">
        <w:rPr>
          <w:rFonts w:eastAsia="Calibri"/>
          <w:sz w:val="18"/>
          <w:lang w:val="de-DE" w:eastAsia="de-DE" w:bidi="de-DE"/>
        </w:rPr>
        <w:lastRenderedPageBreak/>
        <w:t>Drillparzellen, Sonderprüfung) abgegeben werden. ASW 4 b) bietet einen etwaigen zusätzlichen Standardwortlaut.</w:t>
      </w:r>
      <w:r>
        <w:rPr>
          <w:rFonts w:eastAsia="Calibri"/>
          <w:sz w:val="18"/>
          <w:lang w:val="de-DE" w:eastAsia="de-DE" w:bidi="de-DE"/>
        </w:rPr>
        <w:t>“</w:t>
      </w:r>
    </w:p>
    <w:p w:rsidR="00E45FB3" w:rsidRPr="00CC410D" w:rsidRDefault="00E45FB3" w:rsidP="00E45FB3">
      <w:pPr>
        <w:ind w:left="567" w:right="567"/>
        <w:rPr>
          <w:rFonts w:cs="Arial"/>
          <w:sz w:val="18"/>
          <w:lang w:val="de-DE" w:eastAsia="de-DE" w:bidi="de-DE"/>
        </w:rPr>
      </w:pPr>
    </w:p>
    <w:p w:rsidR="00E45FB3" w:rsidRPr="00CC410D" w:rsidRDefault="00E45FB3" w:rsidP="00E45FB3">
      <w:pPr>
        <w:ind w:left="567" w:right="567"/>
        <w:rPr>
          <w:rFonts w:cs="Arial"/>
          <w:sz w:val="18"/>
          <w:lang w:val="de-DE" w:eastAsia="de-DE" w:bidi="de-DE"/>
        </w:rPr>
      </w:pPr>
      <w:r w:rsidRPr="00CC410D">
        <w:rPr>
          <w:rFonts w:eastAsia="Calibri"/>
          <w:sz w:val="18"/>
          <w:lang w:val="de-DE" w:eastAsia="de-DE" w:bidi="de-DE"/>
        </w:rPr>
        <w:t>Beobachtungsmethode (visuell oder Messung)</w:t>
      </w:r>
    </w:p>
    <w:p w:rsidR="00E45FB3" w:rsidRPr="00CC410D" w:rsidRDefault="00E45FB3" w:rsidP="00E45FB3">
      <w:pPr>
        <w:ind w:left="567" w:right="567"/>
        <w:rPr>
          <w:rFonts w:cs="Arial"/>
          <w:sz w:val="18"/>
          <w:lang w:val="de-DE" w:eastAsia="de-DE" w:bidi="de-DE"/>
        </w:rPr>
      </w:pPr>
    </w:p>
    <w:p w:rsidR="00E45FB3" w:rsidRPr="00780A33" w:rsidRDefault="00E45FB3" w:rsidP="00E45FB3">
      <w:pPr>
        <w:ind w:left="567" w:right="567"/>
        <w:rPr>
          <w:rFonts w:eastAsia="Calibri"/>
          <w:sz w:val="18"/>
          <w:lang w:val="de-DE" w:eastAsia="de-DE" w:bidi="de-DE"/>
        </w:rPr>
      </w:pPr>
      <w:r w:rsidRPr="00780A33">
        <w:rPr>
          <w:rFonts w:eastAsia="Calibri"/>
          <w:sz w:val="18"/>
          <w:lang w:val="de-DE" w:eastAsia="de-DE" w:bidi="de-DE"/>
        </w:rPr>
        <w:t>1.</w:t>
      </w:r>
      <w:r w:rsidRPr="00780A33">
        <w:rPr>
          <w:rFonts w:eastAsia="Calibri"/>
          <w:sz w:val="18"/>
          <w:lang w:val="de-DE" w:eastAsia="de-DE" w:bidi="de-DE"/>
        </w:rPr>
        <w:tab/>
        <w:t>Dokument TGP/9 „Prüfung der Unterscheidbarkeit“ enthält folgende Erklärungen im Hinblick auf die Erfassungsmethode:</w:t>
      </w:r>
    </w:p>
    <w:p w:rsidR="00E45FB3" w:rsidRPr="00CC410D" w:rsidRDefault="00E45FB3" w:rsidP="00E45FB3">
      <w:pPr>
        <w:ind w:left="567" w:right="567"/>
        <w:rPr>
          <w:rFonts w:cs="Arial"/>
          <w:sz w:val="18"/>
          <w:lang w:val="de-DE" w:eastAsia="de-DE" w:bidi="de-DE"/>
        </w:rPr>
      </w:pPr>
    </w:p>
    <w:p w:rsidR="00E45FB3" w:rsidRPr="00CC410D" w:rsidRDefault="00E45FB3" w:rsidP="00E45FB3">
      <w:pPr>
        <w:ind w:left="1134" w:right="567"/>
        <w:rPr>
          <w:sz w:val="16"/>
          <w:szCs w:val="18"/>
          <w:lang w:val="de-DE" w:eastAsia="de-DE" w:bidi="de-DE"/>
        </w:rPr>
      </w:pPr>
      <w:r w:rsidRPr="00CC410D">
        <w:rPr>
          <w:rFonts w:eastAsia="Calibri"/>
          <w:sz w:val="16"/>
          <w:szCs w:val="18"/>
          <w:lang w:val="de-DE" w:eastAsia="de-DE" w:bidi="de-DE"/>
        </w:rPr>
        <w:t>‘4.2</w:t>
      </w:r>
      <w:r w:rsidRPr="00CC410D">
        <w:rPr>
          <w:rFonts w:ascii="Calibri" w:eastAsia="Calibri" w:hAnsi="Calibri"/>
          <w:sz w:val="22"/>
          <w:szCs w:val="22"/>
          <w:lang w:val="de-DE" w:eastAsia="de-DE" w:bidi="de-DE"/>
        </w:rPr>
        <w:tab/>
      </w:r>
      <w:r w:rsidRPr="00CC410D">
        <w:rPr>
          <w:rFonts w:eastAsia="Calibri"/>
          <w:sz w:val="16"/>
          <w:szCs w:val="18"/>
          <w:lang w:val="de-DE" w:eastAsia="de-DE" w:bidi="de-DE"/>
        </w:rPr>
        <w:t>Beobachtungsmethode (visuell oder Messung)</w:t>
      </w:r>
    </w:p>
    <w:p w:rsidR="00E45FB3" w:rsidRPr="00CC410D" w:rsidRDefault="00E45FB3" w:rsidP="00E45FB3">
      <w:pPr>
        <w:ind w:left="1134" w:right="567"/>
        <w:rPr>
          <w:sz w:val="16"/>
          <w:szCs w:val="18"/>
          <w:lang w:val="de-DE" w:eastAsia="de-DE" w:bidi="de-DE"/>
        </w:rPr>
      </w:pPr>
    </w:p>
    <w:p w:rsidR="00E45FB3" w:rsidRPr="00CC410D" w:rsidRDefault="00E45FB3" w:rsidP="00E45FB3">
      <w:pPr>
        <w:ind w:left="1134" w:right="567"/>
        <w:rPr>
          <w:rFonts w:cs="Arial"/>
          <w:sz w:val="16"/>
          <w:szCs w:val="18"/>
          <w:lang w:val="de-DE" w:eastAsia="de-DE" w:bidi="de-DE"/>
        </w:rPr>
      </w:pPr>
      <w:r w:rsidRPr="00CC410D">
        <w:rPr>
          <w:rFonts w:eastAsia="Calibri"/>
          <w:sz w:val="16"/>
          <w:szCs w:val="18"/>
          <w:lang w:val="de-DE" w:eastAsia="de-DE" w:bidi="de-DE"/>
        </w:rPr>
        <w:t>Die Merkmalsausprägung kann visuell beobachtet (V) oder gemessen (M) werden.</w:t>
      </w:r>
    </w:p>
    <w:p w:rsidR="00E45FB3" w:rsidRPr="00CC410D" w:rsidRDefault="00E45FB3" w:rsidP="00E45FB3">
      <w:pPr>
        <w:ind w:left="1134" w:right="567"/>
        <w:rPr>
          <w:rFonts w:cs="Arial"/>
          <w:sz w:val="16"/>
          <w:szCs w:val="18"/>
          <w:lang w:val="de-DE" w:eastAsia="de-DE" w:bidi="de-DE"/>
        </w:rPr>
      </w:pPr>
    </w:p>
    <w:p w:rsidR="00E45FB3" w:rsidRPr="00CC410D" w:rsidRDefault="00E45FB3" w:rsidP="00E45FB3">
      <w:pPr>
        <w:ind w:left="1134" w:right="567"/>
        <w:rPr>
          <w:sz w:val="16"/>
          <w:szCs w:val="18"/>
          <w:lang w:val="de-DE" w:eastAsia="de-DE" w:bidi="de-DE"/>
        </w:rPr>
      </w:pPr>
      <w:r w:rsidRPr="00CC410D">
        <w:rPr>
          <w:rFonts w:eastAsia="Calibri"/>
          <w:sz w:val="16"/>
          <w:szCs w:val="18"/>
          <w:lang w:val="de-DE" w:eastAsia="de-DE" w:bidi="de-DE"/>
        </w:rPr>
        <w:t>4.2.1</w:t>
      </w:r>
      <w:r w:rsidRPr="00CC410D">
        <w:rPr>
          <w:rFonts w:ascii="Calibri" w:eastAsia="Calibri" w:hAnsi="Calibri"/>
          <w:sz w:val="22"/>
          <w:szCs w:val="22"/>
          <w:lang w:val="de-DE" w:eastAsia="de-DE" w:bidi="de-DE"/>
        </w:rPr>
        <w:tab/>
      </w:r>
      <w:r w:rsidRPr="00CC410D">
        <w:rPr>
          <w:rFonts w:eastAsia="Calibri"/>
          <w:sz w:val="16"/>
          <w:szCs w:val="18"/>
          <w:lang w:val="de-DE" w:eastAsia="de-DE" w:bidi="de-DE"/>
        </w:rPr>
        <w:t>Visuelle Beobachtung (V)</w:t>
      </w:r>
    </w:p>
    <w:p w:rsidR="00E45FB3" w:rsidRPr="00CC410D" w:rsidRDefault="00E45FB3" w:rsidP="00E45FB3">
      <w:pPr>
        <w:ind w:left="1134" w:right="567"/>
        <w:rPr>
          <w:sz w:val="16"/>
          <w:szCs w:val="18"/>
          <w:lang w:val="de-DE" w:eastAsia="de-DE" w:bidi="de-DE"/>
        </w:rPr>
      </w:pPr>
    </w:p>
    <w:p w:rsidR="00E45FB3" w:rsidRPr="00CC410D" w:rsidRDefault="00E45FB3" w:rsidP="00E45FB3">
      <w:pPr>
        <w:tabs>
          <w:tab w:val="left" w:pos="992"/>
        </w:tabs>
        <w:ind w:left="1134" w:right="567"/>
        <w:rPr>
          <w:rFonts w:cs="Arial"/>
          <w:sz w:val="16"/>
          <w:szCs w:val="18"/>
          <w:lang w:val="de-DE" w:eastAsia="de-DE" w:bidi="de-DE"/>
        </w:rPr>
      </w:pPr>
      <w:r w:rsidRPr="00CC410D">
        <w:rPr>
          <w:rFonts w:eastAsia="Calibri"/>
          <w:sz w:val="16"/>
          <w:szCs w:val="18"/>
          <w:lang w:val="de-DE" w:eastAsia="de-DE" w:bidi="de-DE"/>
        </w:rPr>
        <w:t>4.2.1.1</w:t>
      </w:r>
      <w:r w:rsidRPr="00CC410D">
        <w:rPr>
          <w:rFonts w:ascii="Calibri" w:eastAsia="Calibri" w:hAnsi="Calibri"/>
          <w:sz w:val="22"/>
          <w:szCs w:val="22"/>
          <w:lang w:val="de-DE" w:eastAsia="de-DE" w:bidi="de-DE"/>
        </w:rPr>
        <w:tab/>
      </w:r>
      <w:r w:rsidRPr="00CC410D">
        <w:rPr>
          <w:rFonts w:eastAsia="Calibri"/>
          <w:sz w:val="16"/>
          <w:szCs w:val="18"/>
          <w:lang w:val="de-DE" w:eastAsia="de-DE" w:bidi="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w:t>
      </w:r>
    </w:p>
    <w:p w:rsidR="00E45FB3" w:rsidRPr="00CC410D" w:rsidRDefault="00E45FB3" w:rsidP="00E45FB3">
      <w:pPr>
        <w:tabs>
          <w:tab w:val="left" w:pos="992"/>
        </w:tabs>
        <w:ind w:left="1134" w:right="567"/>
        <w:rPr>
          <w:rFonts w:cs="Arial"/>
          <w:sz w:val="16"/>
          <w:szCs w:val="18"/>
          <w:lang w:val="de-DE" w:eastAsia="de-DE" w:bidi="de-DE"/>
        </w:rPr>
      </w:pPr>
    </w:p>
    <w:p w:rsidR="00E45FB3" w:rsidRPr="00CC410D" w:rsidRDefault="00E45FB3" w:rsidP="00E45FB3">
      <w:pPr>
        <w:tabs>
          <w:tab w:val="left" w:pos="992"/>
        </w:tabs>
        <w:ind w:left="1134" w:right="567"/>
        <w:rPr>
          <w:rFonts w:cs="Arial"/>
          <w:sz w:val="16"/>
          <w:szCs w:val="18"/>
          <w:lang w:val="de-DE" w:eastAsia="de-DE" w:bidi="de-DE"/>
        </w:rPr>
      </w:pPr>
      <w:r w:rsidRPr="00CC410D">
        <w:rPr>
          <w:rFonts w:eastAsia="Calibri"/>
          <w:sz w:val="16"/>
          <w:szCs w:val="18"/>
          <w:lang w:val="de-DE" w:eastAsia="de-DE" w:bidi="de-DE"/>
        </w:rPr>
        <w:t>[…]</w:t>
      </w:r>
    </w:p>
    <w:p w:rsidR="00E45FB3" w:rsidRPr="00CC410D" w:rsidRDefault="00E45FB3" w:rsidP="00E45FB3">
      <w:pPr>
        <w:tabs>
          <w:tab w:val="left" w:pos="992"/>
        </w:tabs>
        <w:ind w:left="1134" w:right="567"/>
        <w:rPr>
          <w:rFonts w:cs="Arial"/>
          <w:sz w:val="16"/>
          <w:szCs w:val="18"/>
          <w:lang w:val="de-DE" w:eastAsia="de-DE" w:bidi="de-DE"/>
        </w:rPr>
      </w:pPr>
    </w:p>
    <w:p w:rsidR="00E45FB3" w:rsidRPr="00CC410D" w:rsidRDefault="00E45FB3" w:rsidP="00E45FB3">
      <w:pPr>
        <w:ind w:left="1134" w:right="567"/>
        <w:rPr>
          <w:sz w:val="16"/>
          <w:szCs w:val="18"/>
          <w:lang w:val="de-DE" w:eastAsia="de-DE" w:bidi="de-DE"/>
        </w:rPr>
      </w:pPr>
      <w:r w:rsidRPr="00CC410D">
        <w:rPr>
          <w:rFonts w:eastAsia="Calibri"/>
          <w:sz w:val="16"/>
          <w:szCs w:val="18"/>
          <w:lang w:val="de-DE" w:eastAsia="de-DE" w:bidi="de-DE"/>
        </w:rPr>
        <w:t>4.2.2</w:t>
      </w:r>
      <w:r w:rsidRPr="00CC410D">
        <w:rPr>
          <w:rFonts w:ascii="Calibri" w:eastAsia="Calibri" w:hAnsi="Calibri"/>
          <w:sz w:val="22"/>
          <w:szCs w:val="22"/>
          <w:lang w:val="de-DE" w:eastAsia="de-DE" w:bidi="de-DE"/>
        </w:rPr>
        <w:tab/>
      </w:r>
      <w:r w:rsidRPr="00CC410D">
        <w:rPr>
          <w:rFonts w:eastAsia="Calibri"/>
          <w:sz w:val="16"/>
          <w:szCs w:val="18"/>
          <w:lang w:val="de-DE" w:eastAsia="de-DE" w:bidi="de-DE"/>
        </w:rPr>
        <w:t>Messung (M)</w:t>
      </w:r>
    </w:p>
    <w:p w:rsidR="00E45FB3" w:rsidRPr="00CC410D" w:rsidRDefault="00E45FB3" w:rsidP="00E45FB3">
      <w:pPr>
        <w:ind w:left="1134" w:right="567"/>
        <w:rPr>
          <w:sz w:val="16"/>
          <w:szCs w:val="18"/>
          <w:lang w:val="de-DE" w:eastAsia="de-DE" w:bidi="de-DE"/>
        </w:rPr>
      </w:pPr>
    </w:p>
    <w:p w:rsidR="00E45FB3" w:rsidRPr="00CC410D" w:rsidRDefault="00E45FB3" w:rsidP="00E45FB3">
      <w:pPr>
        <w:tabs>
          <w:tab w:val="left" w:pos="992"/>
        </w:tabs>
        <w:ind w:left="1134" w:right="567"/>
        <w:rPr>
          <w:rFonts w:cs="Arial"/>
          <w:sz w:val="16"/>
          <w:szCs w:val="18"/>
          <w:lang w:val="de-DE" w:eastAsia="de-DE" w:bidi="de-DE"/>
        </w:rPr>
      </w:pPr>
      <w:r w:rsidRPr="00CC410D">
        <w:rPr>
          <w:rFonts w:eastAsia="Calibri"/>
          <w:sz w:val="16"/>
          <w:szCs w:val="18"/>
          <w:lang w:val="de-DE" w:eastAsia="de-DE" w:bidi="de-DE"/>
        </w:rPr>
        <w:t xml:space="preserve">Die Messung (M) ist eine objektive </w:t>
      </w:r>
      <w:r>
        <w:rPr>
          <w:rFonts w:eastAsia="Calibri"/>
          <w:sz w:val="16"/>
          <w:szCs w:val="18"/>
          <w:lang w:val="de-DE" w:eastAsia="de-DE" w:bidi="de-DE"/>
        </w:rPr>
        <w:t>Beobachtung</w:t>
      </w:r>
      <w:r w:rsidRPr="00CC410D">
        <w:rPr>
          <w:rFonts w:eastAsia="Calibri"/>
          <w:sz w:val="16"/>
          <w:szCs w:val="18"/>
          <w:lang w:val="de-DE" w:eastAsia="de-DE" w:bidi="de-DE"/>
        </w:rPr>
        <w:t>, die an einer kalibrierten, linearen Skala erfolgt, z. B. unter Verwendung eines Lineals, einer Waagschale, eines Kolorimeters, von Daten, Zählungen usw.</w:t>
      </w:r>
      <w:r>
        <w:rPr>
          <w:rFonts w:eastAsia="Calibri"/>
          <w:sz w:val="16"/>
          <w:szCs w:val="18"/>
          <w:lang w:val="de-DE" w:eastAsia="de-DE" w:bidi="de-DE"/>
        </w:rPr>
        <w:t>‘</w:t>
      </w:r>
    </w:p>
    <w:p w:rsidR="00E45FB3" w:rsidRPr="00CC410D" w:rsidRDefault="00E45FB3" w:rsidP="00E45FB3">
      <w:pPr>
        <w:keepNext/>
        <w:ind w:left="567" w:right="567"/>
        <w:rPr>
          <w:rFonts w:cs="Arial"/>
          <w:sz w:val="16"/>
          <w:szCs w:val="18"/>
          <w:lang w:val="de-DE" w:eastAsia="de-DE" w:bidi="de-DE"/>
        </w:rPr>
      </w:pPr>
    </w:p>
    <w:p w:rsidR="00E45FB3" w:rsidRPr="00CC410D" w:rsidRDefault="00E45FB3" w:rsidP="00E45FB3">
      <w:pPr>
        <w:keepNext/>
        <w:ind w:left="567" w:right="567"/>
        <w:rPr>
          <w:rFonts w:cs="Arial"/>
          <w:sz w:val="18"/>
          <w:lang w:val="de-DE" w:eastAsia="de-DE" w:bidi="de-DE"/>
        </w:rPr>
      </w:pPr>
      <w:r w:rsidRPr="00CC410D">
        <w:rPr>
          <w:rFonts w:eastAsia="Calibri"/>
          <w:color w:val="000000"/>
          <w:sz w:val="18"/>
          <w:lang w:val="de-DE" w:eastAsia="de-DE" w:bidi="de-DE"/>
        </w:rPr>
        <w:t>2.</w:t>
      </w:r>
      <w:r w:rsidRPr="00CC410D">
        <w:rPr>
          <w:rFonts w:ascii="Calibri" w:eastAsia="Calibri" w:hAnsi="Calibri"/>
          <w:sz w:val="22"/>
          <w:szCs w:val="22"/>
          <w:lang w:val="de-DE" w:eastAsia="de-DE" w:bidi="de-DE"/>
        </w:rPr>
        <w:tab/>
      </w:r>
      <w:r w:rsidRPr="00CC410D">
        <w:rPr>
          <w:rFonts w:eastAsia="Calibri"/>
          <w:sz w:val="18"/>
          <w:lang w:val="de-DE" w:eastAsia="de-DE" w:bidi="de-DE"/>
        </w:rPr>
        <w:t xml:space="preserve">Die folgenden Beispiele sollen aufzeigen, wie die Erfassungsmethode für Merkmale wie die Zeit der Blüte oder Zählungen berücksichtigt werden kann. </w:t>
      </w:r>
    </w:p>
    <w:p w:rsidR="00E45FB3" w:rsidRPr="00CC410D" w:rsidRDefault="00E45FB3" w:rsidP="00E45FB3">
      <w:pPr>
        <w:keepNext/>
        <w:ind w:left="567" w:right="567"/>
        <w:rPr>
          <w:rFonts w:cs="Arial"/>
          <w:sz w:val="18"/>
          <w:lang w:val="de-DE" w:eastAsia="de-DE" w:bidi="de-DE"/>
        </w:rPr>
      </w:pPr>
    </w:p>
    <w:p w:rsidR="00E45FB3" w:rsidRPr="00CC410D" w:rsidRDefault="00E45FB3" w:rsidP="00E45FB3">
      <w:pPr>
        <w:keepNext/>
        <w:ind w:left="567" w:right="567"/>
        <w:rPr>
          <w:rFonts w:cs="Arial"/>
          <w:sz w:val="18"/>
          <w:lang w:val="de-DE" w:eastAsia="de-DE" w:bidi="de-DE"/>
        </w:rPr>
      </w:pPr>
      <w:r w:rsidRPr="00CC410D">
        <w:rPr>
          <w:rFonts w:eastAsia="Calibri"/>
          <w:sz w:val="18"/>
          <w:lang w:val="de-DE" w:eastAsia="de-DE" w:bidi="de-DE"/>
        </w:rPr>
        <w:t>a)</w:t>
      </w:r>
      <w:r w:rsidRPr="00CC410D">
        <w:rPr>
          <w:rFonts w:ascii="Calibri" w:eastAsia="Calibri" w:hAnsi="Calibri"/>
          <w:sz w:val="22"/>
          <w:szCs w:val="22"/>
          <w:lang w:val="de-DE" w:eastAsia="de-DE" w:bidi="de-DE"/>
        </w:rPr>
        <w:tab/>
      </w:r>
      <w:r w:rsidRPr="00CC410D">
        <w:rPr>
          <w:rFonts w:eastAsia="Calibri"/>
          <w:sz w:val="18"/>
          <w:lang w:val="de-DE" w:eastAsia="de-DE" w:bidi="de-DE"/>
        </w:rPr>
        <w:t>Zeitpunkt der Blüte</w:t>
      </w:r>
    </w:p>
    <w:p w:rsidR="00E45FB3" w:rsidRPr="00CC410D" w:rsidRDefault="00E45FB3" w:rsidP="00E45FB3">
      <w:pPr>
        <w:keepNext/>
        <w:ind w:left="567" w:right="567"/>
        <w:rPr>
          <w:rFonts w:cs="Arial"/>
          <w:sz w:val="18"/>
          <w:lang w:eastAsia="de-DE" w:bidi="de-DE"/>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E45FB3" w:rsidRPr="00CC410D" w:rsidTr="00132ABD">
        <w:trPr>
          <w:cantSplit/>
          <w:jc w:val="center"/>
        </w:trPr>
        <w:tc>
          <w:tcPr>
            <w:tcW w:w="578" w:type="dxa"/>
          </w:tcPr>
          <w:p w:rsidR="00E45FB3" w:rsidRPr="00CC410D" w:rsidRDefault="00E45FB3" w:rsidP="00132ABD">
            <w:pPr>
              <w:keepNext/>
              <w:spacing w:before="120" w:after="120"/>
              <w:ind w:right="567"/>
              <w:jc w:val="left"/>
              <w:rPr>
                <w:rFonts w:cs="Arial"/>
                <w:bCs/>
                <w:noProof/>
                <w:sz w:val="16"/>
                <w:szCs w:val="18"/>
                <w:lang w:eastAsia="zh-CN" w:bidi="th-TH"/>
              </w:rPr>
            </w:pPr>
          </w:p>
        </w:tc>
        <w:tc>
          <w:tcPr>
            <w:tcW w:w="412" w:type="dxa"/>
          </w:tcPr>
          <w:p w:rsidR="00E45FB3" w:rsidRPr="00CC410D" w:rsidRDefault="00E45FB3" w:rsidP="00132ABD">
            <w:pPr>
              <w:keepNext/>
              <w:spacing w:before="120" w:after="120"/>
              <w:ind w:right="567"/>
              <w:jc w:val="center"/>
              <w:rPr>
                <w:rFonts w:cs="Arial"/>
                <w:bCs/>
                <w:noProof/>
                <w:sz w:val="16"/>
                <w:szCs w:val="18"/>
                <w:lang w:eastAsia="zh-CN" w:bidi="th-TH"/>
              </w:rPr>
            </w:pPr>
          </w:p>
        </w:tc>
        <w:tc>
          <w:tcPr>
            <w:tcW w:w="2180" w:type="dxa"/>
          </w:tcPr>
          <w:p w:rsidR="00E45FB3" w:rsidRPr="00CC410D" w:rsidRDefault="00E45FB3" w:rsidP="00132ABD">
            <w:pPr>
              <w:keepNext/>
              <w:spacing w:before="120" w:after="120"/>
              <w:ind w:right="567"/>
              <w:jc w:val="left"/>
              <w:rPr>
                <w:rFonts w:cs="Arial"/>
                <w:b/>
                <w:bCs/>
                <w:noProof/>
                <w:sz w:val="16"/>
                <w:szCs w:val="18"/>
                <w:lang w:val="de-DE" w:eastAsia="de-DE" w:bidi="de-DE"/>
              </w:rPr>
            </w:pPr>
            <w:r w:rsidRPr="00CC410D">
              <w:rPr>
                <w:rFonts w:eastAsia="Calibri"/>
                <w:b/>
                <w:bCs/>
                <w:noProof/>
                <w:sz w:val="16"/>
                <w:szCs w:val="18"/>
                <w:lang w:val="de-DE" w:eastAsia="de-DE" w:bidi="th-TH"/>
              </w:rPr>
              <w:t>Zeitpunkt der Blüte</w:t>
            </w:r>
          </w:p>
        </w:tc>
        <w:tc>
          <w:tcPr>
            <w:tcW w:w="567" w:type="dxa"/>
          </w:tcPr>
          <w:p w:rsidR="00E45FB3" w:rsidRPr="00CC410D" w:rsidRDefault="00E45FB3" w:rsidP="00132ABD">
            <w:pPr>
              <w:keepNext/>
              <w:spacing w:before="120" w:after="120"/>
              <w:ind w:right="567"/>
              <w:jc w:val="center"/>
              <w:rPr>
                <w:rFonts w:cs="Arial"/>
                <w:b/>
                <w:bCs/>
                <w:noProof/>
                <w:sz w:val="16"/>
                <w:szCs w:val="18"/>
                <w:lang w:eastAsia="zh-CN" w:bidi="th-TH"/>
              </w:rPr>
            </w:pPr>
          </w:p>
        </w:tc>
      </w:tr>
      <w:tr w:rsidR="00E45FB3" w:rsidRPr="00CC410D" w:rsidTr="00132ABD">
        <w:trPr>
          <w:cantSplit/>
          <w:jc w:val="center"/>
        </w:trPr>
        <w:tc>
          <w:tcPr>
            <w:tcW w:w="578" w:type="dxa"/>
          </w:tcPr>
          <w:p w:rsidR="00E45FB3" w:rsidRPr="00CC410D" w:rsidRDefault="00E45FB3" w:rsidP="00132ABD">
            <w:pPr>
              <w:keepNext/>
              <w:spacing w:before="120" w:after="120"/>
              <w:jc w:val="center"/>
              <w:rPr>
                <w:rFonts w:cs="Arial"/>
                <w:b/>
                <w:noProof/>
                <w:sz w:val="16"/>
                <w:szCs w:val="18"/>
                <w:lang w:val="de-DE" w:eastAsia="de-DE" w:bidi="de-DE"/>
              </w:rPr>
            </w:pPr>
            <w:r w:rsidRPr="00CC410D">
              <w:rPr>
                <w:rFonts w:eastAsia="Calibri"/>
                <w:b/>
                <w:noProof/>
                <w:sz w:val="16"/>
                <w:szCs w:val="18"/>
                <w:lang w:val="de-DE" w:eastAsia="de-DE" w:bidi="th-TH"/>
              </w:rPr>
              <w:t>QN</w:t>
            </w:r>
          </w:p>
        </w:tc>
        <w:tc>
          <w:tcPr>
            <w:tcW w:w="412" w:type="dxa"/>
          </w:tcPr>
          <w:p w:rsidR="00E45FB3" w:rsidRPr="00CC410D" w:rsidRDefault="00E45FB3" w:rsidP="00132ABD">
            <w:pPr>
              <w:keepNext/>
              <w:spacing w:before="120" w:after="120"/>
              <w:ind w:right="567"/>
              <w:jc w:val="center"/>
              <w:rPr>
                <w:rFonts w:cs="Arial"/>
                <w:noProof/>
                <w:sz w:val="16"/>
                <w:szCs w:val="18"/>
                <w:lang w:eastAsia="zh-CN" w:bidi="th-TH"/>
              </w:rPr>
            </w:pPr>
          </w:p>
        </w:tc>
        <w:tc>
          <w:tcPr>
            <w:tcW w:w="2180" w:type="dxa"/>
          </w:tcPr>
          <w:p w:rsidR="00E45FB3" w:rsidRPr="00CC410D" w:rsidRDefault="00E45FB3" w:rsidP="00132ABD">
            <w:pPr>
              <w:keepNext/>
              <w:spacing w:before="120" w:after="120"/>
              <w:ind w:right="567"/>
              <w:jc w:val="left"/>
              <w:rPr>
                <w:rFonts w:cs="Arial"/>
                <w:noProof/>
                <w:snapToGrid w:val="0"/>
                <w:sz w:val="16"/>
                <w:szCs w:val="18"/>
                <w:lang w:val="de-DE" w:eastAsia="de-DE" w:bidi="de-DE"/>
              </w:rPr>
            </w:pPr>
            <w:r w:rsidRPr="00CC410D">
              <w:rPr>
                <w:rFonts w:eastAsia="Calibri"/>
                <w:noProof/>
                <w:snapToGrid w:val="0"/>
                <w:sz w:val="16"/>
                <w:szCs w:val="18"/>
                <w:lang w:val="de-DE" w:eastAsia="de-DE" w:bidi="th-TH"/>
              </w:rPr>
              <w:t>früh</w:t>
            </w:r>
          </w:p>
        </w:tc>
        <w:tc>
          <w:tcPr>
            <w:tcW w:w="567" w:type="dxa"/>
          </w:tcPr>
          <w:p w:rsidR="00E45FB3" w:rsidRPr="00CC410D" w:rsidRDefault="00E45FB3" w:rsidP="00132ABD">
            <w:pPr>
              <w:keepNext/>
              <w:spacing w:before="120" w:after="120"/>
              <w:ind w:right="567"/>
              <w:rPr>
                <w:rFonts w:cs="Arial"/>
                <w:noProof/>
                <w:sz w:val="16"/>
                <w:szCs w:val="18"/>
                <w:lang w:val="de-DE" w:eastAsia="de-DE" w:bidi="de-DE"/>
              </w:rPr>
            </w:pPr>
            <w:r w:rsidRPr="00CC410D">
              <w:rPr>
                <w:rFonts w:eastAsia="Calibri"/>
                <w:noProof/>
                <w:sz w:val="16"/>
                <w:szCs w:val="18"/>
                <w:lang w:val="de-DE" w:eastAsia="de-DE" w:bidi="th-TH"/>
              </w:rPr>
              <w:t>3</w:t>
            </w:r>
          </w:p>
        </w:tc>
      </w:tr>
      <w:tr w:rsidR="00E45FB3" w:rsidRPr="00CC410D" w:rsidTr="00132ABD">
        <w:trPr>
          <w:cantSplit/>
          <w:jc w:val="center"/>
        </w:trPr>
        <w:tc>
          <w:tcPr>
            <w:tcW w:w="578" w:type="dxa"/>
          </w:tcPr>
          <w:p w:rsidR="00E45FB3" w:rsidRPr="00CC410D" w:rsidRDefault="00E45FB3" w:rsidP="00132ABD">
            <w:pPr>
              <w:keepNext/>
              <w:spacing w:before="120" w:after="120"/>
              <w:ind w:right="567"/>
              <w:jc w:val="center"/>
              <w:rPr>
                <w:rFonts w:cs="Arial"/>
                <w:b/>
                <w:noProof/>
                <w:sz w:val="16"/>
                <w:szCs w:val="18"/>
                <w:lang w:eastAsia="zh-CN" w:bidi="th-TH"/>
              </w:rPr>
            </w:pPr>
          </w:p>
        </w:tc>
        <w:tc>
          <w:tcPr>
            <w:tcW w:w="412" w:type="dxa"/>
          </w:tcPr>
          <w:p w:rsidR="00E45FB3" w:rsidRPr="00CC410D" w:rsidRDefault="00E45FB3" w:rsidP="00132ABD">
            <w:pPr>
              <w:keepNext/>
              <w:spacing w:before="120" w:after="120"/>
              <w:ind w:right="567"/>
              <w:jc w:val="center"/>
              <w:rPr>
                <w:rFonts w:cs="Arial"/>
                <w:noProof/>
                <w:sz w:val="16"/>
                <w:szCs w:val="18"/>
                <w:lang w:eastAsia="zh-CN" w:bidi="th-TH"/>
              </w:rPr>
            </w:pPr>
          </w:p>
        </w:tc>
        <w:tc>
          <w:tcPr>
            <w:tcW w:w="2180" w:type="dxa"/>
          </w:tcPr>
          <w:p w:rsidR="00E45FB3" w:rsidRPr="00CC410D" w:rsidRDefault="00E45FB3" w:rsidP="00132ABD">
            <w:pPr>
              <w:keepNext/>
              <w:spacing w:before="120" w:after="120"/>
              <w:ind w:right="567"/>
              <w:jc w:val="left"/>
              <w:rPr>
                <w:rFonts w:cs="Arial"/>
                <w:noProof/>
                <w:snapToGrid w:val="0"/>
                <w:sz w:val="16"/>
                <w:szCs w:val="18"/>
                <w:lang w:val="de-DE" w:eastAsia="de-DE" w:bidi="de-DE"/>
              </w:rPr>
            </w:pPr>
            <w:r w:rsidRPr="00CC410D">
              <w:rPr>
                <w:rFonts w:eastAsia="Calibri"/>
                <w:noProof/>
                <w:snapToGrid w:val="0"/>
                <w:sz w:val="16"/>
                <w:szCs w:val="18"/>
                <w:lang w:val="de-DE" w:eastAsia="de-DE" w:bidi="th-TH"/>
              </w:rPr>
              <w:t>mittel</w:t>
            </w:r>
          </w:p>
        </w:tc>
        <w:tc>
          <w:tcPr>
            <w:tcW w:w="567" w:type="dxa"/>
          </w:tcPr>
          <w:p w:rsidR="00E45FB3" w:rsidRPr="00CC410D" w:rsidRDefault="00E45FB3" w:rsidP="00132ABD">
            <w:pPr>
              <w:keepNext/>
              <w:spacing w:before="120" w:after="120"/>
              <w:ind w:right="567"/>
              <w:jc w:val="center"/>
              <w:rPr>
                <w:rFonts w:cs="Arial"/>
                <w:noProof/>
                <w:sz w:val="16"/>
                <w:szCs w:val="18"/>
                <w:lang w:val="de-DE" w:eastAsia="de-DE" w:bidi="de-DE"/>
              </w:rPr>
            </w:pPr>
            <w:r w:rsidRPr="00CC410D">
              <w:rPr>
                <w:rFonts w:eastAsia="Calibri"/>
                <w:noProof/>
                <w:sz w:val="16"/>
                <w:szCs w:val="18"/>
                <w:lang w:val="de-DE" w:eastAsia="de-DE" w:bidi="th-TH"/>
              </w:rPr>
              <w:t>5</w:t>
            </w:r>
          </w:p>
        </w:tc>
      </w:tr>
      <w:tr w:rsidR="00E45FB3" w:rsidRPr="00CC410D" w:rsidTr="00132ABD">
        <w:trPr>
          <w:cantSplit/>
          <w:jc w:val="center"/>
        </w:trPr>
        <w:tc>
          <w:tcPr>
            <w:tcW w:w="578" w:type="dxa"/>
          </w:tcPr>
          <w:p w:rsidR="00E45FB3" w:rsidRPr="00CC410D" w:rsidRDefault="00E45FB3" w:rsidP="00132ABD">
            <w:pPr>
              <w:keepNext/>
              <w:spacing w:before="120" w:after="120"/>
              <w:ind w:right="567"/>
              <w:jc w:val="center"/>
              <w:rPr>
                <w:rFonts w:cs="Arial"/>
                <w:b/>
                <w:noProof/>
                <w:sz w:val="16"/>
                <w:szCs w:val="18"/>
                <w:lang w:eastAsia="zh-CN" w:bidi="th-TH"/>
              </w:rPr>
            </w:pPr>
          </w:p>
        </w:tc>
        <w:tc>
          <w:tcPr>
            <w:tcW w:w="412" w:type="dxa"/>
          </w:tcPr>
          <w:p w:rsidR="00E45FB3" w:rsidRPr="00CC410D" w:rsidRDefault="00E45FB3" w:rsidP="00132ABD">
            <w:pPr>
              <w:keepNext/>
              <w:spacing w:before="120" w:after="120"/>
              <w:ind w:right="567"/>
              <w:jc w:val="center"/>
              <w:rPr>
                <w:rFonts w:cs="Arial"/>
                <w:noProof/>
                <w:sz w:val="16"/>
                <w:szCs w:val="18"/>
                <w:lang w:eastAsia="zh-CN" w:bidi="th-TH"/>
              </w:rPr>
            </w:pPr>
          </w:p>
        </w:tc>
        <w:tc>
          <w:tcPr>
            <w:tcW w:w="2180" w:type="dxa"/>
          </w:tcPr>
          <w:p w:rsidR="00E45FB3" w:rsidRPr="00CC410D" w:rsidRDefault="00E45FB3" w:rsidP="00132ABD">
            <w:pPr>
              <w:keepNext/>
              <w:spacing w:before="120" w:after="120"/>
              <w:ind w:right="567"/>
              <w:jc w:val="left"/>
              <w:rPr>
                <w:rFonts w:cs="Arial"/>
                <w:noProof/>
                <w:snapToGrid w:val="0"/>
                <w:sz w:val="16"/>
                <w:szCs w:val="18"/>
                <w:lang w:val="de-DE" w:eastAsia="de-DE" w:bidi="de-DE"/>
              </w:rPr>
            </w:pPr>
            <w:r w:rsidRPr="00CC410D">
              <w:rPr>
                <w:rFonts w:eastAsia="Calibri"/>
                <w:noProof/>
                <w:snapToGrid w:val="0"/>
                <w:sz w:val="16"/>
                <w:szCs w:val="18"/>
                <w:lang w:val="de-DE" w:eastAsia="de-DE" w:bidi="th-TH"/>
              </w:rPr>
              <w:t>spät</w:t>
            </w:r>
          </w:p>
        </w:tc>
        <w:tc>
          <w:tcPr>
            <w:tcW w:w="567" w:type="dxa"/>
          </w:tcPr>
          <w:p w:rsidR="00E45FB3" w:rsidRPr="00CC410D" w:rsidRDefault="00E45FB3" w:rsidP="00132ABD">
            <w:pPr>
              <w:keepNext/>
              <w:spacing w:before="120" w:after="120"/>
              <w:ind w:right="567"/>
              <w:jc w:val="center"/>
              <w:rPr>
                <w:rFonts w:cs="Arial"/>
                <w:noProof/>
                <w:sz w:val="16"/>
                <w:szCs w:val="18"/>
                <w:lang w:val="de-DE" w:eastAsia="de-DE" w:bidi="de-DE"/>
              </w:rPr>
            </w:pPr>
            <w:r w:rsidRPr="00CC410D">
              <w:rPr>
                <w:rFonts w:eastAsia="Calibri"/>
                <w:noProof/>
                <w:sz w:val="16"/>
                <w:szCs w:val="18"/>
                <w:lang w:val="de-DE" w:eastAsia="de-DE" w:bidi="th-TH"/>
              </w:rPr>
              <w:t>7</w:t>
            </w:r>
          </w:p>
        </w:tc>
      </w:tr>
    </w:tbl>
    <w:p w:rsidR="00E45FB3" w:rsidRPr="00CC410D" w:rsidRDefault="00E45FB3" w:rsidP="00E45FB3">
      <w:pPr>
        <w:ind w:left="567" w:right="567"/>
        <w:rPr>
          <w:rFonts w:cs="Arial"/>
          <w:i/>
          <w:sz w:val="18"/>
          <w:lang w:eastAsia="de-DE" w:bidi="de-DE"/>
        </w:rPr>
      </w:pPr>
    </w:p>
    <w:p w:rsidR="00E45FB3" w:rsidRPr="00CC410D" w:rsidRDefault="00E45FB3" w:rsidP="00E45FB3">
      <w:pPr>
        <w:ind w:left="567" w:right="567"/>
        <w:rPr>
          <w:rFonts w:cs="Arial"/>
          <w:i/>
          <w:sz w:val="18"/>
          <w:lang w:val="de-DE" w:eastAsia="de-DE" w:bidi="de-DE"/>
        </w:rPr>
      </w:pPr>
      <w:r>
        <w:rPr>
          <w:rFonts w:eastAsia="Calibri"/>
          <w:i/>
          <w:sz w:val="18"/>
          <w:lang w:val="de-DE" w:eastAsia="de-DE" w:bidi="de-DE"/>
        </w:rPr>
        <w:t xml:space="preserve">Szenario A (Erklärung: </w:t>
      </w:r>
      <w:r w:rsidRPr="00CC410D">
        <w:rPr>
          <w:rFonts w:eastAsia="Calibri"/>
          <w:i/>
          <w:sz w:val="18"/>
          <w:lang w:val="de-DE" w:eastAsia="de-DE" w:bidi="de-DE"/>
        </w:rPr>
        <w:t>der Zeitpunkt der Blüte wird anhand des Datums bestimmt)</w:t>
      </w:r>
    </w:p>
    <w:p w:rsidR="00E45FB3" w:rsidRPr="00CC410D" w:rsidRDefault="00E45FB3" w:rsidP="00E45FB3">
      <w:pPr>
        <w:ind w:left="567" w:right="567"/>
        <w:rPr>
          <w:rFonts w:cs="Arial"/>
          <w:i/>
          <w:sz w:val="18"/>
          <w:lang w:val="de-DE" w:eastAsia="de-DE" w:bidi="de-DE"/>
        </w:rPr>
      </w:pPr>
    </w:p>
    <w:p w:rsidR="00E45FB3" w:rsidRPr="00CC410D" w:rsidRDefault="00E45FB3" w:rsidP="00E45FB3">
      <w:pPr>
        <w:ind w:left="567" w:right="567"/>
        <w:rPr>
          <w:rFonts w:cs="Arial"/>
          <w:sz w:val="18"/>
          <w:lang w:val="de-DE" w:eastAsia="de-DE" w:bidi="de-DE"/>
        </w:rPr>
      </w:pPr>
      <w:r w:rsidRPr="00CC410D">
        <w:rPr>
          <w:rFonts w:eastAsia="Calibri"/>
          <w:color w:val="000000"/>
          <w:sz w:val="18"/>
          <w:lang w:val="de-DE" w:eastAsia="de-DE" w:bidi="de-DE"/>
        </w:rPr>
        <w:t>3.</w:t>
      </w:r>
      <w:r w:rsidRPr="00CC410D">
        <w:rPr>
          <w:rFonts w:ascii="Calibri" w:eastAsia="Calibri" w:hAnsi="Calibri"/>
          <w:sz w:val="22"/>
          <w:szCs w:val="22"/>
          <w:lang w:val="de-DE" w:eastAsia="de-DE" w:bidi="de-DE"/>
        </w:rPr>
        <w:tab/>
      </w:r>
      <w:r w:rsidRPr="00CC410D">
        <w:rPr>
          <w:rFonts w:eastAsia="Calibri"/>
          <w:sz w:val="18"/>
          <w:lang w:val="de-DE" w:eastAsia="de-DE" w:bidi="de-DE"/>
        </w:rPr>
        <w:t>Die DUS-Prüfung wird zu verschiedenen Zeitpunkten besucht, um zu prüfen, ob die einzelnen Sorten die Zeit der Blüte erreicht haben. Die Prüfung, ob 50% der Pflanzen die Narbe in der Hauptrispe ausgebildet haben, erfolgt durch die Zählung der Anzahl Pflanzen, die ihre Narben ausgebildet haben, um den Prozentsatz zu ermitteln, oder durch eine Gesamtschätzung des Prozentsatzes.</w:t>
      </w:r>
    </w:p>
    <w:p w:rsidR="00E45FB3" w:rsidRPr="00CC410D" w:rsidRDefault="00E45FB3" w:rsidP="00E45FB3">
      <w:pPr>
        <w:ind w:left="567" w:right="567"/>
        <w:rPr>
          <w:rFonts w:cs="Arial"/>
          <w:sz w:val="18"/>
          <w:lang w:val="de-DE" w:eastAsia="de-DE" w:bidi="de-DE"/>
        </w:rPr>
      </w:pPr>
    </w:p>
    <w:p w:rsidR="00E45FB3" w:rsidRPr="00CC410D" w:rsidRDefault="00E45FB3" w:rsidP="00E45FB3">
      <w:pPr>
        <w:ind w:left="567" w:right="567"/>
        <w:rPr>
          <w:rFonts w:cs="Arial"/>
          <w:sz w:val="18"/>
          <w:lang w:val="de-DE" w:eastAsia="de-DE" w:bidi="de-DE"/>
        </w:rPr>
      </w:pPr>
      <w:r w:rsidRPr="00CC410D">
        <w:rPr>
          <w:rFonts w:eastAsia="Calibri"/>
          <w:color w:val="000000"/>
          <w:sz w:val="18"/>
          <w:lang w:val="de-DE" w:eastAsia="de-DE" w:bidi="de-DE"/>
        </w:rPr>
        <w:t>4.</w:t>
      </w:r>
      <w:r w:rsidRPr="00CC410D">
        <w:rPr>
          <w:rFonts w:ascii="Calibri" w:eastAsia="Calibri" w:hAnsi="Calibri"/>
          <w:sz w:val="22"/>
          <w:szCs w:val="22"/>
          <w:lang w:val="de-DE" w:eastAsia="de-DE" w:bidi="de-DE"/>
        </w:rPr>
        <w:tab/>
      </w:r>
      <w:r w:rsidRPr="00CC410D">
        <w:rPr>
          <w:rFonts w:eastAsia="Calibri"/>
          <w:sz w:val="18"/>
          <w:lang w:val="de-DE" w:eastAsia="de-DE" w:bidi="de-DE"/>
        </w:rPr>
        <w:t>In diesem Fall besteht die Erfassungsmethode aus einer Messung (M), da die Bestimmung der Ausprägungsstufe gemäß dem Zeitpunkt (= Messung auf einer Zeitskala) erfolgt, zu dem eine Sorte die Zeit der Blüte erreicht hat. Für jede Sorte wird ein Zeitpunkt erfaßt, der nach der Bestimmung aller Sorten in Noten übertragen wird.“</w:t>
      </w:r>
    </w:p>
    <w:p w:rsidR="00E45FB3" w:rsidRPr="00CC410D" w:rsidRDefault="00E45FB3" w:rsidP="00E45FB3">
      <w:pPr>
        <w:spacing w:line="360" w:lineRule="auto"/>
        <w:ind w:left="567" w:right="567"/>
        <w:rPr>
          <w:rFonts w:cs="Arial"/>
          <w:i/>
          <w:sz w:val="18"/>
          <w:lang w:val="de-DE" w:eastAsia="de-DE" w:bidi="de-DE"/>
        </w:rPr>
      </w:pPr>
    </w:p>
    <w:p w:rsidR="00E45FB3" w:rsidRPr="00CC410D" w:rsidRDefault="00E45FB3" w:rsidP="00E45FB3">
      <w:pPr>
        <w:keepNext/>
        <w:ind w:left="567" w:right="567"/>
        <w:rPr>
          <w:rFonts w:cs="Arial"/>
          <w:i/>
          <w:sz w:val="18"/>
          <w:lang w:val="de-DE" w:eastAsia="de-DE" w:bidi="de-DE"/>
        </w:rPr>
      </w:pPr>
      <w:r w:rsidRPr="00CC410D">
        <w:rPr>
          <w:rFonts w:eastAsia="Calibri"/>
          <w:i/>
          <w:sz w:val="18"/>
          <w:lang w:val="de-DE" w:eastAsia="de-DE" w:bidi="de-DE"/>
        </w:rPr>
        <w:t xml:space="preserve">Szenario </w:t>
      </w:r>
      <w:r>
        <w:rPr>
          <w:rFonts w:eastAsia="Calibri"/>
          <w:i/>
          <w:sz w:val="18"/>
          <w:lang w:val="de-DE" w:eastAsia="de-DE" w:bidi="de-DE"/>
        </w:rPr>
        <w:t xml:space="preserve">B (Erklärung: </w:t>
      </w:r>
      <w:r w:rsidRPr="00CC410D">
        <w:rPr>
          <w:rFonts w:eastAsia="Calibri"/>
          <w:i/>
          <w:sz w:val="18"/>
          <w:lang w:val="de-DE" w:eastAsia="de-DE" w:bidi="de-DE"/>
        </w:rPr>
        <w:t>der Zeitpunkt der Blüte wird durch den Vergleich mit anderen Sorten bestimmt)</w:t>
      </w:r>
    </w:p>
    <w:p w:rsidR="00E45FB3" w:rsidRPr="00CC410D" w:rsidRDefault="00E45FB3" w:rsidP="00E45FB3">
      <w:pPr>
        <w:keepNext/>
        <w:ind w:left="567" w:right="567"/>
        <w:rPr>
          <w:rFonts w:cs="Arial"/>
          <w:i/>
          <w:sz w:val="18"/>
          <w:lang w:val="de-DE" w:eastAsia="de-DE" w:bidi="de-DE"/>
        </w:rPr>
      </w:pPr>
    </w:p>
    <w:p w:rsidR="00E45FB3" w:rsidRPr="00CC410D" w:rsidRDefault="00E45FB3" w:rsidP="00E45FB3">
      <w:pPr>
        <w:ind w:left="567" w:right="567"/>
        <w:rPr>
          <w:rFonts w:cs="Arial"/>
          <w:sz w:val="18"/>
          <w:lang w:val="de-DE" w:eastAsia="de-DE" w:bidi="de-DE"/>
        </w:rPr>
      </w:pPr>
      <w:r w:rsidRPr="00CC410D">
        <w:rPr>
          <w:rFonts w:eastAsia="Calibri"/>
          <w:color w:val="000000"/>
          <w:sz w:val="18"/>
          <w:lang w:val="de-DE" w:eastAsia="de-DE" w:bidi="de-DE"/>
        </w:rPr>
        <w:t>5.</w:t>
      </w:r>
      <w:r w:rsidRPr="00CC410D">
        <w:rPr>
          <w:rFonts w:ascii="Calibri" w:eastAsia="Calibri" w:hAnsi="Calibri"/>
          <w:sz w:val="22"/>
          <w:szCs w:val="22"/>
          <w:lang w:val="de-DE" w:eastAsia="de-DE" w:bidi="de-DE"/>
        </w:rPr>
        <w:tab/>
      </w:r>
      <w:r w:rsidRPr="00CC410D">
        <w:rPr>
          <w:rFonts w:eastAsia="Calibri"/>
          <w:sz w:val="18"/>
          <w:lang w:val="de-DE" w:eastAsia="de-DE" w:bidi="de-DE"/>
        </w:rPr>
        <w:t xml:space="preserve">Die DUS-Prüfung wird einmal oder mehrmals besucht, um den Zeitpunkt der Blüte im Vergleich zu Beispielssorten zu prüfen. </w:t>
      </w:r>
    </w:p>
    <w:p w:rsidR="00E45FB3" w:rsidRPr="00CC410D" w:rsidRDefault="00E45FB3" w:rsidP="00E45FB3">
      <w:pPr>
        <w:ind w:left="567" w:right="567"/>
        <w:rPr>
          <w:rFonts w:cs="Arial"/>
          <w:sz w:val="18"/>
          <w:lang w:val="de-DE" w:eastAsia="de-DE" w:bidi="de-DE"/>
        </w:rPr>
      </w:pPr>
    </w:p>
    <w:p w:rsidR="00E45FB3" w:rsidRPr="00CC410D" w:rsidRDefault="00E45FB3" w:rsidP="00E45FB3">
      <w:pPr>
        <w:keepNext/>
        <w:keepLines/>
        <w:ind w:left="567" w:right="567"/>
        <w:rPr>
          <w:rFonts w:cs="Arial"/>
          <w:sz w:val="18"/>
          <w:lang w:val="de-DE" w:eastAsia="de-DE" w:bidi="de-DE"/>
        </w:rPr>
      </w:pPr>
      <w:r w:rsidRPr="00CC410D">
        <w:rPr>
          <w:rFonts w:eastAsia="Calibri"/>
          <w:color w:val="000000"/>
          <w:sz w:val="18"/>
          <w:lang w:val="de-DE" w:eastAsia="de-DE" w:bidi="de-DE"/>
        </w:rPr>
        <w:t>6.</w:t>
      </w:r>
      <w:r w:rsidRPr="00CC410D">
        <w:rPr>
          <w:rFonts w:ascii="Calibri" w:eastAsia="Calibri" w:hAnsi="Calibri"/>
          <w:sz w:val="22"/>
          <w:szCs w:val="22"/>
          <w:lang w:val="de-DE" w:eastAsia="de-DE" w:bidi="de-DE"/>
        </w:rPr>
        <w:tab/>
      </w:r>
      <w:r w:rsidRPr="00CC410D">
        <w:rPr>
          <w:rFonts w:eastAsia="Calibri"/>
          <w:sz w:val="18"/>
          <w:lang w:val="de-DE" w:eastAsia="de-DE" w:bidi="de-DE"/>
        </w:rPr>
        <w:t>In diesem Szenario ist die Zeit der Blüte eine visuelle Erfassung (V), da eine visuelle Gesamterfassung in bezug auf die Blütezeit für eine bestimmte Sorte im Vergleich zur Stufe der Blüte von Beispielssorten gemacht wird, ohne Bezug auf ein Besuchsdatum. Für jede Sorte wird eine Note im Vergleich zur Variation zwischen den Sorten (z. B. früh, mittel, spät) aufgezeichnet.</w:t>
      </w:r>
    </w:p>
    <w:p w:rsidR="00E45FB3" w:rsidRPr="00CC410D" w:rsidRDefault="00E45FB3" w:rsidP="00E45FB3">
      <w:pPr>
        <w:ind w:left="567" w:right="567"/>
        <w:rPr>
          <w:rFonts w:cs="Arial"/>
          <w:sz w:val="18"/>
          <w:lang w:val="de-DE" w:eastAsia="de-DE" w:bidi="de-DE"/>
        </w:rPr>
      </w:pPr>
    </w:p>
    <w:p w:rsidR="00E45FB3" w:rsidRPr="00CC410D" w:rsidRDefault="00E45FB3" w:rsidP="00E45FB3">
      <w:pPr>
        <w:keepNext/>
        <w:ind w:left="567" w:right="567"/>
        <w:rPr>
          <w:rFonts w:cs="Arial"/>
          <w:sz w:val="18"/>
          <w:lang w:val="de-DE" w:eastAsia="de-DE" w:bidi="de-DE"/>
        </w:rPr>
      </w:pPr>
      <w:r w:rsidRPr="00CC410D">
        <w:rPr>
          <w:rFonts w:eastAsia="Calibri"/>
          <w:sz w:val="18"/>
          <w:lang w:val="de-DE" w:eastAsia="de-DE" w:bidi="de-DE"/>
        </w:rPr>
        <w:t>b)</w:t>
      </w:r>
      <w:r w:rsidRPr="00CC410D">
        <w:rPr>
          <w:rFonts w:ascii="Calibri" w:eastAsia="Calibri" w:hAnsi="Calibri"/>
          <w:sz w:val="22"/>
          <w:szCs w:val="22"/>
          <w:lang w:val="de-DE" w:eastAsia="de-DE" w:bidi="de-DE"/>
        </w:rPr>
        <w:tab/>
      </w:r>
      <w:r w:rsidRPr="00CC410D">
        <w:rPr>
          <w:rFonts w:eastAsia="Calibri"/>
          <w:sz w:val="18"/>
          <w:lang w:val="de-DE" w:eastAsia="de-DE" w:bidi="de-DE"/>
        </w:rPr>
        <w:t>Anzahl</w:t>
      </w:r>
    </w:p>
    <w:p w:rsidR="00E45FB3" w:rsidRPr="00CC410D" w:rsidRDefault="00E45FB3" w:rsidP="00E45FB3">
      <w:pPr>
        <w:keepNext/>
        <w:ind w:left="567" w:right="567"/>
        <w:rPr>
          <w:rFonts w:cs="Arial"/>
          <w:sz w:val="18"/>
          <w:lang w:val="de-DE" w:eastAsia="de-DE" w:bidi="de-DE"/>
        </w:rPr>
      </w:pPr>
    </w:p>
    <w:p w:rsidR="00E45FB3" w:rsidRPr="00CC410D" w:rsidRDefault="00E45FB3" w:rsidP="00E45FB3">
      <w:pPr>
        <w:ind w:left="567" w:right="567"/>
        <w:rPr>
          <w:rFonts w:cs="Arial"/>
          <w:strike/>
          <w:snapToGrid w:val="0"/>
          <w:sz w:val="18"/>
          <w:lang w:val="de-DE" w:eastAsia="de-DE" w:bidi="de-DE"/>
        </w:rPr>
      </w:pPr>
      <w:r w:rsidRPr="00CC410D">
        <w:rPr>
          <w:rFonts w:eastAsia="Calibri"/>
          <w:color w:val="000000"/>
          <w:sz w:val="18"/>
          <w:lang w:val="de-DE" w:eastAsia="de-DE" w:bidi="de-DE"/>
        </w:rPr>
        <w:t>7.</w:t>
      </w:r>
      <w:r w:rsidRPr="00CC410D">
        <w:rPr>
          <w:rFonts w:ascii="Calibri" w:eastAsia="Calibri" w:hAnsi="Calibri"/>
          <w:sz w:val="22"/>
          <w:szCs w:val="22"/>
          <w:lang w:val="de-DE" w:eastAsia="de-DE" w:bidi="de-DE"/>
        </w:rPr>
        <w:tab/>
      </w:r>
      <w:r w:rsidRPr="00CC410D">
        <w:rPr>
          <w:rFonts w:eastAsia="Calibri"/>
          <w:sz w:val="18"/>
          <w:lang w:val="de-DE" w:eastAsia="de-DE" w:bidi="de-DE"/>
        </w:rPr>
        <w:t>Wenn ein Merkmal durch Zählung erfaßt wird (z. B. „Anzahl Blattlappen”, erfaßt durch Zählung), ist die Prüfung eine Messung (M). Wenn ein Merkmal durch eine Schätzung erfaßt wird (z. B. „Anzahl Blattlappen”, erfaßt durch Schätzung), ist die Prüfung eine visuelle Erfassung (V).”</w:t>
      </w:r>
    </w:p>
    <w:p w:rsidR="00E45FB3" w:rsidRPr="00CC410D" w:rsidRDefault="00E45FB3" w:rsidP="00E45FB3">
      <w:pPr>
        <w:spacing w:line="360" w:lineRule="auto"/>
        <w:rPr>
          <w:lang w:val="de-DE" w:eastAsia="de-DE" w:bidi="de-DE"/>
        </w:rPr>
      </w:pPr>
    </w:p>
    <w:p w:rsidR="00E45FB3" w:rsidRPr="00134A84" w:rsidRDefault="00E45FB3" w:rsidP="00E447BD">
      <w:pPr>
        <w:pStyle w:val="Heading5"/>
        <w:rPr>
          <w:sz w:val="18"/>
        </w:rPr>
      </w:pPr>
      <w:r w:rsidRPr="00134A84">
        <w:lastRenderedPageBreak/>
        <w:t>Beispielssorten</w:t>
      </w:r>
      <w:r w:rsidRPr="00134A84">
        <w:rPr>
          <w:sz w:val="18"/>
        </w:rPr>
        <w:t xml:space="preserve"> </w:t>
      </w:r>
    </w:p>
    <w:p w:rsidR="00196886" w:rsidRPr="00AF342C" w:rsidRDefault="00196886" w:rsidP="00B027B0">
      <w:pPr>
        <w:keepNext/>
      </w:pPr>
    </w:p>
    <w:p w:rsidR="00345A69" w:rsidRPr="00CC410D" w:rsidRDefault="00196886" w:rsidP="00E447BD">
      <w:pPr>
        <w:rPr>
          <w:lang w:val="de-DE" w:eastAsia="de-DE" w:bidi="de-DE"/>
        </w:rPr>
      </w:pPr>
      <w:r w:rsidRPr="00AF342C">
        <w:fldChar w:fldCharType="begin"/>
      </w:r>
      <w:r w:rsidRPr="00AF342C">
        <w:instrText xml:space="preserve"> AUTONUM  </w:instrText>
      </w:r>
      <w:r w:rsidRPr="00AF342C">
        <w:fldChar w:fldCharType="end"/>
      </w:r>
      <w:r w:rsidRPr="00AF342C">
        <w:tab/>
      </w:r>
      <w:r w:rsidR="00345A69" w:rsidRPr="00CC410D">
        <w:rPr>
          <w:rFonts w:eastAsia="Calibri"/>
          <w:lang w:val="de-DE" w:eastAsia="de-DE" w:bidi="de-DE"/>
        </w:rPr>
        <w:t>Der TC prüfte das Dokument TC/49/19.</w:t>
      </w:r>
    </w:p>
    <w:p w:rsidR="00345A69" w:rsidRPr="00CC410D" w:rsidRDefault="00345A69" w:rsidP="00E447BD">
      <w:pPr>
        <w:rPr>
          <w:lang w:val="de-DE" w:eastAsia="de-DE" w:bidi="de-DE"/>
        </w:rPr>
      </w:pPr>
    </w:p>
    <w:p w:rsidR="00196886" w:rsidRPr="00AF342C" w:rsidRDefault="00345A69" w:rsidP="00E447BD">
      <w:r w:rsidRPr="00CC410D">
        <w:rPr>
          <w:lang w:eastAsia="de-DE" w:bidi="de-DE"/>
        </w:rPr>
        <w:fldChar w:fldCharType="begin"/>
      </w:r>
      <w:r w:rsidRPr="00CC410D">
        <w:rPr>
          <w:lang w:val="de-DE" w:eastAsia="de-DE" w:bidi="de-DE"/>
        </w:rPr>
        <w:instrText xml:space="preserve"> AUTONUM  </w:instrText>
      </w:r>
      <w:r w:rsidRPr="00CC410D">
        <w:rPr>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Der TC stimmte der Überarbeitung von Dokument TGP/7 „Anlage 3: Erläuter</w:t>
      </w:r>
      <w:r>
        <w:rPr>
          <w:rFonts w:eastAsia="Calibri"/>
          <w:lang w:val="de-DE" w:eastAsia="de-DE" w:bidi="de-DE"/>
        </w:rPr>
        <w:t>ungen (GN) zur TG</w:t>
      </w:r>
      <w:r>
        <w:rPr>
          <w:rFonts w:eastAsia="Calibri"/>
          <w:lang w:val="de-DE" w:eastAsia="de-DE" w:bidi="de-DE"/>
        </w:rPr>
        <w:noBreakHyphen/>
      </w:r>
      <w:r w:rsidRPr="00CC410D">
        <w:rPr>
          <w:rFonts w:eastAsia="Calibri"/>
          <w:lang w:val="de-DE" w:eastAsia="de-DE" w:bidi="de-DE"/>
        </w:rPr>
        <w:t xml:space="preserve">Mustervorlage, GN 28 (TG-Mustervorlage: Kapitel 6.4) </w:t>
      </w:r>
      <w:r>
        <w:rPr>
          <w:rFonts w:eastAsia="Calibri"/>
          <w:lang w:val="de-DE" w:eastAsia="de-DE" w:bidi="de-DE"/>
        </w:rPr>
        <w:t>–</w:t>
      </w:r>
      <w:r w:rsidRPr="00CC410D">
        <w:rPr>
          <w:rFonts w:eastAsia="Calibri"/>
          <w:lang w:val="de-DE" w:eastAsia="de-DE" w:bidi="de-DE"/>
        </w:rPr>
        <w:t xml:space="preserve"> Beispielssorten</w:t>
      </w:r>
      <w:r>
        <w:rPr>
          <w:rFonts w:eastAsia="Calibri"/>
          <w:lang w:val="de-DE" w:eastAsia="de-DE" w:bidi="de-DE"/>
        </w:rPr>
        <w:t>“</w:t>
      </w:r>
      <w:r w:rsidRPr="00CC410D">
        <w:rPr>
          <w:rFonts w:eastAsia="Calibri"/>
          <w:lang w:val="de-DE" w:eastAsia="de-DE" w:bidi="de-DE"/>
        </w:rPr>
        <w:t xml:space="preserve"> auf der Grundlage der Anlage von Dokument TC/49/19 zur Aufnahme in eine künftige Überarbeitung von Dokument TGP/7 zu</w:t>
      </w:r>
      <w:r w:rsidR="00E41780">
        <w:t xml:space="preserve"> (</w:t>
      </w:r>
      <w:r w:rsidRPr="00816118">
        <w:rPr>
          <w:lang w:val="de-DE"/>
        </w:rPr>
        <w:t>vergleiche Dokument TC/</w:t>
      </w:r>
      <w:r>
        <w:rPr>
          <w:lang w:val="de-DE"/>
        </w:rPr>
        <w:t>49/41 „</w:t>
      </w:r>
      <w:r w:rsidRPr="00816118">
        <w:rPr>
          <w:lang w:val="de-DE"/>
        </w:rPr>
        <w:t xml:space="preserve">Bericht über die Entschließungen”, </w:t>
      </w:r>
      <w:r>
        <w:rPr>
          <w:lang w:val="de-DE"/>
        </w:rPr>
        <w:t>Absatz</w:t>
      </w:r>
      <w:r>
        <w:t xml:space="preserve"> </w:t>
      </w:r>
      <w:r w:rsidR="00E41780">
        <w:t>44)</w:t>
      </w:r>
      <w:r w:rsidR="00196886" w:rsidRPr="00AF342C">
        <w:t>.</w:t>
      </w:r>
    </w:p>
    <w:p w:rsidR="00196886" w:rsidRPr="00AF342C" w:rsidRDefault="00196886" w:rsidP="00E447BD"/>
    <w:p w:rsidR="008E2E00" w:rsidRPr="00134A84" w:rsidRDefault="008E2E00" w:rsidP="00E447BD">
      <w:pPr>
        <w:pStyle w:val="Heading5"/>
      </w:pPr>
      <w:r w:rsidRPr="00134A84">
        <w:t>Einreichung von Fotoaufnahmen als Beilage zum Technischen Fragebogen</w:t>
      </w:r>
    </w:p>
    <w:p w:rsidR="008E2E00" w:rsidRPr="00280037" w:rsidRDefault="008E2E00" w:rsidP="008E2E00">
      <w:pPr>
        <w:keepNext/>
        <w:ind w:left="1134"/>
        <w:rPr>
          <w:rFonts w:eastAsia="Calibri"/>
          <w:i/>
          <w:lang w:val="de-DE" w:eastAsia="de-DE" w:bidi="de-DE"/>
        </w:rPr>
      </w:pPr>
    </w:p>
    <w:p w:rsidR="008E2E00" w:rsidRPr="00CC410D" w:rsidRDefault="008E2E00" w:rsidP="008E2E00">
      <w:pPr>
        <w:rPr>
          <w:lang w:val="de-DE" w:eastAsia="de-DE" w:bidi="de-DE"/>
        </w:rPr>
      </w:pPr>
      <w:r w:rsidRPr="00CC410D">
        <w:rPr>
          <w:lang w:eastAsia="de-DE" w:bidi="de-DE"/>
        </w:rPr>
        <w:fldChar w:fldCharType="begin"/>
      </w:r>
      <w:r w:rsidRPr="00CC410D">
        <w:rPr>
          <w:lang w:val="de-DE" w:eastAsia="de-DE" w:bidi="de-DE"/>
        </w:rPr>
        <w:instrText xml:space="preserve"> AUTONUM  </w:instrText>
      </w:r>
      <w:r w:rsidRPr="00CC410D">
        <w:rPr>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Der TC prüfte das Dokument TC/49/20.</w:t>
      </w:r>
    </w:p>
    <w:p w:rsidR="008E2E00" w:rsidRPr="00CC410D" w:rsidRDefault="008E2E00" w:rsidP="008E2E00">
      <w:pPr>
        <w:rPr>
          <w:lang w:val="de-DE" w:eastAsia="de-DE" w:bidi="de-DE"/>
        </w:rPr>
      </w:pPr>
    </w:p>
    <w:p w:rsidR="008E2E00" w:rsidRPr="00CC410D" w:rsidRDefault="008E2E00" w:rsidP="008E2E00">
      <w:pPr>
        <w:rPr>
          <w:lang w:val="de-DE" w:eastAsia="de-DE" w:bidi="de-DE"/>
        </w:rPr>
      </w:pPr>
      <w:r w:rsidRPr="00CC410D">
        <w:rPr>
          <w:lang w:eastAsia="de-DE" w:bidi="de-DE"/>
        </w:rPr>
        <w:fldChar w:fldCharType="begin"/>
      </w:r>
      <w:r w:rsidRPr="00CC410D">
        <w:rPr>
          <w:lang w:val="de-DE" w:eastAsia="de-DE" w:bidi="de-DE"/>
        </w:rPr>
        <w:instrText xml:space="preserve"> AUTONUM  </w:instrText>
      </w:r>
      <w:r w:rsidRPr="00CC410D">
        <w:rPr>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 xml:space="preserve">Der TC stimmte dem neuen </w:t>
      </w:r>
      <w:r>
        <w:rPr>
          <w:rFonts w:eastAsia="Calibri"/>
          <w:lang w:val="de-DE" w:eastAsia="de-DE" w:bidi="de-DE"/>
        </w:rPr>
        <w:t>z</w:t>
      </w:r>
      <w:r w:rsidRPr="00CC410D">
        <w:rPr>
          <w:rFonts w:eastAsia="Calibri"/>
          <w:lang w:val="de-DE" w:eastAsia="de-DE" w:bidi="de-DE"/>
        </w:rPr>
        <w:t xml:space="preserve">usätzlichen Standardwortlaut (ASW) und der </w:t>
      </w:r>
      <w:r>
        <w:rPr>
          <w:rFonts w:eastAsia="Calibri"/>
          <w:lang w:val="de-DE" w:eastAsia="de-DE" w:bidi="de-DE"/>
        </w:rPr>
        <w:t>Erläuterung</w:t>
      </w:r>
      <w:r w:rsidRPr="00CC410D">
        <w:rPr>
          <w:rFonts w:eastAsia="Calibri"/>
          <w:lang w:val="de-DE" w:eastAsia="de-DE" w:bidi="de-DE"/>
        </w:rPr>
        <w:t xml:space="preserve"> (GN) zur „</w:t>
      </w:r>
      <w:r>
        <w:rPr>
          <w:rFonts w:eastAsia="Calibri"/>
          <w:lang w:val="de-DE" w:eastAsia="de-DE" w:bidi="de-DE"/>
        </w:rPr>
        <w:t>Einreichung</w:t>
      </w:r>
      <w:r w:rsidRPr="00CC410D">
        <w:rPr>
          <w:rFonts w:eastAsia="Calibri"/>
          <w:lang w:val="de-DE" w:eastAsia="de-DE" w:bidi="de-DE"/>
        </w:rPr>
        <w:t xml:space="preserve"> von Fotoaufnahmen </w:t>
      </w:r>
      <w:r>
        <w:rPr>
          <w:rFonts w:eastAsia="Calibri"/>
          <w:lang w:val="de-DE" w:eastAsia="de-DE" w:bidi="de-DE"/>
        </w:rPr>
        <w:t>als Beilage zum</w:t>
      </w:r>
      <w:r w:rsidRPr="00CC410D">
        <w:rPr>
          <w:rFonts w:eastAsia="Calibri"/>
          <w:lang w:val="de-DE" w:eastAsia="de-DE" w:bidi="de-DE"/>
        </w:rPr>
        <w:t xml:space="preserve"> Technischen Fragebogen“ auf der Grundlage der Anlage von Dokument TC/49/20 zur Aufnahme in eine künftige Überarbeitung von Dokument TGP/7 zu.</w:t>
      </w:r>
    </w:p>
    <w:p w:rsidR="008E2E00" w:rsidRPr="00CC410D" w:rsidRDefault="008E2E00" w:rsidP="008E2E00">
      <w:pPr>
        <w:rPr>
          <w:lang w:val="de-DE" w:eastAsia="de-DE" w:bidi="de-DE"/>
        </w:rPr>
      </w:pPr>
    </w:p>
    <w:p w:rsidR="00196886" w:rsidRPr="00AF342C" w:rsidRDefault="008E2E00" w:rsidP="008E2E00">
      <w:r w:rsidRPr="00CC410D">
        <w:rPr>
          <w:lang w:eastAsia="de-DE" w:bidi="de-DE"/>
        </w:rPr>
        <w:fldChar w:fldCharType="begin"/>
      </w:r>
      <w:r w:rsidRPr="00CC410D">
        <w:rPr>
          <w:lang w:val="de-DE" w:eastAsia="de-DE" w:bidi="de-DE"/>
        </w:rPr>
        <w:instrText xml:space="preserve"> AUTONUM  </w:instrText>
      </w:r>
      <w:r w:rsidRPr="00CC410D">
        <w:rPr>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 xml:space="preserve">Der TC vereinbarte, daß den Verbandsmitgliedern die „Anleitung zur </w:t>
      </w:r>
      <w:r>
        <w:rPr>
          <w:rFonts w:eastAsia="Calibri"/>
          <w:lang w:val="de-DE" w:eastAsia="de-DE" w:bidi="de-DE"/>
        </w:rPr>
        <w:t>Einreichung</w:t>
      </w:r>
      <w:r w:rsidRPr="00CC410D">
        <w:rPr>
          <w:rFonts w:eastAsia="Calibri"/>
          <w:lang w:val="de-DE" w:eastAsia="de-DE" w:bidi="de-DE"/>
        </w:rPr>
        <w:t xml:space="preserve"> von Fotoaufnahmen </w:t>
      </w:r>
      <w:r>
        <w:rPr>
          <w:rFonts w:eastAsia="Calibri"/>
          <w:lang w:val="de-DE" w:eastAsia="de-DE" w:bidi="de-DE"/>
        </w:rPr>
        <w:t>als Beilage zum</w:t>
      </w:r>
      <w:r w:rsidRPr="00CC410D">
        <w:rPr>
          <w:rFonts w:eastAsia="Calibri"/>
          <w:lang w:val="de-DE" w:eastAsia="de-DE" w:bidi="de-DE"/>
        </w:rPr>
        <w:t xml:space="preserve"> Technischen Fragebogen</w:t>
      </w:r>
      <w:r>
        <w:rPr>
          <w:rFonts w:eastAsia="Calibri"/>
          <w:lang w:val="de-DE" w:eastAsia="de-DE" w:bidi="de-DE"/>
        </w:rPr>
        <w:t>“</w:t>
      </w:r>
      <w:r w:rsidRPr="00CC410D">
        <w:rPr>
          <w:rFonts w:eastAsia="Calibri"/>
          <w:lang w:val="de-DE" w:eastAsia="de-DE" w:bidi="de-DE"/>
        </w:rPr>
        <w:t xml:space="preserve"> über einen Link z</w:t>
      </w:r>
      <w:r>
        <w:rPr>
          <w:rFonts w:eastAsia="Calibri"/>
          <w:lang w:val="de-DE" w:eastAsia="de-DE" w:bidi="de-DE"/>
        </w:rPr>
        <w:t>um maßgeblichen Bereich der UPOV</w:t>
      </w:r>
      <w:r>
        <w:rPr>
          <w:rFonts w:eastAsia="Calibri"/>
          <w:lang w:val="de-DE" w:eastAsia="de-DE" w:bidi="de-DE"/>
        </w:rPr>
        <w:noBreakHyphen/>
      </w:r>
      <w:r w:rsidRPr="00CC410D">
        <w:rPr>
          <w:rFonts w:eastAsia="Calibri"/>
          <w:lang w:val="de-DE" w:eastAsia="de-DE" w:bidi="de-DE"/>
        </w:rPr>
        <w:t xml:space="preserve">Website bereitgestellt werden solle. Dieser Link würde in Verbindung mit ASW 16 im Technischen Fragebogen, Abschnitt 7, bereitgestellt werden. Der TC nahm zur Kenntnis, daß der Link von Verbandsmitgliedern bei der Erstellung der eigenen Prüfungsrichtlinien der Behörde gelöscht werden könne. Der TC vereinbarte </w:t>
      </w:r>
      <w:r>
        <w:rPr>
          <w:rFonts w:eastAsia="Calibri"/>
          <w:lang w:val="de-DE" w:eastAsia="de-DE" w:bidi="de-DE"/>
        </w:rPr>
        <w:t>ferner</w:t>
      </w:r>
      <w:r w:rsidRPr="00CC410D">
        <w:rPr>
          <w:rFonts w:eastAsia="Calibri"/>
          <w:lang w:val="de-DE" w:eastAsia="de-DE" w:bidi="de-DE"/>
        </w:rPr>
        <w:t xml:space="preserve">, </w:t>
      </w:r>
      <w:r>
        <w:rPr>
          <w:rFonts w:eastAsia="Calibri"/>
          <w:lang w:val="de-DE" w:eastAsia="de-DE" w:bidi="de-DE"/>
        </w:rPr>
        <w:t xml:space="preserve">diese Anleitung im Rahmen einer künftigen Überarbeitung </w:t>
      </w:r>
      <w:r w:rsidRPr="00CC410D">
        <w:rPr>
          <w:rFonts w:eastAsia="Calibri"/>
          <w:lang w:val="de-DE" w:eastAsia="de-DE" w:bidi="de-DE"/>
        </w:rPr>
        <w:t xml:space="preserve">in Dokument TGP/9 Abschnitt 2.6 „Fotoaufnahmen“ </w:t>
      </w:r>
      <w:r>
        <w:rPr>
          <w:rFonts w:eastAsia="Calibri"/>
          <w:lang w:val="de-DE" w:eastAsia="de-DE" w:bidi="de-DE"/>
        </w:rPr>
        <w:t>aufzunehmen</w:t>
      </w:r>
      <w:r w:rsidR="00E41780">
        <w:t xml:space="preserve"> (</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Absätze</w:t>
      </w:r>
      <w:r w:rsidR="00345A69">
        <w:t xml:space="preserve"> 46 u</w:t>
      </w:r>
      <w:r w:rsidR="00CB7708">
        <w:t>nd 47</w:t>
      </w:r>
      <w:r w:rsidR="00E41780">
        <w:t>)</w:t>
      </w:r>
      <w:r w:rsidR="00196886" w:rsidRPr="00AF342C">
        <w:t>.</w:t>
      </w:r>
    </w:p>
    <w:p w:rsidR="00196886" w:rsidRPr="00AF342C" w:rsidRDefault="00196886" w:rsidP="00196886">
      <w:pPr>
        <w:spacing w:line="360" w:lineRule="auto"/>
      </w:pPr>
    </w:p>
    <w:p w:rsidR="008E2E00" w:rsidRPr="008E2E00" w:rsidRDefault="00196886" w:rsidP="00E447BD">
      <w:pPr>
        <w:pStyle w:val="Heading4"/>
        <w:rPr>
          <w:i w:val="0"/>
          <w:caps w:val="0"/>
          <w:lang w:val="de-DE" w:eastAsia="de-DE" w:bidi="de-DE"/>
        </w:rPr>
      </w:pPr>
      <w:r w:rsidRPr="00507ABF">
        <w:t xml:space="preserve">TGP/8:  </w:t>
      </w:r>
      <w:r w:rsidR="008E2E00" w:rsidRPr="008E2E00">
        <w:rPr>
          <w:rFonts w:eastAsia="Calibri"/>
          <w:i w:val="0"/>
          <w:caps w:val="0"/>
          <w:lang w:val="de-DE" w:eastAsia="de-DE" w:bidi="de-DE"/>
        </w:rPr>
        <w:t>Prüfungsanlage und Verfahren für die Prüfung der Unterscheidbarkeit, der Homogenität und der Beständigkeit</w:t>
      </w:r>
    </w:p>
    <w:p w:rsidR="008E2E00" w:rsidRPr="008E2E00" w:rsidRDefault="008E2E00" w:rsidP="008E2E00">
      <w:pPr>
        <w:keepNext/>
        <w:rPr>
          <w:lang w:val="de-DE" w:eastAsia="de-DE" w:bidi="de-DE"/>
        </w:rPr>
      </w:pPr>
    </w:p>
    <w:p w:rsidR="00196886" w:rsidRPr="00134A84" w:rsidRDefault="008E2E00" w:rsidP="00E447BD">
      <w:pPr>
        <w:pStyle w:val="Heading5"/>
        <w:rPr>
          <w:i/>
        </w:rPr>
      </w:pPr>
      <w:r w:rsidRPr="00134A84">
        <w:rPr>
          <w:i/>
          <w:caps/>
        </w:rPr>
        <w:t xml:space="preserve">Überarbeitung von Dokument TGP/8: Teil I: DUS-Prüfungsanlage und Datenanalyse, </w:t>
      </w:r>
      <w:r w:rsidRPr="00134A84">
        <w:rPr>
          <w:rFonts w:ascii="Calibri" w:hAnsi="Calibri"/>
          <w:i/>
          <w:caps/>
          <w:sz w:val="22"/>
          <w:szCs w:val="22"/>
        </w:rPr>
        <w:br/>
      </w:r>
      <w:r w:rsidRPr="00134A84">
        <w:rPr>
          <w:i/>
          <w:caps/>
        </w:rPr>
        <w:t>neuer Abschnitt 2:  Zu erfassende Daten</w:t>
      </w:r>
    </w:p>
    <w:p w:rsidR="00196886" w:rsidRPr="00134A84" w:rsidRDefault="00196886" w:rsidP="00196886">
      <w:pPr>
        <w:keepNext/>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8E2E00" w:rsidRPr="00CC410D">
        <w:rPr>
          <w:rFonts w:eastAsia="Calibri"/>
          <w:lang w:val="de-DE" w:eastAsia="de-DE" w:bidi="de-DE"/>
        </w:rPr>
        <w:t>Der TC prüfte das Dokument TC/49/21</w:t>
      </w:r>
      <w:r w:rsidRPr="00AF342C">
        <w:rPr>
          <w:rFonts w:cs="Arial"/>
        </w:rPr>
        <w:t>.</w:t>
      </w:r>
    </w:p>
    <w:p w:rsidR="00196886" w:rsidRPr="00AF342C" w:rsidRDefault="00196886" w:rsidP="00196886">
      <w:pPr>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8E2E00" w:rsidRPr="00CC410D">
        <w:rPr>
          <w:rFonts w:eastAsia="Calibri"/>
          <w:lang w:val="de-DE" w:eastAsia="de-DE" w:bidi="de-DE"/>
        </w:rPr>
        <w:t>Der TC vereinbarte, daß der vorgeschlagene Text für den neuen Abschnitt 2: „Zu erfassende Daten“ in eine künftige Überarbeitung von Dokument TGP/8: Teil I: Prüfungsanlage und Datenanalyse, wie in der Anlage von Dokument TC/49/21, vorbehaltlich der Überarbeitung von TGP/8: Teil II, Abschnitt 3, Abschnitt 4 und Abschnitt 10, wie in den Anlagen der Dokumente TC/49/24, TC/49/26 und TC/49/27 dargelegt, aufgenommen werden solle</w:t>
      </w:r>
      <w:r w:rsidR="008E2E00">
        <w:t xml:space="preserve"> </w:t>
      </w:r>
      <w:r w:rsidR="00CB7708">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345A69">
        <w:t xml:space="preserve"> </w:t>
      </w:r>
      <w:r w:rsidR="00CB7708">
        <w:t>49)</w:t>
      </w:r>
      <w:r w:rsidRPr="00B174E2">
        <w:t>.</w:t>
      </w:r>
    </w:p>
    <w:p w:rsidR="00196886" w:rsidRPr="00AF342C" w:rsidRDefault="00196886" w:rsidP="00196886">
      <w:pPr>
        <w:rPr>
          <w:rFonts w:cs="Arial"/>
        </w:rPr>
      </w:pPr>
    </w:p>
    <w:p w:rsidR="008E2E00" w:rsidRPr="008E2E00" w:rsidRDefault="008E2E00" w:rsidP="00E447BD">
      <w:pPr>
        <w:pStyle w:val="Heading5"/>
      </w:pPr>
      <w:r w:rsidRPr="008E2E00">
        <w:t xml:space="preserve">Überarbeitung von Dokument TGP/8: Teil I: DUS-Prüfungsanlage und Datenanalyse, </w:t>
      </w:r>
      <w:r w:rsidRPr="008E2E00">
        <w:rPr>
          <w:rFonts w:ascii="Calibri" w:hAnsi="Calibri"/>
          <w:sz w:val="22"/>
          <w:szCs w:val="22"/>
        </w:rPr>
        <w:br/>
      </w:r>
      <w:r w:rsidRPr="008E2E00">
        <w:t xml:space="preserve">Neuer Abschnitt:  Minimierung der Variation infolge verschiedener Erfasser </w:t>
      </w:r>
    </w:p>
    <w:p w:rsidR="00196886" w:rsidRPr="00196886" w:rsidRDefault="00196886" w:rsidP="00E447BD"/>
    <w:p w:rsidR="00196886" w:rsidRPr="00AF342C" w:rsidRDefault="00196886" w:rsidP="00E447BD">
      <w:pPr>
        <w:rPr>
          <w:rFonts w:cs="Arial"/>
        </w:rPr>
      </w:pPr>
    </w:p>
    <w:p w:rsidR="008E2E00" w:rsidRPr="00CC410D" w:rsidRDefault="00196886" w:rsidP="00E447BD">
      <w:pPr>
        <w:rPr>
          <w:rFonts w:cs="Arial"/>
          <w:lang w:val="de-DE" w:eastAsia="de-DE" w:bidi="de-DE"/>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8E2E00" w:rsidRPr="00CC410D">
        <w:rPr>
          <w:rFonts w:eastAsia="Calibri"/>
          <w:lang w:val="de-DE" w:eastAsia="de-DE" w:bidi="de-DE"/>
        </w:rPr>
        <w:t>Der TC prüfte das Dokument TC/49/22.</w:t>
      </w:r>
    </w:p>
    <w:p w:rsidR="008E2E00" w:rsidRPr="00CC410D" w:rsidRDefault="008E2E00" w:rsidP="00E447BD">
      <w:pPr>
        <w:rPr>
          <w:rFonts w:cs="Arial"/>
          <w:lang w:val="de-DE" w:eastAsia="de-DE" w:bidi="de-DE"/>
        </w:rPr>
      </w:pPr>
    </w:p>
    <w:p w:rsidR="00196886" w:rsidRPr="008E2E00" w:rsidRDefault="008E2E00" w:rsidP="00E447BD">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iCs/>
          <w:snapToGrid w:val="0"/>
          <w:spacing w:val="-4"/>
          <w:lang w:val="de-DE" w:eastAsia="de-DE" w:bidi="de-DE"/>
        </w:rPr>
        <w:t xml:space="preserve">Der TC vereinbarte, den Sachverständigen aus den Niederlanden zu ersuchen, ausgehend von den Anmerkungen der TWP auf ihren Tagungen im Jahr 2012 und des TC-EDC auf seiner </w:t>
      </w:r>
      <w:r>
        <w:rPr>
          <w:rFonts w:eastAsia="Calibri"/>
          <w:iCs/>
          <w:snapToGrid w:val="0"/>
          <w:spacing w:val="-4"/>
          <w:lang w:val="de-DE" w:eastAsia="de-DE" w:bidi="de-DE"/>
        </w:rPr>
        <w:t>Sitzung</w:t>
      </w:r>
      <w:r w:rsidRPr="00CC410D">
        <w:rPr>
          <w:rFonts w:eastAsia="Calibri"/>
          <w:iCs/>
          <w:snapToGrid w:val="0"/>
          <w:spacing w:val="-4"/>
          <w:lang w:val="de-DE" w:eastAsia="de-DE" w:bidi="de-DE"/>
        </w:rPr>
        <w:t xml:space="preserve"> im Januar 2013, und insbesondere zum Zwecke der Aufnahme einer Anleitung zu PQ und QN/MG-Merkmalen, einen neuen Entwurf des Abschnitts über „Minimierung der Variation infolge verschiedener Erfasser“ </w:t>
      </w:r>
      <w:r>
        <w:rPr>
          <w:rFonts w:eastAsia="Calibri"/>
          <w:iCs/>
          <w:snapToGrid w:val="0"/>
          <w:spacing w:val="-4"/>
          <w:lang w:val="de-DE" w:eastAsia="de-DE" w:bidi="de-DE"/>
        </w:rPr>
        <w:t xml:space="preserve">zur Prüfung durch die TWP auf ihren Tagungen im Jahr 2013 </w:t>
      </w:r>
      <w:r w:rsidRPr="00CC410D">
        <w:rPr>
          <w:rFonts w:eastAsia="Calibri"/>
          <w:iCs/>
          <w:snapToGrid w:val="0"/>
          <w:spacing w:val="-4"/>
          <w:lang w:val="de-DE" w:eastAsia="de-DE" w:bidi="de-DE"/>
        </w:rPr>
        <w:t>zu erstellen</w:t>
      </w:r>
      <w:r>
        <w:t xml:space="preserve"> </w:t>
      </w:r>
      <w:r w:rsidR="00CB7708">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345A69">
        <w:t xml:space="preserve"> </w:t>
      </w:r>
      <w:r w:rsidR="00CB7708">
        <w:t>51)</w:t>
      </w:r>
      <w:r w:rsidR="00196886" w:rsidRPr="00AF342C">
        <w:rPr>
          <w:iCs/>
          <w:spacing w:val="-4"/>
        </w:rPr>
        <w:t>.</w:t>
      </w:r>
    </w:p>
    <w:p w:rsidR="00196886" w:rsidRPr="008E2E00" w:rsidRDefault="00196886" w:rsidP="00E767B6">
      <w:pPr>
        <w:pStyle w:val="Heading5"/>
      </w:pPr>
    </w:p>
    <w:p w:rsidR="008E2E00" w:rsidRPr="00CC410D" w:rsidRDefault="008E2E00" w:rsidP="00E447BD">
      <w:pPr>
        <w:pStyle w:val="Heading5"/>
        <w:rPr>
          <w:i/>
        </w:rPr>
      </w:pPr>
      <w:r w:rsidRPr="008E2E00">
        <w:t>Überarbeitung von Dokument TGP/8: Teil I: DUS-Prüfungsanlage und Datenanalyse</w:t>
      </w:r>
      <w:r w:rsidRPr="008E2E00">
        <w:rPr>
          <w:rFonts w:ascii="Calibri" w:hAnsi="Calibri"/>
          <w:sz w:val="22"/>
          <w:szCs w:val="22"/>
        </w:rPr>
        <w:br/>
      </w:r>
      <w:r w:rsidRPr="008E2E00">
        <w:t>Neuer Abschnitt:  Verringerung der Größe von Anbauprüfungen</w:t>
      </w:r>
      <w:r w:rsidRPr="00CC410D">
        <w:rPr>
          <w:i/>
        </w:rPr>
        <w:t xml:space="preserve"> </w:t>
      </w:r>
    </w:p>
    <w:p w:rsidR="00196886" w:rsidRPr="00AF342C" w:rsidRDefault="00196886" w:rsidP="00196886">
      <w:pPr>
        <w:keepNext/>
        <w:rPr>
          <w:rFonts w:cs="Arial"/>
        </w:rPr>
      </w:pPr>
    </w:p>
    <w:p w:rsidR="00164C5D" w:rsidRPr="00CC410D" w:rsidRDefault="00196886" w:rsidP="00164C5D">
      <w:pPr>
        <w:keepNext/>
        <w:rPr>
          <w:rFonts w:cs="Arial"/>
          <w:lang w:val="de-DE" w:eastAsia="de-DE" w:bidi="de-DE"/>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164C5D" w:rsidRPr="00CC410D">
        <w:rPr>
          <w:rFonts w:eastAsia="Calibri"/>
          <w:lang w:val="de-DE" w:eastAsia="de-DE" w:bidi="de-DE"/>
        </w:rPr>
        <w:t xml:space="preserve">Der TC prüfte das Dokument TC/49/23. </w:t>
      </w:r>
    </w:p>
    <w:p w:rsidR="00164C5D" w:rsidRPr="00CC410D" w:rsidRDefault="00164C5D" w:rsidP="00164C5D">
      <w:pPr>
        <w:keepNext/>
        <w:rPr>
          <w:rFonts w:cs="Arial"/>
          <w:lang w:val="de-DE" w:eastAsia="de-DE" w:bidi="de-DE"/>
        </w:rPr>
      </w:pPr>
    </w:p>
    <w:p w:rsidR="00196886" w:rsidRPr="00164C5D" w:rsidRDefault="00164C5D" w:rsidP="00164C5D">
      <w:pPr>
        <w:keepNext/>
      </w:pPr>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Der TC vereinbarte, daß der vorgeschlagene Text für einen neuen Abschnitt über die „Verringerung der Größe von Anbauprüfungen“ auf der Grundlage der Anlage des Dokuments TC/49/23 nach Streichung des ersten Satzes in Absat</w:t>
      </w:r>
      <w:r>
        <w:rPr>
          <w:rFonts w:eastAsia="Calibri"/>
          <w:lang w:val="de-DE" w:eastAsia="de-DE" w:bidi="de-DE"/>
        </w:rPr>
        <w:t>z 1.6, der lautet</w:t>
      </w:r>
      <w:r w:rsidRPr="00CC410D">
        <w:rPr>
          <w:rFonts w:eastAsia="Calibri"/>
          <w:lang w:val="de-DE" w:eastAsia="de-DE" w:bidi="de-DE"/>
        </w:rPr>
        <w:t xml:space="preserve"> „Dieser Abschnitt ist für Leser maßgeblich, die an technischen </w:t>
      </w:r>
      <w:r>
        <w:rPr>
          <w:rFonts w:eastAsia="Calibri"/>
          <w:lang w:val="de-DE" w:eastAsia="de-DE" w:bidi="de-DE"/>
        </w:rPr>
        <w:lastRenderedPageBreak/>
        <w:t>Einzelheiten interessiert sind“,</w:t>
      </w:r>
      <w:r w:rsidRPr="00CC410D">
        <w:rPr>
          <w:rFonts w:eastAsia="Calibri"/>
          <w:lang w:val="de-DE" w:eastAsia="de-DE" w:bidi="de-DE"/>
        </w:rPr>
        <w:t xml:space="preserve"> in eine künftige Überarbeitung von Dokument TGP/8 aufgenommen werden</w:t>
      </w:r>
      <w:r>
        <w:t xml:space="preserve"> </w:t>
      </w:r>
      <w:r w:rsidR="00CB7708">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345A69">
        <w:t xml:space="preserve"> </w:t>
      </w:r>
      <w:r w:rsidR="00CB7708">
        <w:t>53)</w:t>
      </w:r>
      <w:r w:rsidR="00196886" w:rsidRPr="00B174E2">
        <w:t>.</w:t>
      </w:r>
    </w:p>
    <w:p w:rsidR="00196886" w:rsidRPr="00AF342C" w:rsidRDefault="00196886" w:rsidP="00196886">
      <w:pPr>
        <w:rPr>
          <w:rFonts w:cs="Arial"/>
        </w:rPr>
      </w:pPr>
    </w:p>
    <w:p w:rsidR="000D013E" w:rsidRPr="000D013E" w:rsidRDefault="000D013E" w:rsidP="00E447BD">
      <w:pPr>
        <w:pStyle w:val="Heading5"/>
      </w:pPr>
      <w:r w:rsidRPr="000D013E">
        <w:t xml:space="preserve">Überarbeitung von Dokument TGP/8:  Teil II:  Verfahren für die DUS-Prüfung, </w:t>
      </w:r>
      <w:r w:rsidRPr="000D013E">
        <w:rPr>
          <w:rFonts w:ascii="Calibri" w:hAnsi="Calibri"/>
          <w:sz w:val="22"/>
          <w:szCs w:val="22"/>
        </w:rPr>
        <w:br/>
      </w:r>
      <w:r w:rsidRPr="000D013E">
        <w:t xml:space="preserve">Abschnitt 3:  Das kombinierte Unterscheidbarkeitskriterium über mehrere Jahre (COYD) </w:t>
      </w:r>
    </w:p>
    <w:p w:rsidR="00196886" w:rsidRPr="00AF342C" w:rsidRDefault="00196886" w:rsidP="00196886">
      <w:pPr>
        <w:keepNext/>
        <w:rPr>
          <w:rFonts w:cs="Arial"/>
        </w:rPr>
      </w:pPr>
    </w:p>
    <w:p w:rsidR="000D013E" w:rsidRPr="00CC410D" w:rsidRDefault="00196886" w:rsidP="000D013E">
      <w:pPr>
        <w:rPr>
          <w:rFonts w:cs="Arial"/>
          <w:lang w:val="de-DE" w:eastAsia="de-DE" w:bidi="de-DE"/>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0D013E" w:rsidRPr="00CC410D">
        <w:rPr>
          <w:rFonts w:eastAsia="Calibri"/>
          <w:lang w:val="de-DE" w:eastAsia="de-DE" w:bidi="de-DE"/>
        </w:rPr>
        <w:t>Der TC prüfte das Dokument TC/49/24.</w:t>
      </w:r>
    </w:p>
    <w:p w:rsidR="000D013E" w:rsidRPr="00CC410D" w:rsidRDefault="000D013E" w:rsidP="000D013E">
      <w:pPr>
        <w:rPr>
          <w:rFonts w:cs="Arial"/>
          <w:lang w:val="de-DE" w:eastAsia="de-DE" w:bidi="de-DE"/>
        </w:rPr>
      </w:pPr>
    </w:p>
    <w:p w:rsidR="00196886" w:rsidRPr="000D013E" w:rsidRDefault="000D013E" w:rsidP="00196886">
      <w:pPr>
        <w:rPr>
          <w:rFonts w:cs="Arial"/>
          <w:lang w:val="de-DE" w:eastAsia="de-DE" w:bidi="de-DE"/>
        </w:rPr>
      </w:pPr>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Der TC vereinbarte, daß der vorgeschlagene überarbeitete Text, wie in</w:t>
      </w:r>
      <w:r>
        <w:rPr>
          <w:rFonts w:eastAsia="Calibri"/>
          <w:lang w:val="de-DE" w:eastAsia="de-DE" w:bidi="de-DE"/>
        </w:rPr>
        <w:t xml:space="preserve"> der Anlage von Dokument </w:t>
      </w:r>
      <w:r w:rsidRPr="00CC410D">
        <w:rPr>
          <w:rFonts w:eastAsia="Calibri"/>
          <w:lang w:val="de-DE" w:eastAsia="de-DE" w:bidi="de-DE"/>
        </w:rPr>
        <w:t>TC/49/24 in eine künftige Überarbeitung von Dokument TGP/8</w:t>
      </w:r>
      <w:r>
        <w:rPr>
          <w:rFonts w:eastAsia="Calibri"/>
          <w:lang w:val="de-DE" w:eastAsia="de-DE" w:bidi="de-DE"/>
        </w:rPr>
        <w:t xml:space="preserve"> aufgenommen werden solle: Teil </w:t>
      </w:r>
      <w:r w:rsidRPr="00CC410D">
        <w:rPr>
          <w:rFonts w:eastAsia="Calibri"/>
          <w:lang w:val="de-DE" w:eastAsia="de-DE" w:bidi="de-DE"/>
        </w:rPr>
        <w:t>II: Verfahren für die DUS-Prüfung, Abschnitt 3: „Das kombinierte Unterscheidbarkeitskriterium über mehrere Jahre (COYD)“</w:t>
      </w:r>
      <w:r>
        <w:rPr>
          <w:rFonts w:cs="Arial"/>
          <w:lang w:val="de-DE" w:eastAsia="de-DE" w:bidi="de-DE"/>
        </w:rPr>
        <w:t xml:space="preserve"> </w:t>
      </w:r>
      <w:r w:rsidR="00CB7708">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345A69">
        <w:t xml:space="preserve"> </w:t>
      </w:r>
      <w:r w:rsidR="00CB7708">
        <w:t>55)</w:t>
      </w:r>
      <w:r w:rsidR="00196886">
        <w:t>.</w:t>
      </w:r>
    </w:p>
    <w:p w:rsidR="00196886" w:rsidRPr="00AF342C" w:rsidRDefault="00196886" w:rsidP="00196886">
      <w:pPr>
        <w:rPr>
          <w:rFonts w:cs="Arial"/>
        </w:rPr>
      </w:pPr>
    </w:p>
    <w:p w:rsidR="00196886" w:rsidRPr="000D013E" w:rsidRDefault="000D013E" w:rsidP="00E767B6">
      <w:pPr>
        <w:pStyle w:val="Heading5"/>
      </w:pPr>
      <w:r w:rsidRPr="000D013E">
        <w:t xml:space="preserve">Überarbeitung von Dokument TGP/8: Teil II: Verfahren für die DUS-Prüfung, </w:t>
      </w:r>
      <w:r w:rsidRPr="000D013E">
        <w:rPr>
          <w:rFonts w:ascii="Calibri" w:hAnsi="Calibri"/>
          <w:sz w:val="22"/>
          <w:szCs w:val="22"/>
        </w:rPr>
        <w:br/>
      </w:r>
      <w:r w:rsidRPr="000D013E">
        <w:t>Abschnitt 3, Unterabschnitt 3.6:  Anpassung von COYD an besondere Verhältnisse</w:t>
      </w:r>
    </w:p>
    <w:p w:rsidR="00196886" w:rsidRPr="000D013E" w:rsidRDefault="00196886" w:rsidP="00196886">
      <w:pPr>
        <w:keepNext/>
        <w:rPr>
          <w:rFonts w:cs="Arial"/>
        </w:rPr>
      </w:pPr>
    </w:p>
    <w:p w:rsidR="000D013E" w:rsidRPr="00CC410D" w:rsidRDefault="00196886" w:rsidP="000D013E">
      <w:pPr>
        <w:rPr>
          <w:rFonts w:cs="Arial"/>
          <w:lang w:val="de-DE" w:eastAsia="de-DE" w:bidi="de-DE"/>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0D013E" w:rsidRPr="00CC410D">
        <w:rPr>
          <w:rFonts w:eastAsia="Calibri"/>
          <w:lang w:val="de-DE" w:eastAsia="de-DE" w:bidi="de-DE"/>
        </w:rPr>
        <w:t>Der TC prüfte das Dokument TC/49/25.</w:t>
      </w:r>
    </w:p>
    <w:p w:rsidR="000D013E" w:rsidRPr="00CC410D" w:rsidRDefault="000D013E" w:rsidP="000D013E">
      <w:pPr>
        <w:rPr>
          <w:rFonts w:cs="Arial"/>
          <w:lang w:val="de-DE" w:eastAsia="de-DE" w:bidi="de-DE"/>
        </w:rPr>
      </w:pPr>
    </w:p>
    <w:p w:rsidR="00196886" w:rsidRPr="000D013E" w:rsidRDefault="000D013E" w:rsidP="00196886">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Der TC vereinbarte, daß der in der Anlage von Dokument TC/49/25 vorgeschlagene überarbeitete Text als Unterabschnitt 3.6 in eine künftige Überarbeitung von Dokument TGP/8: Teil II: Verfahren für die DUS-Prüfung, Abschnitt 3, aufgenommen werden solle</w:t>
      </w:r>
      <w:r>
        <w:t xml:space="preserve"> </w:t>
      </w:r>
      <w:r w:rsidR="00CB7708">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345A69">
        <w:t xml:space="preserve"> </w:t>
      </w:r>
      <w:r w:rsidR="00CB7708">
        <w:t>57)</w:t>
      </w:r>
      <w:r w:rsidR="00196886" w:rsidRPr="00AF342C">
        <w:rPr>
          <w:rFonts w:cs="Arial"/>
        </w:rPr>
        <w:t>.</w:t>
      </w:r>
    </w:p>
    <w:p w:rsidR="00196886" w:rsidRPr="000D013E" w:rsidRDefault="00196886" w:rsidP="00196886">
      <w:pPr>
        <w:rPr>
          <w:rFonts w:cs="Arial"/>
        </w:rPr>
      </w:pPr>
    </w:p>
    <w:p w:rsidR="00196886" w:rsidRPr="000D013E" w:rsidRDefault="000D013E" w:rsidP="00E767B6">
      <w:pPr>
        <w:pStyle w:val="Heading5"/>
      </w:pPr>
      <w:r w:rsidRPr="000D013E">
        <w:t xml:space="preserve">Überarbeitung von Dokument TGP/8: Teil II:  Verfahren für die DUS-Prüfung, </w:t>
      </w:r>
      <w:r w:rsidRPr="000D013E">
        <w:rPr>
          <w:rFonts w:ascii="Calibri" w:hAnsi="Calibri"/>
          <w:sz w:val="22"/>
          <w:szCs w:val="22"/>
        </w:rPr>
        <w:br/>
      </w:r>
      <w:r w:rsidRPr="000D013E">
        <w:t>Abschnitt 4: 2x1% Verfahren - Mindestanzahl Freiheitsgrade für das 2x1% Verfahren</w:t>
      </w:r>
    </w:p>
    <w:p w:rsidR="00196886" w:rsidRPr="00AF342C" w:rsidRDefault="00196886" w:rsidP="00196886">
      <w:pPr>
        <w:keepNext/>
        <w:rPr>
          <w:rFonts w:cs="Arial"/>
        </w:rPr>
      </w:pPr>
    </w:p>
    <w:p w:rsidR="00FF6252" w:rsidRPr="00CC410D" w:rsidRDefault="00196886" w:rsidP="00FF6252">
      <w:pPr>
        <w:rPr>
          <w:rFonts w:cs="Arial"/>
          <w:lang w:val="de-DE" w:eastAsia="de-DE" w:bidi="de-DE"/>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FF6252" w:rsidRPr="00CC410D">
        <w:rPr>
          <w:rFonts w:eastAsia="Calibri"/>
          <w:lang w:val="de-DE" w:eastAsia="de-DE" w:bidi="de-DE"/>
        </w:rPr>
        <w:t>Der TC prüfte das Dokument TC/49/26.</w:t>
      </w:r>
    </w:p>
    <w:p w:rsidR="00FF6252" w:rsidRPr="00CC410D" w:rsidRDefault="00FF6252" w:rsidP="00FF6252">
      <w:pPr>
        <w:rPr>
          <w:rFonts w:cs="Arial"/>
          <w:lang w:val="de-DE" w:eastAsia="de-DE" w:bidi="de-DE"/>
        </w:rPr>
      </w:pPr>
    </w:p>
    <w:p w:rsidR="00196886" w:rsidRPr="00FF6252" w:rsidRDefault="00FF6252" w:rsidP="00196886">
      <w:pPr>
        <w:rPr>
          <w:iCs/>
          <w:spacing w:val="-4"/>
        </w:rPr>
      </w:pPr>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Der TC vereinbarte, daß der vorgeschlagene überarbeitete Text, wie in der Anlage von Dokume</w:t>
      </w:r>
      <w:r>
        <w:rPr>
          <w:rFonts w:eastAsia="Calibri"/>
          <w:lang w:val="de-DE" w:eastAsia="de-DE" w:bidi="de-DE"/>
        </w:rPr>
        <w:t>nt </w:t>
      </w:r>
      <w:r w:rsidRPr="00CC410D">
        <w:rPr>
          <w:rFonts w:eastAsia="Calibri"/>
          <w:lang w:val="de-DE" w:eastAsia="de-DE" w:bidi="de-DE"/>
        </w:rPr>
        <w:t xml:space="preserve">TC/49/26 dargelegt, </w:t>
      </w:r>
      <w:r w:rsidRPr="00CC410D">
        <w:rPr>
          <w:rFonts w:eastAsia="Calibri"/>
          <w:iCs/>
          <w:spacing w:val="-4"/>
          <w:lang w:val="de-DE" w:eastAsia="de-DE" w:bidi="de-DE"/>
        </w:rPr>
        <w:t>in eine künftige Überarbeitung von Dokument TGP/8: Teil II: Verfahren für die DUS-Prüfung, Abschnitt 4, aufgenommen werden solle</w:t>
      </w:r>
      <w:r>
        <w:rPr>
          <w:iCs/>
          <w:spacing w:val="-4"/>
        </w:rPr>
        <w:t xml:space="preserve"> </w:t>
      </w:r>
      <w:r w:rsidR="00CB7708">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345A69">
        <w:t xml:space="preserve"> </w:t>
      </w:r>
      <w:r w:rsidR="00CB7708">
        <w:t>59)</w:t>
      </w:r>
      <w:r w:rsidR="00196886" w:rsidRPr="00AF342C">
        <w:rPr>
          <w:iCs/>
          <w:spacing w:val="-4"/>
        </w:rPr>
        <w:t>.</w:t>
      </w:r>
    </w:p>
    <w:p w:rsidR="00FF6252" w:rsidRPr="00FF6252" w:rsidRDefault="00FF6252" w:rsidP="00FF6252">
      <w:pPr>
        <w:rPr>
          <w:rFonts w:cs="Arial"/>
          <w:lang w:val="de-DE" w:eastAsia="de-DE" w:bidi="de-DE"/>
        </w:rPr>
      </w:pPr>
    </w:p>
    <w:p w:rsidR="00196886" w:rsidRPr="00FF6252" w:rsidRDefault="00FF6252" w:rsidP="00E767B6">
      <w:pPr>
        <w:pStyle w:val="Heading5"/>
      </w:pPr>
      <w:r w:rsidRPr="00FF6252">
        <w:t xml:space="preserve">Überarbeitung von Dokument TGP/8: Teil II: Verfahren für die DUS-Prüfung, </w:t>
      </w:r>
      <w:r w:rsidRPr="00FF6252">
        <w:rPr>
          <w:rFonts w:ascii="Calibri" w:hAnsi="Calibri"/>
          <w:sz w:val="22"/>
          <w:szCs w:val="22"/>
        </w:rPr>
        <w:br/>
      </w:r>
      <w:r w:rsidRPr="00FF6252">
        <w:t>Neuer Abschnitt 10: Mindestanzahl vergleichbarer Sorten für das Verfahren der relativen Varianz</w:t>
      </w:r>
    </w:p>
    <w:p w:rsidR="00196886" w:rsidRPr="00FF6252" w:rsidRDefault="00196886" w:rsidP="00196886">
      <w:pPr>
        <w:keepNext/>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E767B6" w:rsidRPr="00CC410D">
        <w:rPr>
          <w:rFonts w:eastAsia="Calibri"/>
          <w:lang w:val="de-DE" w:eastAsia="de-DE" w:bidi="de-DE"/>
        </w:rPr>
        <w:t>Der</w:t>
      </w:r>
      <w:r w:rsidR="00E767B6">
        <w:rPr>
          <w:rFonts w:eastAsia="Calibri"/>
          <w:lang w:val="de-DE" w:eastAsia="de-DE" w:bidi="de-DE"/>
        </w:rPr>
        <w:t xml:space="preserve"> TC prüfte das Dokument TC/49/27</w:t>
      </w:r>
      <w:r w:rsidRPr="00AF342C">
        <w:rPr>
          <w:rFonts w:cs="Arial"/>
        </w:rPr>
        <w:t>.</w:t>
      </w:r>
    </w:p>
    <w:p w:rsidR="00196886" w:rsidRPr="00AF342C" w:rsidRDefault="00196886" w:rsidP="00196886">
      <w:pPr>
        <w:rPr>
          <w:rFonts w:cs="Arial"/>
        </w:rPr>
      </w:pPr>
    </w:p>
    <w:p w:rsidR="00E767B6" w:rsidRPr="00CC410D" w:rsidRDefault="00196886" w:rsidP="00E767B6">
      <w:pPr>
        <w:rPr>
          <w:iCs/>
          <w:spacing w:val="-4"/>
          <w:lang w:val="de-DE" w:eastAsia="de-DE" w:bidi="de-DE"/>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E767B6" w:rsidRPr="00CC410D">
        <w:rPr>
          <w:rFonts w:eastAsia="Calibri"/>
          <w:iCs/>
          <w:spacing w:val="-4"/>
          <w:lang w:val="de-DE" w:eastAsia="de-DE" w:bidi="de-DE"/>
        </w:rPr>
        <w:t>Der TC nahm die vorgeschlagenen Änderungen d</w:t>
      </w:r>
      <w:r w:rsidR="00E767B6">
        <w:rPr>
          <w:rFonts w:eastAsia="Calibri"/>
          <w:iCs/>
          <w:spacing w:val="-4"/>
          <w:lang w:val="de-DE" w:eastAsia="de-DE" w:bidi="de-DE"/>
        </w:rPr>
        <w:t>er Überarbeitung von Abschnitt: </w:t>
      </w:r>
      <w:r w:rsidR="00E767B6" w:rsidRPr="00CC410D">
        <w:rPr>
          <w:rFonts w:eastAsia="Calibri"/>
          <w:iCs/>
          <w:spacing w:val="-4"/>
          <w:lang w:val="de-DE" w:eastAsia="de-DE" w:bidi="de-DE"/>
        </w:rPr>
        <w:t>10 von Dokument TGP/8, wie in der Anlage II von Dokument TC/49/27 dargelegt, zur Kenntnis.</w:t>
      </w:r>
    </w:p>
    <w:p w:rsidR="00E767B6" w:rsidRPr="00CC410D" w:rsidRDefault="00E767B6" w:rsidP="00E767B6">
      <w:pPr>
        <w:rPr>
          <w:iCs/>
          <w:spacing w:val="-4"/>
          <w:lang w:val="de-DE" w:eastAsia="de-DE" w:bidi="de-DE"/>
        </w:rPr>
      </w:pPr>
    </w:p>
    <w:p w:rsidR="00196886" w:rsidRPr="00E767B6" w:rsidRDefault="00E767B6" w:rsidP="00196886">
      <w:pPr>
        <w:rPr>
          <w:rFonts w:cs="Arial"/>
          <w:iCs/>
          <w:spacing w:val="-4"/>
        </w:rPr>
      </w:pPr>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 xml:space="preserve">Der TC vereinbarte, den Sachverständigen aus Australien zu ersuchen, einen neuen Entwurf für </w:t>
      </w:r>
      <w:r w:rsidRPr="00CC410D">
        <w:rPr>
          <w:rFonts w:eastAsia="Calibri"/>
          <w:iCs/>
          <w:spacing w:val="-4"/>
          <w:lang w:val="de-DE" w:eastAsia="de-DE" w:bidi="de-DE"/>
        </w:rPr>
        <w:t xml:space="preserve">Abschnitt: 10 von Dokument TGP/8 </w:t>
      </w:r>
      <w:r w:rsidRPr="00CC410D">
        <w:rPr>
          <w:rFonts w:eastAsia="Calibri"/>
          <w:lang w:val="de-DE" w:eastAsia="de-DE" w:bidi="de-DE"/>
        </w:rPr>
        <w:t xml:space="preserve">mit einer Empfehlung zur Mindestanzahl von </w:t>
      </w:r>
      <w:r>
        <w:rPr>
          <w:rFonts w:eastAsia="Calibri"/>
          <w:lang w:val="de-DE" w:eastAsia="de-DE" w:bidi="de-DE"/>
        </w:rPr>
        <w:t xml:space="preserve">vergleichbaren </w:t>
      </w:r>
      <w:r w:rsidRPr="00CC410D">
        <w:rPr>
          <w:rFonts w:eastAsia="Calibri"/>
          <w:lang w:val="de-DE" w:eastAsia="de-DE" w:bidi="de-DE"/>
        </w:rPr>
        <w:t xml:space="preserve">Sorten zur Prüfung durch die TWP </w:t>
      </w:r>
      <w:r w:rsidRPr="00CC410D">
        <w:rPr>
          <w:rFonts w:eastAsia="Calibri"/>
          <w:iCs/>
          <w:spacing w:val="-4"/>
          <w:lang w:val="de-DE" w:eastAsia="de-DE" w:bidi="de-DE"/>
        </w:rPr>
        <w:t>auf ihren Tagungen im Jahr 2013 zu</w:t>
      </w:r>
      <w:r>
        <w:rPr>
          <w:rFonts w:eastAsia="Calibri"/>
          <w:iCs/>
          <w:spacing w:val="-4"/>
          <w:lang w:val="de-DE" w:eastAsia="de-DE" w:bidi="de-DE"/>
        </w:rPr>
        <w:t xml:space="preserve"> erarbeiten. Die Delegation </w:t>
      </w:r>
      <w:r w:rsidRPr="00CC410D">
        <w:rPr>
          <w:rFonts w:eastAsia="Calibri"/>
          <w:iCs/>
          <w:spacing w:val="-4"/>
          <w:lang w:val="de-DE" w:eastAsia="de-DE" w:bidi="de-DE"/>
        </w:rPr>
        <w:t>Australien</w:t>
      </w:r>
      <w:r>
        <w:rPr>
          <w:rFonts w:eastAsia="Calibri"/>
          <w:iCs/>
          <w:spacing w:val="-4"/>
          <w:lang w:val="de-DE" w:eastAsia="de-DE" w:bidi="de-DE"/>
        </w:rPr>
        <w:t>s</w:t>
      </w:r>
      <w:r w:rsidRPr="00CC410D">
        <w:rPr>
          <w:rFonts w:eastAsia="Calibri"/>
          <w:iCs/>
          <w:spacing w:val="-4"/>
          <w:lang w:val="de-DE" w:eastAsia="de-DE" w:bidi="de-DE"/>
        </w:rPr>
        <w:t xml:space="preserve"> erklärte, daß die Mindestanzahl eins sei</w:t>
      </w:r>
      <w:r w:rsidR="00CB7708">
        <w:rPr>
          <w:rFonts w:cs="Arial"/>
          <w:iCs/>
          <w:spacing w:val="-4"/>
        </w:rPr>
        <w:t xml:space="preserve"> </w:t>
      </w:r>
      <w:r w:rsidR="00CB7708">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 xml:space="preserve">Absätze </w:t>
      </w:r>
      <w:r w:rsidR="00CB7708">
        <w:t>6</w:t>
      </w:r>
      <w:r w:rsidR="00345A69">
        <w:t>1 u</w:t>
      </w:r>
      <w:r w:rsidR="005449D6">
        <w:t>nd 62</w:t>
      </w:r>
      <w:r w:rsidR="00CB7708">
        <w:t>)</w:t>
      </w:r>
      <w:r>
        <w:t>.</w:t>
      </w:r>
    </w:p>
    <w:p w:rsidR="00196886" w:rsidRPr="00AF342C" w:rsidRDefault="00196886" w:rsidP="00196886">
      <w:pPr>
        <w:rPr>
          <w:rFonts w:cs="Arial"/>
        </w:rPr>
      </w:pPr>
    </w:p>
    <w:p w:rsidR="00E767B6" w:rsidRPr="000C711B" w:rsidRDefault="00E767B6" w:rsidP="00E447BD">
      <w:pPr>
        <w:pStyle w:val="Heading5"/>
      </w:pPr>
      <w:r w:rsidRPr="000C711B">
        <w:t xml:space="preserve">Überarbeitung von Dokument TGP/8: Teil II: Verfahren für die DUS-Prüfung, </w:t>
      </w:r>
      <w:r w:rsidRPr="000C711B">
        <w:rPr>
          <w:rFonts w:ascii="Calibri" w:hAnsi="Calibri"/>
          <w:sz w:val="22"/>
          <w:szCs w:val="22"/>
        </w:rPr>
        <w:br/>
      </w:r>
      <w:r w:rsidRPr="000C711B">
        <w:t xml:space="preserve">Neuer Abschnitt 11: DUS-Prüfung an Mischproben </w:t>
      </w:r>
    </w:p>
    <w:p w:rsidR="00196886" w:rsidRPr="00AF342C" w:rsidRDefault="00196886" w:rsidP="00196886">
      <w:pPr>
        <w:keepNext/>
        <w:rPr>
          <w:rFonts w:cs="Arial"/>
        </w:rPr>
      </w:pPr>
    </w:p>
    <w:p w:rsidR="00E767B6" w:rsidRPr="00CC410D" w:rsidRDefault="00196886" w:rsidP="00E767B6">
      <w:pPr>
        <w:rPr>
          <w:rFonts w:cs="Arial"/>
          <w:lang w:val="de-DE" w:eastAsia="de-DE" w:bidi="de-DE"/>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E767B6" w:rsidRPr="00CC410D">
        <w:rPr>
          <w:rFonts w:eastAsia="Calibri"/>
          <w:lang w:val="de-DE" w:eastAsia="de-DE" w:bidi="de-DE"/>
        </w:rPr>
        <w:t>Der TC prüfte das Dokument TC/49/28.</w:t>
      </w:r>
    </w:p>
    <w:p w:rsidR="00E767B6" w:rsidRPr="00CC410D" w:rsidRDefault="00E767B6" w:rsidP="00E767B6">
      <w:pPr>
        <w:rPr>
          <w:rFonts w:cs="Arial"/>
          <w:lang w:val="de-DE" w:eastAsia="de-DE" w:bidi="de-DE"/>
        </w:rPr>
      </w:pPr>
    </w:p>
    <w:p w:rsidR="00196886" w:rsidRDefault="00E767B6" w:rsidP="00E767B6">
      <w:pPr>
        <w:rPr>
          <w:iCs/>
          <w:spacing w:val="-4"/>
        </w:rPr>
      </w:pPr>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iCs/>
          <w:spacing w:val="-4"/>
          <w:lang w:val="de-DE" w:eastAsia="de-DE" w:bidi="de-DE"/>
        </w:rPr>
        <w:t>Der TC vereinbarte, den vorgeschlagenen Text für den neuen Abschnitt 11 „DUS-Prüfung an Mischproben“ in der Anlage von Dokument T</w:t>
      </w:r>
      <w:r>
        <w:rPr>
          <w:rFonts w:eastAsia="Calibri"/>
          <w:iCs/>
          <w:spacing w:val="-4"/>
          <w:lang w:val="de-DE" w:eastAsia="de-DE" w:bidi="de-DE"/>
        </w:rPr>
        <w:t>C/49/28 durch eine Anleitung fü</w:t>
      </w:r>
      <w:r w:rsidRPr="00CC410D">
        <w:rPr>
          <w:rFonts w:eastAsia="Calibri"/>
          <w:iCs/>
          <w:spacing w:val="-4"/>
          <w:lang w:val="de-DE" w:eastAsia="de-DE" w:bidi="de-DE"/>
        </w:rPr>
        <w:t>r die Verwendung von Merkmalen, die aufgrund von Mischproben geprüft werden, zu ersetzen, um sicherzustellen, daß die Merkmale die grundlegenden Anforderungen an ein Merkmal erfüllen. Er billigte insbesondere, daß führende Sachverständige für Prüfungsrichtlinien darum ersucht werden könnten, Daten aus verschiedenen Jahren vorzulegen, um zu belegen, daß die Merkmalsausprägung „in einer bestimmten Umgebung hinreichend stabil und wiederholbar ist“. Ferner wurde vereinbart, daß die statistische Auswertung für solche Merkmale anhand der für die TWP bereitgestellten Information geprüft werden könnte</w:t>
      </w:r>
      <w:r w:rsidR="00CB7708">
        <w:rPr>
          <w:iCs/>
          <w:spacing w:val="-4"/>
        </w:rPr>
        <w:t xml:space="preserve"> </w:t>
      </w:r>
      <w:r w:rsidR="00CB7708">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CB7708">
        <w:t> 64)</w:t>
      </w:r>
      <w:r w:rsidR="00196886">
        <w:rPr>
          <w:iCs/>
          <w:spacing w:val="-4"/>
        </w:rPr>
        <w:t>.</w:t>
      </w:r>
    </w:p>
    <w:p w:rsidR="00E767B6" w:rsidRDefault="00E767B6" w:rsidP="00E767B6">
      <w:pPr>
        <w:rPr>
          <w:iCs/>
          <w:spacing w:val="-4"/>
        </w:rPr>
      </w:pPr>
    </w:p>
    <w:p w:rsidR="00196886" w:rsidRPr="00E767B6" w:rsidRDefault="00E767B6" w:rsidP="00E447BD">
      <w:pPr>
        <w:pStyle w:val="Heading5"/>
      </w:pPr>
      <w:r w:rsidRPr="00E767B6">
        <w:lastRenderedPageBreak/>
        <w:t xml:space="preserve">Überarbeitung von Dokument TGP/8: Teil II: Verfahren für die DUS-Prüfung, </w:t>
      </w:r>
      <w:r w:rsidRPr="00E767B6">
        <w:rPr>
          <w:rFonts w:ascii="Calibri" w:hAnsi="Calibri"/>
          <w:sz w:val="22"/>
          <w:szCs w:val="22"/>
        </w:rPr>
        <w:br/>
      </w:r>
      <w:r w:rsidRPr="00E767B6">
        <w:t>Neuer Abschnitt: Datenverarbeitung für die Prüfung der Unterscheidbarkeit und die Erstellung von Sortenbeschreibungen</w:t>
      </w:r>
    </w:p>
    <w:p w:rsidR="00196886" w:rsidRPr="00422D72" w:rsidRDefault="00196886" w:rsidP="00E447BD"/>
    <w:p w:rsidR="00517392" w:rsidRPr="00CC410D" w:rsidRDefault="00196886" w:rsidP="00E447BD">
      <w:pPr>
        <w:rPr>
          <w:rFonts w:cs="Arial"/>
          <w:lang w:val="de-DE" w:eastAsia="de-DE" w:bidi="de-DE"/>
        </w:rPr>
      </w:pPr>
      <w:r w:rsidRPr="00422D72">
        <w:rPr>
          <w:rFonts w:cs="Arial"/>
        </w:rPr>
        <w:fldChar w:fldCharType="begin"/>
      </w:r>
      <w:r w:rsidRPr="00422D72">
        <w:rPr>
          <w:rFonts w:cs="Arial"/>
        </w:rPr>
        <w:instrText xml:space="preserve"> AUTONUM  </w:instrText>
      </w:r>
      <w:r w:rsidRPr="00422D72">
        <w:rPr>
          <w:rFonts w:cs="Arial"/>
        </w:rPr>
        <w:fldChar w:fldCharType="end"/>
      </w:r>
      <w:r w:rsidRPr="00422D72">
        <w:rPr>
          <w:rFonts w:cs="Arial"/>
        </w:rPr>
        <w:tab/>
      </w:r>
      <w:r w:rsidR="00517392" w:rsidRPr="00CC410D">
        <w:rPr>
          <w:rFonts w:eastAsia="Calibri"/>
          <w:lang w:val="de-DE" w:eastAsia="de-DE" w:bidi="de-DE"/>
        </w:rPr>
        <w:t>Der TC prüfte das Dokument TC/49/29.</w:t>
      </w:r>
    </w:p>
    <w:p w:rsidR="00517392" w:rsidRPr="00CC410D" w:rsidRDefault="00517392" w:rsidP="00E447BD">
      <w:pPr>
        <w:rPr>
          <w:rFonts w:cs="Arial"/>
          <w:lang w:val="de-DE" w:eastAsia="de-DE" w:bidi="de-DE"/>
        </w:rPr>
      </w:pPr>
    </w:p>
    <w:p w:rsidR="00196886" w:rsidRPr="00422D72" w:rsidRDefault="00517392" w:rsidP="00E447BD">
      <w:pPr>
        <w:rPr>
          <w:iCs/>
          <w:spacing w:val="-4"/>
        </w:rPr>
      </w:pPr>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 xml:space="preserve">Der TC </w:t>
      </w:r>
      <w:r w:rsidRPr="00CC410D">
        <w:rPr>
          <w:rFonts w:eastAsia="Calibri"/>
          <w:iCs/>
          <w:snapToGrid w:val="0"/>
          <w:spacing w:val="-4"/>
          <w:lang w:val="de-DE" w:eastAsia="de-DE" w:bidi="de-DE"/>
        </w:rPr>
        <w:t>ersuchte das Verbandsbüro, Sachverständige aus dem Vereinigten Königreich, Frankreich und Deutschland oder anderen Verbandsmitgliedern zu bitten, einen gemeinsamen Satz von Daten selbstbefruchtender und/oder vegetativ vermehrter Sorten zur Durchführung eines praktischen Versuchs einzureichen</w:t>
      </w:r>
      <w:r w:rsidR="004651D0">
        <w:rPr>
          <w:iCs/>
          <w:spacing w:val="-4"/>
        </w:rPr>
        <w:t xml:space="preserve"> </w:t>
      </w:r>
      <w:r w:rsidR="004651D0">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345A69">
        <w:t xml:space="preserve"> </w:t>
      </w:r>
      <w:r w:rsidR="004651D0">
        <w:t>66)</w:t>
      </w:r>
      <w:r w:rsidR="00196886" w:rsidRPr="00422D72">
        <w:rPr>
          <w:iCs/>
          <w:spacing w:val="-4"/>
        </w:rPr>
        <w:t>.</w:t>
      </w:r>
    </w:p>
    <w:p w:rsidR="00196886" w:rsidRPr="00517392" w:rsidRDefault="00196886" w:rsidP="00E767B6">
      <w:pPr>
        <w:pStyle w:val="Heading5"/>
      </w:pPr>
    </w:p>
    <w:p w:rsidR="00517392" w:rsidRPr="00517392" w:rsidRDefault="00517392" w:rsidP="00E447BD">
      <w:pPr>
        <w:pStyle w:val="Heading5"/>
      </w:pPr>
      <w:r w:rsidRPr="00517392">
        <w:t xml:space="preserve">Überarbeitung von Dokument TGP/8: Teil II: Verfahren für die DUS-Prüfung, </w:t>
      </w:r>
      <w:r w:rsidRPr="00517392">
        <w:rPr>
          <w:rFonts w:ascii="Calibri" w:hAnsi="Calibri"/>
          <w:sz w:val="22"/>
          <w:szCs w:val="22"/>
        </w:rPr>
        <w:br/>
      </w:r>
      <w:r w:rsidRPr="00517392">
        <w:t xml:space="preserve">Neuer Abschnitt:  Anleitung zur Datenanalyse für randomisierte Blindprüfungen </w:t>
      </w:r>
    </w:p>
    <w:p w:rsidR="00196886" w:rsidRPr="00AF342C" w:rsidRDefault="00196886" w:rsidP="00196886">
      <w:pPr>
        <w:keepNext/>
        <w:rPr>
          <w:rFonts w:cs="Arial"/>
        </w:rPr>
      </w:pPr>
    </w:p>
    <w:p w:rsidR="00517392" w:rsidRPr="00CC410D" w:rsidRDefault="00196886" w:rsidP="00517392">
      <w:pPr>
        <w:rPr>
          <w:rFonts w:cs="Arial"/>
          <w:lang w:val="de-DE" w:eastAsia="de-DE" w:bidi="de-DE"/>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517392" w:rsidRPr="00CC410D">
        <w:rPr>
          <w:rFonts w:eastAsia="Calibri"/>
          <w:lang w:val="de-DE" w:eastAsia="de-DE" w:bidi="de-DE"/>
        </w:rPr>
        <w:t>Der TC prüfte das Dokument TC/49/30.</w:t>
      </w:r>
    </w:p>
    <w:p w:rsidR="00517392" w:rsidRPr="00CC410D" w:rsidRDefault="00517392" w:rsidP="00517392">
      <w:pPr>
        <w:rPr>
          <w:rFonts w:cs="Arial"/>
          <w:lang w:val="de-DE" w:eastAsia="de-DE" w:bidi="de-DE"/>
        </w:rPr>
      </w:pPr>
    </w:p>
    <w:p w:rsidR="00196886" w:rsidRPr="00517392" w:rsidRDefault="00517392" w:rsidP="00196886">
      <w:pPr>
        <w:rPr>
          <w:iCs/>
          <w:spacing w:val="-4"/>
        </w:rPr>
      </w:pPr>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iCs/>
          <w:spacing w:val="-4"/>
          <w:lang w:val="de-DE" w:eastAsia="de-DE" w:bidi="de-DE"/>
        </w:rPr>
        <w:t xml:space="preserve">Der TC vereinbarte die Erarbeitung eines neuen Entwurfs für einen neuen Abschnitt über „Anleitung zur Datenanalyse für randomisierte Blindprüfungen“ durch einen Sachverständigen aus Frankreich auf der Grundlage der Anlage von Dokument TC/49/30 und der Anmerkungen der TWP </w:t>
      </w:r>
      <w:r>
        <w:rPr>
          <w:rFonts w:eastAsia="Calibri"/>
          <w:lang w:val="de-DE" w:eastAsia="de-DE" w:bidi="de-DE"/>
        </w:rPr>
        <w:t>auf ihren Tagungen im Jahr 2012</w:t>
      </w:r>
      <w:r w:rsidRPr="00CC410D">
        <w:rPr>
          <w:rFonts w:eastAsia="Calibri"/>
          <w:lang w:val="de-DE" w:eastAsia="de-DE" w:bidi="de-DE"/>
        </w:rPr>
        <w:t xml:space="preserve"> </w:t>
      </w:r>
      <w:r w:rsidRPr="00CC410D">
        <w:rPr>
          <w:rFonts w:eastAsia="Calibri"/>
          <w:iCs/>
          <w:spacing w:val="-4"/>
          <w:lang w:val="de-DE" w:eastAsia="de-DE" w:bidi="de-DE"/>
        </w:rPr>
        <w:t>und des TC-EDC</w:t>
      </w:r>
      <w:r w:rsidRPr="00CC410D">
        <w:rPr>
          <w:rFonts w:eastAsia="Calibri"/>
          <w:lang w:val="de-DE" w:eastAsia="de-DE" w:bidi="de-DE"/>
        </w:rPr>
        <w:t xml:space="preserve"> auf seiner </w:t>
      </w:r>
      <w:r>
        <w:rPr>
          <w:rFonts w:eastAsia="Calibri"/>
          <w:lang w:val="de-DE" w:eastAsia="de-DE" w:bidi="de-DE"/>
        </w:rPr>
        <w:t>Sitzung</w:t>
      </w:r>
      <w:r w:rsidRPr="00CC410D">
        <w:rPr>
          <w:rFonts w:eastAsia="Calibri"/>
          <w:lang w:val="de-DE" w:eastAsia="de-DE" w:bidi="de-DE"/>
        </w:rPr>
        <w:t xml:space="preserve"> im Jahr 2013</w:t>
      </w:r>
      <w:r w:rsidRPr="00CC410D">
        <w:rPr>
          <w:rFonts w:eastAsia="Calibri"/>
          <w:iCs/>
          <w:spacing w:val="-4"/>
          <w:lang w:val="de-DE" w:eastAsia="de-DE" w:bidi="de-DE"/>
        </w:rPr>
        <w:t xml:space="preserve"> zur Prüfung durch die TWP auf ihren Tagungen im Jahr 2013</w:t>
      </w:r>
      <w:r w:rsidR="004651D0">
        <w:rPr>
          <w:iCs/>
          <w:spacing w:val="-4"/>
        </w:rPr>
        <w:t xml:space="preserve"> </w:t>
      </w:r>
      <w:r w:rsidR="004651D0">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345A69">
        <w:t xml:space="preserve"> </w:t>
      </w:r>
      <w:r w:rsidR="004651D0">
        <w:t>68)</w:t>
      </w:r>
      <w:r w:rsidR="00196886" w:rsidRPr="00AF342C">
        <w:rPr>
          <w:iCs/>
          <w:spacing w:val="-4"/>
        </w:rPr>
        <w:t>.</w:t>
      </w:r>
    </w:p>
    <w:p w:rsidR="00196886" w:rsidRDefault="00196886" w:rsidP="00196886">
      <w:pPr>
        <w:rPr>
          <w:rFonts w:cs="Arial"/>
        </w:rPr>
      </w:pPr>
    </w:p>
    <w:p w:rsidR="00517392" w:rsidRPr="00517392" w:rsidRDefault="00517392" w:rsidP="00E447BD">
      <w:pPr>
        <w:pStyle w:val="Heading5"/>
      </w:pPr>
      <w:r w:rsidRPr="00517392">
        <w:t xml:space="preserve">Überarbeitung von Dokument TGP/8: Teil II:  Verfahren für die DUS-Prüfung, </w:t>
      </w:r>
      <w:r w:rsidRPr="00517392">
        <w:rPr>
          <w:rFonts w:ascii="Calibri" w:hAnsi="Calibri"/>
          <w:sz w:val="22"/>
          <w:szCs w:val="22"/>
        </w:rPr>
        <w:br/>
      </w:r>
      <w:r w:rsidRPr="00517392">
        <w:t xml:space="preserve">Neuer Abschnitt:  Anleitung zur Erstellung von Sortenbeschreibungen </w:t>
      </w:r>
    </w:p>
    <w:p w:rsidR="00196886" w:rsidRPr="00AF342C" w:rsidRDefault="00196886" w:rsidP="00196886">
      <w:pPr>
        <w:keepNext/>
        <w:rPr>
          <w:rFonts w:cs="Arial"/>
        </w:rPr>
      </w:pPr>
    </w:p>
    <w:p w:rsidR="00517392" w:rsidRPr="00CC410D" w:rsidRDefault="00196886" w:rsidP="00517392">
      <w:pPr>
        <w:rPr>
          <w:rFonts w:cs="Arial"/>
          <w:lang w:val="de-DE" w:eastAsia="de-DE" w:bidi="de-DE"/>
        </w:rPr>
      </w:pPr>
      <w:r w:rsidRPr="00422D72">
        <w:rPr>
          <w:rFonts w:cs="Arial"/>
        </w:rPr>
        <w:fldChar w:fldCharType="begin"/>
      </w:r>
      <w:r w:rsidRPr="00422D72">
        <w:rPr>
          <w:rFonts w:cs="Arial"/>
        </w:rPr>
        <w:instrText xml:space="preserve"> AUTONUM  </w:instrText>
      </w:r>
      <w:r w:rsidRPr="00422D72">
        <w:rPr>
          <w:rFonts w:cs="Arial"/>
        </w:rPr>
        <w:fldChar w:fldCharType="end"/>
      </w:r>
      <w:r w:rsidRPr="00422D72">
        <w:rPr>
          <w:rFonts w:cs="Arial"/>
        </w:rPr>
        <w:tab/>
      </w:r>
      <w:r w:rsidR="00517392" w:rsidRPr="00CC410D">
        <w:rPr>
          <w:rFonts w:eastAsia="Calibri"/>
          <w:lang w:val="de-DE" w:eastAsia="de-DE" w:bidi="de-DE"/>
        </w:rPr>
        <w:t>Der TC prüfte das Dokument TC/49/31.</w:t>
      </w:r>
    </w:p>
    <w:p w:rsidR="00517392" w:rsidRPr="00CC410D" w:rsidRDefault="00517392" w:rsidP="00517392">
      <w:pPr>
        <w:rPr>
          <w:rFonts w:cs="Arial"/>
          <w:lang w:val="de-DE" w:eastAsia="de-DE" w:bidi="de-DE"/>
        </w:rPr>
      </w:pPr>
    </w:p>
    <w:p w:rsidR="00196886" w:rsidRPr="00517392" w:rsidRDefault="00517392" w:rsidP="00196886">
      <w:pPr>
        <w:rPr>
          <w:iCs/>
          <w:snapToGrid w:val="0"/>
        </w:rPr>
      </w:pPr>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iCs/>
          <w:snapToGrid w:val="0"/>
          <w:lang w:val="de-DE" w:eastAsia="de-DE" w:bidi="de-DE"/>
        </w:rPr>
        <w:t>Der TC vereinbarte, daß die in Anlage I von Dokument TC/49/31 enthaltene Information mit der Information von Dokument TC/49/29 kombiniert werden und die Ausarbeitung eines getrennten Abschnitts eingestellt werden solle</w:t>
      </w:r>
      <w:r>
        <w:rPr>
          <w:iCs/>
          <w:snapToGrid w:val="0"/>
        </w:rPr>
        <w:t xml:space="preserve"> </w:t>
      </w:r>
      <w:r w:rsidR="004651D0">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345A69">
        <w:t xml:space="preserve"> </w:t>
      </w:r>
      <w:r w:rsidR="004651D0">
        <w:t>70)</w:t>
      </w:r>
      <w:r w:rsidR="00196886" w:rsidRPr="00422D72">
        <w:rPr>
          <w:iCs/>
          <w:snapToGrid w:val="0"/>
        </w:rPr>
        <w:t>.</w:t>
      </w:r>
    </w:p>
    <w:p w:rsidR="00196886" w:rsidRPr="00AF342C" w:rsidRDefault="00196886" w:rsidP="00196886">
      <w:pPr>
        <w:rPr>
          <w:rFonts w:cs="Arial"/>
        </w:rPr>
      </w:pPr>
    </w:p>
    <w:p w:rsidR="00196886" w:rsidRPr="00517392" w:rsidRDefault="00517392" w:rsidP="00E447BD">
      <w:pPr>
        <w:pStyle w:val="Heading5"/>
      </w:pPr>
      <w:r w:rsidRPr="00517392">
        <w:t xml:space="preserve">Überarbeitung von Dokument TGP/8: Teil II:  Verfahren für die DUS-Prüfung, </w:t>
      </w:r>
      <w:r w:rsidRPr="00517392">
        <w:rPr>
          <w:rFonts w:ascii="Calibri" w:hAnsi="Calibri"/>
          <w:sz w:val="22"/>
          <w:szCs w:val="22"/>
        </w:rPr>
        <w:br/>
      </w:r>
      <w:r w:rsidRPr="00517392">
        <w:t>Neuer Abschnitt:  Statistische Verfahren für visuell erfaßte Merkmale</w:t>
      </w:r>
    </w:p>
    <w:p w:rsidR="00517392" w:rsidRPr="00AF342C" w:rsidRDefault="00517392" w:rsidP="00517392">
      <w:pPr>
        <w:keepNext/>
        <w:ind w:left="567"/>
        <w:rPr>
          <w:rFonts w:cs="Arial"/>
        </w:rPr>
      </w:pPr>
    </w:p>
    <w:p w:rsidR="00517392" w:rsidRPr="00CC410D" w:rsidRDefault="00196886" w:rsidP="00517392">
      <w:pPr>
        <w:rPr>
          <w:rFonts w:cs="Arial"/>
          <w:lang w:val="de-DE" w:eastAsia="de-DE" w:bidi="de-DE"/>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517392" w:rsidRPr="00CC410D">
        <w:rPr>
          <w:rFonts w:eastAsia="Calibri"/>
          <w:lang w:val="de-DE" w:eastAsia="de-DE" w:bidi="de-DE"/>
        </w:rPr>
        <w:t>Der TC prüfte das Dokument TC/49/32.</w:t>
      </w:r>
    </w:p>
    <w:p w:rsidR="00517392" w:rsidRPr="00CC410D" w:rsidRDefault="00517392" w:rsidP="00517392">
      <w:pPr>
        <w:rPr>
          <w:rFonts w:cs="Arial"/>
          <w:lang w:val="de-DE" w:eastAsia="de-DE" w:bidi="de-DE"/>
        </w:rPr>
      </w:pPr>
    </w:p>
    <w:p w:rsidR="00196886" w:rsidRPr="00AF342C" w:rsidRDefault="00517392" w:rsidP="00196886">
      <w:r w:rsidRPr="00CC410D">
        <w:rPr>
          <w:lang w:eastAsia="de-DE" w:bidi="de-DE"/>
        </w:rPr>
        <w:fldChar w:fldCharType="begin"/>
      </w:r>
      <w:r w:rsidRPr="00CC410D">
        <w:rPr>
          <w:lang w:val="de-DE" w:eastAsia="de-DE" w:bidi="de-DE"/>
        </w:rPr>
        <w:instrText xml:space="preserve"> AUTONUM  </w:instrText>
      </w:r>
      <w:r w:rsidRPr="00CC410D">
        <w:rPr>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Der TC war sich darin einig, daß es nicht zweckmäßig sei, mit der Ausarbeitung eines Abschnittes über „Statistische Verfahren für visuell erfaßte Merkmale“ fortzufahren, wen</w:t>
      </w:r>
      <w:r>
        <w:rPr>
          <w:rFonts w:eastAsia="Calibri"/>
          <w:lang w:val="de-DE" w:eastAsia="de-DE" w:bidi="de-DE"/>
        </w:rPr>
        <w:t>n außer der bereits in Dokument </w:t>
      </w:r>
      <w:r w:rsidRPr="00CC410D">
        <w:rPr>
          <w:rFonts w:eastAsia="Calibri"/>
          <w:lang w:val="de-DE" w:eastAsia="de-DE" w:bidi="de-DE"/>
        </w:rPr>
        <w:t>TGP/8 bereitgestellten Verfahren kei</w:t>
      </w:r>
      <w:r>
        <w:rPr>
          <w:rFonts w:eastAsia="Calibri"/>
          <w:lang w:val="de-DE" w:eastAsia="de-DE" w:bidi="de-DE"/>
        </w:rPr>
        <w:t>ne neue Anleitung erteilt</w:t>
      </w:r>
      <w:r w:rsidRPr="00CC410D">
        <w:rPr>
          <w:rFonts w:eastAsia="Calibri"/>
          <w:lang w:val="de-DE" w:eastAsia="de-DE" w:bidi="de-DE"/>
        </w:rPr>
        <w:t xml:space="preserve"> werde. Diesbezüglich bat er die TWC zu klären, ob sie vorschlage, ein bestehendes Verfahren abzuändern oder ein neues zusätzliches Verfahren vorzulegen</w:t>
      </w:r>
      <w:r>
        <w:t xml:space="preserve"> </w:t>
      </w:r>
      <w:r w:rsidR="004651D0">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345A69">
        <w:t xml:space="preserve"> </w:t>
      </w:r>
      <w:r w:rsidR="004651D0">
        <w:t>72)</w:t>
      </w:r>
      <w:r w:rsidR="00196886">
        <w:t xml:space="preserve">. </w:t>
      </w:r>
    </w:p>
    <w:p w:rsidR="00196886" w:rsidRDefault="00196886" w:rsidP="00196886">
      <w:pPr>
        <w:rPr>
          <w:rFonts w:cs="Arial"/>
          <w:i/>
        </w:rPr>
      </w:pPr>
    </w:p>
    <w:p w:rsidR="00517392" w:rsidRPr="00517392" w:rsidRDefault="00517392" w:rsidP="00E447BD">
      <w:pPr>
        <w:pStyle w:val="Heading5"/>
      </w:pPr>
      <w:r w:rsidRPr="00517392">
        <w:t xml:space="preserve">Überarbeitung von Dokument TGP/8: Teil II: Verfahren für die DUS-Prüfung, </w:t>
      </w:r>
      <w:r w:rsidRPr="00517392">
        <w:rPr>
          <w:rFonts w:ascii="Calibri" w:hAnsi="Calibri"/>
          <w:sz w:val="22"/>
          <w:szCs w:val="22"/>
        </w:rPr>
        <w:br/>
      </w:r>
      <w:r w:rsidRPr="00517392">
        <w:t>Neuer Abschnitt:  Prüfung von Merkmalen anhand der Bildanalyse</w:t>
      </w:r>
    </w:p>
    <w:p w:rsidR="00196886" w:rsidRPr="00AF342C" w:rsidRDefault="00196886" w:rsidP="00196886">
      <w:pPr>
        <w:keepNext/>
        <w:rPr>
          <w:rFonts w:cs="Arial"/>
        </w:rPr>
      </w:pPr>
    </w:p>
    <w:p w:rsidR="00517392" w:rsidRPr="00CC410D" w:rsidRDefault="00196886" w:rsidP="00517392">
      <w:pPr>
        <w:rPr>
          <w:rFonts w:cs="Arial"/>
          <w:snapToGrid w:val="0"/>
          <w:lang w:val="de-DE" w:eastAsia="de-DE" w:bidi="de-DE"/>
        </w:rPr>
      </w:pPr>
      <w:r w:rsidRPr="00322AEA">
        <w:rPr>
          <w:rFonts w:cs="Arial"/>
        </w:rPr>
        <w:fldChar w:fldCharType="begin"/>
      </w:r>
      <w:r w:rsidRPr="00322AEA">
        <w:rPr>
          <w:rFonts w:cs="Arial"/>
        </w:rPr>
        <w:instrText xml:space="preserve"> AUTONUM  </w:instrText>
      </w:r>
      <w:r w:rsidRPr="00322AEA">
        <w:rPr>
          <w:rFonts w:cs="Arial"/>
        </w:rPr>
        <w:fldChar w:fldCharType="end"/>
      </w:r>
      <w:r w:rsidRPr="00322AEA">
        <w:rPr>
          <w:rFonts w:cs="Arial"/>
        </w:rPr>
        <w:tab/>
      </w:r>
      <w:r w:rsidR="00517392" w:rsidRPr="00CC410D">
        <w:rPr>
          <w:rFonts w:eastAsia="Calibri"/>
          <w:lang w:val="de-DE" w:eastAsia="de-DE" w:bidi="de-DE"/>
        </w:rPr>
        <w:t>Der TC prüfte das Dokument TC/49/33.</w:t>
      </w:r>
    </w:p>
    <w:p w:rsidR="00517392" w:rsidRPr="00CC410D" w:rsidRDefault="00517392" w:rsidP="00517392">
      <w:pPr>
        <w:rPr>
          <w:rFonts w:cs="Arial"/>
          <w:snapToGrid w:val="0"/>
          <w:lang w:val="de-DE" w:eastAsia="de-DE" w:bidi="de-DE"/>
        </w:rPr>
      </w:pPr>
    </w:p>
    <w:p w:rsidR="00517392" w:rsidRPr="00CC410D" w:rsidRDefault="00517392" w:rsidP="00517392">
      <w:pPr>
        <w:rPr>
          <w:rFonts w:cs="Arial"/>
          <w:lang w:val="de-DE" w:eastAsia="de-DE" w:bidi="de-DE"/>
        </w:rPr>
      </w:pPr>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Der TC nahm die Information über die für Bildanalyse verwendete Software und Hardware, wie in Anlage I von Dokument TC/49/33 dargelegt, zur Kenntnis.</w:t>
      </w:r>
    </w:p>
    <w:p w:rsidR="00517392" w:rsidRPr="00CC410D" w:rsidRDefault="00517392" w:rsidP="00517392">
      <w:pPr>
        <w:rPr>
          <w:rFonts w:cs="Arial"/>
          <w:lang w:val="de-DE" w:eastAsia="de-DE" w:bidi="de-DE"/>
        </w:rPr>
      </w:pPr>
    </w:p>
    <w:p w:rsidR="00196886" w:rsidRDefault="00517392" w:rsidP="00196886">
      <w:pPr>
        <w:rPr>
          <w:rFonts w:cs="Arial"/>
        </w:rPr>
      </w:pPr>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 xml:space="preserve">Der TC nahm zur Kenntnis, daß die Empfehlung der TWC </w:t>
      </w:r>
      <w:r>
        <w:rPr>
          <w:rFonts w:eastAsia="Calibri"/>
          <w:lang w:val="de-DE" w:eastAsia="de-DE" w:bidi="de-DE"/>
        </w:rPr>
        <w:t xml:space="preserve">betreffend die Aufnahme der </w:t>
      </w:r>
      <w:r w:rsidRPr="00CC410D">
        <w:rPr>
          <w:rFonts w:eastAsia="Calibri"/>
          <w:lang w:val="de-DE" w:eastAsia="de-DE" w:bidi="de-DE"/>
        </w:rPr>
        <w:t>Software</w:t>
      </w:r>
      <w:r>
        <w:rPr>
          <w:rFonts w:eastAsia="Calibri"/>
          <w:lang w:val="de-DE" w:eastAsia="de-DE" w:bidi="de-DE"/>
        </w:rPr>
        <w:t xml:space="preserve"> AIM</w:t>
      </w:r>
      <w:r w:rsidRPr="00CC410D">
        <w:rPr>
          <w:rFonts w:eastAsia="Calibri"/>
          <w:lang w:val="de-DE" w:eastAsia="de-DE" w:bidi="de-DE"/>
        </w:rPr>
        <w:t xml:space="preserve"> aus Frankreich in Dokument UPOV/INF/16 „Austauschbare Software“ und das Ersuc</w:t>
      </w:r>
      <w:r>
        <w:rPr>
          <w:rFonts w:eastAsia="Calibri"/>
          <w:lang w:val="de-DE" w:eastAsia="de-DE" w:bidi="de-DE"/>
        </w:rPr>
        <w:t xml:space="preserve">hen an das Verbandbüro, die </w:t>
      </w:r>
      <w:r w:rsidRPr="00CC410D">
        <w:rPr>
          <w:rFonts w:eastAsia="Calibri"/>
          <w:lang w:val="de-DE" w:eastAsia="de-DE" w:bidi="de-DE"/>
        </w:rPr>
        <w:t>Software</w:t>
      </w:r>
      <w:r>
        <w:rPr>
          <w:rFonts w:eastAsia="Calibri"/>
          <w:lang w:val="de-DE" w:eastAsia="de-DE" w:bidi="de-DE"/>
        </w:rPr>
        <w:t xml:space="preserve"> AIM</w:t>
      </w:r>
      <w:r w:rsidRPr="00CC410D">
        <w:rPr>
          <w:rFonts w:eastAsia="Calibri"/>
          <w:lang w:val="de-DE" w:eastAsia="de-DE" w:bidi="de-DE"/>
        </w:rPr>
        <w:t xml:space="preserve"> ins Englische zu übersetzen, in Dokument TC/49/12 berücksichtigt w</w:t>
      </w:r>
      <w:r>
        <w:rPr>
          <w:rFonts w:eastAsia="Calibri"/>
          <w:lang w:val="de-DE" w:eastAsia="de-DE" w:bidi="de-DE"/>
        </w:rPr>
        <w:t>e</w:t>
      </w:r>
      <w:r w:rsidRPr="00CC410D">
        <w:rPr>
          <w:rFonts w:eastAsia="Calibri"/>
          <w:lang w:val="de-DE" w:eastAsia="de-DE" w:bidi="de-DE"/>
        </w:rPr>
        <w:t>rde</w:t>
      </w:r>
      <w:r>
        <w:rPr>
          <w:rFonts w:eastAsia="Calibri"/>
          <w:lang w:val="de-DE" w:eastAsia="de-DE" w:bidi="de-DE"/>
        </w:rPr>
        <w:t>n</w:t>
      </w:r>
      <w:r>
        <w:rPr>
          <w:rFonts w:cs="Arial"/>
        </w:rPr>
        <w:t xml:space="preserve"> </w:t>
      </w:r>
      <w:r w:rsidR="004651D0">
        <w:t>(</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Absätze</w:t>
      </w:r>
      <w:r w:rsidR="00345A69">
        <w:t xml:space="preserve"> 74 u</w:t>
      </w:r>
      <w:r w:rsidR="004651D0">
        <w:t>nd 75)</w:t>
      </w:r>
      <w:r w:rsidR="00196886" w:rsidRPr="00322AEA">
        <w:rPr>
          <w:rFonts w:cs="Arial"/>
        </w:rPr>
        <w:t>.</w:t>
      </w:r>
    </w:p>
    <w:p w:rsidR="00196886" w:rsidRPr="00AF342C" w:rsidRDefault="00196886" w:rsidP="00196886">
      <w:pPr>
        <w:rPr>
          <w:rFonts w:cs="Arial"/>
        </w:rPr>
      </w:pPr>
    </w:p>
    <w:p w:rsidR="00517392" w:rsidRPr="00517392" w:rsidRDefault="00517392" w:rsidP="00E447BD">
      <w:pPr>
        <w:pStyle w:val="Heading5"/>
      </w:pPr>
      <w:r w:rsidRPr="00517392">
        <w:t xml:space="preserve">Überarbeitung von Dokument TGP/8: Teil II: Verfahren für die DUS-Prüfung, </w:t>
      </w:r>
      <w:r w:rsidRPr="00517392">
        <w:rPr>
          <w:rFonts w:ascii="Calibri" w:hAnsi="Calibri"/>
          <w:sz w:val="22"/>
          <w:szCs w:val="22"/>
        </w:rPr>
        <w:br/>
      </w:r>
      <w:r w:rsidRPr="00517392">
        <w:t xml:space="preserve">Neuer Abschnitt: Statistische Verfahren für sehr kleine Probengrößen </w:t>
      </w:r>
    </w:p>
    <w:p w:rsidR="00196886" w:rsidRPr="00AF342C" w:rsidRDefault="00196886" w:rsidP="00196886">
      <w:pPr>
        <w:keepNext/>
        <w:rPr>
          <w:rFonts w:cs="Arial"/>
        </w:rPr>
      </w:pPr>
    </w:p>
    <w:p w:rsidR="00A11BE1" w:rsidRPr="00CC410D" w:rsidRDefault="00196886" w:rsidP="00A11BE1">
      <w:pPr>
        <w:rPr>
          <w:rFonts w:cs="Arial"/>
          <w:lang w:val="de-DE" w:eastAsia="de-DE" w:bidi="de-DE"/>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00A11BE1" w:rsidRPr="00CC410D">
        <w:rPr>
          <w:rFonts w:eastAsia="Calibri"/>
          <w:lang w:val="de-DE" w:eastAsia="de-DE" w:bidi="de-DE"/>
        </w:rPr>
        <w:t>Der TC nahm die in Dokument TC/49/34 enthaltene Information zur Kenntnis.</w:t>
      </w:r>
    </w:p>
    <w:p w:rsidR="00A11BE1" w:rsidRPr="00CC410D" w:rsidRDefault="00A11BE1" w:rsidP="00A11BE1">
      <w:pPr>
        <w:rPr>
          <w:rFonts w:cs="Arial"/>
          <w:lang w:val="de-DE" w:eastAsia="de-DE" w:bidi="de-DE"/>
        </w:rPr>
      </w:pPr>
    </w:p>
    <w:p w:rsidR="00196886" w:rsidRPr="00A11BE1" w:rsidRDefault="00A11BE1" w:rsidP="00B027B0">
      <w:pPr>
        <w:spacing w:after="480"/>
      </w:pPr>
      <w:r w:rsidRPr="00CC410D">
        <w:rPr>
          <w:rFonts w:cs="Arial"/>
          <w:lang w:eastAsia="de-DE" w:bidi="de-DE"/>
        </w:rPr>
        <w:fldChar w:fldCharType="begin"/>
      </w:r>
      <w:r w:rsidRPr="00CC410D">
        <w:rPr>
          <w:rFonts w:cs="Arial"/>
          <w:lang w:val="de-DE" w:eastAsia="de-DE" w:bidi="de-DE"/>
        </w:rPr>
        <w:instrText xml:space="preserve"> AUTONUM  </w:instrText>
      </w:r>
      <w:r w:rsidRPr="00CC410D">
        <w:rPr>
          <w:rFonts w:cs="Arial"/>
          <w:lang w:eastAsia="de-DE" w:bidi="de-DE"/>
        </w:rPr>
        <w:fldChar w:fldCharType="end"/>
      </w:r>
      <w:r w:rsidRPr="00CC410D">
        <w:rPr>
          <w:rFonts w:ascii="Calibri" w:eastAsia="Calibri" w:hAnsi="Calibri"/>
          <w:sz w:val="22"/>
          <w:szCs w:val="22"/>
          <w:lang w:val="de-DE" w:eastAsia="de-DE" w:bidi="de-DE"/>
        </w:rPr>
        <w:tab/>
      </w:r>
      <w:r w:rsidRPr="00CC410D">
        <w:rPr>
          <w:rFonts w:eastAsia="Calibri"/>
          <w:lang w:val="de-DE" w:eastAsia="de-DE" w:bidi="de-DE"/>
        </w:rPr>
        <w:t xml:space="preserve">Der TC vereinbarte, </w:t>
      </w:r>
      <w:r>
        <w:rPr>
          <w:rFonts w:eastAsia="Calibri"/>
          <w:lang w:val="de-DE" w:eastAsia="de-DE" w:bidi="de-DE"/>
        </w:rPr>
        <w:t>einen</w:t>
      </w:r>
      <w:r w:rsidRPr="00CC410D">
        <w:rPr>
          <w:rFonts w:eastAsia="Calibri"/>
          <w:lang w:val="de-DE" w:eastAsia="de-DE" w:bidi="de-DE"/>
        </w:rPr>
        <w:t xml:space="preserve"> vorgeschlagenen</w:t>
      </w:r>
      <w:r>
        <w:rPr>
          <w:rFonts w:eastAsia="Calibri"/>
          <w:lang w:val="de-DE" w:eastAsia="de-DE" w:bidi="de-DE"/>
        </w:rPr>
        <w:t xml:space="preserve"> neuen</w:t>
      </w:r>
      <w:r w:rsidRPr="00CC410D">
        <w:rPr>
          <w:rFonts w:eastAsia="Calibri"/>
          <w:lang w:val="de-DE" w:eastAsia="de-DE" w:bidi="de-DE"/>
        </w:rPr>
        <w:t xml:space="preserve"> Abschnitt: „Statistische Verfahren für sehr kleine Probengrößen“ in Dokument TGP/8 </w:t>
      </w:r>
      <w:r>
        <w:rPr>
          <w:rFonts w:eastAsia="Calibri"/>
          <w:lang w:val="de-DE" w:eastAsia="de-DE" w:bidi="de-DE"/>
        </w:rPr>
        <w:t>nicht weiterzuverfolgen</w:t>
      </w:r>
      <w:r w:rsidR="004651D0">
        <w:t xml:space="preserve"> (</w:t>
      </w:r>
      <w:r w:rsidR="00345A69" w:rsidRPr="00816118">
        <w:rPr>
          <w:lang w:val="de-DE"/>
        </w:rPr>
        <w:t>vergleiche Dokument TC/</w:t>
      </w:r>
      <w:r w:rsidR="00345A69">
        <w:rPr>
          <w:lang w:val="de-DE"/>
        </w:rPr>
        <w:t>49/41 „</w:t>
      </w:r>
      <w:r w:rsidR="00345A69" w:rsidRPr="00816118">
        <w:rPr>
          <w:lang w:val="de-DE"/>
        </w:rPr>
        <w:t xml:space="preserve">Bericht über die Entschließungen”, </w:t>
      </w:r>
      <w:r w:rsidR="00345A69">
        <w:rPr>
          <w:lang w:val="de-DE"/>
        </w:rPr>
        <w:t>Absatz</w:t>
      </w:r>
      <w:r w:rsidR="00345A69">
        <w:t xml:space="preserve"> </w:t>
      </w:r>
      <w:r w:rsidR="004651D0">
        <w:t>77)</w:t>
      </w:r>
      <w:r w:rsidR="00196886" w:rsidRPr="00AF342C">
        <w:t>.</w:t>
      </w:r>
    </w:p>
    <w:p w:rsidR="00196886" w:rsidRPr="00AF342C" w:rsidRDefault="00196886" w:rsidP="00B027B0">
      <w:pPr>
        <w:pStyle w:val="Heading3"/>
      </w:pPr>
      <w:bookmarkStart w:id="25" w:name="_Toc368583011"/>
      <w:r w:rsidRPr="00AF342C">
        <w:lastRenderedPageBreak/>
        <w:t>c)</w:t>
      </w:r>
      <w:r w:rsidRPr="00AF342C">
        <w:tab/>
      </w:r>
      <w:r w:rsidR="00A11BE1">
        <w:t xml:space="preserve">Neue Vorschläge für eine künftige Überarbeitung von </w:t>
      </w:r>
      <w:r w:rsidR="003954EF">
        <w:t>TGP</w:t>
      </w:r>
      <w:r w:rsidR="00A11BE1">
        <w:t>-Dokumenten</w:t>
      </w:r>
      <w:bookmarkEnd w:id="25"/>
    </w:p>
    <w:p w:rsidR="00196886" w:rsidRPr="00AF342C" w:rsidRDefault="00196886" w:rsidP="00196886">
      <w:pPr>
        <w:keepNext/>
      </w:pPr>
    </w:p>
    <w:p w:rsidR="00196886" w:rsidRPr="003954EF" w:rsidRDefault="00196886" w:rsidP="003954EF">
      <w:pPr>
        <w:pStyle w:val="Heading4"/>
      </w:pPr>
      <w:bookmarkStart w:id="26" w:name="_Toc346297007"/>
      <w:r w:rsidRPr="003954EF">
        <w:t xml:space="preserve">TGP/7:  </w:t>
      </w:r>
      <w:r w:rsidR="00A11BE1" w:rsidRPr="00E76F6C">
        <w:rPr>
          <w:rFonts w:eastAsia="Calibri"/>
          <w:lang w:val="de-DE" w:eastAsia="de-DE" w:bidi="de-DE"/>
        </w:rPr>
        <w:t>Erstellung von Prüfungsrichtlinien</w:t>
      </w:r>
      <w:r w:rsidR="00A11BE1" w:rsidRPr="003954EF">
        <w:t xml:space="preserve"> </w:t>
      </w:r>
      <w:bookmarkEnd w:id="26"/>
    </w:p>
    <w:p w:rsidR="00196886" w:rsidRPr="00AF342C" w:rsidRDefault="00196886" w:rsidP="00196886">
      <w:pPr>
        <w:keepNext/>
        <w:rPr>
          <w:rFonts w:cs="Arial"/>
        </w:rPr>
      </w:pPr>
    </w:p>
    <w:p w:rsidR="00A11BE1" w:rsidRPr="00E76F6C" w:rsidRDefault="00A11BE1" w:rsidP="00E447BD">
      <w:pPr>
        <w:pStyle w:val="Heading5"/>
        <w:rPr>
          <w:i/>
        </w:rPr>
      </w:pPr>
      <w:bookmarkStart w:id="27" w:name="_Toc346297008"/>
      <w:r w:rsidRPr="00E76F6C">
        <w:rPr>
          <w:i/>
        </w:rPr>
        <w:t>Dauer der Prüfung</w:t>
      </w:r>
      <w:bookmarkEnd w:id="27"/>
    </w:p>
    <w:p w:rsidR="00A11BE1" w:rsidRPr="00E76F6C" w:rsidRDefault="00A11BE1" w:rsidP="00A11BE1">
      <w:pPr>
        <w:keepNext/>
        <w:rPr>
          <w:lang w:val="de-DE" w:eastAsia="de-DE" w:bidi="de-DE"/>
        </w:rPr>
      </w:pPr>
    </w:p>
    <w:p w:rsidR="00A11BE1" w:rsidRPr="00E76F6C" w:rsidRDefault="00A11BE1" w:rsidP="00A11BE1">
      <w:pPr>
        <w:rPr>
          <w:rFonts w:cs="Arial"/>
          <w:lang w:val="de-DE" w:eastAsia="de-DE" w:bidi="de-DE"/>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Der TC war sich darin einig, daß es nicht erforderlich sei, weitere Information im Hinblick auf die Dauer der Prüfung zu erteilen, die in den Kapiteln 3.1 und 4.1.2. wie folgt dargelegt ist:</w:t>
      </w:r>
    </w:p>
    <w:p w:rsidR="00A11BE1" w:rsidRPr="00E76F6C" w:rsidRDefault="00A11BE1" w:rsidP="00A11BE1">
      <w:pPr>
        <w:rPr>
          <w:rFonts w:cs="Arial"/>
          <w:lang w:val="de-DE" w:eastAsia="de-DE" w:bidi="de-DE"/>
        </w:rPr>
      </w:pPr>
    </w:p>
    <w:p w:rsidR="00A11BE1" w:rsidRPr="00E76F6C" w:rsidRDefault="00A11BE1" w:rsidP="00A11BE1">
      <w:pPr>
        <w:ind w:left="2127" w:hanging="1560"/>
        <w:rPr>
          <w:rFonts w:cs="Arial"/>
          <w:lang w:val="de-DE" w:eastAsia="de-DE" w:bidi="de-DE"/>
        </w:rPr>
      </w:pPr>
      <w:r w:rsidRPr="00E76F6C">
        <w:rPr>
          <w:rFonts w:eastAsia="Calibri"/>
          <w:lang w:val="de-DE" w:eastAsia="de-DE" w:bidi="de-DE"/>
        </w:rPr>
        <w:t>Kapitel 3.1:</w:t>
      </w:r>
      <w:r w:rsidRPr="00E76F6C">
        <w:rPr>
          <w:rFonts w:ascii="Calibri" w:eastAsia="Calibri" w:hAnsi="Calibri"/>
          <w:sz w:val="22"/>
          <w:szCs w:val="22"/>
          <w:lang w:val="de-DE" w:eastAsia="de-DE" w:bidi="de-DE"/>
        </w:rPr>
        <w:tab/>
      </w:r>
      <w:r w:rsidRPr="00E76F6C">
        <w:rPr>
          <w:rFonts w:eastAsia="Calibri"/>
          <w:lang w:val="de-DE" w:eastAsia="de-DE" w:bidi="de-DE"/>
        </w:rPr>
        <w:t>„Die Mindestprüfungsdauer sollte in der Regel zwei unabhängige Wachstumsperioden betragen.“</w:t>
      </w:r>
    </w:p>
    <w:p w:rsidR="00A11BE1" w:rsidRPr="00E76F6C" w:rsidRDefault="00A11BE1" w:rsidP="00A11BE1">
      <w:pPr>
        <w:ind w:left="2127" w:hanging="1560"/>
        <w:rPr>
          <w:rFonts w:cs="Arial"/>
          <w:lang w:val="de-DE" w:eastAsia="de-DE" w:bidi="de-DE"/>
        </w:rPr>
      </w:pPr>
    </w:p>
    <w:p w:rsidR="00A11BE1" w:rsidRPr="00E76F6C" w:rsidRDefault="00A11BE1" w:rsidP="00A11BE1">
      <w:pPr>
        <w:ind w:left="2127" w:hanging="1560"/>
        <w:rPr>
          <w:rFonts w:cs="Arial"/>
          <w:lang w:val="de-DE" w:eastAsia="de-DE" w:bidi="de-DE"/>
        </w:rPr>
      </w:pPr>
      <w:r w:rsidRPr="00E76F6C">
        <w:rPr>
          <w:rFonts w:eastAsia="Calibri"/>
          <w:lang w:val="de-DE" w:eastAsia="de-DE" w:bidi="de-DE"/>
        </w:rPr>
        <w:t>Kapitel 4.1.2:</w:t>
      </w:r>
      <w:r w:rsidRPr="00E76F6C">
        <w:rPr>
          <w:rFonts w:ascii="Calibri" w:eastAsia="Calibri" w:hAnsi="Calibri"/>
          <w:sz w:val="22"/>
          <w:szCs w:val="22"/>
          <w:lang w:val="de-DE" w:eastAsia="de-DE" w:bidi="de-DE"/>
        </w:rPr>
        <w:tab/>
      </w:r>
      <w:r w:rsidRPr="00E76F6C">
        <w:rPr>
          <w:rFonts w:eastAsia="Calibri"/>
          <w:lang w:val="de-DE" w:eastAsia="de-DE" w:bidi="de-DE"/>
        </w:rPr>
        <w:t>„Die zwischen Sorten erfaßten Unterschiede können so deutlich sein, daß nicht mehr als eine Wachstumsperiode notwendig ist.“</w:t>
      </w:r>
    </w:p>
    <w:p w:rsidR="00A11BE1" w:rsidRPr="00E76F6C" w:rsidRDefault="00A11BE1" w:rsidP="00A11BE1">
      <w:pPr>
        <w:rPr>
          <w:rFonts w:cs="Arial"/>
          <w:lang w:val="de-DE" w:eastAsia="de-DE" w:bidi="de-DE"/>
        </w:rPr>
      </w:pPr>
    </w:p>
    <w:p w:rsidR="00196886" w:rsidRPr="008E1780" w:rsidRDefault="00A11BE1" w:rsidP="00A11BE1">
      <w:pPr>
        <w:rPr>
          <w:rFonts w:cs="Arial"/>
          <w:b/>
        </w:rPr>
      </w:pPr>
      <w:r w:rsidRPr="00E76F6C">
        <w:rPr>
          <w:rFonts w:cs="Arial"/>
          <w:lang w:eastAsia="de-DE" w:bidi="de-DE"/>
        </w:rPr>
        <w:fldChar w:fldCharType="begin"/>
      </w:r>
      <w:r w:rsidRPr="00E76F6C">
        <w:rPr>
          <w:rFonts w:cs="Arial"/>
          <w:lang w:val="de-DE" w:eastAsia="de-DE" w:bidi="de-DE"/>
        </w:rPr>
        <w:instrText xml:space="preserve"> AUTONUM  </w:instrText>
      </w:r>
      <w:r w:rsidRPr="00E76F6C">
        <w:rPr>
          <w:rFonts w:cs="Arial"/>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Diesbezüglich war sich der TC darin einig, daß die Kapitel 3.1 und 4.1.2 nicht widersprüchlich seien, da sich ersteres auf die Prüfung der Unterscheidbarkeit, Homogenität und Beständigkeit sowie die Erarbeitung einer Sortenbeschreibung beziehe, wohingegen sich letzteres lediglich auf Unterscheidbarkeit beziehe</w:t>
      </w:r>
      <w:r w:rsidR="004651D0">
        <w:rPr>
          <w:rFonts w:cs="Arial"/>
        </w:rPr>
        <w:t xml:space="preserve"> </w:t>
      </w:r>
      <w:r w:rsidR="004651D0">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78 u</w:t>
      </w:r>
      <w:r w:rsidR="004651D0">
        <w:t>nd 79)</w:t>
      </w:r>
      <w:r w:rsidR="00196886">
        <w:rPr>
          <w:rFonts w:cs="Arial"/>
        </w:rPr>
        <w:t xml:space="preserve">. </w:t>
      </w:r>
    </w:p>
    <w:p w:rsidR="00196886" w:rsidRDefault="00196886" w:rsidP="00196886">
      <w:pPr>
        <w:rPr>
          <w:rFonts w:cs="Arial"/>
        </w:rPr>
      </w:pPr>
    </w:p>
    <w:p w:rsidR="00A11BE1" w:rsidRPr="000C711B" w:rsidRDefault="00A11BE1" w:rsidP="00E447BD">
      <w:pPr>
        <w:pStyle w:val="Heading5"/>
      </w:pPr>
      <w:r w:rsidRPr="000C711B">
        <w:t>Wachstumsperiode</w:t>
      </w:r>
    </w:p>
    <w:p w:rsidR="00A11BE1" w:rsidRPr="00E76F6C" w:rsidRDefault="00A11BE1" w:rsidP="00A11BE1">
      <w:pPr>
        <w:keepNext/>
        <w:rPr>
          <w:lang w:val="de-DE" w:eastAsia="de-DE" w:bidi="de-DE"/>
        </w:rPr>
      </w:pPr>
    </w:p>
    <w:p w:rsidR="00196886" w:rsidRDefault="00A11BE1" w:rsidP="00A11BE1">
      <w:pPr>
        <w:rPr>
          <w:rFonts w:cs="Arial"/>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 xml:space="preserve">Der TC </w:t>
      </w:r>
      <w:r>
        <w:rPr>
          <w:rFonts w:eastAsia="Calibri"/>
          <w:lang w:val="de-DE" w:eastAsia="de-DE" w:bidi="de-DE"/>
        </w:rPr>
        <w:t>ersuchte</w:t>
      </w:r>
      <w:r w:rsidRPr="00E76F6C">
        <w:rPr>
          <w:rFonts w:eastAsia="Calibri"/>
          <w:lang w:val="de-DE" w:eastAsia="de-DE" w:bidi="de-DE"/>
        </w:rPr>
        <w:t xml:space="preserve"> die TWF zu prüfen, ob es notwendig sei, einen neuen ASW für eine Wachstumsperiode für tropische Arten zu entwickeln</w:t>
      </w:r>
      <w:r>
        <w:t xml:space="preserve"> </w:t>
      </w:r>
      <w:r w:rsidR="004651D0">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4651D0">
        <w:t>80)</w:t>
      </w:r>
      <w:r w:rsidR="00196886">
        <w:rPr>
          <w:rFonts w:cs="Arial"/>
        </w:rPr>
        <w:t>.</w:t>
      </w:r>
    </w:p>
    <w:p w:rsidR="00196886" w:rsidRPr="00AF342C" w:rsidRDefault="00196886" w:rsidP="00196886"/>
    <w:p w:rsidR="00A11BE1" w:rsidRPr="000C711B" w:rsidRDefault="00A11BE1" w:rsidP="00E447BD">
      <w:pPr>
        <w:pStyle w:val="Heading5"/>
      </w:pPr>
      <w:bookmarkStart w:id="28" w:name="_Toc346297010"/>
      <w:r w:rsidRPr="000C711B">
        <w:t>Ursprung von Vermehrungsmaterial</w:t>
      </w:r>
      <w:bookmarkEnd w:id="28"/>
    </w:p>
    <w:p w:rsidR="00A11BE1" w:rsidRPr="00E76F6C" w:rsidRDefault="00A11BE1" w:rsidP="00A11BE1">
      <w:pPr>
        <w:keepNext/>
        <w:rPr>
          <w:lang w:val="de-DE" w:eastAsia="de-DE" w:bidi="de-DE"/>
        </w:rPr>
      </w:pPr>
    </w:p>
    <w:p w:rsidR="00196886" w:rsidRPr="00AF342C" w:rsidRDefault="00A11BE1" w:rsidP="00A11BE1">
      <w:pPr>
        <w:rPr>
          <w:rFonts w:cs="Arial"/>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 xml:space="preserve">Der TC nahm zur Kenntnis, daß </w:t>
      </w:r>
      <w:r>
        <w:rPr>
          <w:rFonts w:eastAsia="Calibri"/>
          <w:lang w:val="de-DE" w:eastAsia="de-DE" w:bidi="de-DE"/>
        </w:rPr>
        <w:t>Sachverständige</w:t>
      </w:r>
      <w:r w:rsidRPr="00E76F6C">
        <w:rPr>
          <w:rFonts w:eastAsia="Calibri"/>
          <w:lang w:val="de-DE" w:eastAsia="de-DE" w:bidi="de-DE"/>
        </w:rPr>
        <w:t xml:space="preserve"> der Europäischen Union der TWF und der TWO auf ihren Tagungen im Jahr 2013 Information über den Einfluß des Verfahrens vegetativer Vermehrung und des Ursprungs des von der Pflanze selbst entnommenen Vermehrungsmaterials auf die künftige Entwicklung der Pflanze und die Merkmalsausprägung, und wie dies in den Prüfungsrichtlinien behandelt werden könne, erteilen werde</w:t>
      </w:r>
      <w:r>
        <w:rPr>
          <w:rFonts w:eastAsia="Calibri"/>
          <w:lang w:val="de-DE" w:eastAsia="de-DE" w:bidi="de-DE"/>
        </w:rPr>
        <w:t>n</w:t>
      </w:r>
      <w:r w:rsidR="004651D0">
        <w:rPr>
          <w:rFonts w:cs="Arial"/>
        </w:rPr>
        <w:t xml:space="preserve"> </w:t>
      </w:r>
      <w:r w:rsidR="004651D0">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4651D0">
        <w:t>81)</w:t>
      </w:r>
      <w:r w:rsidR="00196886" w:rsidRPr="00AF342C">
        <w:rPr>
          <w:rFonts w:cs="Arial"/>
        </w:rPr>
        <w:t>.</w:t>
      </w:r>
    </w:p>
    <w:p w:rsidR="00196886" w:rsidRPr="00AF342C" w:rsidRDefault="00196886" w:rsidP="00196886"/>
    <w:p w:rsidR="00A11BE1" w:rsidRPr="000C711B" w:rsidRDefault="00A11BE1" w:rsidP="00E447BD">
      <w:pPr>
        <w:pStyle w:val="Heading5"/>
      </w:pPr>
      <w:bookmarkStart w:id="29" w:name="_Toc346297011"/>
      <w:r w:rsidRPr="000C711B">
        <w:t>Anzahl der für die Beschreibung erforderlichen Pflanzen</w:t>
      </w:r>
      <w:bookmarkEnd w:id="29"/>
    </w:p>
    <w:p w:rsidR="00A11BE1" w:rsidRPr="00E76F6C" w:rsidRDefault="00A11BE1" w:rsidP="00A11BE1">
      <w:pPr>
        <w:keepNext/>
        <w:rPr>
          <w:lang w:val="de-DE" w:eastAsia="de-DE" w:bidi="de-DE"/>
        </w:rPr>
      </w:pPr>
    </w:p>
    <w:p w:rsidR="00196886" w:rsidRPr="00A11BE1" w:rsidRDefault="00A11BE1" w:rsidP="00196886">
      <w:pPr>
        <w:rPr>
          <w:rFonts w:cs="Arial"/>
          <w:lang w:val="de-DE" w:eastAsia="de-DE" w:bidi="de-DE"/>
        </w:rPr>
      </w:pPr>
      <w:r w:rsidRPr="00E76F6C">
        <w:rPr>
          <w:rFonts w:cs="Arial"/>
          <w:lang w:eastAsia="de-DE" w:bidi="de-DE"/>
        </w:rPr>
        <w:fldChar w:fldCharType="begin"/>
      </w:r>
      <w:r w:rsidRPr="00E76F6C">
        <w:rPr>
          <w:rFonts w:cs="Arial"/>
          <w:lang w:val="de-DE" w:eastAsia="de-DE" w:bidi="de-DE"/>
        </w:rPr>
        <w:instrText xml:space="preserve"> AUTONUM  </w:instrText>
      </w:r>
      <w:r w:rsidRPr="00E76F6C">
        <w:rPr>
          <w:rFonts w:cs="Arial"/>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Der TC war sich darin einig, daß es nicht erforderlich sei, in einer künftigen Überarbeitung von Dokument TGP/7 weitere Anleitung zur Anzahl der für die Beschreibung erforderlichen Pflanzen zu erteilen, da es in den Prüfungsrichtlinien heiße</w:t>
      </w:r>
      <w:r>
        <w:rPr>
          <w:rFonts w:eastAsia="Calibri"/>
          <w:lang w:val="de-DE" w:eastAsia="de-DE" w:bidi="de-DE"/>
        </w:rPr>
        <w:t>:</w:t>
      </w:r>
      <w:r w:rsidRPr="00E76F6C">
        <w:rPr>
          <w:rFonts w:eastAsia="Calibri"/>
          <w:lang w:val="de-DE" w:eastAsia="de-DE" w:bidi="de-DE"/>
        </w:rPr>
        <w:t xml:space="preserve"> „Zweck dieser Richtlinien („Prüfungsrichtlinien“) ist</w:t>
      </w:r>
      <w:r>
        <w:rPr>
          <w:rFonts w:eastAsia="Calibri"/>
          <w:lang w:val="de-DE" w:eastAsia="de-DE" w:bidi="de-DE"/>
        </w:rPr>
        <w:t xml:space="preserve"> es</w:t>
      </w:r>
      <w:r w:rsidRPr="00E76F6C">
        <w:rPr>
          <w:rFonts w:eastAsia="Calibri"/>
          <w:lang w:val="de-DE" w:eastAsia="de-DE" w:bidi="de-DE"/>
        </w:rPr>
        <w:t>, die in der Allgemeinen Einführung (Dokument TG</w:t>
      </w:r>
      <w:r>
        <w:rPr>
          <w:rFonts w:eastAsia="Calibri"/>
          <w:lang w:val="de-DE" w:eastAsia="de-DE" w:bidi="de-DE"/>
        </w:rPr>
        <w:t>/1/3) und deren verbundenen TGP</w:t>
      </w:r>
      <w:r>
        <w:rPr>
          <w:rFonts w:eastAsia="Calibri"/>
          <w:lang w:val="de-DE" w:eastAsia="de-DE" w:bidi="de-DE"/>
        </w:rPr>
        <w:noBreakHyphen/>
      </w:r>
      <w:r w:rsidRPr="00E76F6C">
        <w:rPr>
          <w:rFonts w:eastAsia="Calibri"/>
          <w:lang w:val="de-DE" w:eastAsia="de-DE" w:bidi="de-DE"/>
        </w:rPr>
        <w:t>Dokumenten enthaltenen Grundsätze in detaillierte praktische Anleitung für die harmonisierte Prüfung der Unterscheidbarkeit, der Homogenität und der Beständigkeit (DUS) umzusetzen und insbesondere</w:t>
      </w:r>
      <w:r>
        <w:rPr>
          <w:rFonts w:eastAsia="Calibri"/>
          <w:lang w:val="de-DE" w:eastAsia="de-DE" w:bidi="de-DE"/>
        </w:rPr>
        <w:t xml:space="preserve"> geeignete Merkmale für die DUS</w:t>
      </w:r>
      <w:r>
        <w:rPr>
          <w:rFonts w:eastAsia="Calibri"/>
          <w:lang w:val="de-DE" w:eastAsia="de-DE" w:bidi="de-DE"/>
        </w:rPr>
        <w:noBreakHyphen/>
      </w:r>
      <w:r w:rsidRPr="00E76F6C">
        <w:rPr>
          <w:rFonts w:eastAsia="Calibri"/>
          <w:lang w:val="de-DE" w:eastAsia="de-DE" w:bidi="de-DE"/>
        </w:rPr>
        <w:t>Prüfung und die Erstellung harmonisierter S</w:t>
      </w:r>
      <w:r>
        <w:rPr>
          <w:rFonts w:eastAsia="Calibri"/>
          <w:lang w:val="de-DE" w:eastAsia="de-DE" w:bidi="de-DE"/>
        </w:rPr>
        <w:t>ortenbeschreibungen auszuweisen</w:t>
      </w:r>
      <w:r w:rsidRPr="00E76F6C">
        <w:rPr>
          <w:rFonts w:eastAsia="Calibri"/>
          <w:lang w:val="de-DE" w:eastAsia="de-DE" w:bidi="de-DE"/>
        </w:rPr>
        <w:t>“</w:t>
      </w:r>
      <w:r w:rsidR="004651D0">
        <w:rPr>
          <w:rFonts w:cs="Arial"/>
        </w:rPr>
        <w:t xml:space="preserve"> </w:t>
      </w:r>
      <w:r w:rsidR="004651D0">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4651D0">
        <w:t> 82)</w:t>
      </w:r>
      <w:r w:rsidR="00196886" w:rsidRPr="00794DC2">
        <w:rPr>
          <w:rFonts w:cs="Arial"/>
        </w:rPr>
        <w:t>.</w:t>
      </w:r>
    </w:p>
    <w:p w:rsidR="00196886" w:rsidRPr="000C711B" w:rsidRDefault="00196886" w:rsidP="00196886"/>
    <w:p w:rsidR="00A11BE1" w:rsidRPr="000C711B" w:rsidRDefault="00A11BE1" w:rsidP="00E447BD">
      <w:pPr>
        <w:pStyle w:val="Heading5"/>
      </w:pPr>
      <w:r w:rsidRPr="000C711B">
        <w:t>Entwicklungsstadien</w:t>
      </w:r>
    </w:p>
    <w:p w:rsidR="00A11BE1" w:rsidRPr="000C711B" w:rsidRDefault="00A11BE1" w:rsidP="00A11BE1">
      <w:pPr>
        <w:keepNext/>
        <w:rPr>
          <w:lang w:val="de-DE" w:eastAsia="de-DE" w:bidi="de-DE"/>
        </w:rPr>
      </w:pPr>
    </w:p>
    <w:p w:rsidR="00196886" w:rsidRPr="00AF342C" w:rsidRDefault="00A11BE1" w:rsidP="00A11BE1">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Der TC vereinbarte, daß bei einer künftigen Überarbeitung von Dokument TGP/7 im Hinblick auf die Aufnahme von Schlüsseln der Entwicklungsstadien in Kapitel 8 der Prüfungsrichtlinien eine Klarstellung vorzunehmen sei, und ersuchte das Verbandsbüro, einen Entwurf für eine Anleitung zur Prüfung durch die TWP auf ihren Tagungen im Jahr 2013 auszuarbeiten</w:t>
      </w:r>
      <w:r w:rsidR="004651D0">
        <w:rPr>
          <w:rFonts w:cs="Arial"/>
        </w:rPr>
        <w:t xml:space="preserve"> </w:t>
      </w:r>
      <w:r w:rsidR="004651D0">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4651D0">
        <w:t> 83)</w:t>
      </w:r>
      <w:r w:rsidR="00196886" w:rsidRPr="00AF342C">
        <w:rPr>
          <w:rFonts w:cs="Arial"/>
        </w:rPr>
        <w:t>.</w:t>
      </w:r>
    </w:p>
    <w:p w:rsidR="00196886" w:rsidRPr="00AF342C" w:rsidRDefault="00196886" w:rsidP="00196886">
      <w:pPr>
        <w:spacing w:line="360" w:lineRule="auto"/>
      </w:pPr>
    </w:p>
    <w:p w:rsidR="00196886" w:rsidRPr="002274F6" w:rsidRDefault="00196886" w:rsidP="003372B4">
      <w:pPr>
        <w:pStyle w:val="Heading4"/>
      </w:pPr>
      <w:bookmarkStart w:id="30" w:name="_Toc346297012"/>
      <w:r w:rsidRPr="002274F6">
        <w:t xml:space="preserve">TGP/9:  </w:t>
      </w:r>
      <w:r w:rsidR="00A11BE1" w:rsidRPr="00E76F6C">
        <w:rPr>
          <w:rFonts w:eastAsia="Calibri"/>
          <w:lang w:val="de-DE" w:eastAsia="de-DE" w:bidi="de-DE"/>
        </w:rPr>
        <w:t>Prüfung der Unterscheidbarkeit</w:t>
      </w:r>
      <w:r w:rsidR="00A11BE1" w:rsidRPr="002274F6">
        <w:t xml:space="preserve"> </w:t>
      </w:r>
      <w:bookmarkEnd w:id="30"/>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rsidR="00A11BE1" w:rsidRPr="00E76F6C">
        <w:rPr>
          <w:rFonts w:eastAsia="Calibri"/>
          <w:lang w:val="de-DE" w:eastAsia="de-DE" w:bidi="de-DE"/>
        </w:rPr>
        <w:t xml:space="preserve">Der TC vereinbarte, daß auf der Grundlage der in Dokument TC/49/17, Anlage II, erteilten Anleitung weitere Anleitung zur Anzahl der für die Unterscheidbarkeit zu erfassenden Pflanzen in eine künftige Überarbeitung von Dokument TGP/9 </w:t>
      </w:r>
      <w:r w:rsidR="00A11BE1">
        <w:rPr>
          <w:rFonts w:eastAsia="Calibri"/>
          <w:lang w:val="de-DE" w:eastAsia="de-DE" w:bidi="de-DE"/>
        </w:rPr>
        <w:t>aufgenommen</w:t>
      </w:r>
      <w:r w:rsidR="00A11BE1" w:rsidRPr="00E76F6C">
        <w:rPr>
          <w:rFonts w:eastAsia="Calibri"/>
          <w:lang w:val="de-DE" w:eastAsia="de-DE" w:bidi="de-DE"/>
        </w:rPr>
        <w:t xml:space="preserve"> werden solle</w:t>
      </w:r>
      <w:r w:rsidR="00A11BE1">
        <w:t xml:space="preserve"> </w:t>
      </w:r>
      <w:r w:rsidR="004651D0">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4651D0">
        <w:t>84)</w:t>
      </w:r>
      <w:r w:rsidRPr="00AF342C">
        <w:rPr>
          <w:rFonts w:cs="Arial"/>
        </w:rPr>
        <w:t>.</w:t>
      </w:r>
    </w:p>
    <w:p w:rsidR="00196886" w:rsidRPr="00AF342C" w:rsidRDefault="00196886" w:rsidP="00196886">
      <w:pPr>
        <w:spacing w:line="360" w:lineRule="auto"/>
      </w:pPr>
    </w:p>
    <w:p w:rsidR="00196886" w:rsidRPr="002274F6" w:rsidRDefault="00196886" w:rsidP="003372B4">
      <w:pPr>
        <w:pStyle w:val="Heading4"/>
      </w:pPr>
      <w:r w:rsidRPr="002274F6">
        <w:lastRenderedPageBreak/>
        <w:t xml:space="preserve">TGP/14:  </w:t>
      </w:r>
      <w:r w:rsidR="00A11BE1" w:rsidRPr="00E76F6C">
        <w:rPr>
          <w:rFonts w:eastAsia="Calibri"/>
          <w:lang w:val="de-DE" w:eastAsia="de-DE" w:bidi="de-DE"/>
        </w:rPr>
        <w:t>Glossar der in den UPOV-Dokumenten verwendeten Begriffe</w:t>
      </w:r>
      <w:r w:rsidR="00A11BE1" w:rsidRPr="002274F6">
        <w:t xml:space="preserve"> </w:t>
      </w:r>
    </w:p>
    <w:p w:rsidR="00196886" w:rsidRPr="00AF342C" w:rsidRDefault="00196886" w:rsidP="00196886">
      <w:pPr>
        <w:keepNext/>
      </w:pPr>
    </w:p>
    <w:p w:rsidR="00A11BE1" w:rsidRPr="00E76F6C" w:rsidRDefault="00196886" w:rsidP="00A11BE1">
      <w:pPr>
        <w:rPr>
          <w:lang w:val="de-DE" w:eastAsia="de-DE" w:bidi="de-DE"/>
        </w:rPr>
      </w:pPr>
      <w:r w:rsidRPr="00AF342C">
        <w:fldChar w:fldCharType="begin"/>
      </w:r>
      <w:r w:rsidRPr="00AF342C">
        <w:instrText xml:space="preserve"> AUTONUM  </w:instrText>
      </w:r>
      <w:r w:rsidRPr="00AF342C">
        <w:fldChar w:fldCharType="end"/>
      </w:r>
      <w:r w:rsidRPr="00AF342C">
        <w:tab/>
      </w:r>
      <w:r w:rsidR="00A11BE1" w:rsidRPr="00E76F6C">
        <w:rPr>
          <w:rFonts w:eastAsia="Calibri"/>
          <w:lang w:val="de-DE" w:eastAsia="de-DE" w:bidi="de-DE"/>
        </w:rPr>
        <w:t>Der TC vereinbarte, daß eine Definition von „Punkt” in eine künf</w:t>
      </w:r>
      <w:r w:rsidR="00A11BE1">
        <w:rPr>
          <w:rFonts w:eastAsia="Calibri"/>
          <w:lang w:val="de-DE" w:eastAsia="de-DE" w:bidi="de-DE"/>
        </w:rPr>
        <w:t>tige Überarbeitung von Dokument </w:t>
      </w:r>
      <w:r w:rsidR="00A11BE1" w:rsidRPr="00E76F6C">
        <w:rPr>
          <w:rFonts w:eastAsia="Calibri"/>
          <w:lang w:val="de-DE" w:eastAsia="de-DE" w:bidi="de-DE"/>
        </w:rPr>
        <w:t>TGP/14 Abschnitt 2: „Botanische Begriffe, Unterabschnitt 3: Farbe“ aufgenommen werden solle und bat das Verbandsbüro, einen Entwurf zur Prüfung durch die TWP auf ihren Tagungen im Jahr 2013 auszuarbeiten.</w:t>
      </w:r>
    </w:p>
    <w:p w:rsidR="00A11BE1" w:rsidRPr="00E76F6C" w:rsidRDefault="00A11BE1" w:rsidP="00A11BE1">
      <w:pPr>
        <w:rPr>
          <w:lang w:val="de-DE" w:eastAsia="de-DE" w:bidi="de-DE"/>
        </w:rPr>
      </w:pPr>
    </w:p>
    <w:p w:rsidR="00196886" w:rsidRPr="00A11BE1" w:rsidRDefault="00A11BE1" w:rsidP="00196886">
      <w:pPr>
        <w:rPr>
          <w:rFonts w:cs="Arial"/>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 xml:space="preserve">Der TC vereinbarte, daß Anleitung zu den Gefahren der Bereitstellung von Farbabbildungen in Prüfungsrichtlinien erteilt werden solle. Allerdings war sich der TC darin einig, daß solch eine Anleitung eher in einer künftigen Überarbeitung von Dokument TGP/7 als in Dokument TGP/14 erteilt werden solle. Der TC </w:t>
      </w:r>
      <w:r>
        <w:rPr>
          <w:rFonts w:eastAsia="Calibri"/>
          <w:lang w:val="de-DE" w:eastAsia="de-DE" w:bidi="de-DE"/>
        </w:rPr>
        <w:t>ersuchte</w:t>
      </w:r>
      <w:r w:rsidRPr="00E76F6C">
        <w:rPr>
          <w:rFonts w:eastAsia="Calibri"/>
          <w:lang w:val="de-DE" w:eastAsia="de-DE" w:bidi="de-DE"/>
        </w:rPr>
        <w:t xml:space="preserve"> das Verbandsbüro, einen Entwurf zur Prüfung durch die TWP auf ihren Tagungen im Jahr 2013 auszuarbeiten</w:t>
      </w:r>
      <w:r>
        <w:rPr>
          <w:rFonts w:cs="Arial"/>
        </w:rPr>
        <w:t xml:space="preserve"> </w:t>
      </w:r>
      <w:r w:rsidR="004651D0">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Absätze</w:t>
      </w:r>
      <w:r w:rsidR="00132ABD">
        <w:t> 85 u</w:t>
      </w:r>
      <w:r w:rsidR="004651D0">
        <w:t>nd 86)</w:t>
      </w:r>
      <w:r w:rsidR="00196886" w:rsidRPr="00AF342C">
        <w:rPr>
          <w:rFonts w:cs="Arial"/>
        </w:rPr>
        <w:t>.</w:t>
      </w:r>
    </w:p>
    <w:p w:rsidR="00196886" w:rsidRPr="00AF342C" w:rsidRDefault="00196886" w:rsidP="00196886">
      <w:pPr>
        <w:spacing w:line="360" w:lineRule="auto"/>
      </w:pPr>
    </w:p>
    <w:p w:rsidR="00EC100C" w:rsidRPr="00E76F6C" w:rsidRDefault="00EC100C" w:rsidP="00EC100C">
      <w:pPr>
        <w:keepNext/>
        <w:outlineLvl w:val="2"/>
        <w:rPr>
          <w:i/>
          <w:lang w:val="de-DE" w:eastAsia="de-DE" w:bidi="de-DE"/>
        </w:rPr>
      </w:pPr>
      <w:bookmarkStart w:id="31" w:name="_Toc368583012"/>
      <w:r w:rsidRPr="00E76F6C">
        <w:rPr>
          <w:rFonts w:eastAsia="Calibri"/>
          <w:i/>
          <w:lang w:val="de-DE" w:eastAsia="de-DE" w:bidi="de-DE"/>
        </w:rPr>
        <w:t>Programm für die Erstellung von TGP-Dokumenten</w:t>
      </w:r>
      <w:bookmarkEnd w:id="31"/>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rsidR="00EC100C">
        <w:rPr>
          <w:rFonts w:eastAsia="Calibri"/>
          <w:lang w:val="de-DE" w:eastAsia="de-DE" w:bidi="de-DE"/>
        </w:rPr>
        <w:t>D</w:t>
      </w:r>
      <w:r w:rsidR="00EC100C" w:rsidRPr="00E76F6C">
        <w:rPr>
          <w:rFonts w:eastAsia="Calibri"/>
          <w:lang w:val="de-DE" w:eastAsia="de-DE" w:bidi="de-DE"/>
        </w:rPr>
        <w:t>as Programm für die</w:t>
      </w:r>
      <w:r w:rsidR="00EC100C">
        <w:rPr>
          <w:rFonts w:eastAsia="Calibri"/>
          <w:lang w:val="de-DE" w:eastAsia="de-DE" w:bidi="de-DE"/>
        </w:rPr>
        <w:t xml:space="preserve"> Erstellung von TGP-Dokumenten ist wie vom TC auf seiner neunundvierzigsten Tagung gebiligt in der Anlage und in den Anhängen dieses Dokuments enthalten</w:t>
      </w:r>
      <w:r w:rsidR="00995977">
        <w:rPr>
          <w:rFonts w:cs="Arial"/>
        </w:rPr>
        <w:t>.</w:t>
      </w:r>
    </w:p>
    <w:p w:rsidR="00196886" w:rsidRDefault="00196886" w:rsidP="00196886"/>
    <w:p w:rsidR="00196886" w:rsidRPr="00AF342C" w:rsidRDefault="00196886" w:rsidP="00196886"/>
    <w:p w:rsidR="00B373E1" w:rsidRPr="00E76F6C" w:rsidRDefault="00B373E1" w:rsidP="00747C66">
      <w:pPr>
        <w:pStyle w:val="Heading2"/>
        <w:rPr>
          <w:lang w:val="de-DE" w:eastAsia="de-DE" w:bidi="de-DE"/>
        </w:rPr>
      </w:pPr>
      <w:bookmarkStart w:id="32" w:name="_Toc368583013"/>
      <w:r w:rsidRPr="00E76F6C">
        <w:rPr>
          <w:rFonts w:eastAsia="Calibri"/>
          <w:lang w:val="de-DE" w:eastAsia="de-DE" w:bidi="de-DE"/>
        </w:rPr>
        <w:t>Sortenbezeichnungen</w:t>
      </w:r>
      <w:bookmarkEnd w:id="32"/>
    </w:p>
    <w:p w:rsidR="00196886" w:rsidRPr="00AF342C" w:rsidRDefault="00196886" w:rsidP="00196886">
      <w:pPr>
        <w:keepNext/>
      </w:pPr>
    </w:p>
    <w:p w:rsidR="00B373E1" w:rsidRPr="00E76F6C" w:rsidRDefault="00196886" w:rsidP="00B373E1">
      <w:pPr>
        <w:keepNext/>
        <w:rPr>
          <w:lang w:val="de-DE" w:eastAsia="de-DE" w:bidi="de-DE"/>
        </w:rPr>
      </w:pPr>
      <w:r w:rsidRPr="00AF342C">
        <w:fldChar w:fldCharType="begin"/>
      </w:r>
      <w:r w:rsidRPr="00AF342C">
        <w:instrText xml:space="preserve"> AUTONUM  </w:instrText>
      </w:r>
      <w:r w:rsidRPr="00AF342C">
        <w:fldChar w:fldCharType="end"/>
      </w:r>
      <w:r w:rsidRPr="00AF342C">
        <w:tab/>
      </w:r>
      <w:r w:rsidR="00B373E1" w:rsidRPr="00E76F6C">
        <w:rPr>
          <w:rFonts w:eastAsia="Calibri"/>
          <w:lang w:val="de-DE" w:eastAsia="de-DE" w:bidi="de-DE"/>
        </w:rPr>
        <w:t>Der TC prüfte das Dokument TC/49/8.</w:t>
      </w:r>
    </w:p>
    <w:p w:rsidR="00B373E1" w:rsidRPr="00E76F6C" w:rsidRDefault="00B373E1" w:rsidP="00B373E1">
      <w:pPr>
        <w:keepNext/>
        <w:rPr>
          <w:lang w:val="de-DE" w:eastAsia="de-DE" w:bidi="de-DE"/>
        </w:rPr>
      </w:pPr>
    </w:p>
    <w:p w:rsidR="00196886" w:rsidRPr="00AF342C" w:rsidRDefault="00B373E1" w:rsidP="00B373E1">
      <w:pPr>
        <w:rPr>
          <w:snapToGrid w:val="0"/>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snapToGrid w:val="0"/>
          <w:lang w:val="de-DE" w:eastAsia="de-DE" w:bidi="de-DE"/>
        </w:rPr>
        <w:t>Der TC nahm die Entwicklungen betreffend mögliche Bereiche einer Zusammenarbeit zwischen der UPOV und der Internationalen Kommission für die Nomenklatur der Kulturpflanzen (</w:t>
      </w:r>
      <w:r w:rsidRPr="008F5EA2">
        <w:rPr>
          <w:rFonts w:eastAsia="Calibri"/>
          <w:i/>
          <w:snapToGrid w:val="0"/>
          <w:lang w:val="de-DE" w:eastAsia="de-DE" w:bidi="de-DE"/>
        </w:rPr>
        <w:t>International Commission for the Nomenclature of Cultivated Plants</w:t>
      </w:r>
      <w:r w:rsidRPr="00E76F6C">
        <w:rPr>
          <w:rFonts w:eastAsia="Calibri"/>
          <w:snapToGrid w:val="0"/>
          <w:lang w:val="de-DE" w:eastAsia="de-DE" w:bidi="de-DE"/>
        </w:rPr>
        <w:t>) der Internationalen Vereinigung der biologischen Wissenschaften (</w:t>
      </w:r>
      <w:r w:rsidRPr="008F5EA2">
        <w:rPr>
          <w:rFonts w:eastAsia="Calibri"/>
          <w:i/>
          <w:snapToGrid w:val="0"/>
          <w:lang w:val="de-DE" w:eastAsia="de-DE" w:bidi="de-DE"/>
        </w:rPr>
        <w:t>International Union of Biological Sciences</w:t>
      </w:r>
      <w:r w:rsidRPr="00E76F6C">
        <w:rPr>
          <w:rFonts w:eastAsia="Calibri"/>
          <w:snapToGrid w:val="0"/>
          <w:lang w:val="de-DE" w:eastAsia="de-DE" w:bidi="de-DE"/>
        </w:rPr>
        <w:t>) (IUBS-Kommission) sowie der Kommission für die Nomenklatur der Kulturpflanzen der Internationalen Gesellschaft für Gartenbaukunde (</w:t>
      </w:r>
      <w:r w:rsidRPr="008F5EA2">
        <w:rPr>
          <w:rFonts w:eastAsia="Calibri"/>
          <w:i/>
          <w:snapToGrid w:val="0"/>
          <w:lang w:val="de-DE" w:eastAsia="de-DE" w:bidi="de-DE"/>
        </w:rPr>
        <w:t>International Society for Horticultural Science Commission for Nomenclature a</w:t>
      </w:r>
      <w:r>
        <w:rPr>
          <w:rFonts w:eastAsia="Calibri"/>
          <w:i/>
          <w:snapToGrid w:val="0"/>
          <w:lang w:val="de-DE" w:eastAsia="de-DE" w:bidi="de-DE"/>
        </w:rPr>
        <w:t>nd Cultivar Registration) (ISHS</w:t>
      </w:r>
      <w:r>
        <w:rPr>
          <w:rFonts w:eastAsia="Calibri"/>
          <w:i/>
          <w:snapToGrid w:val="0"/>
          <w:lang w:val="de-DE" w:eastAsia="de-DE" w:bidi="de-DE"/>
        </w:rPr>
        <w:noBreakHyphen/>
      </w:r>
      <w:r w:rsidRPr="008F5EA2">
        <w:rPr>
          <w:rFonts w:eastAsia="Calibri"/>
          <w:i/>
          <w:snapToGrid w:val="0"/>
          <w:lang w:val="de-DE" w:eastAsia="de-DE" w:bidi="de-DE"/>
        </w:rPr>
        <w:t>Kommission</w:t>
      </w:r>
      <w:r w:rsidRPr="00E76F6C">
        <w:rPr>
          <w:rFonts w:eastAsia="Calibri"/>
          <w:snapToGrid w:val="0"/>
          <w:lang w:val="de-DE" w:eastAsia="de-DE" w:bidi="de-DE"/>
        </w:rPr>
        <w:t>), wie in den Absätzen 24 und 25 von Dokument TC/49/8 dargelegt, zur Kenntnis</w:t>
      </w:r>
      <w:r w:rsidR="00FB297A">
        <w:rPr>
          <w:snapToGrid w:val="0"/>
        </w:rP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FB297A">
        <w:t>89)</w:t>
      </w:r>
      <w:r w:rsidR="00196886" w:rsidRPr="00AF342C">
        <w:rPr>
          <w:snapToGrid w:val="0"/>
        </w:rPr>
        <w:t>.</w:t>
      </w:r>
    </w:p>
    <w:p w:rsidR="00196886" w:rsidRDefault="00196886" w:rsidP="00196886"/>
    <w:p w:rsidR="00B027B0" w:rsidRPr="00AF342C" w:rsidRDefault="00B027B0" w:rsidP="00196886"/>
    <w:p w:rsidR="00B67A69" w:rsidRPr="00AF342C" w:rsidRDefault="00B67A69" w:rsidP="00747C66">
      <w:pPr>
        <w:pStyle w:val="Heading2"/>
      </w:pPr>
      <w:bookmarkStart w:id="33" w:name="_Toc365473600"/>
      <w:bookmarkStart w:id="34" w:name="_Toc368583014"/>
      <w:r w:rsidRPr="00AF342C">
        <w:t>Information and Databases</w:t>
      </w:r>
      <w:bookmarkEnd w:id="33"/>
      <w:bookmarkEnd w:id="34"/>
    </w:p>
    <w:p w:rsidR="00196886" w:rsidRPr="00AF342C" w:rsidRDefault="00196886" w:rsidP="00196886">
      <w:pPr>
        <w:keepNext/>
      </w:pPr>
    </w:p>
    <w:p w:rsidR="00196886" w:rsidRPr="00AF342C" w:rsidRDefault="00196886" w:rsidP="00B027B0">
      <w:pPr>
        <w:pStyle w:val="Heading3"/>
      </w:pPr>
      <w:bookmarkStart w:id="35" w:name="_Toc368583015"/>
      <w:r w:rsidRPr="00AF342C">
        <w:t>a)</w:t>
      </w:r>
      <w:r w:rsidRPr="00AF342C">
        <w:tab/>
      </w:r>
      <w:r w:rsidRPr="00790753">
        <w:t>UPOV</w:t>
      </w:r>
      <w:r w:rsidR="00790753" w:rsidRPr="00790753">
        <w:t>-Informationsdatenbanken</w:t>
      </w:r>
      <w:bookmarkEnd w:id="35"/>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rsidR="00790753" w:rsidRPr="00E76F6C">
        <w:rPr>
          <w:rFonts w:eastAsia="Calibri"/>
          <w:lang w:val="de-DE" w:eastAsia="de-DE" w:bidi="de-DE"/>
        </w:rPr>
        <w:t xml:space="preserve">Der TC prüfte </w:t>
      </w:r>
      <w:r w:rsidR="00790753">
        <w:rPr>
          <w:rFonts w:eastAsia="Calibri"/>
          <w:lang w:val="de-DE" w:eastAsia="de-DE" w:bidi="de-DE"/>
        </w:rPr>
        <w:t xml:space="preserve">das </w:t>
      </w:r>
      <w:r w:rsidR="00790753" w:rsidRPr="00E76F6C">
        <w:rPr>
          <w:rFonts w:eastAsia="Calibri"/>
          <w:lang w:val="de-DE" w:eastAsia="de-DE" w:bidi="de-DE"/>
        </w:rPr>
        <w:t>Dokument TC/49/6. Ferner erhielt er eine Vorführung der PLUTO-</w:t>
      </w:r>
      <w:r w:rsidR="00790753" w:rsidRPr="00E76F6C">
        <w:rPr>
          <w:rFonts w:eastAsia="Calibri"/>
          <w:color w:val="000000"/>
          <w:lang w:val="de-DE" w:eastAsia="de-DE" w:bidi="de-DE"/>
        </w:rPr>
        <w:t>Datenbank</w:t>
      </w:r>
      <w:r w:rsidR="00790753" w:rsidRPr="00E76F6C">
        <w:rPr>
          <w:rFonts w:eastAsia="Calibri"/>
          <w:lang w:val="de-DE" w:eastAsia="de-DE" w:bidi="de-DE"/>
        </w:rPr>
        <w:t xml:space="preserve"> durch Herrn Glenn Mac Stravic, </w:t>
      </w:r>
      <w:r w:rsidR="00790753">
        <w:rPr>
          <w:rFonts w:eastAsia="Calibri"/>
          <w:lang w:val="de-DE" w:eastAsia="de-DE" w:bidi="de-DE"/>
        </w:rPr>
        <w:t xml:space="preserve">Leiter, </w:t>
      </w:r>
      <w:r w:rsidR="00790753" w:rsidRPr="00E76F6C">
        <w:rPr>
          <w:rFonts w:eastAsia="Calibri"/>
          <w:lang w:val="de-DE" w:eastAsia="de-DE" w:bidi="de-DE"/>
        </w:rPr>
        <w:t xml:space="preserve">Abteilung Brand </w:t>
      </w:r>
      <w:r w:rsidR="00790753">
        <w:rPr>
          <w:rFonts w:eastAsia="Calibri"/>
          <w:lang w:val="de-DE" w:eastAsia="de-DE" w:bidi="de-DE"/>
        </w:rPr>
        <w:t>Database, Weltorganisation für g</w:t>
      </w:r>
      <w:r w:rsidR="00790753" w:rsidRPr="00E76F6C">
        <w:rPr>
          <w:rFonts w:eastAsia="Calibri"/>
          <w:lang w:val="de-DE" w:eastAsia="de-DE" w:bidi="de-DE"/>
        </w:rPr>
        <w:t>eistiges Eigentum (WIPO)</w:t>
      </w:r>
      <w:r w:rsidRPr="005947CC">
        <w:t>.</w:t>
      </w:r>
    </w:p>
    <w:p w:rsidR="00196886" w:rsidRPr="00AF342C" w:rsidRDefault="00196886" w:rsidP="00196886">
      <w:pPr>
        <w:spacing w:line="360" w:lineRule="auto"/>
      </w:pPr>
    </w:p>
    <w:p w:rsidR="00196886" w:rsidRPr="002274F6" w:rsidRDefault="00790753" w:rsidP="003372B4">
      <w:pPr>
        <w:pStyle w:val="Heading4"/>
      </w:pPr>
      <w:bookmarkStart w:id="36" w:name="_Toc347045754"/>
      <w:r>
        <w:t>UPOV-CODE-</w:t>
      </w:r>
      <w:r w:rsidR="00196886" w:rsidRPr="002274F6">
        <w:t>SYSTEM</w:t>
      </w:r>
      <w:bookmarkEnd w:id="36"/>
    </w:p>
    <w:p w:rsidR="00196886" w:rsidRPr="00AF342C" w:rsidRDefault="00196886" w:rsidP="00196886">
      <w:pPr>
        <w:keepNext/>
      </w:pPr>
    </w:p>
    <w:p w:rsidR="00196886" w:rsidRPr="00AF342C" w:rsidRDefault="00196886" w:rsidP="00196886">
      <w:r w:rsidRPr="00794DC2">
        <w:fldChar w:fldCharType="begin"/>
      </w:r>
      <w:r w:rsidRPr="00794DC2">
        <w:instrText xml:space="preserve"> AUTONUM  </w:instrText>
      </w:r>
      <w:r w:rsidRPr="00794DC2">
        <w:fldChar w:fldCharType="end"/>
      </w:r>
      <w:r w:rsidRPr="00794DC2">
        <w:tab/>
      </w:r>
      <w:r w:rsidR="00790753" w:rsidRPr="00E76F6C">
        <w:rPr>
          <w:rFonts w:eastAsia="Calibri"/>
          <w:lang w:val="de-DE" w:eastAsia="de-DE" w:bidi="de-DE"/>
        </w:rPr>
        <w:t>Der TC nahm die Änderungen der UPOV-Codes und das Vorhaben des Verbandsbüros, für jede Tagung der TWP im Jahre 2013 Tabellen mit den Ergänzungen und Änderungen der UPOV­Codes zu erstellen, die von den zuständigen Behörden zu überprüfen sind, zur Kenntnis</w:t>
      </w:r>
      <w:r w:rsidR="00FB297A">
        <w:rPr>
          <w:rFonts w:cs="Arial"/>
        </w:rP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FB297A">
        <w:t>91)</w:t>
      </w:r>
      <w:r w:rsidRPr="00794DC2">
        <w:rPr>
          <w:rFonts w:cs="Arial"/>
        </w:rPr>
        <w:t>.</w:t>
      </w:r>
    </w:p>
    <w:p w:rsidR="00196886" w:rsidRPr="00AF342C" w:rsidRDefault="00196886" w:rsidP="00196886">
      <w:pPr>
        <w:spacing w:line="360" w:lineRule="auto"/>
      </w:pPr>
    </w:p>
    <w:p w:rsidR="00790753" w:rsidRPr="00E76F6C" w:rsidRDefault="00790753" w:rsidP="001635AA">
      <w:pPr>
        <w:pStyle w:val="Heading4"/>
        <w:rPr>
          <w:caps w:val="0"/>
          <w:lang w:val="de-DE" w:eastAsia="de-DE" w:bidi="de-DE"/>
        </w:rPr>
      </w:pPr>
      <w:r w:rsidRPr="00E76F6C">
        <w:rPr>
          <w:rFonts w:eastAsia="Calibri"/>
          <w:caps w:val="0"/>
          <w:lang w:val="de-DE" w:eastAsia="de-DE" w:bidi="de-DE"/>
        </w:rPr>
        <w:t>Datenbank für Pflanzensorten</w:t>
      </w:r>
    </w:p>
    <w:p w:rsidR="00196886" w:rsidRPr="00AF342C" w:rsidRDefault="00196886" w:rsidP="00196886">
      <w:pPr>
        <w:keepNext/>
      </w:pPr>
    </w:p>
    <w:p w:rsidR="00790753" w:rsidRPr="00E76F6C" w:rsidRDefault="00196886" w:rsidP="00790753">
      <w:pPr>
        <w:rPr>
          <w:rFonts w:cs="Arial"/>
          <w:lang w:val="de-DE" w:eastAsia="de-DE" w:bidi="de-DE"/>
        </w:rPr>
      </w:pPr>
      <w:r w:rsidRPr="00AF342C">
        <w:fldChar w:fldCharType="begin"/>
      </w:r>
      <w:r w:rsidRPr="00AF342C">
        <w:instrText xml:space="preserve"> AUTONUM  </w:instrText>
      </w:r>
      <w:r w:rsidRPr="00AF342C">
        <w:fldChar w:fldCharType="end"/>
      </w:r>
      <w:r w:rsidRPr="00AF342C">
        <w:tab/>
      </w:r>
      <w:r w:rsidR="00790753" w:rsidRPr="00E76F6C">
        <w:rPr>
          <w:rFonts w:eastAsia="Calibri"/>
          <w:lang w:val="de-DE" w:eastAsia="de-DE" w:bidi="de-DE"/>
        </w:rPr>
        <w:t xml:space="preserve">Der TC nahm folgende Entwicklungen betreffend das Programm für Verbesserungen der Datenbank für Pflanzensorten im Hinblick auf </w:t>
      </w:r>
      <w:r w:rsidR="00790753">
        <w:rPr>
          <w:rFonts w:eastAsia="Calibri"/>
          <w:lang w:val="de-DE" w:eastAsia="de-DE" w:bidi="de-DE"/>
        </w:rPr>
        <w:t xml:space="preserve">Funktionen </w:t>
      </w:r>
      <w:r w:rsidR="00790753" w:rsidRPr="00E76F6C">
        <w:rPr>
          <w:rFonts w:eastAsia="Calibri"/>
          <w:lang w:val="de-DE" w:eastAsia="de-DE" w:bidi="de-DE"/>
        </w:rPr>
        <w:t>der PLUTO-Datenbank zur Kenntnis.</w:t>
      </w:r>
    </w:p>
    <w:p w:rsidR="00790753" w:rsidRPr="00E76F6C" w:rsidRDefault="00790753" w:rsidP="001635AA">
      <w:pPr>
        <w:pStyle w:val="Heading5"/>
        <w:rPr>
          <w:rFonts w:cs="Arial"/>
        </w:rPr>
      </w:pPr>
    </w:p>
    <w:p w:rsidR="00790753" w:rsidRPr="000C711B" w:rsidRDefault="00790753" w:rsidP="001635AA">
      <w:pPr>
        <w:pStyle w:val="Heading5"/>
      </w:pPr>
      <w:r w:rsidRPr="000C711B">
        <w:t>Information über das jüngste Datum von Beiträgen durch die Datenlieferanten</w:t>
      </w:r>
    </w:p>
    <w:p w:rsidR="00790753" w:rsidRPr="00E76F6C" w:rsidRDefault="00790753" w:rsidP="00790753">
      <w:pPr>
        <w:keepNext/>
        <w:rPr>
          <w:lang w:val="de-DE" w:eastAsia="de-DE" w:bidi="de-DE"/>
        </w:rPr>
      </w:pPr>
    </w:p>
    <w:p w:rsidR="00196886" w:rsidRPr="00AF342C" w:rsidRDefault="00790753" w:rsidP="00196886">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Kurzfristig wurden Informationen über die jüngsten Daten der Einreichung von Beiträgen durch die Datenlieferanten für die PLUTO-Datenbank in Form eines pfd-Dokuments bereitgestellt. Längerfristig sei allerdings vorgesehen, daß das Datum des Beitrags für einzelne aus der Datenbank abgerufene Daten bereitgestellt</w:t>
      </w:r>
      <w:r>
        <w:rPr>
          <w:rFonts w:eastAsia="Calibri"/>
          <w:lang w:val="de-DE" w:eastAsia="de-DE" w:bidi="de-DE"/>
        </w:rP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FB297A">
        <w:t> 93)</w:t>
      </w:r>
      <w:r w:rsidR="00196886" w:rsidRPr="00AF342C">
        <w:t>.</w:t>
      </w:r>
    </w:p>
    <w:p w:rsidR="00196886" w:rsidRPr="00AF342C" w:rsidRDefault="00196886" w:rsidP="00196886"/>
    <w:p w:rsidR="00BD4E34" w:rsidRPr="00BD4E34" w:rsidRDefault="00BD4E34" w:rsidP="001635AA">
      <w:pPr>
        <w:pStyle w:val="Heading5"/>
      </w:pPr>
      <w:bookmarkStart w:id="37" w:name="_Toc347045761"/>
      <w:r w:rsidRPr="00BD4E34">
        <w:lastRenderedPageBreak/>
        <w:t>Suchregeln</w:t>
      </w:r>
    </w:p>
    <w:p w:rsidR="00BD4E34" w:rsidRPr="00E76F6C" w:rsidRDefault="00BD4E34" w:rsidP="00BD4E34">
      <w:pPr>
        <w:keepNext/>
        <w:ind w:left="567"/>
        <w:rPr>
          <w:i/>
          <w:lang w:val="de-DE" w:eastAsia="de-DE" w:bidi="de-DE"/>
        </w:rPr>
      </w:pPr>
    </w:p>
    <w:bookmarkEnd w:id="37"/>
    <w:p w:rsidR="00196886" w:rsidRPr="00AF342C" w:rsidRDefault="00196886" w:rsidP="00196886">
      <w:r w:rsidRPr="00AF342C">
        <w:fldChar w:fldCharType="begin"/>
      </w:r>
      <w:r w:rsidRPr="00AF342C">
        <w:instrText xml:space="preserve"> AUTONUM  </w:instrText>
      </w:r>
      <w:r w:rsidRPr="00AF342C">
        <w:fldChar w:fldCharType="end"/>
      </w:r>
      <w:r w:rsidRPr="00AF342C">
        <w:tab/>
      </w:r>
      <w:r w:rsidR="00BD4E34" w:rsidRPr="00E76F6C">
        <w:rPr>
          <w:rFonts w:eastAsia="Calibri"/>
          <w:lang w:val="de-DE" w:eastAsia="de-DE" w:bidi="de-DE"/>
        </w:rPr>
        <w:t>Der TC nahm eine Vorführung der Suchregeln für die PLUTO-Datenbank, einschließlich der neuen Seite, die für die Suche nach Sortenbezeichnungen bereitgestellt wurde, zur Kenntnis</w:t>
      </w:r>
      <w:r w:rsidR="00BD4E34">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FB297A">
        <w:t> 94)</w:t>
      </w:r>
      <w:r w:rsidRPr="00AF342C">
        <w:t>.</w:t>
      </w:r>
    </w:p>
    <w:p w:rsidR="00196886" w:rsidRPr="00AF342C" w:rsidRDefault="00196886" w:rsidP="00196886"/>
    <w:p w:rsidR="00BD4E34" w:rsidRPr="00BD4E34" w:rsidRDefault="00BD4E34" w:rsidP="001635AA">
      <w:pPr>
        <w:pStyle w:val="Heading5"/>
      </w:pPr>
      <w:bookmarkStart w:id="38" w:name="_Toc347045762"/>
      <w:bookmarkStart w:id="39" w:name="OLE_LINK1"/>
      <w:bookmarkStart w:id="40" w:name="OLE_LINK2"/>
      <w:r w:rsidRPr="00BD4E34">
        <w:t>Möglichkeit zur Abspeicherung von Sucheinstellungen</w:t>
      </w:r>
    </w:p>
    <w:p w:rsidR="00BD4E34" w:rsidRPr="00E76F6C" w:rsidRDefault="00BD4E34" w:rsidP="001635AA">
      <w:pPr>
        <w:pStyle w:val="Heading5"/>
        <w:rPr>
          <w:i/>
        </w:rPr>
      </w:pPr>
    </w:p>
    <w:bookmarkEnd w:id="38"/>
    <w:bookmarkEnd w:id="39"/>
    <w:bookmarkEnd w:id="40"/>
    <w:p w:rsidR="00196886" w:rsidRPr="00AF342C" w:rsidRDefault="00196886" w:rsidP="00196886">
      <w:r w:rsidRPr="00AF342C">
        <w:fldChar w:fldCharType="begin"/>
      </w:r>
      <w:r w:rsidRPr="00AF342C">
        <w:instrText xml:space="preserve"> AUTONUM  </w:instrText>
      </w:r>
      <w:r w:rsidRPr="00AF342C">
        <w:fldChar w:fldCharType="end"/>
      </w:r>
      <w:r w:rsidRPr="00AF342C">
        <w:tab/>
      </w:r>
      <w:r w:rsidR="00794A9A" w:rsidRPr="00E76F6C">
        <w:rPr>
          <w:rFonts w:eastAsia="Calibri"/>
          <w:lang w:val="de-DE" w:eastAsia="de-DE" w:bidi="de-DE"/>
        </w:rPr>
        <w:t>Der TC nahm die Vorführung der Möglichkeiten zur Abspeicherung von Sucheinstellungen in der PLUTO-Datenbank zur Kenntnis</w:t>
      </w:r>
      <w:r w:rsidR="00FB297A">
        <w:t xml:space="preserve"> (</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FB297A">
        <w:t>95)</w:t>
      </w:r>
      <w:r w:rsidRPr="00AF342C">
        <w:t>.</w:t>
      </w:r>
    </w:p>
    <w:p w:rsidR="00196886" w:rsidRPr="00AF342C" w:rsidRDefault="00196886" w:rsidP="00196886"/>
    <w:p w:rsidR="00E33798" w:rsidRPr="00E33798" w:rsidRDefault="00E33798" w:rsidP="001635AA">
      <w:pPr>
        <w:pStyle w:val="Heading5"/>
      </w:pPr>
      <w:bookmarkStart w:id="41" w:name="_Toc347045763"/>
      <w:r w:rsidRPr="00E33798">
        <w:t>Registrierung der Nutzer</w:t>
      </w:r>
    </w:p>
    <w:bookmarkEnd w:id="41"/>
    <w:p w:rsidR="00196886" w:rsidRPr="00AF342C" w:rsidRDefault="00196886" w:rsidP="00196886">
      <w:pPr>
        <w:keepNext/>
      </w:pPr>
    </w:p>
    <w:p w:rsidR="00196886" w:rsidRPr="00AF342C" w:rsidRDefault="00196886" w:rsidP="00196886">
      <w:pPr>
        <w:spacing w:after="240"/>
      </w:pPr>
      <w:r w:rsidRPr="00AF342C">
        <w:fldChar w:fldCharType="begin"/>
      </w:r>
      <w:r w:rsidRPr="00AF342C">
        <w:instrText xml:space="preserve"> AUTONUM  </w:instrText>
      </w:r>
      <w:r w:rsidRPr="00AF342C">
        <w:fldChar w:fldCharType="end"/>
      </w:r>
      <w:r w:rsidRPr="00AF342C">
        <w:tab/>
      </w:r>
      <w:r w:rsidR="00E33798" w:rsidRPr="00E76F6C">
        <w:rPr>
          <w:rFonts w:eastAsia="Calibri"/>
          <w:lang w:val="de-DE" w:eastAsia="de-DE" w:bidi="de-DE"/>
        </w:rPr>
        <w:t xml:space="preserve">Der TC nahm die Vorführung des Registrierungssystems für die Nutzer von PLUTO zur Kenntnis, das eingeführt worden war, um die Nutzung von PLUTO </w:t>
      </w:r>
      <w:r w:rsidR="00E33798">
        <w:rPr>
          <w:rFonts w:eastAsia="Calibri"/>
          <w:lang w:val="de-DE" w:eastAsia="de-DE" w:bidi="de-DE"/>
        </w:rPr>
        <w:t xml:space="preserve">verfolgen </w:t>
      </w:r>
      <w:r w:rsidR="00E33798" w:rsidRPr="00E76F6C">
        <w:rPr>
          <w:rFonts w:eastAsia="Calibri"/>
          <w:lang w:val="de-DE" w:eastAsia="de-DE" w:bidi="de-DE"/>
        </w:rPr>
        <w:t>zu können, um diese Information dann für künftige Verbesserungen nutzen zu können. Es wurde zur Kenntnis genommen, daß PLUTO auch weiterhin frei zugänglich ist</w:t>
      </w:r>
      <w:r w:rsidR="00FB297A">
        <w:t xml:space="preserve"> (</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FB297A">
        <w:t>96)</w:t>
      </w:r>
      <w:r w:rsidRPr="00AF342C">
        <w:t xml:space="preserve">.  </w:t>
      </w:r>
    </w:p>
    <w:p w:rsidR="00196886" w:rsidRPr="00AF342C" w:rsidRDefault="00196886" w:rsidP="00E767B6">
      <w:pPr>
        <w:pStyle w:val="Heading5"/>
      </w:pPr>
      <w:bookmarkStart w:id="42" w:name="_Toc347045764"/>
      <w:r w:rsidRPr="00AF342C">
        <w:t>Alphabet</w:t>
      </w:r>
      <w:bookmarkEnd w:id="42"/>
      <w:r w:rsidR="00E33798">
        <w:t>e</w:t>
      </w:r>
    </w:p>
    <w:p w:rsidR="00196886" w:rsidRPr="00AF342C" w:rsidRDefault="00196886" w:rsidP="00196886">
      <w:pPr>
        <w:keepNext/>
      </w:pPr>
    </w:p>
    <w:p w:rsidR="00E33798" w:rsidRPr="00E76F6C" w:rsidRDefault="00196886" w:rsidP="00E33798">
      <w:pPr>
        <w:rPr>
          <w:lang w:val="de-DE" w:eastAsia="de-DE" w:bidi="de-DE"/>
        </w:rPr>
      </w:pPr>
      <w:r w:rsidRPr="00AF342C">
        <w:fldChar w:fldCharType="begin"/>
      </w:r>
      <w:r w:rsidRPr="00AF342C">
        <w:instrText xml:space="preserve"> AUTONUM  </w:instrText>
      </w:r>
      <w:r w:rsidRPr="00AF342C">
        <w:fldChar w:fldCharType="end"/>
      </w:r>
      <w:r w:rsidRPr="00AF342C">
        <w:tab/>
      </w:r>
      <w:r w:rsidR="00E33798" w:rsidRPr="00E76F6C">
        <w:rPr>
          <w:rFonts w:eastAsia="Calibri"/>
          <w:lang w:val="de-DE" w:eastAsia="de-DE" w:bidi="de-DE"/>
        </w:rPr>
        <w:t>Der TC nahm zur Kenntnis, daß die nötigen Vorkehrungen für die Aufnahme von Daten i</w:t>
      </w:r>
      <w:r w:rsidR="00E33798">
        <w:rPr>
          <w:rFonts w:eastAsia="Calibri"/>
          <w:lang w:val="de-DE" w:eastAsia="de-DE" w:bidi="de-DE"/>
        </w:rPr>
        <w:t>m</w:t>
      </w:r>
      <w:r w:rsidR="00E33798" w:rsidRPr="00E76F6C">
        <w:rPr>
          <w:rFonts w:eastAsia="Calibri"/>
          <w:lang w:val="de-DE" w:eastAsia="de-DE" w:bidi="de-DE"/>
        </w:rPr>
        <w:t xml:space="preserve"> Originalalphabet neben Daten, die in lateinischem Alphabet eingereicht werden, getroffen wurden.</w:t>
      </w:r>
    </w:p>
    <w:p w:rsidR="00E33798" w:rsidRPr="00E76F6C" w:rsidRDefault="00E33798" w:rsidP="00E33798">
      <w:pPr>
        <w:rPr>
          <w:rFonts w:cs="Arial"/>
          <w:lang w:val="de-DE" w:eastAsia="de-DE" w:bidi="de-DE"/>
        </w:rPr>
      </w:pPr>
    </w:p>
    <w:p w:rsidR="00196886" w:rsidRPr="00E33798" w:rsidRDefault="00E33798" w:rsidP="00196886">
      <w:pPr>
        <w:rPr>
          <w:rFonts w:cs="Arial"/>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Der TC nahm die Informationen über die Einreichung von Daten und die Leistung von Unterstützung für Beitragsleistende, wie in Anlage IV von Dokument TC/49/6 dargelegt, zur Kenntnis</w:t>
      </w:r>
      <w:r>
        <w:rPr>
          <w:rFonts w:cs="Arial"/>
        </w:rP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97 </w:t>
      </w:r>
      <w:r w:rsidR="005A420F">
        <w:t>und</w:t>
      </w:r>
      <w:r w:rsidR="00FB297A">
        <w:t xml:space="preserve"> 98)</w:t>
      </w:r>
      <w:r w:rsidR="00196886" w:rsidRPr="00AF342C">
        <w:rPr>
          <w:rFonts w:cs="Arial"/>
        </w:rPr>
        <w:t>.</w:t>
      </w:r>
    </w:p>
    <w:p w:rsidR="00196886" w:rsidRPr="00AF342C" w:rsidRDefault="00196886" w:rsidP="00196886">
      <w:pPr>
        <w:spacing w:line="360" w:lineRule="auto"/>
      </w:pPr>
    </w:p>
    <w:p w:rsidR="00196886" w:rsidRPr="00E33798" w:rsidRDefault="00E33798" w:rsidP="001635AA">
      <w:pPr>
        <w:pStyle w:val="Heading4"/>
        <w:rPr>
          <w:i w:val="0"/>
          <w:lang w:val="de-DE" w:eastAsia="de-DE" w:bidi="de-DE"/>
        </w:rPr>
      </w:pPr>
      <w:bookmarkStart w:id="43" w:name="_Toc347045769"/>
      <w:r w:rsidRPr="00E33798">
        <w:rPr>
          <w:rFonts w:eastAsia="Calibri"/>
          <w:i w:val="0"/>
          <w:lang w:val="de-DE" w:eastAsia="de-DE" w:bidi="de-DE"/>
        </w:rPr>
        <w:t>BEFRAGUNG DER VERBANDSMITGLIEDER ZUR NUTZUNG VON DATENBANKEN UND ELEKTRONISCHEN SYSTEMEN ZUR ANTRAGSSTELLUNG</w:t>
      </w:r>
      <w:bookmarkEnd w:id="43"/>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rsidR="00E33798" w:rsidRPr="00E76F6C">
        <w:rPr>
          <w:rFonts w:eastAsia="Calibri"/>
          <w:lang w:val="de-DE" w:eastAsia="de-DE" w:bidi="de-DE"/>
        </w:rPr>
        <w:t>Der TC nahm das Vorhaben des Verbandsbüros, eine Befragung der Verbandsmitglieder über deren Nutzung von Datenbanken für Sortenschutzzwecke sowie über die Nutzung von Datenbanken für elektronische Systeme für die Einreichung von Anträgen durchzuführen, zur Kenntnis</w:t>
      </w:r>
      <w:r w:rsidR="00FB297A">
        <w:t xml:space="preserve"> (</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FB297A">
        <w:t>99)</w:t>
      </w:r>
      <w:r w:rsidRPr="00AF342C">
        <w:t>.</w:t>
      </w:r>
    </w:p>
    <w:p w:rsidR="00196886" w:rsidRPr="00AF342C" w:rsidRDefault="00196886" w:rsidP="00196886">
      <w:pPr>
        <w:rPr>
          <w:rFonts w:cs="Arial"/>
          <w:i/>
          <w:snapToGrid w:val="0"/>
        </w:rPr>
      </w:pPr>
    </w:p>
    <w:p w:rsidR="00196886" w:rsidRPr="00AF342C" w:rsidRDefault="00196886" w:rsidP="00196886">
      <w:pPr>
        <w:rPr>
          <w:rFonts w:cs="Arial"/>
          <w:i/>
          <w:snapToGrid w:val="0"/>
        </w:rPr>
      </w:pPr>
    </w:p>
    <w:p w:rsidR="00196886" w:rsidRPr="00AF342C" w:rsidRDefault="00196886" w:rsidP="00B027B0">
      <w:pPr>
        <w:pStyle w:val="Heading3"/>
      </w:pPr>
      <w:bookmarkStart w:id="44" w:name="_Toc368583016"/>
      <w:r w:rsidRPr="00AF342C">
        <w:t>b)</w:t>
      </w:r>
      <w:r w:rsidRPr="00AF342C">
        <w:tab/>
      </w:r>
      <w:r w:rsidR="00E33798" w:rsidRPr="00E76F6C">
        <w:t>Datenbanken für Sortenbeschreibungen</w:t>
      </w:r>
      <w:bookmarkEnd w:id="44"/>
      <w:r w:rsidR="00E33798" w:rsidRPr="00AF342C">
        <w:t xml:space="preserve"> </w:t>
      </w:r>
    </w:p>
    <w:p w:rsidR="00196886" w:rsidRPr="00AF342C" w:rsidRDefault="00196886" w:rsidP="00196886">
      <w:pPr>
        <w:keepNext/>
      </w:pPr>
    </w:p>
    <w:p w:rsidR="00E33798" w:rsidRPr="00E76F6C" w:rsidRDefault="00196886" w:rsidP="00E33798">
      <w:pPr>
        <w:rPr>
          <w:lang w:val="de-DE" w:eastAsia="de-DE" w:bidi="de-DE"/>
        </w:rPr>
      </w:pPr>
      <w:r w:rsidRPr="00AF342C">
        <w:fldChar w:fldCharType="begin"/>
      </w:r>
      <w:r w:rsidRPr="00AF342C">
        <w:instrText xml:space="preserve"> AUTONUM  </w:instrText>
      </w:r>
      <w:r w:rsidRPr="00AF342C">
        <w:fldChar w:fldCharType="end"/>
      </w:r>
      <w:r w:rsidRPr="00AF342C">
        <w:tab/>
      </w:r>
      <w:r w:rsidR="00E33798" w:rsidRPr="00E76F6C">
        <w:rPr>
          <w:rFonts w:eastAsia="Calibri"/>
          <w:lang w:val="de-DE" w:eastAsia="de-DE" w:bidi="de-DE"/>
        </w:rPr>
        <w:t>Der TC prüfte</w:t>
      </w:r>
      <w:r w:rsidR="00E33798">
        <w:rPr>
          <w:rFonts w:eastAsia="Calibri"/>
          <w:lang w:val="de-DE" w:eastAsia="de-DE" w:bidi="de-DE"/>
        </w:rPr>
        <w:t xml:space="preserve"> das</w:t>
      </w:r>
      <w:r w:rsidR="00E33798" w:rsidRPr="00E76F6C">
        <w:rPr>
          <w:rFonts w:eastAsia="Calibri"/>
          <w:lang w:val="de-DE" w:eastAsia="de-DE" w:bidi="de-DE"/>
        </w:rPr>
        <w:t xml:space="preserve"> Dokument TC/49/9 und hörte ein Referat von Herrn François Boulineau (Frankreich).</w:t>
      </w:r>
    </w:p>
    <w:p w:rsidR="00E33798" w:rsidRPr="00E76F6C" w:rsidRDefault="00E33798" w:rsidP="00E33798">
      <w:pPr>
        <w:rPr>
          <w:lang w:val="de-DE" w:eastAsia="de-DE" w:bidi="de-DE"/>
        </w:rPr>
      </w:pPr>
    </w:p>
    <w:p w:rsidR="00E33798" w:rsidRPr="00E76F6C" w:rsidRDefault="00E33798" w:rsidP="00E33798">
      <w:pPr>
        <w:rPr>
          <w:iCs/>
          <w:snapToGrid w:val="0"/>
          <w:spacing w:val="-4"/>
          <w:lang w:val="de-DE" w:eastAsia="de-DE" w:bidi="de-DE"/>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 xml:space="preserve">Der TC </w:t>
      </w:r>
      <w:r w:rsidRPr="00E76F6C">
        <w:rPr>
          <w:rFonts w:eastAsia="Calibri"/>
          <w:iCs/>
          <w:spacing w:val="-4"/>
          <w:lang w:val="de-DE" w:eastAsia="de-DE" w:bidi="de-DE"/>
        </w:rPr>
        <w:t>nahm die Entwicklungen b</w:t>
      </w:r>
      <w:r>
        <w:rPr>
          <w:rFonts w:eastAsia="Calibri"/>
          <w:iCs/>
          <w:spacing w:val="-4"/>
          <w:lang w:val="de-DE" w:eastAsia="de-DE" w:bidi="de-DE"/>
        </w:rPr>
        <w:t>etreffend</w:t>
      </w:r>
      <w:r w:rsidRPr="00E76F6C">
        <w:rPr>
          <w:rFonts w:eastAsia="Calibri"/>
          <w:iCs/>
          <w:spacing w:val="-4"/>
          <w:lang w:val="de-DE" w:eastAsia="de-DE" w:bidi="de-DE"/>
        </w:rPr>
        <w:t xml:space="preserve"> Datenbanken für Sortenbeschreibungen, wie in Dokument TC/49/9 dargelegt, zur Kenntnis.</w:t>
      </w:r>
    </w:p>
    <w:p w:rsidR="00E33798" w:rsidRPr="00E76F6C" w:rsidRDefault="00E33798" w:rsidP="00E33798">
      <w:pPr>
        <w:rPr>
          <w:iCs/>
          <w:snapToGrid w:val="0"/>
          <w:spacing w:val="-4"/>
          <w:lang w:val="de-DE" w:eastAsia="de-DE" w:bidi="de-DE"/>
        </w:rPr>
      </w:pPr>
    </w:p>
    <w:p w:rsidR="00E33798" w:rsidRPr="00E76F6C" w:rsidRDefault="00E33798" w:rsidP="00E33798">
      <w:pPr>
        <w:rPr>
          <w:snapToGrid w:val="0"/>
          <w:lang w:val="de-DE" w:eastAsia="de-DE" w:bidi="de-DE"/>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Der TC nahm zur Kenntnis, daß der TWA und der TWV die Ergebnisse der Studie über Erbse vorgelegt würden, um:</w:t>
      </w:r>
    </w:p>
    <w:p w:rsidR="00E33798" w:rsidRPr="00E76F6C" w:rsidRDefault="00E33798" w:rsidP="00E33798">
      <w:pPr>
        <w:rPr>
          <w:snapToGrid w:val="0"/>
          <w:lang w:val="de-DE" w:eastAsia="de-DE" w:bidi="de-DE"/>
        </w:rPr>
      </w:pPr>
    </w:p>
    <w:p w:rsidR="00E33798" w:rsidRPr="008E7DD4" w:rsidRDefault="00E33798" w:rsidP="00E33798">
      <w:pPr>
        <w:pStyle w:val="ListParagraph"/>
        <w:numPr>
          <w:ilvl w:val="0"/>
          <w:numId w:val="42"/>
        </w:numPr>
        <w:spacing w:line="276" w:lineRule="auto"/>
        <w:ind w:left="1134" w:hanging="567"/>
        <w:jc w:val="left"/>
        <w:rPr>
          <w:lang w:val="de-DE" w:eastAsia="de-DE" w:bidi="de-DE"/>
        </w:rPr>
      </w:pPr>
      <w:r w:rsidRPr="008E7DD4">
        <w:rPr>
          <w:rFonts w:eastAsia="Calibri"/>
          <w:lang w:val="de-DE" w:eastAsia="de-DE" w:bidi="de-DE"/>
        </w:rPr>
        <w:t>Merkmale auszuwählen, die gemäß ihrer Eigenschaften (Unterscheidungskraft, Verzerrung usw.) als Gruppierungsmerkmale verwendet werden sollen;</w:t>
      </w:r>
    </w:p>
    <w:p w:rsidR="00E33798" w:rsidRPr="00E76F6C" w:rsidRDefault="00E33798" w:rsidP="00E33798">
      <w:pPr>
        <w:rPr>
          <w:lang w:val="de-DE" w:eastAsia="de-DE" w:bidi="de-DE"/>
        </w:rPr>
      </w:pPr>
    </w:p>
    <w:p w:rsidR="00E33798" w:rsidRPr="00E76F6C" w:rsidRDefault="00E33798" w:rsidP="00E33798">
      <w:pPr>
        <w:rPr>
          <w:lang w:val="de-DE" w:eastAsia="de-DE" w:bidi="de-DE"/>
        </w:rPr>
      </w:pPr>
      <w:r w:rsidRPr="00E76F6C">
        <w:rPr>
          <w:rFonts w:ascii="Calibri" w:eastAsia="Calibri" w:hAnsi="Calibri"/>
          <w:sz w:val="22"/>
          <w:szCs w:val="22"/>
          <w:lang w:val="de-DE" w:eastAsia="de-DE" w:bidi="de-DE"/>
        </w:rPr>
        <w:tab/>
      </w:r>
      <w:r w:rsidRPr="00E76F6C">
        <w:rPr>
          <w:rFonts w:eastAsia="Calibri"/>
          <w:lang w:val="de-DE" w:eastAsia="de-DE" w:bidi="de-DE"/>
        </w:rPr>
        <w:t>ii)</w:t>
      </w:r>
      <w:r w:rsidRPr="00E76F6C">
        <w:rPr>
          <w:rFonts w:ascii="Calibri" w:eastAsia="Calibri" w:hAnsi="Calibri"/>
          <w:sz w:val="22"/>
          <w:szCs w:val="22"/>
          <w:lang w:val="de-DE" w:eastAsia="de-DE" w:bidi="de-DE"/>
        </w:rPr>
        <w:tab/>
      </w:r>
      <w:r w:rsidRPr="00E76F6C">
        <w:rPr>
          <w:rFonts w:eastAsia="Calibri"/>
          <w:lang w:val="de-DE" w:eastAsia="de-DE" w:bidi="de-DE"/>
        </w:rPr>
        <w:t>ein Verfahren zur Verbesserung der Erbsendatenbank zu entwickeln; und</w:t>
      </w:r>
    </w:p>
    <w:p w:rsidR="00E33798" w:rsidRPr="00E76F6C" w:rsidRDefault="00E33798" w:rsidP="00E33798">
      <w:pPr>
        <w:rPr>
          <w:lang w:val="de-DE" w:eastAsia="de-DE" w:bidi="de-DE"/>
        </w:rPr>
      </w:pPr>
    </w:p>
    <w:p w:rsidR="00E33798" w:rsidRPr="00E76F6C" w:rsidRDefault="00E33798" w:rsidP="00E33798">
      <w:pPr>
        <w:rPr>
          <w:lang w:val="de-DE" w:eastAsia="de-DE" w:bidi="de-DE"/>
        </w:rPr>
      </w:pPr>
      <w:r w:rsidRPr="00E76F6C">
        <w:rPr>
          <w:rFonts w:ascii="Calibri" w:eastAsia="Calibri" w:hAnsi="Calibri"/>
          <w:sz w:val="22"/>
          <w:szCs w:val="22"/>
          <w:lang w:val="de-DE" w:eastAsia="de-DE" w:bidi="de-DE"/>
        </w:rPr>
        <w:tab/>
      </w:r>
      <w:r w:rsidRPr="00E76F6C">
        <w:rPr>
          <w:rFonts w:eastAsia="Calibri"/>
          <w:lang w:val="de-DE" w:eastAsia="de-DE" w:bidi="de-DE"/>
        </w:rPr>
        <w:t>iii)</w:t>
      </w:r>
      <w:r w:rsidRPr="00E76F6C">
        <w:rPr>
          <w:rFonts w:ascii="Calibri" w:eastAsia="Calibri" w:hAnsi="Calibri"/>
          <w:sz w:val="22"/>
          <w:szCs w:val="22"/>
          <w:lang w:val="de-DE" w:eastAsia="de-DE" w:bidi="de-DE"/>
        </w:rPr>
        <w:tab/>
      </w:r>
      <w:r w:rsidRPr="00E76F6C">
        <w:rPr>
          <w:rFonts w:eastAsia="Calibri"/>
          <w:lang w:val="de-DE" w:eastAsia="de-DE" w:bidi="de-DE"/>
        </w:rPr>
        <w:t xml:space="preserve">zu </w:t>
      </w:r>
      <w:r>
        <w:rPr>
          <w:rFonts w:eastAsia="Calibri"/>
          <w:lang w:val="de-DE" w:eastAsia="de-DE" w:bidi="de-DE"/>
        </w:rPr>
        <w:t>prüfen</w:t>
      </w:r>
      <w:r w:rsidRPr="00E76F6C">
        <w:rPr>
          <w:rFonts w:eastAsia="Calibri"/>
          <w:lang w:val="de-DE" w:eastAsia="de-DE" w:bidi="de-DE"/>
        </w:rPr>
        <w:t>,</w:t>
      </w:r>
      <w:r>
        <w:rPr>
          <w:rFonts w:eastAsia="Calibri"/>
          <w:lang w:val="de-DE" w:eastAsia="de-DE" w:bidi="de-DE"/>
        </w:rPr>
        <w:t xml:space="preserve"> ob</w:t>
      </w:r>
      <w:r w:rsidRPr="00E76F6C">
        <w:rPr>
          <w:rFonts w:eastAsia="Calibri"/>
          <w:lang w:val="de-DE" w:eastAsia="de-DE" w:bidi="de-DE"/>
        </w:rPr>
        <w:t xml:space="preserve"> die Erbsendatenbank allen Prüfungsämtern </w:t>
      </w:r>
      <w:r>
        <w:rPr>
          <w:rFonts w:eastAsia="Calibri"/>
          <w:lang w:val="de-DE" w:eastAsia="de-DE" w:bidi="de-DE"/>
        </w:rPr>
        <w:t>zugänglich gemacht werden sollte</w:t>
      </w:r>
      <w:r w:rsidRPr="00E76F6C">
        <w:rPr>
          <w:rFonts w:eastAsia="Calibri"/>
          <w:lang w:val="de-DE" w:eastAsia="de-DE" w:bidi="de-DE"/>
        </w:rPr>
        <w:t>.</w:t>
      </w:r>
    </w:p>
    <w:p w:rsidR="00E33798" w:rsidRPr="00E76F6C" w:rsidRDefault="00E33798" w:rsidP="00E33798">
      <w:pPr>
        <w:rPr>
          <w:lang w:val="de-DE" w:eastAsia="de-DE" w:bidi="de-DE"/>
        </w:rPr>
      </w:pPr>
    </w:p>
    <w:p w:rsidR="00196886" w:rsidRPr="00E33798" w:rsidRDefault="00E33798" w:rsidP="00196886">
      <w:pPr>
        <w:rPr>
          <w:iCs/>
          <w:snapToGrid w:val="0"/>
          <w:spacing w:val="-4"/>
        </w:rPr>
      </w:pPr>
      <w:r w:rsidRPr="00E76F6C">
        <w:rPr>
          <w:lang w:eastAsia="ko-KR" w:bidi="de-DE"/>
        </w:rPr>
        <w:fldChar w:fldCharType="begin"/>
      </w:r>
      <w:r w:rsidRPr="00E76F6C">
        <w:rPr>
          <w:lang w:val="de-DE" w:eastAsia="ko-KR" w:bidi="de-DE"/>
        </w:rPr>
        <w:instrText xml:space="preserve"> AUTONUM  </w:instrText>
      </w:r>
      <w:r w:rsidRPr="00E76F6C">
        <w:rPr>
          <w:lang w:eastAsia="ko-KR"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 xml:space="preserve">Der TC </w:t>
      </w:r>
      <w:r w:rsidRPr="00E76F6C">
        <w:rPr>
          <w:rFonts w:eastAsia="Calibri"/>
          <w:iCs/>
          <w:snapToGrid w:val="0"/>
          <w:spacing w:val="-4"/>
          <w:lang w:val="de-DE" w:eastAsia="de-DE" w:bidi="de-DE"/>
        </w:rPr>
        <w:t xml:space="preserve">war sich darin einig, daß die Ergebnisse der Studie anderen TWP vorgelegt werden sollen, um ihre </w:t>
      </w:r>
      <w:r>
        <w:rPr>
          <w:rFonts w:eastAsia="Calibri"/>
          <w:iCs/>
          <w:snapToGrid w:val="0"/>
          <w:spacing w:val="-4"/>
          <w:lang w:val="de-DE" w:eastAsia="de-DE" w:bidi="de-DE"/>
        </w:rPr>
        <w:t>Bemerkungen</w:t>
      </w:r>
      <w:r w:rsidRPr="00E76F6C">
        <w:rPr>
          <w:rFonts w:eastAsia="Calibri"/>
          <w:iCs/>
          <w:snapToGrid w:val="0"/>
          <w:spacing w:val="-4"/>
          <w:lang w:val="de-DE" w:eastAsia="de-DE" w:bidi="de-DE"/>
        </w:rPr>
        <w:t xml:space="preserve"> zum Ansatz für die Verwaltung von Sortensammlungen einzuholen und nahm zur Kenntnis, daß die TWF die Ergebnisse der Modellstudie über Apfel, wie in Dokument  TC/41/9 „Veröffentlichung von Sortenbeschreibungen” dargelegt, prüfen werde</w:t>
      </w:r>
      <w:r>
        <w:rPr>
          <w:iCs/>
          <w:snapToGrid w:val="0"/>
          <w:spacing w:val="-4"/>
        </w:rP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100 bis</w:t>
      </w:r>
      <w:r w:rsidR="00FB297A">
        <w:t xml:space="preserve"> 103)</w:t>
      </w:r>
      <w:r w:rsidR="00196886" w:rsidRPr="00AF342C">
        <w:rPr>
          <w:iCs/>
          <w:snapToGrid w:val="0"/>
          <w:spacing w:val="-4"/>
        </w:rPr>
        <w:t>.</w:t>
      </w:r>
    </w:p>
    <w:p w:rsidR="00196886" w:rsidRPr="00AF342C" w:rsidRDefault="00196886" w:rsidP="00196886"/>
    <w:p w:rsidR="00196886" w:rsidRPr="00AF342C" w:rsidRDefault="00196886" w:rsidP="00196886"/>
    <w:p w:rsidR="00196886" w:rsidRPr="00AF342C" w:rsidRDefault="00196886" w:rsidP="00B027B0">
      <w:pPr>
        <w:pStyle w:val="Heading3"/>
      </w:pPr>
      <w:bookmarkStart w:id="45" w:name="_Toc368583017"/>
      <w:r w:rsidRPr="00AF342C">
        <w:lastRenderedPageBreak/>
        <w:t>c)</w:t>
      </w:r>
      <w:r w:rsidRPr="00AF342C">
        <w:tab/>
      </w:r>
      <w:r w:rsidR="00FF5AB0" w:rsidRPr="00E76F6C">
        <w:t>Austauschbare Software</w:t>
      </w:r>
      <w:bookmarkEnd w:id="45"/>
      <w:r w:rsidR="00FF5AB0" w:rsidRPr="00AF342C">
        <w:t xml:space="preserve"> </w:t>
      </w:r>
    </w:p>
    <w:p w:rsidR="00196886" w:rsidRDefault="00196886" w:rsidP="00196886">
      <w:pPr>
        <w:keepNext/>
      </w:pPr>
    </w:p>
    <w:p w:rsidR="00196886" w:rsidRPr="007308EB" w:rsidRDefault="00196886" w:rsidP="00196886">
      <w:r w:rsidRPr="007308EB">
        <w:fldChar w:fldCharType="begin"/>
      </w:r>
      <w:r w:rsidRPr="007308EB">
        <w:instrText xml:space="preserve"> AUTONUM  </w:instrText>
      </w:r>
      <w:r w:rsidRPr="007308EB">
        <w:fldChar w:fldCharType="end"/>
      </w:r>
      <w:r w:rsidRPr="007308EB">
        <w:tab/>
      </w:r>
      <w:r w:rsidR="00FF5AB0" w:rsidRPr="00E76F6C">
        <w:rPr>
          <w:rFonts w:eastAsia="Calibri"/>
          <w:lang w:val="de-DE" w:eastAsia="de-DE" w:bidi="de-DE"/>
        </w:rPr>
        <w:t>Der TC prüfte die Dokumente TC/49/12 und TG/49/12 Add</w:t>
      </w:r>
      <w:r w:rsidRPr="007308EB">
        <w:t>.</w:t>
      </w:r>
    </w:p>
    <w:p w:rsidR="00196886" w:rsidRPr="007308EB" w:rsidRDefault="00196886" w:rsidP="00196886"/>
    <w:p w:rsidR="00196886" w:rsidRPr="002274F6" w:rsidRDefault="00196886" w:rsidP="003372B4">
      <w:pPr>
        <w:pStyle w:val="Heading4"/>
      </w:pPr>
      <w:r w:rsidRPr="002274F6">
        <w:t>I.</w:t>
      </w:r>
      <w:r w:rsidRPr="002274F6">
        <w:tab/>
      </w:r>
      <w:r w:rsidR="00FF5AB0" w:rsidRPr="00E76F6C">
        <w:rPr>
          <w:rFonts w:eastAsia="Calibri"/>
          <w:lang w:val="de-DE" w:eastAsia="de-DE" w:bidi="de-DE"/>
        </w:rPr>
        <w:t>Überprüfung von Anforderungen für austauschbare Software</w:t>
      </w:r>
    </w:p>
    <w:p w:rsidR="00196886" w:rsidRPr="007308EB" w:rsidRDefault="00196886" w:rsidP="00196886">
      <w:pPr>
        <w:keepNext/>
      </w:pPr>
    </w:p>
    <w:p w:rsidR="00196886" w:rsidRPr="007308EB" w:rsidRDefault="00196886" w:rsidP="00196886">
      <w:pPr>
        <w:rPr>
          <w:iCs/>
          <w:color w:val="000000"/>
        </w:rPr>
      </w:pPr>
      <w:r w:rsidRPr="007308EB">
        <w:fldChar w:fldCharType="begin"/>
      </w:r>
      <w:r w:rsidRPr="007308EB">
        <w:instrText xml:space="preserve"> AUTONUM  </w:instrText>
      </w:r>
      <w:r w:rsidRPr="007308EB">
        <w:fldChar w:fldCharType="end"/>
      </w:r>
      <w:r w:rsidRPr="007308EB">
        <w:tab/>
      </w:r>
      <w:r w:rsidR="00FF5AB0" w:rsidRPr="00E76F6C">
        <w:rPr>
          <w:rFonts w:eastAsia="Calibri"/>
          <w:color w:val="000000"/>
          <w:lang w:val="de-DE" w:eastAsia="de-DE" w:bidi="de-DE"/>
        </w:rPr>
        <w:t xml:space="preserve">Der TC prüfte den Titel von Dokument UPOV/INF/16 </w:t>
      </w:r>
      <w:r w:rsidR="00FF5AB0" w:rsidRPr="00E76F6C">
        <w:rPr>
          <w:rFonts w:eastAsia="Calibri"/>
          <w:iCs/>
          <w:color w:val="000000"/>
          <w:lang w:val="de-DE" w:eastAsia="de-DE" w:bidi="de-DE"/>
        </w:rPr>
        <w:t>„Austauschb</w:t>
      </w:r>
      <w:r w:rsidR="00FF5AB0">
        <w:rPr>
          <w:rFonts w:eastAsia="Calibri"/>
          <w:iCs/>
          <w:color w:val="000000"/>
          <w:lang w:val="de-DE" w:eastAsia="de-DE" w:bidi="de-DE"/>
        </w:rPr>
        <w:t>are Software” und Abschnitt „1. </w:t>
      </w:r>
      <w:r w:rsidR="00FF5AB0" w:rsidRPr="00E76F6C">
        <w:rPr>
          <w:rFonts w:eastAsia="Calibri"/>
          <w:iCs/>
          <w:color w:val="000000"/>
          <w:lang w:val="de-DE" w:eastAsia="de-DE" w:bidi="de-DE"/>
        </w:rPr>
        <w:t>Anforderungen für austauschbare Software“ und war sich darin einig, daß diese Texte in Anbetracht der Tatsache, daß sich das Dokument auf Software beziehe, die von Verbandsmitgliedern für UPOV-Zwecke entwickelt oder angepaßt worden sei, unverändert bleiben sollen. Er war sich allerdings darin einig, daß es zweckmäßig wäre, ein getrenntes Informationsdokument zu entwickeln, das es Verbandsmitgliedern ermöglichen würde, Informationen über die Nutzung von Standardsoftware und Ausrüstung (z.B. Datenloggern), die von Verbandsmitgliedern verwendet werden, zu erteilen</w:t>
      </w:r>
      <w:r w:rsidR="00FB297A">
        <w:rPr>
          <w:iCs/>
          <w:color w:val="000000"/>
        </w:rP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FB297A">
        <w:t>105)</w:t>
      </w:r>
      <w:r w:rsidRPr="007308EB">
        <w:rPr>
          <w:iCs/>
          <w:color w:val="000000"/>
        </w:rPr>
        <w:t xml:space="preserve">. </w:t>
      </w:r>
    </w:p>
    <w:p w:rsidR="00196886" w:rsidRPr="007308EB" w:rsidRDefault="00196886" w:rsidP="00196886"/>
    <w:p w:rsidR="00196886" w:rsidRPr="002274F6" w:rsidRDefault="00196886" w:rsidP="003372B4">
      <w:pPr>
        <w:pStyle w:val="Heading4"/>
      </w:pPr>
      <w:r w:rsidRPr="002274F6">
        <w:t xml:space="preserve">II. </w:t>
      </w:r>
      <w:r w:rsidRPr="002274F6">
        <w:tab/>
      </w:r>
      <w:r w:rsidR="00FF5AB0" w:rsidRPr="00E76F6C">
        <w:rPr>
          <w:rFonts w:eastAsia="Calibri"/>
          <w:lang w:val="de-DE" w:eastAsia="de-DE" w:bidi="de-DE"/>
        </w:rPr>
        <w:t>Software, die zur Aufnahme in UPOV/INF/16 vorgeschlagen ist</w:t>
      </w:r>
    </w:p>
    <w:p w:rsidR="00196886" w:rsidRPr="007308EB" w:rsidRDefault="00196886" w:rsidP="00196886">
      <w:pPr>
        <w:keepNext/>
        <w:ind w:firstLine="567"/>
      </w:pPr>
    </w:p>
    <w:p w:rsidR="00FF5AB0" w:rsidRPr="00E76F6C" w:rsidRDefault="00196886" w:rsidP="00FF5AB0">
      <w:pPr>
        <w:rPr>
          <w:color w:val="000000"/>
          <w:lang w:val="de-DE" w:eastAsia="de-DE" w:bidi="de-DE"/>
        </w:rPr>
      </w:pPr>
      <w:r w:rsidRPr="007308EB">
        <w:fldChar w:fldCharType="begin"/>
      </w:r>
      <w:r w:rsidRPr="007308EB">
        <w:instrText xml:space="preserve"> AUTONUM  </w:instrText>
      </w:r>
      <w:r w:rsidRPr="007308EB">
        <w:fldChar w:fldCharType="end"/>
      </w:r>
      <w:r w:rsidRPr="007308EB">
        <w:tab/>
      </w:r>
      <w:r w:rsidR="00FF5AB0" w:rsidRPr="00E76F6C">
        <w:rPr>
          <w:rFonts w:eastAsia="Calibri"/>
          <w:lang w:val="de-DE" w:eastAsia="de-DE" w:bidi="de-DE"/>
        </w:rPr>
        <w:t xml:space="preserve">Der TC stimmte </w:t>
      </w:r>
      <w:r w:rsidR="00FF5AB0" w:rsidRPr="00E76F6C">
        <w:rPr>
          <w:rFonts w:eastAsia="Calibri"/>
          <w:color w:val="000000"/>
          <w:lang w:val="de-DE" w:eastAsia="de-DE" w:bidi="de-DE"/>
        </w:rPr>
        <w:t>der Empfehlung der TWC betreffend die Aufnahme des „</w:t>
      </w:r>
      <w:r w:rsidR="00FF5AB0" w:rsidRPr="00EE1357">
        <w:rPr>
          <w:rFonts w:eastAsia="Calibri"/>
          <w:i/>
          <w:color w:val="000000"/>
          <w:lang w:val="de-DE" w:eastAsia="de-DE" w:bidi="de-DE"/>
        </w:rPr>
        <w:t>Information System (IS) used for Test and Protection of Plant Varieties in the Russian Federation</w:t>
      </w:r>
      <w:r w:rsidR="00FF5AB0" w:rsidRPr="00E76F6C">
        <w:rPr>
          <w:rFonts w:eastAsia="Calibri"/>
          <w:color w:val="000000"/>
          <w:lang w:val="de-DE" w:eastAsia="de-DE" w:bidi="de-DE"/>
        </w:rPr>
        <w:t xml:space="preserve">“ in Dokument UPOV/INF/16, wie in Absatz 18 von Dokument TC/49/12 dargelegt, zu. Der TC </w:t>
      </w:r>
      <w:r w:rsidR="00FF5AB0">
        <w:rPr>
          <w:rFonts w:eastAsia="Calibri"/>
          <w:color w:val="000000"/>
          <w:lang w:val="de-DE" w:eastAsia="de-DE" w:bidi="de-DE"/>
        </w:rPr>
        <w:t>ersuchte</w:t>
      </w:r>
      <w:r w:rsidR="00FF5AB0" w:rsidRPr="00E76F6C">
        <w:rPr>
          <w:rFonts w:eastAsia="Calibri"/>
          <w:color w:val="000000"/>
          <w:lang w:val="de-DE" w:eastAsia="de-DE" w:bidi="de-DE"/>
        </w:rPr>
        <w:t xml:space="preserve"> das Verbandsbüro ferner die Möglichkeit der Übersetzung der </w:t>
      </w:r>
      <w:r w:rsidR="00FF5AB0">
        <w:rPr>
          <w:rFonts w:eastAsia="Calibri"/>
          <w:color w:val="000000"/>
          <w:lang w:val="de-DE" w:eastAsia="de-DE" w:bidi="de-DE"/>
        </w:rPr>
        <w:t>Anwenders</w:t>
      </w:r>
      <w:r w:rsidR="00FF5AB0" w:rsidRPr="00E76F6C">
        <w:rPr>
          <w:rFonts w:eastAsia="Calibri"/>
          <w:color w:val="000000"/>
          <w:lang w:val="de-DE" w:eastAsia="de-DE" w:bidi="de-DE"/>
        </w:rPr>
        <w:t>chnittstellen und Benutzerhandbücher ins Englische zu prüfen, und zwar auf der Grundlage, daß die Russische Föderation die vom Verbandsbüro vorgelegte Übersetzung prüfen werde.</w:t>
      </w:r>
    </w:p>
    <w:p w:rsidR="00FF5AB0" w:rsidRPr="00E76F6C" w:rsidRDefault="00FF5AB0" w:rsidP="00FF5AB0">
      <w:pPr>
        <w:rPr>
          <w:lang w:val="de-DE" w:eastAsia="de-DE" w:bidi="de-DE"/>
        </w:rPr>
      </w:pPr>
    </w:p>
    <w:p w:rsidR="00196886" w:rsidRDefault="00FF5AB0" w:rsidP="00FF5AB0">
      <w:pPr>
        <w:rPr>
          <w:color w:val="000000"/>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 xml:space="preserve">Der TC billigte die Empfehlung der TWC betreffend die Aufnahme der Software AIM aus Frankreich in Dokument UPOV/INF/16, wie in Absatz 19 von Dokument </w:t>
      </w:r>
      <w:r w:rsidRPr="00E76F6C">
        <w:rPr>
          <w:rFonts w:eastAsia="Calibri"/>
          <w:color w:val="000000"/>
          <w:lang w:val="de-DE" w:eastAsia="de-DE" w:bidi="de-DE"/>
        </w:rPr>
        <w:t>TC/49/12</w:t>
      </w:r>
      <w:r w:rsidRPr="00E76F6C">
        <w:rPr>
          <w:rFonts w:eastAsia="Calibri"/>
          <w:lang w:val="de-DE" w:eastAsia="de-DE" w:bidi="de-DE"/>
        </w:rPr>
        <w:t xml:space="preserve"> dargelegt.</w:t>
      </w:r>
      <w:r w:rsidRPr="00E76F6C">
        <w:rPr>
          <w:rFonts w:eastAsia="Calibri"/>
          <w:color w:val="000000"/>
          <w:lang w:val="de-DE" w:eastAsia="de-DE" w:bidi="de-DE"/>
        </w:rPr>
        <w:t xml:space="preserve"> Der TC </w:t>
      </w:r>
      <w:r>
        <w:rPr>
          <w:rFonts w:eastAsia="Calibri"/>
          <w:color w:val="000000"/>
          <w:lang w:val="de-DE" w:eastAsia="de-DE" w:bidi="de-DE"/>
        </w:rPr>
        <w:t>ersuchte</w:t>
      </w:r>
      <w:r w:rsidRPr="00E76F6C">
        <w:rPr>
          <w:rFonts w:eastAsia="Calibri"/>
          <w:color w:val="000000"/>
          <w:lang w:val="de-DE" w:eastAsia="de-DE" w:bidi="de-DE"/>
        </w:rPr>
        <w:t xml:space="preserve"> das Verbandsbüro, die Software und die </w:t>
      </w:r>
      <w:r>
        <w:rPr>
          <w:rFonts w:eastAsia="Calibri"/>
          <w:color w:val="000000"/>
          <w:lang w:val="de-DE" w:eastAsia="de-DE" w:bidi="de-DE"/>
        </w:rPr>
        <w:t>Anwenders</w:t>
      </w:r>
      <w:r w:rsidRPr="00E76F6C">
        <w:rPr>
          <w:rFonts w:eastAsia="Calibri"/>
          <w:color w:val="000000"/>
          <w:lang w:val="de-DE" w:eastAsia="de-DE" w:bidi="de-DE"/>
        </w:rPr>
        <w:t>chnittstellen und Benutzerhandbücher ins Englische zu übersetzen, und zwar auf der Grundlage, daß Frankreich die vom Verbandsbüro vorgelegte Übersetzung prüfen werde</w:t>
      </w:r>
      <w: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 xml:space="preserve">Absätze </w:t>
      </w:r>
      <w:r w:rsidR="00132ABD">
        <w:t>106 u</w:t>
      </w:r>
      <w:r w:rsidR="00FB297A">
        <w:t>nd 107)</w:t>
      </w:r>
      <w:r w:rsidR="00196886" w:rsidRPr="007308EB">
        <w:rPr>
          <w:color w:val="000000"/>
        </w:rPr>
        <w:t>.</w:t>
      </w:r>
    </w:p>
    <w:p w:rsidR="00FF5AB0" w:rsidRPr="00FF5AB0" w:rsidRDefault="00FF5AB0" w:rsidP="00FF5AB0"/>
    <w:p w:rsidR="00196886" w:rsidRPr="002274F6" w:rsidRDefault="00196886" w:rsidP="003372B4">
      <w:pPr>
        <w:pStyle w:val="Heading4"/>
      </w:pPr>
      <w:r w:rsidRPr="002274F6">
        <w:t xml:space="preserve">III. </w:t>
      </w:r>
      <w:r w:rsidRPr="002274F6">
        <w:tab/>
      </w:r>
      <w:r w:rsidR="00FF5AB0" w:rsidRPr="00E76F6C">
        <w:rPr>
          <w:rFonts w:eastAsia="Calibri"/>
          <w:lang w:val="de-DE" w:eastAsia="de-DE" w:bidi="de-DE"/>
        </w:rPr>
        <w:t>INFORMATIONEN ÜBER DIE NUTZUNG DURCH DIE VERBANDSMITGLIEDER</w:t>
      </w:r>
    </w:p>
    <w:p w:rsidR="00196886" w:rsidRPr="007308EB" w:rsidRDefault="00196886" w:rsidP="00196886">
      <w:pPr>
        <w:rPr>
          <w:color w:val="000000"/>
        </w:rPr>
      </w:pPr>
    </w:p>
    <w:p w:rsidR="00FF5AB0" w:rsidRPr="00E76F6C" w:rsidRDefault="00196886" w:rsidP="00FF5AB0">
      <w:pPr>
        <w:rPr>
          <w:snapToGrid w:val="0"/>
          <w:lang w:val="de-DE" w:eastAsia="de-DE" w:bidi="de-DE"/>
        </w:rPr>
      </w:pPr>
      <w:r w:rsidRPr="007308EB">
        <w:fldChar w:fldCharType="begin"/>
      </w:r>
      <w:r w:rsidRPr="007308EB">
        <w:instrText xml:space="preserve"> AUTONUM  </w:instrText>
      </w:r>
      <w:r w:rsidRPr="007308EB">
        <w:fldChar w:fldCharType="end"/>
      </w:r>
      <w:r w:rsidRPr="007308EB">
        <w:tab/>
      </w:r>
      <w:r w:rsidR="00FF5AB0" w:rsidRPr="00E76F6C">
        <w:rPr>
          <w:rFonts w:eastAsia="Calibri"/>
          <w:lang w:val="de-DE" w:eastAsia="de-DE" w:bidi="de-DE"/>
        </w:rPr>
        <w:t>Der TC stimmte der Aufnahme der in Anlage I von Dokument TC/49/12 Add. enthaltenen Information für eine Überarbeitung von Dokument UPOV/INF/16 durch den Rat auf seiner siebenundvierzigsten Tagung am 24. Oktober 2013 in Genf zu. Der TC nahm zur Kenntnis, daß dem CAJ Bericht über die Anmerkungen des TC auf seiner siebenundsechzigsten Tagung am 21. März 2013 in Genf erstattet werde.</w:t>
      </w:r>
    </w:p>
    <w:p w:rsidR="00FF5AB0" w:rsidRPr="00E76F6C" w:rsidRDefault="00FF5AB0" w:rsidP="00FF5AB0">
      <w:pPr>
        <w:rPr>
          <w:snapToGrid w:val="0"/>
          <w:lang w:val="de-DE" w:eastAsia="de-DE" w:bidi="de-DE"/>
        </w:rPr>
      </w:pPr>
    </w:p>
    <w:p w:rsidR="00196886" w:rsidRPr="00FF5AB0" w:rsidRDefault="00FF5AB0" w:rsidP="00196886">
      <w:pPr>
        <w:rPr>
          <w:iCs/>
          <w:color w:val="000000"/>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 xml:space="preserve">Der TC </w:t>
      </w:r>
      <w:r w:rsidRPr="00E76F6C">
        <w:rPr>
          <w:rFonts w:eastAsia="Calibri"/>
          <w:iCs/>
          <w:color w:val="000000"/>
          <w:lang w:val="de-DE" w:eastAsia="de-DE" w:bidi="de-DE"/>
        </w:rPr>
        <w:t xml:space="preserve">nahm zur Kenntnis, daß Mexiko dazu </w:t>
      </w:r>
      <w:r>
        <w:rPr>
          <w:rFonts w:eastAsia="Calibri"/>
          <w:iCs/>
          <w:color w:val="000000"/>
          <w:lang w:val="de-DE" w:eastAsia="de-DE" w:bidi="de-DE"/>
        </w:rPr>
        <w:t>ersucht</w:t>
      </w:r>
      <w:r w:rsidRPr="00E76F6C">
        <w:rPr>
          <w:rFonts w:eastAsia="Calibri"/>
          <w:iCs/>
          <w:color w:val="000000"/>
          <w:lang w:val="de-DE" w:eastAsia="de-DE" w:bidi="de-DE"/>
        </w:rPr>
        <w:t xml:space="preserve"> werde, seine vorgeschlagene austauschbare Software, wie in Anlage II von </w:t>
      </w:r>
      <w:r w:rsidRPr="00E76F6C">
        <w:rPr>
          <w:rFonts w:eastAsia="Calibri"/>
          <w:lang w:val="de-DE" w:eastAsia="de-DE" w:bidi="de-DE"/>
        </w:rPr>
        <w:t>Dokument TC/49/12 Add. dargelegt</w:t>
      </w:r>
      <w:r w:rsidRPr="00E76F6C">
        <w:rPr>
          <w:rFonts w:eastAsia="Calibri"/>
          <w:iCs/>
          <w:color w:val="000000"/>
          <w:lang w:val="de-DE" w:eastAsia="de-DE" w:bidi="de-DE"/>
        </w:rPr>
        <w:t xml:space="preserve">, auf der einunddreißigsten Tagung der TWC im Hinblick auf eine etwaige </w:t>
      </w:r>
      <w:r>
        <w:rPr>
          <w:rFonts w:eastAsia="Calibri"/>
          <w:iCs/>
          <w:color w:val="000000"/>
          <w:lang w:val="de-DE" w:eastAsia="de-DE" w:bidi="de-DE"/>
        </w:rPr>
        <w:t>Aufnahme</w:t>
      </w:r>
      <w:r w:rsidRPr="00E76F6C">
        <w:rPr>
          <w:rFonts w:eastAsia="Calibri"/>
          <w:iCs/>
          <w:color w:val="000000"/>
          <w:lang w:val="de-DE" w:eastAsia="de-DE" w:bidi="de-DE"/>
        </w:rPr>
        <w:t xml:space="preserve"> in eine künftige Überarbeitung von Dokument UPOV/INF/16 vorzustellen</w:t>
      </w:r>
      <w:r>
        <w:rPr>
          <w:iCs/>
          <w:color w:val="000000"/>
        </w:rP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 xml:space="preserve">Absätze </w:t>
      </w:r>
      <w:r w:rsidR="00132ABD">
        <w:t>108 u</w:t>
      </w:r>
      <w:r w:rsidR="00FB297A">
        <w:t>nd 109)</w:t>
      </w:r>
      <w:r w:rsidR="00196886" w:rsidRPr="007308EB">
        <w:rPr>
          <w:iCs/>
          <w:color w:val="000000"/>
        </w:rPr>
        <w:t>.</w:t>
      </w:r>
    </w:p>
    <w:p w:rsidR="00196886" w:rsidRDefault="00196886" w:rsidP="00196886">
      <w:pPr>
        <w:keepNext/>
      </w:pPr>
    </w:p>
    <w:p w:rsidR="00196886" w:rsidRPr="0010686B" w:rsidRDefault="00196886" w:rsidP="00B027B0">
      <w:pPr>
        <w:pStyle w:val="Heading3"/>
      </w:pPr>
      <w:bookmarkStart w:id="46" w:name="_Toc368583018"/>
      <w:r w:rsidRPr="0010686B">
        <w:t>d)</w:t>
      </w:r>
      <w:r w:rsidRPr="0010686B">
        <w:tab/>
      </w:r>
      <w:r w:rsidR="00FF5AB0" w:rsidRPr="00E76F6C">
        <w:t>Elektronische Systeme für die Einreichung von Anträgen</w:t>
      </w:r>
      <w:bookmarkEnd w:id="46"/>
    </w:p>
    <w:p w:rsidR="00196886" w:rsidRPr="00AF342C" w:rsidRDefault="00196886" w:rsidP="00196886">
      <w:pPr>
        <w:keepNext/>
        <w:ind w:firstLine="567"/>
        <w:rPr>
          <w:rFonts w:cs="Arial"/>
          <w:i/>
          <w:snapToGrid w:val="0"/>
        </w:rPr>
      </w:pPr>
    </w:p>
    <w:p w:rsidR="00FF5AB0" w:rsidRPr="00E76F6C" w:rsidRDefault="00196886" w:rsidP="00FF5AB0">
      <w:pPr>
        <w:ind w:left="567" w:hanging="567"/>
        <w:rPr>
          <w:lang w:val="de-DE" w:eastAsia="de-DE" w:bidi="de-DE"/>
        </w:rPr>
      </w:pPr>
      <w:r w:rsidRPr="00AF342C">
        <w:fldChar w:fldCharType="begin"/>
      </w:r>
      <w:r w:rsidRPr="00AF342C">
        <w:instrText xml:space="preserve"> AUTONUM  </w:instrText>
      </w:r>
      <w:r w:rsidRPr="00AF342C">
        <w:fldChar w:fldCharType="end"/>
      </w:r>
      <w:r w:rsidRPr="00AF342C">
        <w:tab/>
      </w:r>
      <w:r w:rsidR="00FF5AB0" w:rsidRPr="00E76F6C">
        <w:rPr>
          <w:rFonts w:eastAsia="Calibri"/>
          <w:lang w:val="de-DE" w:eastAsia="de-DE" w:bidi="de-DE"/>
        </w:rPr>
        <w:t>Der TC prüfte das Dokument TC/49/13.</w:t>
      </w:r>
    </w:p>
    <w:p w:rsidR="00FF5AB0" w:rsidRPr="00E76F6C" w:rsidRDefault="00FF5AB0" w:rsidP="00FF5AB0">
      <w:pPr>
        <w:ind w:left="567" w:hanging="567"/>
        <w:rPr>
          <w:lang w:val="de-DE" w:eastAsia="de-DE" w:bidi="de-DE"/>
        </w:rPr>
      </w:pPr>
    </w:p>
    <w:p w:rsidR="00196886" w:rsidRPr="00FF5AB0" w:rsidRDefault="00FF5AB0" w:rsidP="00FF5AB0">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snapToGrid w:val="0"/>
          <w:lang w:val="de-DE" w:eastAsia="de-DE" w:bidi="de-DE"/>
        </w:rPr>
        <w:t xml:space="preserve">Der TC nahm die Entwicklungen betreffend die Verwendung von Standardverweisen </w:t>
      </w:r>
      <w:r>
        <w:rPr>
          <w:rFonts w:eastAsia="Calibri"/>
          <w:snapToGrid w:val="0"/>
          <w:lang w:val="de-DE" w:eastAsia="de-DE" w:bidi="de-DE"/>
        </w:rPr>
        <w:t>des UPOV</w:t>
      </w:r>
      <w:r>
        <w:rPr>
          <w:rFonts w:eastAsia="Calibri"/>
          <w:snapToGrid w:val="0"/>
          <w:lang w:val="de-DE" w:eastAsia="de-DE" w:bidi="de-DE"/>
        </w:rPr>
        <w:noBreakHyphen/>
      </w:r>
      <w:r w:rsidRPr="00E76F6C">
        <w:rPr>
          <w:rFonts w:eastAsia="Calibri"/>
          <w:snapToGrid w:val="0"/>
          <w:lang w:val="de-DE" w:eastAsia="de-DE" w:bidi="de-DE"/>
        </w:rPr>
        <w:t>Musterantragsformblattes in den Antragsformularen von Verbandsmitgliedern und die Befürwortung der Ausarbeitung eines Prototyps des elektronischen Formulars durch den CAJ, wie in Dokument TC/49/13 dargelegt, zur Kenntnis</w:t>
      </w:r>
      <w: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FB297A">
        <w:t> 111)</w:t>
      </w:r>
      <w:r w:rsidR="00196886" w:rsidRPr="00AF342C">
        <w:rPr>
          <w:snapToGrid w:val="0"/>
        </w:rPr>
        <w:t>.</w:t>
      </w:r>
    </w:p>
    <w:p w:rsidR="00196886" w:rsidRPr="00AF342C" w:rsidRDefault="00196886" w:rsidP="00196886">
      <w:pPr>
        <w:ind w:left="567" w:hanging="567"/>
        <w:rPr>
          <w:snapToGrid w:val="0"/>
        </w:rPr>
      </w:pPr>
    </w:p>
    <w:p w:rsidR="00196886" w:rsidRPr="00AF342C" w:rsidRDefault="00196886" w:rsidP="00196886">
      <w:pPr>
        <w:ind w:left="567" w:hanging="567"/>
        <w:rPr>
          <w:snapToGrid w:val="0"/>
        </w:rPr>
      </w:pPr>
    </w:p>
    <w:p w:rsidR="00196886" w:rsidRPr="005A457D" w:rsidRDefault="005A457D" w:rsidP="00747C66">
      <w:pPr>
        <w:pStyle w:val="Heading2"/>
        <w:rPr>
          <w:lang w:val="de-DE" w:eastAsia="de-DE" w:bidi="de-DE"/>
        </w:rPr>
      </w:pPr>
      <w:bookmarkStart w:id="47" w:name="_Toc368583019"/>
      <w:r w:rsidRPr="00E76F6C">
        <w:rPr>
          <w:rFonts w:eastAsia="Calibri"/>
          <w:lang w:val="de-DE" w:eastAsia="de-DE" w:bidi="de-DE"/>
        </w:rPr>
        <w:t xml:space="preserve">Methode </w:t>
      </w:r>
      <w:r>
        <w:rPr>
          <w:rFonts w:eastAsia="Calibri"/>
          <w:lang w:val="de-DE" w:eastAsia="de-DE" w:bidi="de-DE"/>
        </w:rPr>
        <w:t>für die</w:t>
      </w:r>
      <w:r w:rsidRPr="00E76F6C">
        <w:rPr>
          <w:rFonts w:eastAsia="Calibri"/>
          <w:lang w:val="de-DE" w:eastAsia="de-DE" w:bidi="de-DE"/>
        </w:rPr>
        <w:t xml:space="preserve"> Berechnung von COYU</w:t>
      </w:r>
      <w:bookmarkEnd w:id="47"/>
    </w:p>
    <w:p w:rsidR="00196886" w:rsidRPr="00AF342C" w:rsidRDefault="00196886" w:rsidP="00196886">
      <w:pPr>
        <w:keepNext/>
        <w:ind w:left="567" w:hanging="567"/>
        <w:rPr>
          <w:snapToGrid w:val="0"/>
        </w:rPr>
      </w:pPr>
    </w:p>
    <w:p w:rsidR="005A457D" w:rsidRPr="00E76F6C" w:rsidRDefault="00196886" w:rsidP="005A457D">
      <w:pPr>
        <w:ind w:left="567" w:hanging="567"/>
        <w:rPr>
          <w:snapToGrid w:val="0"/>
          <w:lang w:val="de-DE" w:eastAsia="de-DE" w:bidi="de-DE"/>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005A457D" w:rsidRPr="00E76F6C">
        <w:rPr>
          <w:rFonts w:eastAsia="Calibri"/>
          <w:lang w:val="de-DE" w:eastAsia="de-DE" w:bidi="de-DE"/>
        </w:rPr>
        <w:t>Der TC prüfte das Dokument TC/49/11.</w:t>
      </w:r>
    </w:p>
    <w:p w:rsidR="005A457D" w:rsidRPr="00E76F6C" w:rsidRDefault="005A457D" w:rsidP="005A457D">
      <w:pPr>
        <w:ind w:left="567" w:hanging="567"/>
        <w:rPr>
          <w:snapToGrid w:val="0"/>
          <w:lang w:val="de-DE" w:eastAsia="de-DE" w:bidi="de-DE"/>
        </w:rPr>
      </w:pPr>
    </w:p>
    <w:p w:rsidR="00196886" w:rsidRPr="005A457D" w:rsidRDefault="005A457D" w:rsidP="005A457D">
      <w:r w:rsidRPr="00E76F6C">
        <w:rPr>
          <w:snapToGrid w:val="0"/>
          <w:lang w:eastAsia="de-DE" w:bidi="de-DE"/>
        </w:rPr>
        <w:fldChar w:fldCharType="begin"/>
      </w:r>
      <w:r w:rsidRPr="00E76F6C">
        <w:rPr>
          <w:snapToGrid w:val="0"/>
          <w:lang w:val="de-DE" w:eastAsia="de-DE" w:bidi="de-DE"/>
        </w:rPr>
        <w:instrText xml:space="preserve"> AUTONUM  </w:instrText>
      </w:r>
      <w:r w:rsidRPr="00E76F6C">
        <w:rPr>
          <w:snapToGrid w:val="0"/>
          <w:lang w:eastAsia="de-DE" w:bidi="de-DE"/>
        </w:rPr>
        <w:fldChar w:fldCharType="end"/>
      </w:r>
      <w:r w:rsidRPr="00E76F6C">
        <w:rPr>
          <w:rFonts w:ascii="Calibri" w:eastAsia="Calibri" w:hAnsi="Calibri"/>
          <w:sz w:val="22"/>
          <w:szCs w:val="22"/>
          <w:lang w:val="de-DE" w:eastAsia="de-DE" w:bidi="de-DE"/>
        </w:rPr>
        <w:tab/>
      </w:r>
      <w:r w:rsidRPr="00E76F6C">
        <w:rPr>
          <w:rFonts w:eastAsia="Calibri"/>
          <w:iCs/>
          <w:spacing w:val="-4"/>
          <w:lang w:val="de-DE" w:eastAsia="de-DE" w:bidi="de-DE"/>
        </w:rPr>
        <w:t>Der TC vereinbarte, die TWC zu bitten, ihre Arbeit mit dem Ziel der Entwicklung von Empfehlungen für den TC betreffend Vorschläge zur Behebung der Verzerrungen im derzeitigen Verfahren für die Berechnung von COYU fortzu</w:t>
      </w:r>
      <w:r>
        <w:rPr>
          <w:rFonts w:eastAsia="Calibri"/>
          <w:iCs/>
          <w:spacing w:val="-4"/>
          <w:lang w:val="de-DE" w:eastAsia="de-DE" w:bidi="de-DE"/>
        </w:rPr>
        <w:t>setzen</w:t>
      </w:r>
      <w:r w:rsidRPr="00E76F6C">
        <w:rPr>
          <w:rFonts w:eastAsia="Calibri"/>
          <w:iCs/>
          <w:spacing w:val="-4"/>
          <w:lang w:val="de-DE" w:eastAsia="de-DE" w:bidi="de-DE"/>
        </w:rPr>
        <w:t xml:space="preserve"> und nahm zur Kenntnis, </w:t>
      </w:r>
      <w:r w:rsidRPr="00E76F6C">
        <w:rPr>
          <w:rFonts w:eastAsia="Calibri"/>
          <w:lang w:val="de-DE" w:eastAsia="de-DE" w:bidi="de-DE"/>
        </w:rPr>
        <w:t>daß für die TWC-Tagung im Jahr 2013 ein Dokument mit möglichen Vorschlägen für Verbesserungen an COYU ausgearbeitet werde</w:t>
      </w:r>
      <w: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FB297A">
        <w:t>113)</w:t>
      </w:r>
      <w:r w:rsidR="00196886" w:rsidRPr="00AF342C">
        <w:rPr>
          <w:iCs/>
          <w:spacing w:val="-4"/>
        </w:rPr>
        <w:t>.</w:t>
      </w:r>
    </w:p>
    <w:p w:rsidR="00196886" w:rsidRPr="00AF342C" w:rsidRDefault="00196886" w:rsidP="005A457D">
      <w:pPr>
        <w:rPr>
          <w:snapToGrid w:val="0"/>
        </w:rPr>
      </w:pPr>
    </w:p>
    <w:p w:rsidR="00196886" w:rsidRPr="00AF342C" w:rsidRDefault="00196886" w:rsidP="00196886">
      <w:pPr>
        <w:ind w:left="567" w:hanging="567"/>
        <w:rPr>
          <w:snapToGrid w:val="0"/>
        </w:rPr>
      </w:pPr>
    </w:p>
    <w:p w:rsidR="00196886" w:rsidRPr="00AF342C" w:rsidRDefault="005A457D" w:rsidP="00747C66">
      <w:pPr>
        <w:pStyle w:val="Heading2"/>
      </w:pPr>
      <w:bookmarkStart w:id="48" w:name="_Toc368583020"/>
      <w:r w:rsidRPr="00E76F6C">
        <w:rPr>
          <w:rFonts w:eastAsia="Calibri"/>
          <w:lang w:val="de-DE" w:eastAsia="de-DE" w:bidi="de-DE"/>
        </w:rPr>
        <w:lastRenderedPageBreak/>
        <w:t>Prüfung der Homogenität anhand von Abweichern aufgrund von mehr als einer Probe oder Unterproben</w:t>
      </w:r>
      <w:bookmarkEnd w:id="48"/>
      <w:r w:rsidRPr="00AF342C">
        <w:t xml:space="preserve"> </w:t>
      </w:r>
    </w:p>
    <w:p w:rsidR="00196886" w:rsidRPr="00AF342C" w:rsidRDefault="00196886" w:rsidP="00196886">
      <w:pPr>
        <w:keepNext/>
        <w:ind w:left="567" w:hanging="567"/>
        <w:rPr>
          <w:snapToGrid w:val="0"/>
        </w:rPr>
      </w:pPr>
    </w:p>
    <w:p w:rsidR="005A457D" w:rsidRPr="00E76F6C" w:rsidRDefault="00196886" w:rsidP="005A457D">
      <w:pPr>
        <w:ind w:left="567" w:hanging="567"/>
        <w:rPr>
          <w:snapToGrid w:val="0"/>
          <w:lang w:val="de-DE" w:eastAsia="de-DE" w:bidi="de-DE"/>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005A457D" w:rsidRPr="00E76F6C">
        <w:rPr>
          <w:rFonts w:eastAsia="Calibri"/>
          <w:lang w:val="de-DE" w:eastAsia="de-DE" w:bidi="de-DE"/>
        </w:rPr>
        <w:t>Der TC prüfte das Dokument TC/49/14.</w:t>
      </w:r>
    </w:p>
    <w:p w:rsidR="005A457D" w:rsidRPr="00E76F6C" w:rsidRDefault="005A457D" w:rsidP="005A457D">
      <w:pPr>
        <w:ind w:left="567" w:hanging="567"/>
        <w:rPr>
          <w:snapToGrid w:val="0"/>
          <w:lang w:val="de-DE" w:eastAsia="de-DE" w:bidi="de-DE"/>
        </w:rPr>
      </w:pPr>
    </w:p>
    <w:p w:rsidR="005A457D" w:rsidRPr="00E76F6C" w:rsidRDefault="005A457D" w:rsidP="005A457D">
      <w:pPr>
        <w:rPr>
          <w:snapToGrid w:val="0"/>
          <w:lang w:val="de-DE" w:eastAsia="de-DE" w:bidi="de-DE"/>
        </w:rPr>
      </w:pPr>
      <w:r w:rsidRPr="00E76F6C">
        <w:rPr>
          <w:snapToGrid w:val="0"/>
          <w:lang w:eastAsia="de-DE" w:bidi="de-DE"/>
        </w:rPr>
        <w:fldChar w:fldCharType="begin"/>
      </w:r>
      <w:r w:rsidRPr="00E76F6C">
        <w:rPr>
          <w:snapToGrid w:val="0"/>
          <w:lang w:val="de-DE" w:eastAsia="de-DE" w:bidi="de-DE"/>
        </w:rPr>
        <w:instrText xml:space="preserve"> AUTONUM  </w:instrText>
      </w:r>
      <w:r w:rsidRPr="00E76F6C">
        <w:rPr>
          <w:snapToGrid w:val="0"/>
          <w:lang w:eastAsia="de-DE" w:bidi="de-DE"/>
        </w:rPr>
        <w:fldChar w:fldCharType="end"/>
      </w:r>
      <w:r w:rsidRPr="00E76F6C">
        <w:rPr>
          <w:rFonts w:ascii="Calibri" w:eastAsia="Calibri" w:hAnsi="Calibri"/>
          <w:sz w:val="22"/>
          <w:szCs w:val="22"/>
          <w:lang w:val="de-DE" w:eastAsia="de-DE" w:bidi="de-DE"/>
        </w:rPr>
        <w:tab/>
      </w:r>
      <w:r w:rsidRPr="002D4126">
        <w:rPr>
          <w:rFonts w:eastAsia="Calibri"/>
          <w:snapToGrid w:val="0"/>
          <w:lang w:val="de-DE" w:eastAsia="de-DE" w:bidi="de-DE"/>
        </w:rPr>
        <w:t xml:space="preserve">Der TC </w:t>
      </w:r>
      <w:r w:rsidRPr="002D4126">
        <w:rPr>
          <w:rFonts w:eastAsia="Calibri"/>
          <w:iCs/>
          <w:spacing w:val="-4"/>
          <w:lang w:val="de-DE" w:eastAsia="de-DE" w:bidi="de-DE"/>
        </w:rPr>
        <w:t>nahm zur Kenntnis, daß die TWC weitere Information über die in den Anlagen I bis IV von Dokument TC/49/14 dargelegten Situationen prüfen werde, wie</w:t>
      </w:r>
      <w:r w:rsidRPr="002D4126">
        <w:rPr>
          <w:rFonts w:eastAsia="Calibri"/>
          <w:szCs w:val="24"/>
          <w:lang w:val="de-DE" w:eastAsia="de-DE" w:bidi="de-DE"/>
        </w:rPr>
        <w:t xml:space="preserve"> etwa die Klärung der Frage, ob zwei Wachstumsperioden in </w:t>
      </w:r>
      <w:r>
        <w:rPr>
          <w:rFonts w:eastAsia="Calibri"/>
          <w:szCs w:val="24"/>
          <w:lang w:val="de-DE" w:eastAsia="de-DE" w:bidi="de-DE"/>
        </w:rPr>
        <w:t>b</w:t>
      </w:r>
      <w:r w:rsidRPr="002D4126">
        <w:rPr>
          <w:rFonts w:eastAsia="Calibri"/>
          <w:szCs w:val="24"/>
          <w:lang w:val="de-DE" w:eastAsia="de-DE" w:bidi="de-DE"/>
        </w:rPr>
        <w:t>ezug auf die Verwendung derselben Probe und im selben Jahr möglich seien. Der</w:t>
      </w:r>
      <w:r w:rsidRPr="00E76F6C">
        <w:rPr>
          <w:rFonts w:eastAsia="Calibri"/>
          <w:szCs w:val="24"/>
          <w:lang w:val="de-DE" w:eastAsia="de-DE" w:bidi="de-DE"/>
        </w:rPr>
        <w:t xml:space="preserve"> TC nahm zur Kenntnis, daß die TWC vereinbart hatte, daß detailliertere Informationen und weitere Analysen erforderlich seien, um Anleitung zu den Folgen der Verwendung unterschiedlicher Herangehensweisen erteilen zu können. Die TWC hatte ferner </w:t>
      </w:r>
      <w:r w:rsidRPr="00E76F6C">
        <w:rPr>
          <w:rFonts w:eastAsia="Calibri"/>
          <w:lang w:val="de-DE" w:eastAsia="de-DE" w:bidi="de-DE"/>
        </w:rPr>
        <w:t>vereinbart, daß Deutschland</w:t>
      </w:r>
      <w:r>
        <w:rPr>
          <w:rFonts w:eastAsia="Calibri"/>
          <w:lang w:val="de-DE" w:eastAsia="de-DE" w:bidi="de-DE"/>
        </w:rPr>
        <w:t>,</w:t>
      </w:r>
      <w:r w:rsidRPr="00E76F6C">
        <w:rPr>
          <w:rFonts w:eastAsia="Calibri"/>
          <w:lang w:val="de-DE" w:eastAsia="de-DE" w:bidi="de-DE"/>
        </w:rPr>
        <w:t xml:space="preserve"> Fra</w:t>
      </w:r>
      <w:r>
        <w:rPr>
          <w:rFonts w:eastAsia="Calibri"/>
          <w:lang w:val="de-DE" w:eastAsia="de-DE" w:bidi="de-DE"/>
        </w:rPr>
        <w:t>nkreich</w:t>
      </w:r>
      <w:r w:rsidRPr="00E76F6C">
        <w:rPr>
          <w:rFonts w:eastAsia="Calibri"/>
          <w:lang w:val="de-DE" w:eastAsia="de-DE" w:bidi="de-DE"/>
        </w:rPr>
        <w:t xml:space="preserve"> und die Niederlande eine oder mehr</w:t>
      </w:r>
      <w:r>
        <w:rPr>
          <w:rFonts w:eastAsia="Calibri"/>
          <w:lang w:val="de-DE" w:eastAsia="de-DE" w:bidi="de-DE"/>
        </w:rPr>
        <w:t>ere</w:t>
      </w:r>
      <w:r w:rsidRPr="00E76F6C">
        <w:rPr>
          <w:rFonts w:eastAsia="Calibri"/>
          <w:lang w:val="de-DE" w:eastAsia="de-DE" w:bidi="de-DE"/>
        </w:rPr>
        <w:t xml:space="preserve"> konkrete Situationen aus ihren Ländern sowie die statistische Grundlage ihrer Analyse für ihre nächste Tagung vorlegen werden, und </w:t>
      </w:r>
      <w:r w:rsidRPr="00E76F6C">
        <w:rPr>
          <w:rFonts w:eastAsia="Calibri"/>
          <w:szCs w:val="24"/>
          <w:lang w:val="de-DE" w:eastAsia="de-DE" w:bidi="de-DE"/>
        </w:rPr>
        <w:t xml:space="preserve">daß die </w:t>
      </w:r>
      <w:r w:rsidRPr="00E76F6C">
        <w:rPr>
          <w:rFonts w:eastAsia="Calibri"/>
          <w:lang w:val="de-DE" w:eastAsia="de-DE" w:bidi="de-DE"/>
        </w:rPr>
        <w:t>statistische Grundlage für die akzeptable Anzahl von Abweichern</w:t>
      </w:r>
      <w:r w:rsidRPr="00E76F6C">
        <w:rPr>
          <w:rFonts w:ascii="Calibri" w:eastAsia="Calibri" w:hAnsi="Calibri"/>
          <w:sz w:val="22"/>
          <w:szCs w:val="22"/>
          <w:lang w:val="de-DE" w:eastAsia="de-DE" w:bidi="de-DE"/>
        </w:rPr>
        <w:t xml:space="preserve"> </w:t>
      </w:r>
      <w:r w:rsidRPr="00E76F6C">
        <w:rPr>
          <w:rFonts w:eastAsia="Calibri"/>
          <w:lang w:val="de-DE" w:eastAsia="de-DE" w:bidi="de-DE"/>
        </w:rPr>
        <w:t>in den Unterproben von 20 Pflanzen, die in Zusammenhan</w:t>
      </w:r>
      <w:r>
        <w:rPr>
          <w:rFonts w:eastAsia="Calibri"/>
          <w:lang w:val="de-DE" w:eastAsia="de-DE" w:bidi="de-DE"/>
        </w:rPr>
        <w:t>g mit einer Probengröße von 100 </w:t>
      </w:r>
      <w:r w:rsidRPr="00E76F6C">
        <w:rPr>
          <w:rFonts w:eastAsia="Calibri"/>
          <w:lang w:val="de-DE" w:eastAsia="de-DE" w:bidi="de-DE"/>
        </w:rPr>
        <w:t>Pflanzen (Situation D) von den Sachverständigen aus Deutschland</w:t>
      </w:r>
      <w:r>
        <w:rPr>
          <w:rFonts w:eastAsia="Calibri"/>
          <w:lang w:val="de-DE" w:eastAsia="de-DE" w:bidi="de-DE"/>
        </w:rPr>
        <w:t xml:space="preserve"> und </w:t>
      </w:r>
      <w:r w:rsidRPr="00E76F6C">
        <w:rPr>
          <w:rFonts w:eastAsia="Calibri"/>
          <w:lang w:val="de-DE" w:eastAsia="de-DE" w:bidi="de-DE"/>
        </w:rPr>
        <w:t>Frankreich geprüft werde.</w:t>
      </w:r>
    </w:p>
    <w:p w:rsidR="005A457D" w:rsidRPr="00E76F6C" w:rsidRDefault="005A457D" w:rsidP="005A457D">
      <w:pPr>
        <w:ind w:left="567" w:hanging="567"/>
        <w:rPr>
          <w:lang w:val="de-DE" w:eastAsia="de-DE" w:bidi="de-DE"/>
        </w:rPr>
      </w:pPr>
    </w:p>
    <w:p w:rsidR="005A457D" w:rsidRPr="00E76F6C" w:rsidRDefault="005A457D" w:rsidP="005A457D">
      <w:pPr>
        <w:rPr>
          <w:lang w:val="de-DE" w:eastAsia="de-DE" w:bidi="de-DE"/>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3B5C50">
        <w:rPr>
          <w:rFonts w:eastAsia="Calibri"/>
          <w:lang w:val="de-DE" w:eastAsia="de-DE" w:bidi="de-DE"/>
        </w:rPr>
        <w:t xml:space="preserve">Der TC </w:t>
      </w:r>
      <w:r w:rsidRPr="003B5C50">
        <w:rPr>
          <w:rFonts w:eastAsia="Calibri"/>
          <w:iCs/>
          <w:spacing w:val="-4"/>
          <w:lang w:val="de-DE" w:eastAsia="de-DE" w:bidi="de-DE"/>
        </w:rPr>
        <w:t>stimmte darin überein, daß der Ansatz der Kombination der Ergebnisse zweier Wachstumsperioden, wie in den Anlagen I und II, Situation A und B, dargelegt, das Erfordernis „unabhängiger“ Wachstumsperioden erfülle.</w:t>
      </w:r>
      <w:r w:rsidRPr="00E76F6C">
        <w:rPr>
          <w:rFonts w:eastAsia="Calibri"/>
          <w:iCs/>
          <w:spacing w:val="-4"/>
          <w:lang w:val="de-DE" w:eastAsia="de-DE" w:bidi="de-DE"/>
        </w:rPr>
        <w:t xml:space="preserve"> Allerdings war er sich darin einig, daß bei der Prüfung von Ergebnissen, die in jeder der Wachstumsperioden sehr unterschiedlich sind, mit größter Sorgfalt verfahren werden müsse, etwa wenn ein Abweichertyp in einer Wachstumsperiode sehr häufig und in einer anderen überhaupt nicht vorkomme.</w:t>
      </w:r>
    </w:p>
    <w:p w:rsidR="005A457D" w:rsidRPr="00E76F6C" w:rsidRDefault="005A457D" w:rsidP="005A457D">
      <w:pPr>
        <w:ind w:left="567" w:hanging="567"/>
        <w:rPr>
          <w:lang w:val="de-DE" w:eastAsia="de-DE" w:bidi="de-DE"/>
        </w:rPr>
      </w:pPr>
    </w:p>
    <w:p w:rsidR="00196886" w:rsidRPr="005A457D" w:rsidRDefault="005A457D" w:rsidP="005A457D">
      <w:pPr>
        <w:rPr>
          <w:iCs/>
          <w:spacing w:val="-4"/>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 xml:space="preserve">Der TC </w:t>
      </w:r>
      <w:r w:rsidRPr="00E76F6C">
        <w:rPr>
          <w:rFonts w:eastAsia="Calibri"/>
          <w:iCs/>
          <w:spacing w:val="-4"/>
          <w:lang w:val="de-DE" w:eastAsia="de-DE" w:bidi="de-DE"/>
        </w:rPr>
        <w:t>nahm zur Kenntnis, daß ein Sachverständiger aus Neuseeland auf der TWF-Tagung im Jahr 2013 ein Referat über die Prüfung der Homogenität von aus Mutation hervorgehenden Apfelsorten halten werde</w:t>
      </w:r>
      <w:r w:rsidR="00FB297A">
        <w:rPr>
          <w:iCs/>
          <w:spacing w:val="-4"/>
        </w:rP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Absätze</w:t>
      </w:r>
      <w:r w:rsidR="00132ABD">
        <w:t> 115 bis</w:t>
      </w:r>
      <w:r w:rsidR="00FB297A">
        <w:t xml:space="preserve"> 117)</w:t>
      </w:r>
      <w:r w:rsidR="00196886">
        <w:rPr>
          <w:iCs/>
          <w:spacing w:val="-4"/>
        </w:rPr>
        <w:t>.</w:t>
      </w:r>
    </w:p>
    <w:p w:rsidR="00196886" w:rsidRPr="00AF342C" w:rsidRDefault="00196886" w:rsidP="005A457D"/>
    <w:p w:rsidR="00196886" w:rsidRPr="00AF342C" w:rsidRDefault="00196886" w:rsidP="00196886">
      <w:pPr>
        <w:ind w:left="567" w:hanging="567"/>
      </w:pPr>
    </w:p>
    <w:p w:rsidR="008A1E5B" w:rsidRPr="00E76F6C" w:rsidRDefault="008A1E5B" w:rsidP="008A1E5B">
      <w:pPr>
        <w:keepNext/>
        <w:outlineLvl w:val="1"/>
        <w:rPr>
          <w:u w:val="single"/>
          <w:lang w:val="de-DE" w:eastAsia="de-DE" w:bidi="de-DE"/>
        </w:rPr>
      </w:pPr>
      <w:bookmarkStart w:id="49" w:name="_Toc368583021"/>
      <w:r w:rsidRPr="00E76F6C">
        <w:rPr>
          <w:rFonts w:eastAsia="Calibri"/>
          <w:u w:val="single"/>
          <w:lang w:val="de-DE" w:eastAsia="de-DE" w:bidi="de-DE"/>
        </w:rPr>
        <w:t xml:space="preserve">Nutzung elektronischer Kommunikationsmittel auf </w:t>
      </w:r>
      <w:r>
        <w:rPr>
          <w:rFonts w:eastAsia="Calibri"/>
          <w:u w:val="single"/>
          <w:lang w:val="de-DE" w:eastAsia="de-DE" w:bidi="de-DE"/>
        </w:rPr>
        <w:t>Sitzungen</w:t>
      </w:r>
      <w:bookmarkEnd w:id="49"/>
    </w:p>
    <w:p w:rsidR="00196886" w:rsidRPr="00AF342C" w:rsidRDefault="00196886" w:rsidP="00196886">
      <w:pPr>
        <w:keepNext/>
        <w:ind w:left="567" w:hanging="567"/>
      </w:pPr>
    </w:p>
    <w:p w:rsidR="00196886" w:rsidRPr="00AF342C" w:rsidRDefault="00196886" w:rsidP="00196886">
      <w:pPr>
        <w:ind w:left="567" w:hanging="567"/>
      </w:pPr>
      <w:r w:rsidRPr="00AF342C">
        <w:fldChar w:fldCharType="begin"/>
      </w:r>
      <w:r w:rsidRPr="00AF342C">
        <w:instrText xml:space="preserve"> AUTONUM  </w:instrText>
      </w:r>
      <w:r w:rsidRPr="00AF342C">
        <w:fldChar w:fldCharType="end"/>
      </w:r>
      <w:r w:rsidR="008A1E5B">
        <w:tab/>
        <w:t>Der TC prüfte das Dok</w:t>
      </w:r>
      <w:r w:rsidRPr="00AF342C">
        <w:t>ument TC/49/15.</w:t>
      </w:r>
    </w:p>
    <w:p w:rsidR="00196886" w:rsidRPr="00AF342C" w:rsidRDefault="00196886" w:rsidP="00196886">
      <w:pPr>
        <w:ind w:left="567" w:hanging="567"/>
      </w:pPr>
    </w:p>
    <w:p w:rsidR="008A1E5B" w:rsidRPr="00E76F6C" w:rsidRDefault="00196886" w:rsidP="008A1E5B">
      <w:pPr>
        <w:rPr>
          <w:snapToGrid w:val="0"/>
          <w:lang w:val="de-DE" w:eastAsia="de-DE" w:bidi="de-DE"/>
        </w:rPr>
      </w:pPr>
      <w:r w:rsidRPr="00AF342C">
        <w:fldChar w:fldCharType="begin"/>
      </w:r>
      <w:r w:rsidRPr="00AF342C">
        <w:instrText xml:space="preserve"> AUTONUM  </w:instrText>
      </w:r>
      <w:r w:rsidRPr="00AF342C">
        <w:fldChar w:fldCharType="end"/>
      </w:r>
      <w:r w:rsidRPr="00AF342C">
        <w:tab/>
      </w:r>
      <w:r w:rsidR="008A1E5B" w:rsidRPr="00E76F6C">
        <w:rPr>
          <w:rFonts w:eastAsia="Calibri"/>
          <w:lang w:val="de-DE" w:eastAsia="de-DE" w:bidi="de-DE"/>
        </w:rPr>
        <w:t xml:space="preserve">Der TC nahm zur Kenntnis, daß der Beratende Ausschuß auf seiner vierundachtzigsten Tagung am 31. Oktober 2012 in Genf den Einsatz von Webkonferenzen durch die UPOV-Organe, falls von den betreffenden UPOV-Organen als zweckdienlich erachtet, gebilligt habe, um die Teilnahme </w:t>
      </w:r>
      <w:r w:rsidR="008A1E5B">
        <w:rPr>
          <w:rFonts w:eastAsia="Calibri"/>
          <w:lang w:val="de-DE" w:eastAsia="de-DE" w:bidi="de-DE"/>
        </w:rPr>
        <w:t xml:space="preserve">von </w:t>
      </w:r>
      <w:r w:rsidR="008A1E5B" w:rsidRPr="00E76F6C">
        <w:rPr>
          <w:rFonts w:eastAsia="Calibri"/>
          <w:lang w:val="de-DE" w:eastAsia="de-DE" w:bidi="de-DE"/>
        </w:rPr>
        <w:t>Verbandsmitglieder</w:t>
      </w:r>
      <w:r w:rsidR="008A1E5B">
        <w:rPr>
          <w:rFonts w:eastAsia="Calibri"/>
          <w:lang w:val="de-DE" w:eastAsia="de-DE" w:bidi="de-DE"/>
        </w:rPr>
        <w:t>n</w:t>
      </w:r>
      <w:r w:rsidR="008A1E5B" w:rsidRPr="00E76F6C">
        <w:rPr>
          <w:rFonts w:eastAsia="Calibri"/>
          <w:lang w:val="de-DE" w:eastAsia="de-DE" w:bidi="de-DE"/>
        </w:rPr>
        <w:t xml:space="preserve"> und Beobachter</w:t>
      </w:r>
      <w:r w:rsidR="008A1E5B">
        <w:rPr>
          <w:rFonts w:eastAsia="Calibri"/>
          <w:lang w:val="de-DE" w:eastAsia="de-DE" w:bidi="de-DE"/>
        </w:rPr>
        <w:t>n</w:t>
      </w:r>
      <w:r w:rsidR="008A1E5B" w:rsidRPr="00E76F6C">
        <w:rPr>
          <w:rFonts w:eastAsia="Calibri"/>
          <w:lang w:val="de-DE" w:eastAsia="de-DE" w:bidi="de-DE"/>
        </w:rPr>
        <w:t xml:space="preserve"> in Einklang mit den bestehenden Verfahren zu erleichtern. Der Beratende Ausschuß hatte daran erinnert, daß die Verfahren betreffend die Einladungen zu den Tagungen der UPOV-Organe im UPOV</w:t>
      </w:r>
      <w:r w:rsidR="008A1E5B">
        <w:rPr>
          <w:rFonts w:eastAsia="Calibri"/>
          <w:lang w:val="de-DE" w:eastAsia="de-DE" w:bidi="de-DE"/>
        </w:rPr>
        <w:noBreakHyphen/>
      </w:r>
      <w:r w:rsidR="008A1E5B" w:rsidRPr="00E76F6C">
        <w:rPr>
          <w:rFonts w:eastAsia="Calibri"/>
          <w:lang w:val="de-DE" w:eastAsia="de-DE" w:bidi="de-DE"/>
        </w:rPr>
        <w:t>Übereinkommen, in der Geschäftsordnung, in der Anleitung über die laufenden Verpflichtungen der Verbandsmitglieder und die damit verbundenen Notifizierungen, in den Regeln für die Erteilung des Beobachterstatus an Staaten, zwischenstaatliche Organisationen und internationale Nichtregierungsorganisationen bei UPOV-Organen und in den Regeln für den Zugang zu UPOV</w:t>
      </w:r>
      <w:r w:rsidR="008A1E5B" w:rsidRPr="00E76F6C">
        <w:rPr>
          <w:rFonts w:ascii="Calibri" w:eastAsia="Calibri" w:hAnsi="Calibri"/>
          <w:sz w:val="22"/>
          <w:szCs w:val="22"/>
          <w:lang w:val="de-DE" w:eastAsia="de-DE" w:bidi="de-DE"/>
        </w:rPr>
        <w:noBreakHyphen/>
      </w:r>
      <w:r w:rsidR="008A1E5B" w:rsidRPr="00E76F6C">
        <w:rPr>
          <w:rFonts w:eastAsia="Calibri"/>
          <w:lang w:val="de-DE" w:eastAsia="de-DE" w:bidi="de-DE"/>
        </w:rPr>
        <w:t>Dokumenten enthalten seien. In Einklang mit diesen Verfahren erfolge die Einladung zur Teilnahme an Webkonferenzen dann mittels eines Paßworts, das den jeweiligen Pe</w:t>
      </w:r>
      <w:r w:rsidR="008A1E5B">
        <w:rPr>
          <w:rFonts w:eastAsia="Calibri"/>
          <w:lang w:val="de-DE" w:eastAsia="de-DE" w:bidi="de-DE"/>
        </w:rPr>
        <w:t>rsonen in den maßgeblichen UPOV</w:t>
      </w:r>
      <w:r w:rsidR="008A1E5B">
        <w:rPr>
          <w:rFonts w:eastAsia="Calibri"/>
          <w:lang w:val="de-DE" w:eastAsia="de-DE" w:bidi="de-DE"/>
        </w:rPr>
        <w:noBreakHyphen/>
      </w:r>
      <w:r w:rsidR="008A1E5B" w:rsidRPr="00E76F6C">
        <w:rPr>
          <w:rFonts w:eastAsia="Calibri"/>
          <w:lang w:val="de-DE" w:eastAsia="de-DE" w:bidi="de-DE"/>
        </w:rPr>
        <w:t>Organen zugeteilt werde, und die Teilnahme werde vom Verbandsbüro kontrolliert.</w:t>
      </w:r>
    </w:p>
    <w:p w:rsidR="008A1E5B" w:rsidRPr="00E76F6C" w:rsidRDefault="008A1E5B" w:rsidP="008A1E5B">
      <w:pPr>
        <w:rPr>
          <w:snapToGrid w:val="0"/>
          <w:lang w:val="de-DE" w:eastAsia="de-DE" w:bidi="de-DE"/>
        </w:rPr>
      </w:pPr>
    </w:p>
    <w:p w:rsidR="00196886" w:rsidRPr="008A1E5B" w:rsidRDefault="008A1E5B" w:rsidP="00196886">
      <w:r w:rsidRPr="00E76F6C">
        <w:rPr>
          <w:snapToGrid w:val="0"/>
          <w:lang w:eastAsia="de-DE" w:bidi="de-DE"/>
        </w:rPr>
        <w:fldChar w:fldCharType="begin"/>
      </w:r>
      <w:r w:rsidRPr="00E76F6C">
        <w:rPr>
          <w:snapToGrid w:val="0"/>
          <w:lang w:val="de-DE" w:eastAsia="de-DE" w:bidi="de-DE"/>
        </w:rPr>
        <w:instrText xml:space="preserve"> AUTONUM  </w:instrText>
      </w:r>
      <w:r w:rsidRPr="00E76F6C">
        <w:rPr>
          <w:snapToGrid w:val="0"/>
          <w:lang w:eastAsia="de-DE" w:bidi="de-DE"/>
        </w:rPr>
        <w:fldChar w:fldCharType="end"/>
      </w:r>
      <w:r w:rsidRPr="00E76F6C">
        <w:rPr>
          <w:rFonts w:ascii="Calibri" w:eastAsia="Calibri" w:hAnsi="Calibri"/>
          <w:sz w:val="22"/>
          <w:szCs w:val="22"/>
          <w:lang w:val="de-DE" w:eastAsia="de-DE" w:bidi="de-DE"/>
        </w:rPr>
        <w:tab/>
      </w:r>
      <w:r w:rsidRPr="00E76F6C">
        <w:rPr>
          <w:rFonts w:eastAsia="Calibri"/>
          <w:snapToGrid w:val="0"/>
          <w:lang w:val="de-DE" w:eastAsia="de-DE" w:bidi="de-DE"/>
        </w:rPr>
        <w:t>Der TC nahm zur Kenntnis, daß der Beratende Ausschuß auf seiner vierundachtzigsten Tagung ferner die Nutzung von Webcastings der Tagungen der UPOV-Organe, die in Einklang mit bestehenden Verfahren von Verbandsmitgliedern und Beobachtern angesehen werden dürfen, gebilligt habe, sofern vom betreffenden UPOV-Organ als zweckmäßig erachtet. Der Beratende Ausschuß nahm zur Kenntnis, daß die Verfahren betreffend die Einladungen zu den Tagungen der UPOV-Organe im UPOV-Übereinkommen, in der Geschäftsordnung, in der Anleitung über die laufenden Verpflichtungen der Verbandsmitglieder und die damit verbundenen Notifizierungen, in den Regeln für die Erteilung des Beobachterstatus an Staaten, zwischenstaatliche Organisationen und internationale Nichtregierungsorganisationen bei UPOV-Organen und in den Regeln für den Zugang zu UPOV-Dokumenten enthalten seien. In Einklang mit diesen Verfahren erfolge das Ansehen eines Webcasts dann mittels eines Paßworts, das den jeweiligen Personen in den maßgeblichen UPOV-Organen erteilt werde, und die Teilnahme werde vom Verbandsbüro kontrolliert. Der TC nahm auch zur Kenntnis, daß der Beratende Ausschuß auf seiner vierundachtzigsten Tagung vereinbart ha</w:t>
      </w:r>
      <w:r>
        <w:rPr>
          <w:rFonts w:eastAsia="Calibri"/>
          <w:snapToGrid w:val="0"/>
          <w:lang w:val="de-DE" w:eastAsia="de-DE" w:bidi="de-DE"/>
        </w:rPr>
        <w:t>b</w:t>
      </w:r>
      <w:r w:rsidRPr="00E76F6C">
        <w:rPr>
          <w:rFonts w:eastAsia="Calibri"/>
          <w:snapToGrid w:val="0"/>
          <w:lang w:val="de-DE" w:eastAsia="de-DE" w:bidi="de-DE"/>
        </w:rPr>
        <w:t>e, daß in allen anderen Fällen von Webcasting der Beratende Ausschuß darum ersucht werde, alle Vorkehrungen für ein mögliches Webcasting zu billigen</w:t>
      </w:r>
      <w: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Absätze</w:t>
      </w:r>
      <w:r w:rsidR="00132ABD">
        <w:t xml:space="preserve"> 119 u</w:t>
      </w:r>
      <w:r w:rsidR="00FB297A">
        <w:t>nd 120)</w:t>
      </w:r>
      <w:r w:rsidR="00196886">
        <w:rPr>
          <w:snapToGrid w:val="0"/>
        </w:rPr>
        <w:t>.</w:t>
      </w:r>
    </w:p>
    <w:p w:rsidR="00196886" w:rsidRPr="00AF342C" w:rsidRDefault="00196886" w:rsidP="00196886"/>
    <w:p w:rsidR="00196886" w:rsidRPr="00AF342C" w:rsidRDefault="00196886" w:rsidP="00196886">
      <w:pPr>
        <w:ind w:left="567" w:hanging="567"/>
      </w:pPr>
    </w:p>
    <w:p w:rsidR="008A1E5B" w:rsidRPr="00E76F6C" w:rsidRDefault="008A1E5B" w:rsidP="008A1E5B">
      <w:pPr>
        <w:keepNext/>
        <w:outlineLvl w:val="1"/>
        <w:rPr>
          <w:u w:val="single"/>
          <w:lang w:val="de-DE" w:eastAsia="de-DE" w:bidi="de-DE"/>
        </w:rPr>
      </w:pPr>
      <w:bookmarkStart w:id="50" w:name="_Toc368583022"/>
      <w:r w:rsidRPr="00E76F6C">
        <w:rPr>
          <w:rFonts w:eastAsia="Calibri"/>
          <w:u w:val="single"/>
          <w:lang w:val="de-DE" w:eastAsia="de-DE" w:bidi="de-DE"/>
        </w:rPr>
        <w:lastRenderedPageBreak/>
        <w:t>Vorbereitende Arbeitstagungen</w:t>
      </w:r>
      <w:bookmarkEnd w:id="50"/>
    </w:p>
    <w:p w:rsidR="00196886" w:rsidRPr="00EA061E" w:rsidRDefault="00196886" w:rsidP="00196886">
      <w:pPr>
        <w:keepNext/>
        <w:ind w:left="567" w:hanging="567"/>
      </w:pPr>
    </w:p>
    <w:p w:rsidR="008A1E5B" w:rsidRPr="00E76F6C" w:rsidRDefault="00196886" w:rsidP="008A1E5B">
      <w:pPr>
        <w:ind w:left="567" w:hanging="567"/>
        <w:rPr>
          <w:lang w:val="de-DE" w:eastAsia="de-DE" w:bidi="de-DE"/>
        </w:rPr>
      </w:pPr>
      <w:r w:rsidRPr="00EA061E">
        <w:fldChar w:fldCharType="begin"/>
      </w:r>
      <w:r w:rsidRPr="00EA061E">
        <w:instrText xml:space="preserve"> AUTONUM  </w:instrText>
      </w:r>
      <w:r w:rsidRPr="00EA061E">
        <w:fldChar w:fldCharType="end"/>
      </w:r>
      <w:r w:rsidRPr="00EA061E">
        <w:tab/>
      </w:r>
      <w:r w:rsidR="008A1E5B" w:rsidRPr="00E76F6C">
        <w:rPr>
          <w:rFonts w:eastAsia="Calibri"/>
          <w:lang w:val="de-DE" w:eastAsia="de-DE" w:bidi="de-DE"/>
        </w:rPr>
        <w:t>Der TC prüfte das Dokument TC/49/10.</w:t>
      </w:r>
    </w:p>
    <w:p w:rsidR="008A1E5B" w:rsidRPr="00E76F6C" w:rsidRDefault="008A1E5B" w:rsidP="008A1E5B">
      <w:pPr>
        <w:ind w:left="567" w:hanging="567"/>
        <w:rPr>
          <w:lang w:val="de-DE" w:eastAsia="de-DE" w:bidi="de-DE"/>
        </w:rPr>
      </w:pPr>
    </w:p>
    <w:p w:rsidR="008A1E5B" w:rsidRPr="00E76F6C" w:rsidRDefault="008A1E5B" w:rsidP="008A1E5B">
      <w:pPr>
        <w:rPr>
          <w:rFonts w:cs="Arial"/>
          <w:lang w:val="de-DE" w:eastAsia="de-DE" w:bidi="de-DE"/>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Der TC nahm den Bericht über die im Jahr 2012 abgehaltenen vorbereitenden Arbeitstagungen zur Kenntnis.</w:t>
      </w:r>
    </w:p>
    <w:p w:rsidR="008A1E5B" w:rsidRPr="00E76F6C" w:rsidRDefault="008A1E5B" w:rsidP="008A1E5B">
      <w:pPr>
        <w:ind w:left="567" w:hanging="567"/>
        <w:rPr>
          <w:rFonts w:cs="Arial"/>
          <w:lang w:val="de-DE" w:eastAsia="de-DE" w:bidi="de-DE"/>
        </w:rPr>
      </w:pPr>
    </w:p>
    <w:p w:rsidR="008A1E5B" w:rsidRPr="00E76F6C" w:rsidRDefault="008A1E5B" w:rsidP="008A1E5B">
      <w:pPr>
        <w:rPr>
          <w:lang w:val="de-DE" w:eastAsia="de-DE" w:bidi="de-DE"/>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Der TC billigte das vorgeschlagene Programm für die vorbereitend</w:t>
      </w:r>
      <w:r>
        <w:rPr>
          <w:rFonts w:eastAsia="Calibri"/>
          <w:lang w:val="de-DE" w:eastAsia="de-DE" w:bidi="de-DE"/>
        </w:rPr>
        <w:t>en Arbeitstagungen für das Jahr </w:t>
      </w:r>
      <w:r w:rsidRPr="00E76F6C">
        <w:rPr>
          <w:rFonts w:eastAsia="Calibri"/>
          <w:lang w:val="de-DE" w:eastAsia="de-DE" w:bidi="de-DE"/>
        </w:rPr>
        <w:t>2013, wie in den Absätzen 8 und 9 von Dokument TC/49/10 dargelegt.</w:t>
      </w:r>
    </w:p>
    <w:p w:rsidR="008A1E5B" w:rsidRPr="00E76F6C" w:rsidRDefault="008A1E5B" w:rsidP="008A1E5B">
      <w:pPr>
        <w:ind w:left="567" w:hanging="567"/>
        <w:rPr>
          <w:lang w:val="de-DE" w:eastAsia="de-DE" w:bidi="de-DE"/>
        </w:rPr>
      </w:pPr>
    </w:p>
    <w:p w:rsidR="00196886" w:rsidRDefault="008A1E5B" w:rsidP="008A1E5B">
      <w:pPr>
        <w:rPr>
          <w:rFonts w:cs="Arial"/>
        </w:rPr>
      </w:pPr>
      <w:r w:rsidRPr="00E76F6C">
        <w:rPr>
          <w:lang w:eastAsia="de-DE" w:bidi="de-DE"/>
        </w:rPr>
        <w:fldChar w:fldCharType="begin"/>
      </w:r>
      <w:r w:rsidRPr="00E76F6C">
        <w:rPr>
          <w:lang w:val="de-DE" w:eastAsia="de-DE" w:bidi="de-DE"/>
        </w:rPr>
        <w:instrText xml:space="preserve"> AUTONUM  </w:instrText>
      </w:r>
      <w:r w:rsidRPr="00E76F6C">
        <w:rPr>
          <w:lang w:eastAsia="de-DE" w:bidi="de-DE"/>
        </w:rPr>
        <w:fldChar w:fldCharType="end"/>
      </w:r>
      <w:r w:rsidRPr="00E76F6C">
        <w:rPr>
          <w:rFonts w:ascii="Calibri" w:eastAsia="Calibri" w:hAnsi="Calibri"/>
          <w:sz w:val="22"/>
          <w:szCs w:val="22"/>
          <w:lang w:val="de-DE" w:eastAsia="de-DE" w:bidi="de-DE"/>
        </w:rPr>
        <w:tab/>
      </w:r>
      <w:r w:rsidRPr="00E76F6C">
        <w:rPr>
          <w:rFonts w:eastAsia="Calibri"/>
          <w:lang w:val="de-DE" w:eastAsia="de-DE" w:bidi="de-DE"/>
        </w:rPr>
        <w:t xml:space="preserve">Der TC billigte die Durchführung einer Befragung der Teilnehmer an den vorbereitenden Arbeitstagungen </w:t>
      </w:r>
      <w:r>
        <w:rPr>
          <w:rFonts w:eastAsia="Calibri"/>
          <w:lang w:val="de-DE" w:eastAsia="de-DE" w:bidi="de-DE"/>
        </w:rPr>
        <w:t>der TWP auf</w:t>
      </w:r>
      <w:r w:rsidRPr="00E76F6C">
        <w:rPr>
          <w:rFonts w:eastAsia="Calibri"/>
          <w:lang w:val="de-DE" w:eastAsia="de-DE" w:bidi="de-DE"/>
        </w:rPr>
        <w:t xml:space="preserve"> ihren Tagungen im Jahr 2013, um Verbesserungen im Hinblick auf die Eff</w:t>
      </w:r>
      <w:r>
        <w:rPr>
          <w:rFonts w:eastAsia="Calibri"/>
          <w:lang w:val="de-DE" w:eastAsia="de-DE" w:bidi="de-DE"/>
        </w:rPr>
        <w:t>izienz</w:t>
      </w:r>
      <w:r w:rsidRPr="00E76F6C">
        <w:rPr>
          <w:rFonts w:eastAsia="Calibri"/>
          <w:lang w:val="de-DE" w:eastAsia="de-DE" w:bidi="de-DE"/>
        </w:rPr>
        <w:t xml:space="preserve"> der vorbereitenden Arbeitstagungen anzustreben, und zwar auf der Grundlage des in der Anlage von Dokument TC/49/10 enthaltenen Fragebogens und unter Hinzufügung einer Frage zur Benennung neuer Themen, die von Interesse wären. Zudem vereinbarte der T</w:t>
      </w:r>
      <w:r>
        <w:rPr>
          <w:rFonts w:eastAsia="Calibri"/>
          <w:lang w:val="de-DE" w:eastAsia="de-DE" w:bidi="de-DE"/>
        </w:rPr>
        <w:t>C, daß eine Befragung aller TWP</w:t>
      </w:r>
      <w:r>
        <w:rPr>
          <w:rFonts w:eastAsia="Calibri"/>
          <w:lang w:val="de-DE" w:eastAsia="de-DE" w:bidi="de-DE"/>
        </w:rPr>
        <w:noBreakHyphen/>
      </w:r>
      <w:r w:rsidRPr="00E76F6C">
        <w:rPr>
          <w:rFonts w:eastAsia="Calibri"/>
          <w:lang w:val="de-DE" w:eastAsia="de-DE" w:bidi="de-DE"/>
        </w:rPr>
        <w:t>Teilnehmer, die nicht an der vorbereitenden Arbeitstagung teilgenommen haben, durchgeführt werden solle, um herauszufinden, warum sie nicht teilgenommen haben. Der TC vereinbarte ferner, daß das Verbandsbüro in Betracht ziehen sollte, die Beteiligung an den vorbereitenden Arbeitstagungen über elektronische Medien zu erleichtern und merkte an, daß solch eine Herangehensweise bedeuten könnte, daß es möglich wäre, solche Arbeitstagungen unabhängig von den TWP durchzuführen und daß ein breiteres Schulungs- und Informationsspektrum abgedeckt werden könnte</w:t>
      </w:r>
      <w:r w:rsidR="00FB297A">
        <w:rPr>
          <w:rFonts w:cs="Arial"/>
        </w:rP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Absätze</w:t>
      </w:r>
      <w:r w:rsidR="00132ABD">
        <w:t xml:space="preserve"> 122 bis</w:t>
      </w:r>
      <w:r w:rsidR="00FB297A">
        <w:t xml:space="preserve"> 124)</w:t>
      </w:r>
      <w:r w:rsidR="00196886" w:rsidRPr="00EA061E">
        <w:rPr>
          <w:rFonts w:cs="Arial"/>
        </w:rPr>
        <w:t>.</w:t>
      </w:r>
    </w:p>
    <w:p w:rsidR="00196886" w:rsidRDefault="00196886" w:rsidP="00196886">
      <w:pPr>
        <w:rPr>
          <w:rFonts w:cs="Arial"/>
        </w:rPr>
      </w:pPr>
    </w:p>
    <w:p w:rsidR="00196886" w:rsidRDefault="00196886" w:rsidP="00196886">
      <w:pPr>
        <w:rPr>
          <w:rFonts w:cs="Arial"/>
        </w:rPr>
      </w:pPr>
    </w:p>
    <w:p w:rsidR="00196886" w:rsidRPr="00E51962" w:rsidRDefault="00196886" w:rsidP="00747C66">
      <w:pPr>
        <w:pStyle w:val="Heading2"/>
      </w:pPr>
      <w:bookmarkStart w:id="51" w:name="_Toc368583023"/>
      <w:r w:rsidRPr="00E51962">
        <w:t>Mole</w:t>
      </w:r>
      <w:r w:rsidR="002530B7">
        <w:t>kulare Verfahren</w:t>
      </w:r>
      <w:bookmarkEnd w:id="51"/>
    </w:p>
    <w:p w:rsidR="00196886" w:rsidRPr="00E51962" w:rsidRDefault="00196886" w:rsidP="00196886">
      <w:pPr>
        <w:keepNext/>
        <w:rPr>
          <w:color w:val="000000"/>
        </w:rPr>
      </w:pPr>
    </w:p>
    <w:p w:rsidR="002530B7" w:rsidRPr="00E76F6C" w:rsidRDefault="00196886" w:rsidP="002530B7">
      <w:pPr>
        <w:rPr>
          <w:color w:val="000000"/>
          <w:lang w:val="de-DE" w:eastAsia="de-DE" w:bidi="de-DE"/>
        </w:rPr>
      </w:pPr>
      <w:r w:rsidRPr="00E51962">
        <w:rPr>
          <w:color w:val="000000"/>
        </w:rPr>
        <w:fldChar w:fldCharType="begin"/>
      </w:r>
      <w:r w:rsidRPr="00E51962">
        <w:rPr>
          <w:color w:val="000000"/>
        </w:rPr>
        <w:instrText xml:space="preserve"> AUTONUM  </w:instrText>
      </w:r>
      <w:r w:rsidRPr="00E51962">
        <w:rPr>
          <w:color w:val="000000"/>
        </w:rPr>
        <w:fldChar w:fldCharType="end"/>
      </w:r>
      <w:r w:rsidRPr="00E51962">
        <w:rPr>
          <w:color w:val="000000"/>
        </w:rPr>
        <w:tab/>
      </w:r>
      <w:r w:rsidR="002530B7" w:rsidRPr="00E76F6C">
        <w:rPr>
          <w:rFonts w:eastAsia="Calibri"/>
          <w:color w:val="000000"/>
          <w:lang w:val="de-DE" w:eastAsia="de-DE" w:bidi="de-DE"/>
        </w:rPr>
        <w:t xml:space="preserve">Der TC prüfte </w:t>
      </w:r>
      <w:r w:rsidR="002530B7">
        <w:rPr>
          <w:rFonts w:eastAsia="Calibri"/>
          <w:color w:val="000000"/>
          <w:lang w:val="de-DE" w:eastAsia="de-DE" w:bidi="de-DE"/>
        </w:rPr>
        <w:t xml:space="preserve">das </w:t>
      </w:r>
      <w:r w:rsidR="002530B7" w:rsidRPr="00E76F6C">
        <w:rPr>
          <w:rFonts w:eastAsia="Calibri"/>
          <w:color w:val="000000"/>
          <w:lang w:val="de-DE" w:eastAsia="de-DE" w:bidi="de-DE"/>
        </w:rPr>
        <w:t>Dokument TC/49/7 und nahm zur Kenntnis, daß Dokument TGP/15/1 Draft 4 unter Tagesordnungspunkt 7 „TGP-Dokumente” geprüft wurde (vergleiche Dokument TC/49/5).</w:t>
      </w:r>
    </w:p>
    <w:p w:rsidR="002530B7" w:rsidRPr="00E76F6C" w:rsidRDefault="002530B7" w:rsidP="002530B7">
      <w:pPr>
        <w:rPr>
          <w:color w:val="000000"/>
          <w:lang w:val="de-DE" w:eastAsia="de-DE" w:bidi="de-DE"/>
        </w:rPr>
      </w:pPr>
    </w:p>
    <w:p w:rsidR="002530B7" w:rsidRPr="00B027B0" w:rsidRDefault="002530B7" w:rsidP="00B027B0">
      <w:pPr>
        <w:pStyle w:val="Heading3"/>
      </w:pPr>
      <w:bookmarkStart w:id="52" w:name="_Toc368583024"/>
      <w:r w:rsidRPr="00B027B0">
        <w:t>Arbeitsgruppe für biochemische und molekulare Verfahren und insbesondere für DNS</w:t>
      </w:r>
      <w:r w:rsidRPr="00B027B0">
        <w:noBreakHyphen/>
        <w:t>Profilierungsverfahren (BMT)</w:t>
      </w:r>
      <w:bookmarkEnd w:id="52"/>
    </w:p>
    <w:p w:rsidR="002530B7" w:rsidRPr="00E76F6C" w:rsidRDefault="002530B7" w:rsidP="002530B7">
      <w:pPr>
        <w:keepNext/>
        <w:rPr>
          <w:color w:val="000000"/>
          <w:lang w:val="de-DE" w:eastAsia="de-DE" w:bidi="de-DE"/>
        </w:rPr>
      </w:pPr>
    </w:p>
    <w:p w:rsidR="00196886" w:rsidRPr="002530B7" w:rsidRDefault="002530B7" w:rsidP="00196886">
      <w:pPr>
        <w:rPr>
          <w:rFonts w:cs="Arial"/>
          <w:color w:val="000000"/>
          <w:lang w:eastAsia="ja-JP"/>
        </w:rPr>
      </w:pPr>
      <w:r w:rsidRPr="00E76F6C">
        <w:rPr>
          <w:color w:val="000000"/>
          <w:lang w:eastAsia="de-DE" w:bidi="de-DE"/>
        </w:rPr>
        <w:fldChar w:fldCharType="begin"/>
      </w:r>
      <w:r w:rsidRPr="00E76F6C">
        <w:rPr>
          <w:color w:val="000000"/>
          <w:lang w:val="de-DE" w:eastAsia="de-DE" w:bidi="de-DE"/>
        </w:rPr>
        <w:instrText xml:space="preserve"> AUTONUM  </w:instrText>
      </w:r>
      <w:r w:rsidRPr="00E76F6C">
        <w:rPr>
          <w:color w:val="000000"/>
          <w:lang w:eastAsia="de-DE" w:bidi="de-DE"/>
        </w:rPr>
        <w:fldChar w:fldCharType="end"/>
      </w:r>
      <w:r w:rsidRPr="00E76F6C">
        <w:rPr>
          <w:rFonts w:ascii="Calibri" w:eastAsia="Calibri" w:hAnsi="Calibri"/>
          <w:sz w:val="22"/>
          <w:szCs w:val="22"/>
          <w:lang w:val="de-DE" w:eastAsia="de-DE" w:bidi="de-DE"/>
        </w:rPr>
        <w:tab/>
      </w:r>
      <w:r w:rsidRPr="00E76F6C">
        <w:rPr>
          <w:rFonts w:eastAsia="Calibri"/>
          <w:color w:val="000000"/>
          <w:lang w:val="de-DE" w:eastAsia="de-DE" w:bidi="de-DE"/>
        </w:rPr>
        <w:t>Der TC vereinbarte, die Abhaltung einer koordinierten Sitzung der vierzehnten Tagung der BMT mit Sitzungen von anderen einschlägigen internationalen Organisatione</w:t>
      </w:r>
      <w:r>
        <w:rPr>
          <w:rFonts w:eastAsia="Calibri"/>
          <w:color w:val="000000"/>
          <w:lang w:val="de-DE" w:eastAsia="de-DE" w:bidi="de-DE"/>
        </w:rPr>
        <w:t>n im Jahr 2014, wie in Dokument </w:t>
      </w:r>
      <w:r w:rsidRPr="00E76F6C">
        <w:rPr>
          <w:rFonts w:eastAsia="Calibri"/>
          <w:color w:val="000000"/>
          <w:lang w:val="de-DE" w:eastAsia="de-DE" w:bidi="de-DE"/>
        </w:rPr>
        <w:t>TC/49/7 dargelegt, vorzuschlagen. Er vereinbarte ferner, daß in der Zwischenzeit eine Tagung der BMT anberaumt werden solle, falls es nicht möglich sei, im Jahr 2014 eine gemeinsame Tagung mit anderen Organisationen abzuhalten</w:t>
      </w:r>
      <w:r>
        <w:rPr>
          <w:rFonts w:cs="Arial"/>
          <w:color w:val="000000"/>
          <w:lang w:eastAsia="ja-JP"/>
        </w:rPr>
        <w:t xml:space="preserve"> </w:t>
      </w:r>
      <w:r w:rsidR="00FB297A">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FB297A">
        <w:t> 126)</w:t>
      </w:r>
      <w:r w:rsidR="00196886">
        <w:rPr>
          <w:rFonts w:cs="Arial"/>
          <w:color w:val="000000"/>
          <w:lang w:eastAsia="ja-JP"/>
        </w:rPr>
        <w:t xml:space="preserve">. </w:t>
      </w:r>
    </w:p>
    <w:p w:rsidR="00196886" w:rsidRDefault="00196886" w:rsidP="00747C66"/>
    <w:p w:rsidR="00196886" w:rsidRDefault="00196886" w:rsidP="00747C66"/>
    <w:p w:rsidR="00196886" w:rsidRPr="00AF3189" w:rsidRDefault="00AF3189" w:rsidP="00AF3189">
      <w:pPr>
        <w:keepNext/>
        <w:outlineLvl w:val="1"/>
        <w:rPr>
          <w:u w:val="single"/>
          <w:lang w:val="de-DE" w:eastAsia="de-DE" w:bidi="de-DE"/>
        </w:rPr>
      </w:pPr>
      <w:bookmarkStart w:id="53" w:name="_Toc368583025"/>
      <w:r w:rsidRPr="00E76F6C">
        <w:rPr>
          <w:rFonts w:eastAsia="Calibri"/>
          <w:u w:val="single"/>
          <w:lang w:val="de-DE" w:eastAsia="de-DE" w:bidi="de-DE"/>
        </w:rPr>
        <w:t>Erörterungen über molekulare Verfahren</w:t>
      </w:r>
      <w:r w:rsidR="00D04C35">
        <w:rPr>
          <w:rStyle w:val="FootnoteReference"/>
        </w:rPr>
        <w:footnoteReference w:id="2"/>
      </w:r>
      <w:bookmarkEnd w:id="53"/>
    </w:p>
    <w:p w:rsidR="00196886" w:rsidRPr="00E51962" w:rsidRDefault="00196886" w:rsidP="00196886">
      <w:pPr>
        <w:keepNext/>
        <w:rPr>
          <w:snapToGrid w:val="0"/>
        </w:rPr>
      </w:pPr>
    </w:p>
    <w:p w:rsidR="00AF3189" w:rsidRPr="00E76F6C" w:rsidRDefault="00AF3189" w:rsidP="00B027B0">
      <w:pPr>
        <w:pStyle w:val="Heading3"/>
      </w:pPr>
      <w:bookmarkStart w:id="54" w:name="_Toc368583026"/>
      <w:r w:rsidRPr="00E76F6C">
        <w:t>Anwendung von Modellen durch Verbandsmitglieder</w:t>
      </w:r>
      <w:bookmarkEnd w:id="54"/>
    </w:p>
    <w:p w:rsidR="00AF3189" w:rsidRPr="00E76F6C" w:rsidRDefault="00AF3189" w:rsidP="00AF3189">
      <w:pPr>
        <w:keepNext/>
        <w:ind w:left="567"/>
        <w:rPr>
          <w:snapToGrid w:val="0"/>
          <w:lang w:val="de-DE" w:eastAsia="de-DE" w:bidi="de-DE"/>
        </w:rPr>
      </w:pPr>
    </w:p>
    <w:p w:rsidR="00196886" w:rsidRPr="00AF3189" w:rsidRDefault="00AF3189" w:rsidP="00AF3189">
      <w:pPr>
        <w:keepNext/>
        <w:ind w:left="567"/>
        <w:outlineLvl w:val="3"/>
        <w:rPr>
          <w:i/>
          <w:caps/>
          <w:snapToGrid w:val="0"/>
          <w:lang w:val="de-DE" w:eastAsia="de-DE" w:bidi="de-DE"/>
        </w:rPr>
      </w:pPr>
      <w:r w:rsidRPr="00AF3189">
        <w:rPr>
          <w:rFonts w:eastAsia="Calibri"/>
          <w:i/>
          <w:caps/>
          <w:snapToGrid w:val="0"/>
          <w:lang w:val="de-DE" w:eastAsia="de-DE" w:bidi="de-DE"/>
        </w:rPr>
        <w:t>Verwendung merkmalsspezifischer molekularer Marker zur Prüfung des Wechselverhaltens von Gerste</w:t>
      </w:r>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r>
      <w:r w:rsidR="00AF3189" w:rsidRPr="00E76F6C">
        <w:rPr>
          <w:rFonts w:eastAsia="Calibri"/>
          <w:lang w:val="de-DE" w:eastAsia="de-DE" w:bidi="de-DE"/>
        </w:rPr>
        <w:t xml:space="preserve">Der TC hörte ein Referat über die Verwendung </w:t>
      </w:r>
      <w:r w:rsidR="00AF3189">
        <w:rPr>
          <w:rFonts w:eastAsia="Calibri"/>
          <w:lang w:val="de-DE" w:eastAsia="de-DE" w:bidi="de-DE"/>
        </w:rPr>
        <w:t>merkmals</w:t>
      </w:r>
      <w:r w:rsidR="00AF3189" w:rsidRPr="00E76F6C">
        <w:rPr>
          <w:rFonts w:eastAsia="Calibri"/>
          <w:lang w:val="de-DE" w:eastAsia="de-DE" w:bidi="de-DE"/>
        </w:rPr>
        <w:t>spezifischer molekularer Marker zur Prüfung des Wechselverhaltens von Gerste von Herrn Andrew Mitchell (Vereinigtes Königreich)</w:t>
      </w:r>
      <w:r w:rsidR="00AF3189">
        <w:rPr>
          <w:rFonts w:eastAsia="Calibri"/>
          <w:lang w:val="de-DE" w:eastAsia="de-DE" w:bidi="de-DE"/>
        </w:rPr>
        <w:t xml:space="preserve"> </w:t>
      </w:r>
      <w:r w:rsidR="00302B5C">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302B5C">
        <w:t> 127)</w:t>
      </w:r>
      <w:r w:rsidRPr="00E51962">
        <w:t>.</w:t>
      </w:r>
    </w:p>
    <w:p w:rsidR="00196886" w:rsidRPr="00E51962" w:rsidRDefault="00196886" w:rsidP="00196886"/>
    <w:p w:rsidR="00364435" w:rsidRPr="00364435" w:rsidRDefault="00364435" w:rsidP="00364435">
      <w:pPr>
        <w:keepNext/>
        <w:ind w:left="567"/>
        <w:outlineLvl w:val="3"/>
        <w:rPr>
          <w:i/>
          <w:caps/>
          <w:snapToGrid w:val="0"/>
          <w:lang w:val="de-DE" w:eastAsia="de-DE" w:bidi="de-DE"/>
        </w:rPr>
      </w:pPr>
      <w:r w:rsidRPr="00364435">
        <w:rPr>
          <w:rFonts w:eastAsia="Calibri"/>
          <w:i/>
          <w:caps/>
          <w:snapToGrid w:val="0"/>
          <w:lang w:val="de-DE" w:eastAsia="de-DE" w:bidi="de-DE"/>
        </w:rPr>
        <w:t>Anwendungen molekularer Daten bei der DUS-Prüfung</w:t>
      </w:r>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r>
      <w:r w:rsidR="00364435" w:rsidRPr="00E76F6C">
        <w:rPr>
          <w:rFonts w:eastAsia="Calibri"/>
          <w:lang w:val="de-DE" w:eastAsia="de-DE" w:bidi="de-DE"/>
        </w:rPr>
        <w:t>Der TC hörte ein Referat über die Verwendung molekularer Date</w:t>
      </w:r>
      <w:r w:rsidR="00364435">
        <w:rPr>
          <w:rFonts w:eastAsia="Calibri"/>
          <w:lang w:val="de-DE" w:eastAsia="de-DE" w:bidi="de-DE"/>
        </w:rPr>
        <w:t>n bei der DUS-Prüfung von Herrn Joël Guiard (Frankreich)</w:t>
      </w:r>
      <w:r w:rsidR="00302B5C">
        <w:t xml:space="preserve"> (</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B027B0">
        <w:t> </w:t>
      </w:r>
      <w:r w:rsidR="00302B5C">
        <w:t>128)</w:t>
      </w:r>
      <w:r w:rsidRPr="00E51962">
        <w:t>.</w:t>
      </w:r>
    </w:p>
    <w:p w:rsidR="00196886" w:rsidRPr="00E51962" w:rsidRDefault="00196886" w:rsidP="00196886"/>
    <w:p w:rsidR="00196886" w:rsidRPr="002274F6" w:rsidRDefault="00364435" w:rsidP="003372B4">
      <w:pPr>
        <w:pStyle w:val="Heading4"/>
      </w:pPr>
      <w:r>
        <w:rPr>
          <w:rFonts w:eastAsia="Calibri"/>
          <w:snapToGrid w:val="0"/>
          <w:lang w:val="de-DE" w:eastAsia="de-DE" w:bidi="de-DE"/>
        </w:rPr>
        <w:lastRenderedPageBreak/>
        <w:t>Verwendung</w:t>
      </w:r>
      <w:r w:rsidRPr="00E76F6C">
        <w:rPr>
          <w:rFonts w:eastAsia="Calibri"/>
          <w:snapToGrid w:val="0"/>
          <w:lang w:val="de-DE" w:eastAsia="de-DE" w:bidi="de-DE"/>
        </w:rPr>
        <w:t xml:space="preserve"> molekularer Verfahren in Brasilien</w:t>
      </w:r>
      <w:r w:rsidRPr="002274F6">
        <w:t xml:space="preserve"> </w:t>
      </w:r>
      <w:r w:rsidR="00196886" w:rsidRPr="002274F6">
        <w:t xml:space="preserve">  </w:t>
      </w:r>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r>
      <w:r w:rsidR="00364435" w:rsidRPr="00E76F6C">
        <w:rPr>
          <w:rFonts w:eastAsia="Calibri"/>
          <w:lang w:val="de-DE" w:eastAsia="de-DE" w:bidi="de-DE"/>
        </w:rPr>
        <w:t>Der TC hörte ein Referat über die Anwendung molekularer V</w:t>
      </w:r>
      <w:r w:rsidR="00364435">
        <w:rPr>
          <w:rFonts w:eastAsia="Calibri"/>
          <w:lang w:val="de-DE" w:eastAsia="de-DE" w:bidi="de-DE"/>
        </w:rPr>
        <w:t>erfahren in Brasilien von Herrn </w:t>
      </w:r>
      <w:r w:rsidR="00364435" w:rsidRPr="00E76F6C">
        <w:rPr>
          <w:rFonts w:eastAsia="Calibri"/>
          <w:lang w:val="de-DE" w:eastAsia="de-DE" w:bidi="de-DE"/>
        </w:rPr>
        <w:t>Fabricio Santana Santos (Brasilien)</w:t>
      </w:r>
      <w:r w:rsidR="00364435">
        <w:rPr>
          <w:rFonts w:eastAsia="Calibri"/>
          <w:lang w:val="de-DE" w:eastAsia="de-DE" w:bidi="de-DE"/>
        </w:rPr>
        <w:t xml:space="preserve"> </w:t>
      </w:r>
      <w:r w:rsidR="00302B5C">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302B5C">
        <w:t>129)</w:t>
      </w:r>
      <w:r w:rsidRPr="00E51962">
        <w:t>.</w:t>
      </w:r>
    </w:p>
    <w:p w:rsidR="00196886" w:rsidRPr="00E51962" w:rsidRDefault="00196886" w:rsidP="00196886"/>
    <w:p w:rsidR="00196886" w:rsidRPr="002274F6" w:rsidRDefault="00781926" w:rsidP="003372B4">
      <w:pPr>
        <w:pStyle w:val="Heading4"/>
      </w:pPr>
      <w:r w:rsidRPr="00E76F6C">
        <w:rPr>
          <w:rFonts w:eastAsia="Calibri"/>
          <w:snapToGrid w:val="0"/>
          <w:lang w:val="de-DE" w:eastAsia="de-DE" w:bidi="de-DE"/>
        </w:rPr>
        <w:t>Verwendung molekularer Verfahren bei der Erneuerung von Referenzmaterial</w:t>
      </w:r>
    </w:p>
    <w:p w:rsidR="00196886" w:rsidRPr="00E51962" w:rsidRDefault="00196886" w:rsidP="00196886">
      <w:pPr>
        <w:keepNext/>
      </w:pPr>
    </w:p>
    <w:p w:rsidR="00196886" w:rsidRPr="00E51962" w:rsidRDefault="00196886" w:rsidP="001635AA">
      <w:r w:rsidRPr="00E51962">
        <w:fldChar w:fldCharType="begin"/>
      </w:r>
      <w:r w:rsidRPr="00E51962">
        <w:instrText xml:space="preserve"> AUTONUM  </w:instrText>
      </w:r>
      <w:r w:rsidRPr="00E51962">
        <w:fldChar w:fldCharType="end"/>
      </w:r>
      <w:r w:rsidRPr="00E51962">
        <w:tab/>
      </w:r>
      <w:r w:rsidR="00781926" w:rsidRPr="00E76F6C">
        <w:rPr>
          <w:rFonts w:eastAsia="Calibri"/>
          <w:lang w:val="de-DE" w:eastAsia="de-DE" w:bidi="de-DE"/>
        </w:rPr>
        <w:t>Der TC hörte ein Referat über die Verwendung molekularer Verfahren bei der Erneuerung von Referenzmaterial von Herrn Kees van Ettekoven (Niederlande)</w:t>
      </w:r>
      <w:r w:rsidR="00302B5C">
        <w:t xml:space="preserve"> (</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302B5C">
        <w:t>130).</w:t>
      </w:r>
    </w:p>
    <w:p w:rsidR="00196886" w:rsidRPr="00E51962" w:rsidRDefault="00196886" w:rsidP="001635AA"/>
    <w:p w:rsidR="00781926" w:rsidRPr="00781926" w:rsidRDefault="00781926" w:rsidP="00B027B0">
      <w:pPr>
        <w:pStyle w:val="Heading3"/>
      </w:pPr>
      <w:bookmarkStart w:id="55" w:name="_Toc368583027"/>
      <w:r w:rsidRPr="00781926">
        <w:t>Darlegung der Lage im Hinblick auf molekulare Verfahren in anderen internationalen Organisationen</w:t>
      </w:r>
      <w:bookmarkEnd w:id="55"/>
    </w:p>
    <w:p w:rsidR="00781926" w:rsidRPr="00781926" w:rsidRDefault="00781926" w:rsidP="001635AA">
      <w:pPr>
        <w:rPr>
          <w:snapToGrid w:val="0"/>
          <w:lang w:val="de-DE" w:eastAsia="de-DE" w:bidi="de-DE"/>
        </w:rPr>
      </w:pPr>
    </w:p>
    <w:p w:rsidR="00781926" w:rsidRPr="00CB0C58" w:rsidRDefault="00781926" w:rsidP="001635AA">
      <w:pPr>
        <w:pStyle w:val="Heading4"/>
      </w:pPr>
      <w:r w:rsidRPr="00CB0C58">
        <w:t>Lage im Hinblick auf die Verwendung molekularer Verfahren in bezug auf Saatgut bei der Internationalen Organisation für Normung</w:t>
      </w:r>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r>
      <w:r w:rsidR="005C25DB" w:rsidRPr="00E76F6C">
        <w:rPr>
          <w:rFonts w:eastAsia="Calibri"/>
          <w:lang w:val="de-DE" w:eastAsia="de-DE" w:bidi="de-DE"/>
        </w:rPr>
        <w:t>Der TC hörte ein Referat über die Lage bezüglich der Verwe</w:t>
      </w:r>
      <w:r w:rsidR="005C25DB">
        <w:rPr>
          <w:rFonts w:eastAsia="Calibri"/>
          <w:lang w:val="de-DE" w:eastAsia="de-DE" w:bidi="de-DE"/>
        </w:rPr>
        <w:t>ndung molekularer Verfahren in b</w:t>
      </w:r>
      <w:r w:rsidR="005C25DB" w:rsidRPr="00E76F6C">
        <w:rPr>
          <w:rFonts w:eastAsia="Calibri"/>
          <w:lang w:val="de-DE" w:eastAsia="de-DE" w:bidi="de-DE"/>
        </w:rPr>
        <w:t>ezug auf Saatgut bei der Internationalen Organisation für Normung (ISO), das von Herrn Michael Sussman (ISO) ausgearbeitet und von Herrn Paul Zankowski (Vereinigte Staaten von Amerika) vorgetragen wurde</w:t>
      </w:r>
      <w:r w:rsidR="00302B5C">
        <w:t xml:space="preserve"> (</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302B5C">
        <w:t> 131)</w:t>
      </w:r>
      <w:r w:rsidRPr="00E51962">
        <w:t>.</w:t>
      </w:r>
    </w:p>
    <w:p w:rsidR="00196886" w:rsidRDefault="00196886" w:rsidP="00196886"/>
    <w:p w:rsidR="00E7305A" w:rsidRPr="00E7305A" w:rsidRDefault="00E7305A" w:rsidP="00E7305A">
      <w:pPr>
        <w:keepNext/>
        <w:ind w:left="567"/>
        <w:outlineLvl w:val="3"/>
        <w:rPr>
          <w:i/>
          <w:caps/>
          <w:snapToGrid w:val="0"/>
          <w:lang w:val="de-DE" w:eastAsia="de-DE" w:bidi="de-DE"/>
        </w:rPr>
      </w:pPr>
      <w:r w:rsidRPr="00E7305A">
        <w:rPr>
          <w:rFonts w:eastAsia="Calibri"/>
          <w:i/>
          <w:caps/>
          <w:snapToGrid w:val="0"/>
          <w:lang w:val="de-DE" w:eastAsia="de-DE" w:bidi="de-DE"/>
        </w:rPr>
        <w:t>Lage im Hinblick auf die Verwendung molekularer Verfahren bei der Internationalen Vereingigung für Saatgutprüfung</w:t>
      </w:r>
    </w:p>
    <w:p w:rsidR="00196886" w:rsidRPr="00E51962" w:rsidRDefault="00196886" w:rsidP="00196886"/>
    <w:p w:rsidR="00196886" w:rsidRDefault="00196886" w:rsidP="00196886">
      <w:r w:rsidRPr="00E51962">
        <w:fldChar w:fldCharType="begin"/>
      </w:r>
      <w:r w:rsidRPr="00E51962">
        <w:instrText xml:space="preserve"> AUTONUM  </w:instrText>
      </w:r>
      <w:r w:rsidRPr="00E51962">
        <w:fldChar w:fldCharType="end"/>
      </w:r>
      <w:r w:rsidRPr="00E51962">
        <w:tab/>
      </w:r>
      <w:r w:rsidR="00E7305A" w:rsidRPr="00E76F6C">
        <w:rPr>
          <w:rFonts w:eastAsia="Calibri"/>
          <w:lang w:val="de-DE" w:eastAsia="de-DE" w:bidi="de-DE"/>
        </w:rPr>
        <w:t xml:space="preserve">Der TC hörte ein Referat über die Lage im Hinblick auf die Verwendung molekularer Verfahren bei der Internationalen </w:t>
      </w:r>
      <w:r w:rsidR="00E7305A" w:rsidRPr="00D46E19">
        <w:rPr>
          <w:rFonts w:eastAsia="Calibri"/>
          <w:lang w:val="de-DE" w:eastAsia="de-DE" w:bidi="de-DE"/>
        </w:rPr>
        <w:t>Vereingigung für Saatgutprüfung</w:t>
      </w:r>
      <w:r w:rsidR="00E7305A" w:rsidRPr="00E76F6C">
        <w:rPr>
          <w:rFonts w:eastAsia="Calibri"/>
          <w:lang w:val="de-DE" w:eastAsia="de-DE" w:bidi="de-DE"/>
        </w:rPr>
        <w:t xml:space="preserve"> (ISTA) von Frau Rita Zecch</w:t>
      </w:r>
      <w:r w:rsidR="00E7305A">
        <w:rPr>
          <w:rFonts w:eastAsia="Calibri"/>
          <w:lang w:val="de-DE" w:eastAsia="de-DE" w:bidi="de-DE"/>
        </w:rPr>
        <w:t>inelli (ISTA), während dem Frau </w:t>
      </w:r>
      <w:r w:rsidR="00E7305A" w:rsidRPr="00E76F6C">
        <w:rPr>
          <w:rFonts w:eastAsia="Calibri"/>
          <w:lang w:val="de-DE" w:eastAsia="de-DE" w:bidi="de-DE"/>
        </w:rPr>
        <w:t>Rita Zecchinelli anmerkte, daß die ISTA eine gemeinsame Sitzung mit der UPOV unterstütze</w:t>
      </w:r>
      <w:r w:rsidR="00302B5C">
        <w:t xml:space="preserve"> (</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302B5C">
        <w:t>132)</w:t>
      </w:r>
      <w:r>
        <w:t>.</w:t>
      </w:r>
    </w:p>
    <w:p w:rsidR="00196886" w:rsidRPr="00E51962" w:rsidRDefault="00196886" w:rsidP="00196886"/>
    <w:p w:rsidR="00197FFD" w:rsidRPr="00197FFD" w:rsidRDefault="00197FFD" w:rsidP="00197FFD">
      <w:pPr>
        <w:keepNext/>
        <w:ind w:left="567"/>
        <w:outlineLvl w:val="3"/>
        <w:rPr>
          <w:i/>
          <w:caps/>
          <w:snapToGrid w:val="0"/>
          <w:lang w:val="de-DE" w:eastAsia="de-DE" w:bidi="de-DE"/>
        </w:rPr>
      </w:pPr>
      <w:r w:rsidRPr="00197FFD">
        <w:rPr>
          <w:rFonts w:eastAsia="Calibri"/>
          <w:i/>
          <w:caps/>
          <w:snapToGrid w:val="0"/>
          <w:lang w:val="de-DE" w:eastAsia="de-DE" w:bidi="de-DE"/>
        </w:rPr>
        <w:t>Lage im Hinblick auf die Verwendung molekularer Verfahren bei der Organisation für wirtschaftliche Zusammenarbeit und Entwicklung</w:t>
      </w:r>
    </w:p>
    <w:p w:rsidR="00196886" w:rsidRPr="00E51962" w:rsidRDefault="00196886" w:rsidP="00196886">
      <w:pPr>
        <w:keepNext/>
      </w:pPr>
    </w:p>
    <w:p w:rsidR="00196886" w:rsidRDefault="00196886" w:rsidP="00196886">
      <w:r w:rsidRPr="00E51962">
        <w:fldChar w:fldCharType="begin"/>
      </w:r>
      <w:r w:rsidRPr="00E51962">
        <w:instrText xml:space="preserve"> AUTONUM  </w:instrText>
      </w:r>
      <w:r w:rsidRPr="00E51962">
        <w:fldChar w:fldCharType="end"/>
      </w:r>
      <w:r w:rsidRPr="00E51962">
        <w:tab/>
      </w:r>
      <w:r w:rsidR="00197FFD" w:rsidRPr="00E76F6C">
        <w:rPr>
          <w:rFonts w:eastAsia="Calibri"/>
          <w:lang w:val="de-DE" w:eastAsia="de-DE" w:bidi="de-DE"/>
        </w:rPr>
        <w:t xml:space="preserve">Der TC hörte ein Referat über die Lage im Hinblick auf die Verwendung molekularer Verfahren bei der </w:t>
      </w:r>
      <w:r w:rsidR="00197FFD">
        <w:rPr>
          <w:rFonts w:eastAsia="Calibri"/>
          <w:lang w:val="de-DE" w:eastAsia="de-DE" w:bidi="de-DE"/>
        </w:rPr>
        <w:t>Organisation für w</w:t>
      </w:r>
      <w:r w:rsidR="00197FFD" w:rsidRPr="00E76F6C">
        <w:rPr>
          <w:rFonts w:eastAsia="Calibri"/>
          <w:lang w:val="de-DE" w:eastAsia="de-DE" w:bidi="de-DE"/>
        </w:rPr>
        <w:t>irtschaftliche Zusammenarbeit und Entwicklung (OECD) von Herrn Michael Ryan (OECD), während dem Herr Ryan anmerkte, daß die OECD eine gemeinsame Sitzung mit der UPOV unterstütze</w:t>
      </w:r>
      <w:r w:rsidR="00302B5C">
        <w:t xml:space="preserve"> (</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132ABD">
        <w:t xml:space="preserve"> </w:t>
      </w:r>
      <w:r w:rsidR="00302B5C">
        <w:t>133)</w:t>
      </w:r>
      <w:r>
        <w:t>.</w:t>
      </w:r>
    </w:p>
    <w:p w:rsidR="00196886" w:rsidRDefault="00196886" w:rsidP="00196886"/>
    <w:p w:rsidR="00196886" w:rsidRPr="00CB0C58" w:rsidRDefault="00CB0C58" w:rsidP="00B027B0">
      <w:pPr>
        <w:pStyle w:val="Heading3"/>
      </w:pPr>
      <w:bookmarkStart w:id="56" w:name="_Toc368583028"/>
      <w:r>
        <w:t>E</w:t>
      </w:r>
      <w:r w:rsidR="00197FFD" w:rsidRPr="00CB0C58">
        <w:t>rörterung</w:t>
      </w:r>
      <w:bookmarkEnd w:id="56"/>
    </w:p>
    <w:p w:rsidR="00196886" w:rsidRDefault="00196886" w:rsidP="00196886">
      <w:pPr>
        <w:keepNext/>
      </w:pPr>
    </w:p>
    <w:p w:rsidR="00197FFD" w:rsidRPr="00006DD0" w:rsidRDefault="00196886" w:rsidP="00197FFD">
      <w:pPr>
        <w:keepNext/>
        <w:rPr>
          <w:lang w:val="de-DE"/>
        </w:rPr>
      </w:pPr>
      <w:r>
        <w:fldChar w:fldCharType="begin"/>
      </w:r>
      <w:r>
        <w:instrText xml:space="preserve"> AUTONUM  </w:instrText>
      </w:r>
      <w:r>
        <w:fldChar w:fldCharType="end"/>
      </w:r>
      <w:r>
        <w:tab/>
      </w:r>
      <w:r w:rsidR="00197FFD" w:rsidRPr="00006DD0">
        <w:rPr>
          <w:lang w:val="de-DE"/>
        </w:rPr>
        <w:t>Der TC rief in Erinnerung, daß die BMT eine den DUS-Sachverständigen, biochemischen und molekularen Fachleuten und Pflanzenzüchtern offenstehende Gruppe ist. Sie betrachtet es als ihre Funktion:</w:t>
      </w:r>
    </w:p>
    <w:p w:rsidR="00197FFD" w:rsidRPr="00006DD0" w:rsidRDefault="00197FFD" w:rsidP="00197FFD">
      <w:pPr>
        <w:ind w:left="567"/>
        <w:rPr>
          <w:lang w:val="de-DE"/>
        </w:rPr>
      </w:pPr>
    </w:p>
    <w:p w:rsidR="00197FFD" w:rsidRPr="00006DD0" w:rsidRDefault="00197FFD" w:rsidP="00197FFD">
      <w:pPr>
        <w:ind w:left="567"/>
        <w:rPr>
          <w:lang w:val="de-DE"/>
        </w:rPr>
      </w:pPr>
      <w:r w:rsidRPr="00006DD0">
        <w:rPr>
          <w:lang w:val="de-DE"/>
        </w:rPr>
        <w:t>i) die allgemeinen Entwicklungen auf dem Gebiet der biochemischen und molekularen Verfahren zu überprüfen;</w:t>
      </w:r>
    </w:p>
    <w:p w:rsidR="00197FFD" w:rsidRPr="00006DD0" w:rsidRDefault="00197FFD" w:rsidP="00197FFD">
      <w:pPr>
        <w:ind w:left="567"/>
        <w:rPr>
          <w:lang w:val="de-DE"/>
        </w:rPr>
      </w:pPr>
    </w:p>
    <w:p w:rsidR="00197FFD" w:rsidRPr="00006DD0" w:rsidRDefault="00197FFD" w:rsidP="00197FFD">
      <w:pPr>
        <w:ind w:left="567"/>
        <w:rPr>
          <w:lang w:val="de-DE"/>
        </w:rPr>
      </w:pPr>
      <w:r w:rsidRPr="00006DD0">
        <w:rPr>
          <w:lang w:val="de-DE"/>
        </w:rPr>
        <w:t>ii) die Kenntnis einschlägiger Anwendungen biochemischer und molekularer Verfahren in der Pflanzenzüchtung aufrechtzuerhalten;</w:t>
      </w:r>
    </w:p>
    <w:p w:rsidR="00197FFD" w:rsidRPr="00006DD0" w:rsidRDefault="00197FFD" w:rsidP="00197FFD">
      <w:pPr>
        <w:ind w:left="567"/>
        <w:rPr>
          <w:lang w:val="de-DE"/>
        </w:rPr>
      </w:pPr>
    </w:p>
    <w:p w:rsidR="00197FFD" w:rsidRPr="00006DD0" w:rsidRDefault="00197FFD" w:rsidP="00197FFD">
      <w:pPr>
        <w:ind w:left="567"/>
        <w:rPr>
          <w:lang w:val="de-DE"/>
        </w:rPr>
      </w:pPr>
      <w:r w:rsidRPr="00006DD0">
        <w:rPr>
          <w:lang w:val="de-DE"/>
        </w:rPr>
        <w:t>iii) die mögliche Anwendung biochemischer und molekularer Verfahren bei der DUS-Prüfung zu untersuchen und ihre Überlegungen dem Technischen Ausschuß darzulegen;</w:t>
      </w:r>
    </w:p>
    <w:p w:rsidR="00197FFD" w:rsidRPr="00006DD0" w:rsidRDefault="00197FFD" w:rsidP="00197FFD">
      <w:pPr>
        <w:ind w:left="567"/>
        <w:rPr>
          <w:lang w:val="de-DE"/>
        </w:rPr>
      </w:pPr>
    </w:p>
    <w:p w:rsidR="00197FFD" w:rsidRPr="00006DD0" w:rsidRDefault="00197FFD" w:rsidP="00197FFD">
      <w:pPr>
        <w:ind w:left="567"/>
        <w:rPr>
          <w:lang w:val="de-DE"/>
        </w:rPr>
      </w:pPr>
      <w:r w:rsidRPr="00006DD0">
        <w:rPr>
          <w:lang w:val="de-DE"/>
        </w:rPr>
        <w:t>iv) gegebenenfalls Richtlinien für biochemische und molekulare Verfahren und deren Harmonisierung aufzustellen und insbesondere Beiträge zur Erstellu</w:t>
      </w:r>
      <w:bookmarkStart w:id="57" w:name="_GoBack"/>
      <w:bookmarkEnd w:id="57"/>
      <w:r w:rsidRPr="00006DD0">
        <w:rPr>
          <w:lang w:val="de-DE"/>
        </w:rPr>
        <w:t>ng des Dokuments TGP/15 „Neue Merkmalstypen“ zu leisten. Diese Richtlinien sollen in Verbindung mit den Technischen Arbeitsgruppen entwickelt werden;</w:t>
      </w:r>
    </w:p>
    <w:p w:rsidR="00197FFD" w:rsidRPr="00006DD0" w:rsidRDefault="00197FFD" w:rsidP="00197FFD">
      <w:pPr>
        <w:ind w:left="567"/>
        <w:rPr>
          <w:lang w:val="de-DE"/>
        </w:rPr>
      </w:pPr>
    </w:p>
    <w:p w:rsidR="00197FFD" w:rsidRPr="00006DD0" w:rsidRDefault="00197FFD" w:rsidP="00197FFD">
      <w:pPr>
        <w:ind w:left="567"/>
        <w:rPr>
          <w:lang w:val="de-DE"/>
        </w:rPr>
      </w:pPr>
      <w:r w:rsidRPr="00006DD0">
        <w:rPr>
          <w:lang w:val="de-DE"/>
        </w:rPr>
        <w:t>v) Initiativen der TWP zur Einsetzung artenspezifischer Untergruppen zu prüfen, indem den verfügbaren Informationen und der Notwendigkeit biochemischer und molekularer Verfahren Rechnung getragen wird;</w:t>
      </w:r>
    </w:p>
    <w:p w:rsidR="00197FFD" w:rsidRPr="00006DD0" w:rsidRDefault="00197FFD" w:rsidP="00197FFD">
      <w:pPr>
        <w:ind w:left="567"/>
        <w:rPr>
          <w:lang w:val="de-DE"/>
        </w:rPr>
      </w:pPr>
    </w:p>
    <w:p w:rsidR="00197FFD" w:rsidRPr="00006DD0" w:rsidRDefault="00197FFD" w:rsidP="00197FFD">
      <w:pPr>
        <w:ind w:left="567"/>
        <w:rPr>
          <w:lang w:val="de-DE"/>
        </w:rPr>
      </w:pPr>
      <w:r w:rsidRPr="00006DD0">
        <w:rPr>
          <w:lang w:val="de-DE"/>
        </w:rPr>
        <w:lastRenderedPageBreak/>
        <w:t>vi) Richtlinien für die Verwaltung und Harmonisierung von Datenbanken mit biochemischen und molekularen Informationen in Verbindung mit der TWC aufzustellen;</w:t>
      </w:r>
    </w:p>
    <w:p w:rsidR="00197FFD" w:rsidRPr="00006DD0" w:rsidRDefault="00197FFD" w:rsidP="00197FFD">
      <w:pPr>
        <w:ind w:left="567"/>
        <w:rPr>
          <w:lang w:val="de-DE"/>
        </w:rPr>
      </w:pPr>
    </w:p>
    <w:p w:rsidR="00197FFD" w:rsidRPr="00006DD0" w:rsidRDefault="00197FFD" w:rsidP="00197FFD">
      <w:pPr>
        <w:ind w:left="567"/>
        <w:rPr>
          <w:lang w:val="de-DE"/>
        </w:rPr>
      </w:pPr>
      <w:r w:rsidRPr="00006DD0">
        <w:rPr>
          <w:lang w:val="de-DE"/>
        </w:rPr>
        <w:t>vii) die Berichte der artenspezifischen Untergruppen und der BMT-Überprüfungsgruppe entgegenzunehmen;</w:t>
      </w:r>
    </w:p>
    <w:p w:rsidR="00197FFD" w:rsidRPr="00006DD0" w:rsidRDefault="00197FFD" w:rsidP="00197FFD">
      <w:pPr>
        <w:ind w:left="567"/>
        <w:rPr>
          <w:lang w:val="de-DE"/>
        </w:rPr>
      </w:pPr>
    </w:p>
    <w:p w:rsidR="00197FFD" w:rsidRPr="00006DD0" w:rsidRDefault="00197FFD" w:rsidP="00197FFD">
      <w:pPr>
        <w:ind w:left="567"/>
        <w:rPr>
          <w:lang w:val="de-DE"/>
        </w:rPr>
      </w:pPr>
      <w:r w:rsidRPr="00006DD0">
        <w:rPr>
          <w:lang w:val="de-DE"/>
        </w:rPr>
        <w:t>viii) ein Diskussionsforum über die Anwendung biochemischer und molekularer Verfahren bei der Prüfung der wesentlichen Ableitung und bei der Sortenidentifikation bereitzustellen.</w:t>
      </w:r>
    </w:p>
    <w:p w:rsidR="00197FFD" w:rsidRPr="00006DD0" w:rsidRDefault="00197FFD" w:rsidP="00197FFD">
      <w:pPr>
        <w:rPr>
          <w:lang w:val="de-DE"/>
        </w:rPr>
      </w:pPr>
    </w:p>
    <w:p w:rsidR="00197FFD" w:rsidRPr="00006DD0" w:rsidRDefault="00197FFD" w:rsidP="00197FFD">
      <w:pPr>
        <w:rPr>
          <w:lang w:val="de-DE"/>
        </w:rPr>
      </w:pPr>
      <w:r w:rsidRPr="00165348">
        <w:fldChar w:fldCharType="begin"/>
      </w:r>
      <w:r w:rsidRPr="00006DD0">
        <w:rPr>
          <w:lang w:val="de-DE"/>
        </w:rPr>
        <w:instrText xml:space="preserve"> AUTONUM  </w:instrText>
      </w:r>
      <w:r w:rsidRPr="00165348">
        <w:fldChar w:fldCharType="end"/>
      </w:r>
      <w:r w:rsidRPr="00006DD0">
        <w:rPr>
          <w:lang w:val="de-DE"/>
        </w:rPr>
        <w:tab/>
        <w:t>In dieser Hinsicht befürwortete sie die Initiative zur Abhaltung einer gemeinsamen Sitzung mit ISO, ISTA und OECD und mit Beteiligung von Züchtern als Möglichkeit dafür, der Rolle der BMT im Hinblick auf die oben genannten Punkte i), ii), iv), vi) und insbesondere viii) mehr Nachdruck zu verleihen.</w:t>
      </w:r>
    </w:p>
    <w:p w:rsidR="00197FFD" w:rsidRPr="00006DD0" w:rsidRDefault="00197FFD" w:rsidP="00197FFD">
      <w:pPr>
        <w:rPr>
          <w:lang w:val="de-DE"/>
        </w:rPr>
      </w:pPr>
    </w:p>
    <w:p w:rsidR="00196886" w:rsidRPr="00E51962" w:rsidRDefault="00197FFD" w:rsidP="00197FFD">
      <w:pPr>
        <w:keepNext/>
      </w:pPr>
      <w:r w:rsidRPr="00165348">
        <w:fldChar w:fldCharType="begin"/>
      </w:r>
      <w:r w:rsidRPr="00006DD0">
        <w:rPr>
          <w:lang w:val="de-DE"/>
        </w:rPr>
        <w:instrText xml:space="preserve"> AUTONUM  </w:instrText>
      </w:r>
      <w:r w:rsidRPr="00165348">
        <w:fldChar w:fldCharType="end"/>
      </w:r>
      <w:r w:rsidRPr="00006DD0">
        <w:rPr>
          <w:lang w:val="de-DE"/>
        </w:rPr>
        <w:tab/>
        <w:t>Der TC war sich darin einig, daß es notwendig sei, einem breiteren Publikum, einschließlich Züchtern und der Öffentlichkeit im Allgemeinen, geeignete Informationen über die Lage in der UPOV im Hinblick auf die Verwendung molekularer Verfahren zur Verfügung zu stellen. Diese Informationen sollten die potenziellen Vorteile und Nachteile der Verfahren und die der Lage bei der UPOV zugrunde liegende Beziehung zwischen Genotyp und Phänotyp erklären</w:t>
      </w:r>
      <w:r>
        <w:t xml:space="preserve"> </w:t>
      </w:r>
      <w:r w:rsidR="00302B5C">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Absätze</w:t>
      </w:r>
      <w:r w:rsidR="00132ABD">
        <w:t xml:space="preserve"> 134 bis</w:t>
      </w:r>
      <w:r w:rsidR="00302B5C">
        <w:t xml:space="preserve"> 136)</w:t>
      </w:r>
      <w:r w:rsidR="00196886">
        <w:t xml:space="preserve">.   </w:t>
      </w:r>
    </w:p>
    <w:p w:rsidR="00196886" w:rsidRPr="00E51962" w:rsidRDefault="00196886" w:rsidP="00196886">
      <w:pPr>
        <w:rPr>
          <w:snapToGrid w:val="0"/>
        </w:rPr>
      </w:pPr>
    </w:p>
    <w:p w:rsidR="00196886" w:rsidRDefault="00196886" w:rsidP="00747C66">
      <w:pPr>
        <w:pStyle w:val="Heading2"/>
      </w:pPr>
    </w:p>
    <w:p w:rsidR="00196886" w:rsidRPr="00AF0635" w:rsidRDefault="00AF0635" w:rsidP="00AF0635">
      <w:pPr>
        <w:keepNext/>
        <w:outlineLvl w:val="1"/>
        <w:rPr>
          <w:u w:val="single"/>
          <w:lang w:val="de-DE"/>
        </w:rPr>
      </w:pPr>
      <w:bookmarkStart w:id="58" w:name="_Toc368583029"/>
      <w:r w:rsidRPr="00006DD0">
        <w:rPr>
          <w:u w:val="single"/>
          <w:lang w:val="de-DE"/>
        </w:rPr>
        <w:t>Verwendung von DUS-Prüfungsberichten durch Verbandsmitglieder</w:t>
      </w:r>
      <w:r w:rsidR="00BB1321">
        <w:rPr>
          <w:rStyle w:val="FootnoteReference"/>
        </w:rPr>
        <w:footnoteReference w:id="3"/>
      </w:r>
      <w:bookmarkEnd w:id="58"/>
    </w:p>
    <w:p w:rsidR="00196886" w:rsidRPr="00E51962" w:rsidRDefault="00196886" w:rsidP="00D04C35">
      <w:pPr>
        <w:keepNext/>
        <w:rPr>
          <w:snapToGrid w:val="0"/>
        </w:rPr>
      </w:pPr>
    </w:p>
    <w:p w:rsidR="00AF0635" w:rsidRPr="00006DD0" w:rsidRDefault="00AF0635" w:rsidP="00AF0635">
      <w:pPr>
        <w:keepNext/>
        <w:outlineLvl w:val="2"/>
        <w:rPr>
          <w:i/>
          <w:lang w:val="de-DE"/>
        </w:rPr>
      </w:pPr>
      <w:bookmarkStart w:id="59" w:name="_Toc368583030"/>
      <w:r w:rsidRPr="00006DD0">
        <w:rPr>
          <w:i/>
          <w:lang w:val="de-DE"/>
        </w:rPr>
        <w:t>Einleitung</w:t>
      </w:r>
      <w:bookmarkEnd w:id="59"/>
    </w:p>
    <w:p w:rsidR="00AF0635" w:rsidRPr="00006DD0" w:rsidRDefault="00AF0635" w:rsidP="00AF0635">
      <w:pPr>
        <w:keepNext/>
        <w:rPr>
          <w:lang w:val="de-DE"/>
        </w:rPr>
      </w:pPr>
    </w:p>
    <w:p w:rsidR="00AF0635" w:rsidRPr="00006DD0" w:rsidRDefault="00AF0635" w:rsidP="00AF0635">
      <w:pPr>
        <w:rPr>
          <w:lang w:val="de-DE"/>
        </w:rPr>
      </w:pPr>
      <w:r w:rsidRPr="00165348">
        <w:fldChar w:fldCharType="begin"/>
      </w:r>
      <w:r w:rsidRPr="00006DD0">
        <w:rPr>
          <w:lang w:val="de-DE"/>
        </w:rPr>
        <w:instrText xml:space="preserve"> AUTONUM  </w:instrText>
      </w:r>
      <w:r w:rsidRPr="00165348">
        <w:fldChar w:fldCharType="end"/>
      </w:r>
      <w:r w:rsidRPr="00006DD0">
        <w:rPr>
          <w:lang w:val="de-DE"/>
        </w:rPr>
        <w:tab/>
        <w:t>Der TC hörte ein Referat des Verbandsbüros über Zusammenarbeit bei der DUS-Prüfung.</w:t>
      </w:r>
    </w:p>
    <w:p w:rsidR="00AF0635" w:rsidRPr="00006DD0" w:rsidRDefault="00AF0635" w:rsidP="00AF0635">
      <w:pPr>
        <w:spacing w:line="360" w:lineRule="auto"/>
        <w:rPr>
          <w:lang w:val="de-DE"/>
        </w:rPr>
      </w:pPr>
    </w:p>
    <w:p w:rsidR="00AF0635" w:rsidRPr="00006DD0" w:rsidRDefault="00AF0635" w:rsidP="00AF0635">
      <w:pPr>
        <w:keepNext/>
        <w:outlineLvl w:val="2"/>
        <w:rPr>
          <w:i/>
          <w:lang w:val="de-DE"/>
        </w:rPr>
      </w:pPr>
      <w:bookmarkStart w:id="60" w:name="_Toc368583031"/>
      <w:r w:rsidRPr="00006DD0">
        <w:rPr>
          <w:i/>
          <w:lang w:val="de-DE"/>
        </w:rPr>
        <w:t>Die Verwendung von DUS-Prüfungsberichten in Australien</w:t>
      </w:r>
      <w:bookmarkEnd w:id="60"/>
    </w:p>
    <w:p w:rsidR="00AF0635" w:rsidRPr="00006DD0" w:rsidRDefault="00AF0635" w:rsidP="00AF0635">
      <w:pPr>
        <w:keepNext/>
        <w:rPr>
          <w:lang w:val="de-DE"/>
        </w:rPr>
      </w:pPr>
    </w:p>
    <w:p w:rsidR="00AF0635" w:rsidRPr="00006DD0" w:rsidRDefault="00AF0635" w:rsidP="00AF0635">
      <w:pPr>
        <w:rPr>
          <w:lang w:val="de-DE"/>
        </w:rPr>
      </w:pPr>
      <w:r w:rsidRPr="00165348">
        <w:fldChar w:fldCharType="begin"/>
      </w:r>
      <w:r w:rsidRPr="00006DD0">
        <w:rPr>
          <w:lang w:val="de-DE"/>
        </w:rPr>
        <w:instrText xml:space="preserve"> AUTONUM  </w:instrText>
      </w:r>
      <w:r w:rsidRPr="00165348">
        <w:fldChar w:fldCharType="end"/>
      </w:r>
      <w:r w:rsidRPr="00006DD0">
        <w:rPr>
          <w:lang w:val="de-DE"/>
        </w:rPr>
        <w:tab/>
        <w:t>Der TC hörte ein Referat von Herrn Nik Hulse (Australi</w:t>
      </w:r>
      <w:r>
        <w:rPr>
          <w:lang w:val="de-DE"/>
        </w:rPr>
        <w:t>en) über die Verwendung von DUS</w:t>
      </w:r>
      <w:r>
        <w:rPr>
          <w:lang w:val="de-DE"/>
        </w:rPr>
        <w:noBreakHyphen/>
      </w:r>
      <w:r w:rsidRPr="00006DD0">
        <w:rPr>
          <w:lang w:val="de-DE"/>
        </w:rPr>
        <w:t>Prüfungsberichten.</w:t>
      </w:r>
    </w:p>
    <w:p w:rsidR="00AF0635" w:rsidRPr="00006DD0" w:rsidRDefault="00AF0635" w:rsidP="00AF0635">
      <w:pPr>
        <w:spacing w:line="360" w:lineRule="auto"/>
        <w:rPr>
          <w:lang w:val="de-DE"/>
        </w:rPr>
      </w:pPr>
    </w:p>
    <w:p w:rsidR="00AF0635" w:rsidRPr="00006DD0" w:rsidRDefault="00AF0635" w:rsidP="00AF0635">
      <w:pPr>
        <w:keepNext/>
        <w:outlineLvl w:val="2"/>
        <w:rPr>
          <w:i/>
          <w:lang w:val="de-DE"/>
        </w:rPr>
      </w:pPr>
      <w:bookmarkStart w:id="61" w:name="_Toc368583032"/>
      <w:r w:rsidRPr="00006DD0">
        <w:rPr>
          <w:i/>
          <w:lang w:val="de-DE"/>
        </w:rPr>
        <w:t>Die Verwendung von DUS-Prüfungsberichten in Brasilien</w:t>
      </w:r>
      <w:bookmarkEnd w:id="61"/>
    </w:p>
    <w:p w:rsidR="00AF0635" w:rsidRPr="00006DD0" w:rsidRDefault="00AF0635" w:rsidP="00AF0635">
      <w:pPr>
        <w:keepNext/>
        <w:rPr>
          <w:lang w:val="de-DE"/>
        </w:rPr>
      </w:pPr>
    </w:p>
    <w:p w:rsidR="00AF0635" w:rsidRPr="00006DD0" w:rsidRDefault="00AF0635" w:rsidP="00AF0635">
      <w:pPr>
        <w:rPr>
          <w:spacing w:val="-2"/>
          <w:lang w:val="de-DE"/>
        </w:rPr>
      </w:pPr>
      <w:r w:rsidRPr="00165348">
        <w:rPr>
          <w:spacing w:val="-2"/>
        </w:rPr>
        <w:fldChar w:fldCharType="begin"/>
      </w:r>
      <w:r w:rsidRPr="00006DD0">
        <w:rPr>
          <w:spacing w:val="-2"/>
          <w:lang w:val="de-DE"/>
        </w:rPr>
        <w:instrText xml:space="preserve"> AUTONUM  </w:instrText>
      </w:r>
      <w:r w:rsidRPr="00165348">
        <w:rPr>
          <w:spacing w:val="-2"/>
        </w:rPr>
        <w:fldChar w:fldCharType="end"/>
      </w:r>
      <w:r w:rsidRPr="00006DD0">
        <w:rPr>
          <w:lang w:val="de-DE"/>
        </w:rPr>
        <w:tab/>
      </w:r>
      <w:r w:rsidRPr="00006DD0">
        <w:rPr>
          <w:spacing w:val="-2"/>
          <w:lang w:val="de-DE"/>
        </w:rPr>
        <w:t>Der TC hörte ein Referat von Herrn Fabricio Santana Santos (Brasili</w:t>
      </w:r>
      <w:r>
        <w:rPr>
          <w:spacing w:val="-2"/>
          <w:lang w:val="de-DE"/>
        </w:rPr>
        <w:t>en) über die Verwendung von DUS</w:t>
      </w:r>
      <w:r>
        <w:rPr>
          <w:spacing w:val="-2"/>
          <w:lang w:val="de-DE"/>
        </w:rPr>
        <w:noBreakHyphen/>
      </w:r>
      <w:r w:rsidRPr="00006DD0">
        <w:rPr>
          <w:spacing w:val="-2"/>
          <w:lang w:val="de-DE"/>
        </w:rPr>
        <w:t>Prüfungsberichten in Brasilien.</w:t>
      </w:r>
    </w:p>
    <w:p w:rsidR="00AF0635" w:rsidRPr="00006DD0" w:rsidRDefault="00AF0635" w:rsidP="00AF0635">
      <w:pPr>
        <w:spacing w:line="360" w:lineRule="auto"/>
        <w:rPr>
          <w:lang w:val="de-DE"/>
        </w:rPr>
      </w:pPr>
    </w:p>
    <w:p w:rsidR="00AF0635" w:rsidRPr="00006DD0" w:rsidRDefault="00AF0635" w:rsidP="00AF0635">
      <w:pPr>
        <w:keepNext/>
        <w:outlineLvl w:val="2"/>
        <w:rPr>
          <w:i/>
          <w:lang w:val="de-DE"/>
        </w:rPr>
      </w:pPr>
      <w:bookmarkStart w:id="62" w:name="_Toc368583033"/>
      <w:r w:rsidRPr="00006DD0">
        <w:rPr>
          <w:i/>
          <w:lang w:val="de-DE"/>
        </w:rPr>
        <w:t>Die Verwendung von DUS-Prüfungsberichten in der Europäischen Union</w:t>
      </w:r>
      <w:bookmarkEnd w:id="62"/>
    </w:p>
    <w:p w:rsidR="00AF0635" w:rsidRPr="00006DD0" w:rsidRDefault="00AF0635" w:rsidP="00AF0635">
      <w:pPr>
        <w:keepNext/>
        <w:rPr>
          <w:lang w:val="de-DE"/>
        </w:rPr>
      </w:pPr>
    </w:p>
    <w:p w:rsidR="00AF0635" w:rsidRPr="00006DD0" w:rsidRDefault="00AF0635" w:rsidP="00AF0635">
      <w:pPr>
        <w:rPr>
          <w:lang w:val="de-DE"/>
        </w:rPr>
      </w:pPr>
      <w:r w:rsidRPr="00165348">
        <w:fldChar w:fldCharType="begin"/>
      </w:r>
      <w:r w:rsidRPr="00006DD0">
        <w:rPr>
          <w:lang w:val="de-DE"/>
        </w:rPr>
        <w:instrText xml:space="preserve"> AUTONUM  </w:instrText>
      </w:r>
      <w:r w:rsidRPr="00165348">
        <w:fldChar w:fldCharType="end"/>
      </w:r>
      <w:r w:rsidRPr="00006DD0">
        <w:rPr>
          <w:lang w:val="de-DE"/>
        </w:rPr>
        <w:tab/>
        <w:t>Der TC hörte ein Referat von Herrn Carlos Godinho (Europäische Union) über die Verwendung von DUS-Prüfungsberichten in der Europäischen Union.</w:t>
      </w:r>
    </w:p>
    <w:p w:rsidR="00AF0635" w:rsidRPr="00006DD0" w:rsidRDefault="00AF0635" w:rsidP="00AF0635">
      <w:pPr>
        <w:spacing w:line="360" w:lineRule="auto"/>
        <w:rPr>
          <w:lang w:val="de-DE"/>
        </w:rPr>
      </w:pPr>
    </w:p>
    <w:p w:rsidR="00AF0635" w:rsidRPr="00006DD0" w:rsidRDefault="00AF0635" w:rsidP="00AF0635">
      <w:pPr>
        <w:keepNext/>
        <w:outlineLvl w:val="2"/>
        <w:rPr>
          <w:i/>
          <w:lang w:val="de-DE"/>
        </w:rPr>
      </w:pPr>
      <w:bookmarkStart w:id="63" w:name="_Toc368583034"/>
      <w:r w:rsidRPr="00006DD0">
        <w:rPr>
          <w:i/>
          <w:lang w:val="de-DE"/>
        </w:rPr>
        <w:t>Die Verwendung von DUS-Prüfungsberichten in Frankreich</w:t>
      </w:r>
      <w:bookmarkEnd w:id="63"/>
    </w:p>
    <w:p w:rsidR="00AF0635" w:rsidRPr="00006DD0" w:rsidRDefault="00AF0635" w:rsidP="00AF0635">
      <w:pPr>
        <w:keepNext/>
        <w:rPr>
          <w:lang w:val="de-DE"/>
        </w:rPr>
      </w:pPr>
    </w:p>
    <w:p w:rsidR="00AF0635" w:rsidRPr="00006DD0" w:rsidRDefault="00AF0635" w:rsidP="00AF0635">
      <w:pPr>
        <w:rPr>
          <w:lang w:val="de-DE"/>
        </w:rPr>
      </w:pPr>
      <w:r w:rsidRPr="00165348">
        <w:fldChar w:fldCharType="begin"/>
      </w:r>
      <w:r w:rsidRPr="00006DD0">
        <w:rPr>
          <w:lang w:val="de-DE"/>
        </w:rPr>
        <w:instrText xml:space="preserve"> AUTONUM  </w:instrText>
      </w:r>
      <w:r w:rsidRPr="00165348">
        <w:fldChar w:fldCharType="end"/>
      </w:r>
      <w:r w:rsidRPr="00006DD0">
        <w:rPr>
          <w:lang w:val="de-DE"/>
        </w:rPr>
        <w:tab/>
        <w:t>Der TC hörte ein Referat von Herrn Joël Guiard (Frankrei</w:t>
      </w:r>
      <w:r>
        <w:rPr>
          <w:lang w:val="de-DE"/>
        </w:rPr>
        <w:t>ch) über die Verwendung von DUS</w:t>
      </w:r>
      <w:r>
        <w:rPr>
          <w:lang w:val="de-DE"/>
        </w:rPr>
        <w:noBreakHyphen/>
      </w:r>
      <w:r w:rsidRPr="00006DD0">
        <w:rPr>
          <w:lang w:val="de-DE"/>
        </w:rPr>
        <w:t>Prüfungsberichten in Frankreich.</w:t>
      </w:r>
    </w:p>
    <w:p w:rsidR="00AF0635" w:rsidRPr="00006DD0" w:rsidRDefault="00AF0635" w:rsidP="00AF0635">
      <w:pPr>
        <w:spacing w:line="360" w:lineRule="auto"/>
        <w:rPr>
          <w:lang w:val="de-DE"/>
        </w:rPr>
      </w:pPr>
    </w:p>
    <w:p w:rsidR="00AF0635" w:rsidRPr="00006DD0" w:rsidRDefault="00AF0635" w:rsidP="00AF0635">
      <w:pPr>
        <w:keepNext/>
        <w:outlineLvl w:val="2"/>
        <w:rPr>
          <w:i/>
          <w:lang w:val="de-DE"/>
        </w:rPr>
      </w:pPr>
      <w:bookmarkStart w:id="64" w:name="_Toc368583035"/>
      <w:r w:rsidRPr="00006DD0">
        <w:rPr>
          <w:i/>
          <w:lang w:val="de-DE"/>
        </w:rPr>
        <w:t>Die Verwendung von DUS-Prüfungsberichten in Deutschland</w:t>
      </w:r>
      <w:bookmarkEnd w:id="64"/>
      <w:r w:rsidRPr="00006DD0">
        <w:rPr>
          <w:i/>
          <w:lang w:val="de-DE"/>
        </w:rPr>
        <w:t xml:space="preserve"> </w:t>
      </w:r>
    </w:p>
    <w:p w:rsidR="00AF0635" w:rsidRPr="00006DD0" w:rsidRDefault="00AF0635" w:rsidP="00AF0635">
      <w:pPr>
        <w:keepNext/>
        <w:rPr>
          <w:lang w:val="de-DE"/>
        </w:rPr>
      </w:pPr>
    </w:p>
    <w:p w:rsidR="00AF0635" w:rsidRPr="00006DD0" w:rsidRDefault="00AF0635" w:rsidP="00AF0635">
      <w:pPr>
        <w:rPr>
          <w:lang w:val="de-DE"/>
        </w:rPr>
      </w:pPr>
      <w:r w:rsidRPr="00165348">
        <w:fldChar w:fldCharType="begin"/>
      </w:r>
      <w:r w:rsidRPr="00006DD0">
        <w:rPr>
          <w:lang w:val="de-DE"/>
        </w:rPr>
        <w:instrText xml:space="preserve"> AUTONUM  </w:instrText>
      </w:r>
      <w:r w:rsidRPr="00165348">
        <w:fldChar w:fldCharType="end"/>
      </w:r>
      <w:r w:rsidRPr="00006DD0">
        <w:rPr>
          <w:lang w:val="de-DE"/>
        </w:rPr>
        <w:tab/>
        <w:t>Der TC hörte ein Referat von Frau Beate Rücker (Deutschla</w:t>
      </w:r>
      <w:r>
        <w:rPr>
          <w:lang w:val="de-DE"/>
        </w:rPr>
        <w:t>nd) über die Verwendung von DUS</w:t>
      </w:r>
      <w:r>
        <w:rPr>
          <w:lang w:val="de-DE"/>
        </w:rPr>
        <w:noBreakHyphen/>
      </w:r>
      <w:r w:rsidRPr="00006DD0">
        <w:rPr>
          <w:lang w:val="de-DE"/>
        </w:rPr>
        <w:t>Prüfungsberichten in Deutschland.</w:t>
      </w:r>
    </w:p>
    <w:p w:rsidR="00AF0635" w:rsidRPr="00006DD0" w:rsidRDefault="00AF0635" w:rsidP="00AF0635">
      <w:pPr>
        <w:spacing w:line="360" w:lineRule="auto"/>
        <w:rPr>
          <w:lang w:val="de-DE"/>
        </w:rPr>
      </w:pPr>
    </w:p>
    <w:p w:rsidR="00AF0635" w:rsidRPr="00006DD0" w:rsidRDefault="00AF0635" w:rsidP="00AF0635">
      <w:pPr>
        <w:keepNext/>
        <w:outlineLvl w:val="2"/>
        <w:rPr>
          <w:i/>
          <w:lang w:val="de-DE"/>
        </w:rPr>
      </w:pPr>
      <w:bookmarkStart w:id="65" w:name="_Toc368583036"/>
      <w:r w:rsidRPr="00006DD0">
        <w:rPr>
          <w:i/>
          <w:lang w:val="de-DE"/>
        </w:rPr>
        <w:lastRenderedPageBreak/>
        <w:t>Die Verwendung von DUS-Prüfungsberichten in Japan</w:t>
      </w:r>
      <w:bookmarkEnd w:id="65"/>
    </w:p>
    <w:p w:rsidR="00AF0635" w:rsidRPr="00006DD0" w:rsidRDefault="00AF0635" w:rsidP="00AF0635">
      <w:pPr>
        <w:keepNext/>
        <w:rPr>
          <w:lang w:val="de-DE"/>
        </w:rPr>
      </w:pPr>
    </w:p>
    <w:p w:rsidR="00AF0635" w:rsidRPr="00006DD0" w:rsidRDefault="00AF0635" w:rsidP="00AF0635">
      <w:pPr>
        <w:rPr>
          <w:lang w:val="de-DE"/>
        </w:rPr>
      </w:pPr>
      <w:r w:rsidRPr="00165348">
        <w:fldChar w:fldCharType="begin"/>
      </w:r>
      <w:r w:rsidRPr="00006DD0">
        <w:rPr>
          <w:lang w:val="de-DE"/>
        </w:rPr>
        <w:instrText xml:space="preserve"> AUTONUM  </w:instrText>
      </w:r>
      <w:r w:rsidRPr="00165348">
        <w:fldChar w:fldCharType="end"/>
      </w:r>
      <w:r w:rsidRPr="00006DD0">
        <w:rPr>
          <w:lang w:val="de-DE"/>
        </w:rPr>
        <w:tab/>
        <w:t>Der TC hörte ein Referat von Herrn Kenji Numaguchi (Japan) über die Verwen</w:t>
      </w:r>
      <w:r>
        <w:rPr>
          <w:lang w:val="de-DE"/>
        </w:rPr>
        <w:t>dung von DUS</w:t>
      </w:r>
      <w:r>
        <w:rPr>
          <w:lang w:val="de-DE"/>
        </w:rPr>
        <w:noBreakHyphen/>
      </w:r>
      <w:r w:rsidRPr="00006DD0">
        <w:rPr>
          <w:lang w:val="de-DE"/>
        </w:rPr>
        <w:t>Prüfungsberichten in Japan.</w:t>
      </w:r>
    </w:p>
    <w:p w:rsidR="00AF0635" w:rsidRPr="00006DD0" w:rsidRDefault="00AF0635" w:rsidP="00AF0635">
      <w:pPr>
        <w:spacing w:line="360" w:lineRule="auto"/>
        <w:rPr>
          <w:lang w:val="de-DE"/>
        </w:rPr>
      </w:pPr>
    </w:p>
    <w:p w:rsidR="00AF0635" w:rsidRPr="00006DD0" w:rsidRDefault="00AF0635" w:rsidP="00AF0635">
      <w:pPr>
        <w:keepNext/>
        <w:outlineLvl w:val="2"/>
        <w:rPr>
          <w:i/>
          <w:lang w:val="de-DE"/>
        </w:rPr>
      </w:pPr>
      <w:bookmarkStart w:id="66" w:name="_Toc368583037"/>
      <w:r w:rsidRPr="00006DD0">
        <w:rPr>
          <w:i/>
          <w:lang w:val="de-DE"/>
        </w:rPr>
        <w:t>Die Verwendung von DUS-Prüfungsberichten in Mexiko</w:t>
      </w:r>
      <w:bookmarkEnd w:id="66"/>
    </w:p>
    <w:p w:rsidR="00AF0635" w:rsidRPr="00006DD0" w:rsidRDefault="00AF0635" w:rsidP="00AF0635">
      <w:pPr>
        <w:keepNext/>
        <w:rPr>
          <w:lang w:val="de-DE"/>
        </w:rPr>
      </w:pPr>
    </w:p>
    <w:p w:rsidR="00AF0635" w:rsidRPr="00006DD0" w:rsidRDefault="00AF0635" w:rsidP="00AF0635">
      <w:pPr>
        <w:rPr>
          <w:lang w:val="de-DE"/>
        </w:rPr>
      </w:pPr>
      <w:r w:rsidRPr="00165348">
        <w:fldChar w:fldCharType="begin"/>
      </w:r>
      <w:r w:rsidRPr="00006DD0">
        <w:rPr>
          <w:lang w:val="de-DE"/>
        </w:rPr>
        <w:instrText xml:space="preserve"> AUTONUM  </w:instrText>
      </w:r>
      <w:r w:rsidRPr="00165348">
        <w:fldChar w:fldCharType="end"/>
      </w:r>
      <w:r w:rsidRPr="00006DD0">
        <w:rPr>
          <w:lang w:val="de-DE"/>
        </w:rPr>
        <w:tab/>
        <w:t>Der TC hörte ein von Frau Enriqueta Molina Macías und Herrn Eduardo Padilla Vaca ausgearbeitetes und von Herrn Padilla Vaca (Mexiko) vorgetragenes Refe</w:t>
      </w:r>
      <w:r>
        <w:rPr>
          <w:lang w:val="de-DE"/>
        </w:rPr>
        <w:t>rat über die Verwendung von DUS</w:t>
      </w:r>
      <w:r>
        <w:rPr>
          <w:lang w:val="de-DE"/>
        </w:rPr>
        <w:noBreakHyphen/>
      </w:r>
      <w:r w:rsidRPr="00006DD0">
        <w:rPr>
          <w:lang w:val="de-DE"/>
        </w:rPr>
        <w:t>Prüfungsberichten in Mexiko.</w:t>
      </w:r>
    </w:p>
    <w:p w:rsidR="00AF0635" w:rsidRPr="00006DD0" w:rsidRDefault="00AF0635" w:rsidP="00AF0635">
      <w:pPr>
        <w:spacing w:line="360" w:lineRule="auto"/>
        <w:rPr>
          <w:lang w:val="de-DE"/>
        </w:rPr>
      </w:pPr>
    </w:p>
    <w:p w:rsidR="00AF0635" w:rsidRPr="00006DD0" w:rsidRDefault="00AF0635" w:rsidP="00AF0635">
      <w:pPr>
        <w:keepNext/>
        <w:outlineLvl w:val="2"/>
        <w:rPr>
          <w:i/>
          <w:lang w:val="de-DE"/>
        </w:rPr>
      </w:pPr>
      <w:bookmarkStart w:id="67" w:name="_Toc368583038"/>
      <w:r w:rsidRPr="00006DD0">
        <w:rPr>
          <w:i/>
          <w:lang w:val="de-DE"/>
        </w:rPr>
        <w:t>Die Verwendung von DUS-Prüfungsberichten in den Niederlanden</w:t>
      </w:r>
      <w:bookmarkEnd w:id="67"/>
    </w:p>
    <w:p w:rsidR="00AF0635" w:rsidRPr="00006DD0" w:rsidRDefault="00AF0635" w:rsidP="00AF0635">
      <w:pPr>
        <w:keepNext/>
        <w:rPr>
          <w:lang w:val="de-DE"/>
        </w:rPr>
      </w:pPr>
    </w:p>
    <w:p w:rsidR="00196886" w:rsidRPr="00E51962" w:rsidRDefault="00AF0635" w:rsidP="00AF0635">
      <w:r w:rsidRPr="00165348">
        <w:fldChar w:fldCharType="begin"/>
      </w:r>
      <w:r w:rsidRPr="00006DD0">
        <w:rPr>
          <w:lang w:val="de-DE"/>
        </w:rPr>
        <w:instrText xml:space="preserve"> AUTONUM  </w:instrText>
      </w:r>
      <w:r w:rsidRPr="00165348">
        <w:fldChar w:fldCharType="end"/>
      </w:r>
      <w:r w:rsidRPr="00006DD0">
        <w:rPr>
          <w:lang w:val="de-DE"/>
        </w:rPr>
        <w:tab/>
        <w:t>Der TC hörte ein Referat von Herrn Kees van Ettekoven (Niederlande) über die Verwendung von DUS-Prüfungsberichten in den Niederlanden</w:t>
      </w:r>
      <w:r w:rsidR="00196886" w:rsidRPr="00E51962">
        <w:t>).</w:t>
      </w:r>
    </w:p>
    <w:p w:rsidR="00196886" w:rsidRPr="00E51962" w:rsidRDefault="00196886" w:rsidP="00196886">
      <w:pPr>
        <w:spacing w:line="360" w:lineRule="auto"/>
      </w:pPr>
    </w:p>
    <w:p w:rsidR="00196886" w:rsidRPr="00052018" w:rsidRDefault="00CB0C58" w:rsidP="00B027B0">
      <w:pPr>
        <w:pStyle w:val="Heading3"/>
      </w:pPr>
      <w:bookmarkStart w:id="68" w:name="_Toc368583039"/>
      <w:r>
        <w:t>E</w:t>
      </w:r>
      <w:r w:rsidR="002B162C">
        <w:t>rörterung</w:t>
      </w:r>
      <w:bookmarkEnd w:id="68"/>
    </w:p>
    <w:p w:rsidR="00196886" w:rsidRDefault="00196886" w:rsidP="00196886">
      <w:pPr>
        <w:keepNext/>
        <w:rPr>
          <w:snapToGrid w:val="0"/>
        </w:rPr>
      </w:pPr>
    </w:p>
    <w:p w:rsidR="00196886" w:rsidRDefault="00196886" w:rsidP="00196886">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2B162C" w:rsidRPr="00574199">
        <w:rPr>
          <w:snapToGrid w:val="0"/>
          <w:lang w:val="de-DE"/>
        </w:rPr>
        <w:t xml:space="preserve">Der TC vereinbarte, den Rat um die Prüfung der Frage, ob die bezeichneten Personen des TC in das Rundschreiben betreffend die Zusammenarbeit bei der Prüfung, z.B. </w:t>
      </w:r>
      <w:r w:rsidR="002B162C">
        <w:rPr>
          <w:snapToGrid w:val="0"/>
          <w:lang w:val="de-DE"/>
        </w:rPr>
        <w:t>siehe</w:t>
      </w:r>
      <w:r w:rsidR="002B162C" w:rsidRPr="00574199">
        <w:rPr>
          <w:snapToGrid w:val="0"/>
          <w:lang w:val="de-DE"/>
        </w:rPr>
        <w:t xml:space="preserve"> C/xx/5</w:t>
      </w:r>
      <w:r w:rsidR="002B162C">
        <w:rPr>
          <w:snapToGrid w:val="0"/>
          <w:lang w:val="de-DE"/>
        </w:rPr>
        <w:t>, kopiert werden sollten, um möglichst viel Informationen sammeln zu können</w:t>
      </w:r>
      <w:r w:rsidR="002B162C">
        <w:t xml:space="preserve"> </w:t>
      </w:r>
      <w:r w:rsidR="005F1840">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Absätze</w:t>
      </w:r>
      <w:r w:rsidR="00132ABD">
        <w:t xml:space="preserve"> 137 bis</w:t>
      </w:r>
      <w:r w:rsidR="005F1840">
        <w:t xml:space="preserve"> 146)</w:t>
      </w:r>
      <w:r>
        <w:rPr>
          <w:snapToGrid w:val="0"/>
        </w:rPr>
        <w:t xml:space="preserve">.  </w:t>
      </w:r>
    </w:p>
    <w:p w:rsidR="00196886" w:rsidRDefault="00196886" w:rsidP="00196886">
      <w:pPr>
        <w:rPr>
          <w:snapToGrid w:val="0"/>
        </w:rPr>
      </w:pPr>
    </w:p>
    <w:p w:rsidR="00196886" w:rsidRPr="00AF342C" w:rsidRDefault="00196886" w:rsidP="00196886">
      <w:pPr>
        <w:rPr>
          <w:snapToGrid w:val="0"/>
        </w:rPr>
      </w:pPr>
    </w:p>
    <w:p w:rsidR="00196886" w:rsidRPr="00AF342C" w:rsidRDefault="002B162C" w:rsidP="00747C66">
      <w:pPr>
        <w:pStyle w:val="Heading2"/>
      </w:pPr>
      <w:bookmarkStart w:id="69" w:name="_Toc368583040"/>
      <w:r>
        <w:t>Prüfungsrichtlinien</w:t>
      </w:r>
      <w:bookmarkEnd w:id="69"/>
    </w:p>
    <w:p w:rsidR="00196886" w:rsidRPr="00AF342C" w:rsidRDefault="00196886" w:rsidP="00196886">
      <w:pPr>
        <w:keepNext/>
        <w:ind w:left="567" w:hanging="567"/>
      </w:pPr>
    </w:p>
    <w:p w:rsidR="00196886" w:rsidRPr="00AF342C" w:rsidRDefault="00196886" w:rsidP="00196886">
      <w:pPr>
        <w:ind w:left="567" w:hanging="567"/>
      </w:pPr>
      <w:r w:rsidRPr="00AF342C">
        <w:fldChar w:fldCharType="begin"/>
      </w:r>
      <w:r w:rsidRPr="00AF342C">
        <w:instrText xml:space="preserve"> AUTONUM  </w:instrText>
      </w:r>
      <w:r w:rsidRPr="00AF342C">
        <w:fldChar w:fldCharType="end"/>
      </w:r>
      <w:r w:rsidRPr="00AF342C">
        <w:tab/>
      </w:r>
      <w:r w:rsidR="002B162C" w:rsidRPr="00574199">
        <w:rPr>
          <w:lang w:val="de-DE"/>
        </w:rPr>
        <w:t>Der TC prüfte das Dokument TC/49/2 Rev. 2</w:t>
      </w:r>
      <w:r w:rsidR="002B162C">
        <w:t>.</w:t>
      </w:r>
    </w:p>
    <w:p w:rsidR="00196886" w:rsidRPr="00AF342C" w:rsidRDefault="00196886" w:rsidP="00196886">
      <w:pPr>
        <w:ind w:left="567" w:hanging="567"/>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rsidR="002B162C" w:rsidRPr="00574199">
        <w:rPr>
          <w:rFonts w:cs="Arial"/>
          <w:snapToGrid w:val="0"/>
          <w:lang w:val="de-DE"/>
        </w:rPr>
        <w:t xml:space="preserve">Der TC nahm auf der Grundlage der in Anlage II dieses Dokuments ausgeführten Änderungen und vom TC-EDC empfohlenen sprachlichen Änderungen die in untenstehender Tabelle aufgeführten Prüfungsrichtlinien an </w:t>
      </w:r>
      <w:r w:rsidR="002B162C">
        <w:rPr>
          <w:rFonts w:cs="Arial"/>
          <w:snapToGrid w:val="0"/>
          <w:lang w:val="de-DE"/>
        </w:rPr>
        <w:t>und vereinbarte, daß sie sobald wie möglich auf der UPOV-Website veröffentlicht werden sollen</w:t>
      </w:r>
      <w:r w:rsidRPr="00AF342C">
        <w:rPr>
          <w:rFonts w:cs="Arial"/>
          <w:snapToGrid w:val="0"/>
        </w:rPr>
        <w:t>:</w:t>
      </w:r>
    </w:p>
    <w:p w:rsidR="00196886" w:rsidRPr="00AF342C" w:rsidRDefault="00196886" w:rsidP="00196886">
      <w:pPr>
        <w:ind w:left="567" w:hanging="567"/>
      </w:pPr>
    </w:p>
    <w:tbl>
      <w:tblPr>
        <w:tblW w:w="10674" w:type="dxa"/>
        <w:jc w:val="center"/>
        <w:tblLayout w:type="fixed"/>
        <w:tblCellMar>
          <w:left w:w="28" w:type="dxa"/>
          <w:right w:w="28" w:type="dxa"/>
        </w:tblCellMar>
        <w:tblLook w:val="01E0" w:firstRow="1" w:lastRow="1" w:firstColumn="1" w:lastColumn="1" w:noHBand="0" w:noVBand="0"/>
      </w:tblPr>
      <w:tblGrid>
        <w:gridCol w:w="568"/>
        <w:gridCol w:w="567"/>
        <w:gridCol w:w="1701"/>
        <w:gridCol w:w="1510"/>
        <w:gridCol w:w="1225"/>
        <w:gridCol w:w="1474"/>
        <w:gridCol w:w="1467"/>
        <w:gridCol w:w="2162"/>
      </w:tblGrid>
      <w:tr w:rsidR="00196886" w:rsidRPr="00AF342C" w:rsidTr="00196886">
        <w:trPr>
          <w:tblHeader/>
          <w:jc w:val="center"/>
        </w:trPr>
        <w:tc>
          <w:tcPr>
            <w:tcW w:w="568"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center"/>
              <w:rPr>
                <w:rFonts w:cs="Arial"/>
                <w:b/>
                <w:snapToGrid w:val="0"/>
                <w:color w:val="000000"/>
                <w:sz w:val="16"/>
                <w:szCs w:val="16"/>
              </w:rPr>
            </w:pPr>
            <w:r w:rsidRPr="00AF342C">
              <w:rPr>
                <w:rFonts w:cs="Arial"/>
                <w:b/>
                <w:snapToGrid w:val="0"/>
                <w:sz w:val="16"/>
                <w:szCs w:val="16"/>
              </w:rPr>
              <w:t>**</w:t>
            </w:r>
          </w:p>
        </w:tc>
        <w:tc>
          <w:tcPr>
            <w:tcW w:w="567"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center"/>
              <w:rPr>
                <w:rFonts w:cs="Arial"/>
                <w:b/>
                <w:snapToGrid w:val="0"/>
                <w:sz w:val="16"/>
                <w:szCs w:val="16"/>
              </w:rPr>
            </w:pPr>
            <w:r w:rsidRPr="00AF342C">
              <w:rPr>
                <w:rFonts w:cs="Arial"/>
                <w:b/>
                <w:snapToGrid w:val="0"/>
                <w:sz w:val="16"/>
                <w:szCs w:val="16"/>
              </w:rPr>
              <w:t>TWP</w:t>
            </w:r>
          </w:p>
        </w:tc>
        <w:tc>
          <w:tcPr>
            <w:tcW w:w="1701"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Document No.</w:t>
            </w:r>
            <w:r w:rsidRPr="00AF342C">
              <w:rPr>
                <w:rFonts w:cs="Arial"/>
                <w:b/>
                <w:snapToGrid w:val="0"/>
                <w:sz w:val="16"/>
                <w:szCs w:val="16"/>
              </w:rPr>
              <w:br/>
              <w:t>N</w:t>
            </w:r>
            <w:r w:rsidRPr="00AF342C">
              <w:rPr>
                <w:rFonts w:cs="Arial"/>
                <w:b/>
                <w:snapToGrid w:val="0"/>
                <w:sz w:val="16"/>
                <w:szCs w:val="16"/>
                <w:vertAlign w:val="superscript"/>
              </w:rPr>
              <w:t>o</w:t>
            </w:r>
            <w:r w:rsidRPr="00AF342C">
              <w:rPr>
                <w:rFonts w:cs="Arial"/>
                <w:b/>
                <w:snapToGrid w:val="0"/>
                <w:sz w:val="16"/>
                <w:szCs w:val="16"/>
              </w:rPr>
              <w:t>. du document</w:t>
            </w:r>
            <w:r w:rsidRPr="00AF342C">
              <w:rPr>
                <w:rFonts w:cs="Arial"/>
                <w:b/>
                <w:snapToGrid w:val="0"/>
                <w:sz w:val="16"/>
                <w:szCs w:val="16"/>
              </w:rPr>
              <w:br/>
              <w:t>Dokument-Nr.</w:t>
            </w:r>
            <w:r w:rsidRPr="00AF342C">
              <w:rPr>
                <w:rFonts w:cs="Arial"/>
                <w:b/>
                <w:snapToGrid w:val="0"/>
                <w:sz w:val="16"/>
                <w:szCs w:val="16"/>
              </w:rPr>
              <w:br/>
              <w:t>No del documento</w:t>
            </w:r>
          </w:p>
        </w:tc>
        <w:tc>
          <w:tcPr>
            <w:tcW w:w="1510"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English</w:t>
            </w:r>
          </w:p>
        </w:tc>
        <w:tc>
          <w:tcPr>
            <w:tcW w:w="1225"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Français</w:t>
            </w:r>
          </w:p>
        </w:tc>
        <w:tc>
          <w:tcPr>
            <w:tcW w:w="1474"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Deutsch</w:t>
            </w:r>
          </w:p>
        </w:tc>
        <w:tc>
          <w:tcPr>
            <w:tcW w:w="1467"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Español</w:t>
            </w:r>
          </w:p>
        </w:tc>
        <w:tc>
          <w:tcPr>
            <w:tcW w:w="2162"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Botanical name</w:t>
            </w:r>
            <w:r w:rsidRPr="00AF342C">
              <w:rPr>
                <w:rFonts w:cs="Arial"/>
                <w:b/>
                <w:snapToGrid w:val="0"/>
                <w:sz w:val="16"/>
                <w:szCs w:val="16"/>
              </w:rPr>
              <w:br/>
              <w:t>Nom botanique</w:t>
            </w:r>
            <w:r w:rsidRPr="00AF342C">
              <w:rPr>
                <w:rFonts w:cs="Arial"/>
                <w:b/>
                <w:snapToGrid w:val="0"/>
                <w:sz w:val="16"/>
                <w:szCs w:val="16"/>
              </w:rPr>
              <w:br/>
              <w:t>Botanischer Name</w:t>
            </w:r>
            <w:r w:rsidRPr="00AF342C">
              <w:rPr>
                <w:rFonts w:cs="Arial"/>
                <w:b/>
                <w:snapToGrid w:val="0"/>
                <w:sz w:val="16"/>
                <w:szCs w:val="16"/>
              </w:rPr>
              <w:br/>
              <w:t>Nombre botánico</w:t>
            </w:r>
          </w:p>
        </w:tc>
      </w:tr>
      <w:tr w:rsidR="00196886" w:rsidRPr="00AF342C" w:rsidTr="00196886">
        <w:trPr>
          <w:jc w:val="center"/>
        </w:trPr>
        <w:tc>
          <w:tcPr>
            <w:tcW w:w="10674" w:type="dxa"/>
            <w:gridSpan w:val="8"/>
            <w:tcBorders>
              <w:top w:val="single" w:sz="4" w:space="0" w:color="auto"/>
              <w:bottom w:val="single" w:sz="4" w:space="0" w:color="auto"/>
            </w:tcBorders>
          </w:tcPr>
          <w:p w:rsidR="00196886" w:rsidRPr="00AF342C" w:rsidRDefault="00196886" w:rsidP="00196886">
            <w:pPr>
              <w:keepNext/>
              <w:spacing w:before="60" w:after="60"/>
              <w:jc w:val="left"/>
              <w:rPr>
                <w:rFonts w:cs="Arial"/>
                <w:sz w:val="16"/>
                <w:szCs w:val="16"/>
              </w:rPr>
            </w:pPr>
            <w:r w:rsidRPr="00AF342C">
              <w:rPr>
                <w:rFonts w:cs="Arial"/>
                <w:b/>
                <w:bCs/>
                <w:sz w:val="16"/>
                <w:szCs w:val="16"/>
                <w:u w:val="single"/>
              </w:rPr>
              <w:t>NE</w:t>
            </w:r>
            <w:r w:rsidR="002B162C">
              <w:rPr>
                <w:rFonts w:cs="Arial"/>
                <w:b/>
                <w:bCs/>
                <w:sz w:val="16"/>
                <w:szCs w:val="16"/>
                <w:u w:val="single"/>
              </w:rPr>
              <w:t>UE PRÜFUNGSRICHTLINIEN</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BR</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sz w:val="16"/>
                <w:szCs w:val="16"/>
              </w:rPr>
              <w:t>TWV</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sz w:val="16"/>
                <w:szCs w:val="16"/>
              </w:rPr>
              <w:t>TG/CORIA(proj.5)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color w:val="000000"/>
                <w:sz w:val="16"/>
                <w:szCs w:val="16"/>
              </w:rPr>
              <w:t>Coriander, Cilantro,</w:t>
            </w:r>
            <w:r w:rsidRPr="00AF342C">
              <w:rPr>
                <w:color w:val="000000"/>
                <w:sz w:val="16"/>
                <w:szCs w:val="16"/>
              </w:rPr>
              <w:br/>
              <w:t>Collender, Chinese parsley</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sz w:val="16"/>
                <w:szCs w:val="16"/>
              </w:rPr>
              <w:t>Coriandre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sz w:val="16"/>
                <w:szCs w:val="16"/>
              </w:rPr>
              <w:t>Koriander</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sz w:val="16"/>
                <w:szCs w:val="16"/>
              </w:rPr>
              <w:t>Coriandro</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i/>
                <w:color w:val="000000"/>
                <w:sz w:val="16"/>
                <w:szCs w:val="16"/>
              </w:rPr>
              <w:t>Coriandrum sativum</w:t>
            </w:r>
            <w:r w:rsidRPr="00AF342C">
              <w:rPr>
                <w:b/>
                <w:bCs/>
                <w:i/>
                <w:iCs/>
                <w:color w:val="000000"/>
                <w:sz w:val="16"/>
                <w:szCs w:val="16"/>
              </w:rPr>
              <w:t xml:space="preserve"> </w:t>
            </w:r>
            <w:r w:rsidRPr="00AF342C">
              <w:rPr>
                <w:i/>
                <w:color w:val="000000"/>
                <w:sz w:val="16"/>
                <w:szCs w:val="16"/>
              </w:rPr>
              <w:t>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AU</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spacing w:before="60" w:after="60"/>
              <w:jc w:val="left"/>
              <w:rPr>
                <w:sz w:val="16"/>
                <w:szCs w:val="16"/>
              </w:rPr>
            </w:pPr>
            <w:r w:rsidRPr="00AF342C">
              <w:rPr>
                <w:sz w:val="16"/>
                <w:szCs w:val="16"/>
              </w:rPr>
              <w:t>TG/DIANE(proj.5)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Flax-lily, Dianella</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Dianella</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noProof/>
                <w:sz w:val="16"/>
                <w:szCs w:val="16"/>
              </w:rPr>
              <w:t>Flachslilie, Dianella</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Dianella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i/>
                <w:sz w:val="16"/>
                <w:szCs w:val="16"/>
              </w:rPr>
              <w:t>Dianella</w:t>
            </w:r>
            <w:r w:rsidRPr="00AF342C">
              <w:rPr>
                <w:sz w:val="16"/>
                <w:szCs w:val="16"/>
              </w:rPr>
              <w:t xml:space="preserve"> Lam. ex Juss.</w:t>
            </w:r>
          </w:p>
        </w:tc>
      </w:tr>
      <w:tr w:rsidR="00196886" w:rsidRPr="00147FCD"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color w:val="000000"/>
                <w:sz w:val="16"/>
                <w:szCs w:val="16"/>
              </w:rPr>
            </w:pPr>
            <w:r w:rsidRPr="00AF342C">
              <w:rPr>
                <w:rFonts w:cs="Arial"/>
                <w:color w:val="000000"/>
                <w:sz w:val="16"/>
                <w:szCs w:val="16"/>
              </w:rPr>
              <w:t>BR/CN</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keepNext/>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spacing w:before="60" w:after="60"/>
              <w:jc w:val="left"/>
              <w:rPr>
                <w:color w:val="000000"/>
                <w:sz w:val="16"/>
                <w:szCs w:val="16"/>
              </w:rPr>
            </w:pPr>
            <w:r w:rsidRPr="00AF342C">
              <w:rPr>
                <w:color w:val="000000"/>
                <w:sz w:val="16"/>
                <w:szCs w:val="16"/>
              </w:rPr>
              <w:t>TG/EUCAL(proj.10)</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napToGrid w:val="0"/>
                <w:sz w:val="16"/>
                <w:szCs w:val="16"/>
              </w:rPr>
            </w:pPr>
            <w:r w:rsidRPr="00AF342C">
              <w:rPr>
                <w:snapToGrid w:val="0"/>
                <w:sz w:val="16"/>
                <w:szCs w:val="16"/>
              </w:rPr>
              <w:t>Eucalyptus</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napToGrid w:val="0"/>
                <w:sz w:val="16"/>
                <w:szCs w:val="16"/>
              </w:rPr>
            </w:pPr>
            <w:r w:rsidRPr="00AF342C">
              <w:rPr>
                <w:snapToGrid w:val="0"/>
                <w:sz w:val="16"/>
                <w:szCs w:val="16"/>
              </w:rPr>
              <w:t>Eucalyptus</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napToGrid w:val="0"/>
                <w:sz w:val="16"/>
                <w:szCs w:val="16"/>
              </w:rPr>
            </w:pPr>
            <w:r w:rsidRPr="00AF342C">
              <w:rPr>
                <w:snapToGrid w:val="0"/>
                <w:sz w:val="16"/>
                <w:szCs w:val="16"/>
              </w:rPr>
              <w:t>Eukalyptus</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napToGrid w:val="0"/>
                <w:sz w:val="16"/>
                <w:szCs w:val="16"/>
              </w:rPr>
            </w:pPr>
            <w:r w:rsidRPr="00AF342C">
              <w:rPr>
                <w:snapToGrid w:val="0"/>
                <w:sz w:val="16"/>
                <w:szCs w:val="16"/>
              </w:rPr>
              <w:t>Eucalipto</w:t>
            </w:r>
          </w:p>
        </w:tc>
        <w:tc>
          <w:tcPr>
            <w:tcW w:w="2162"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rFonts w:cs="Arial"/>
                <w:sz w:val="16"/>
                <w:szCs w:val="16"/>
                <w:lang w:val="fr-FR"/>
              </w:rPr>
            </w:pPr>
            <w:r w:rsidRPr="00CB765C">
              <w:rPr>
                <w:i/>
                <w:snapToGrid w:val="0"/>
                <w:sz w:val="16"/>
                <w:szCs w:val="16"/>
                <w:lang w:val="fr-FR"/>
              </w:rPr>
              <w:t xml:space="preserve">Eucalyptus </w:t>
            </w:r>
            <w:r w:rsidRPr="00CB765C">
              <w:rPr>
                <w:snapToGrid w:val="0"/>
                <w:sz w:val="16"/>
                <w:szCs w:val="16"/>
                <w:lang w:val="fr-FR"/>
              </w:rPr>
              <w:t>L'Hér</w:t>
            </w:r>
            <w:r w:rsidRPr="00CB765C">
              <w:rPr>
                <w:sz w:val="16"/>
                <w:szCs w:val="16"/>
                <w:lang w:val="fr-FR"/>
              </w:rPr>
              <w:t>.</w:t>
            </w:r>
            <w:r w:rsidRPr="00CB765C">
              <w:rPr>
                <w:sz w:val="16"/>
                <w:szCs w:val="16"/>
                <w:lang w:val="fr-FR"/>
              </w:rPr>
              <w:br/>
              <w:t xml:space="preserve">(Sub-genus </w:t>
            </w:r>
            <w:r w:rsidRPr="00CB765C">
              <w:rPr>
                <w:i/>
                <w:sz w:val="16"/>
                <w:szCs w:val="16"/>
                <w:lang w:val="fr-FR"/>
              </w:rPr>
              <w:t>Symphyomyrtus</w:t>
            </w:r>
            <w:r w:rsidRPr="00CB765C">
              <w:rPr>
                <w:sz w:val="16"/>
                <w:szCs w:val="16"/>
                <w:lang w:val="fr-FR"/>
              </w:rPr>
              <w:t>)</w:t>
            </w:r>
            <w:r w:rsidRPr="00CB765C">
              <w:rPr>
                <w:sz w:val="16"/>
                <w:szCs w:val="16"/>
                <w:lang w:val="fr-FR"/>
              </w:rPr>
              <w:br/>
              <w:t xml:space="preserve">(Sections </w:t>
            </w:r>
            <w:r w:rsidRPr="00CB765C">
              <w:rPr>
                <w:i/>
                <w:sz w:val="16"/>
                <w:szCs w:val="16"/>
                <w:lang w:val="fr-FR"/>
              </w:rPr>
              <w:t>Transversaria</w:t>
            </w:r>
            <w:r w:rsidRPr="00CB765C">
              <w:rPr>
                <w:sz w:val="16"/>
                <w:szCs w:val="16"/>
                <w:lang w:val="fr-FR"/>
              </w:rPr>
              <w:t xml:space="preserve">, </w:t>
            </w:r>
            <w:r w:rsidRPr="00CB765C">
              <w:rPr>
                <w:i/>
                <w:sz w:val="16"/>
                <w:szCs w:val="16"/>
                <w:lang w:val="fr-FR"/>
              </w:rPr>
              <w:t>Maidenaria</w:t>
            </w:r>
            <w:r w:rsidRPr="00CB765C">
              <w:rPr>
                <w:sz w:val="16"/>
                <w:szCs w:val="16"/>
                <w:lang w:val="fr-FR"/>
              </w:rPr>
              <w:t xml:space="preserve">, </w:t>
            </w:r>
            <w:r w:rsidRPr="00CB765C">
              <w:rPr>
                <w:i/>
                <w:sz w:val="16"/>
                <w:szCs w:val="16"/>
                <w:lang w:val="fr-FR"/>
              </w:rPr>
              <w:t>Exsertaria</w:t>
            </w:r>
            <w:r w:rsidRPr="00CB765C">
              <w:rPr>
                <w:sz w:val="16"/>
                <w:szCs w:val="16"/>
                <w:lang w:val="fr-FR"/>
              </w:rPr>
              <w:t>)</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JP</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preparedby"/>
              <w:keepNext/>
              <w:spacing w:before="60" w:after="60"/>
              <w:rPr>
                <w:i w:val="0"/>
                <w:sz w:val="16"/>
                <w:szCs w:val="16"/>
              </w:rPr>
            </w:pPr>
            <w:r w:rsidRPr="00AF342C">
              <w:rPr>
                <w:i w:val="0"/>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spacing w:before="60" w:after="60"/>
              <w:jc w:val="left"/>
              <w:rPr>
                <w:snapToGrid w:val="0"/>
                <w:color w:val="000000"/>
                <w:sz w:val="16"/>
                <w:szCs w:val="16"/>
              </w:rPr>
            </w:pPr>
            <w:r w:rsidRPr="00AF342C">
              <w:rPr>
                <w:snapToGrid w:val="0"/>
                <w:color w:val="000000"/>
                <w:sz w:val="16"/>
                <w:szCs w:val="16"/>
              </w:rPr>
              <w:t>TG/FORTU(proj.4)</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lang w:eastAsia="ja-JP"/>
              </w:rPr>
            </w:pPr>
            <w:r w:rsidRPr="00AF342C">
              <w:rPr>
                <w:rFonts w:hAnsi="MS Mincho"/>
                <w:kern w:val="2"/>
                <w:sz w:val="16"/>
                <w:szCs w:val="16"/>
                <w:lang w:eastAsia="ja-JP"/>
              </w:rPr>
              <w:t>Kumquat</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widowControl w:val="0"/>
              <w:spacing w:before="60" w:after="60"/>
              <w:jc w:val="left"/>
              <w:rPr>
                <w:rFonts w:hAnsi="MS Mincho"/>
                <w:kern w:val="2"/>
                <w:sz w:val="16"/>
                <w:szCs w:val="16"/>
                <w:lang w:eastAsia="ja-JP"/>
              </w:rPr>
            </w:pPr>
            <w:r w:rsidRPr="00AF342C">
              <w:rPr>
                <w:rFonts w:hAnsi="MS Mincho"/>
                <w:kern w:val="2"/>
                <w:sz w:val="16"/>
                <w:szCs w:val="16"/>
                <w:lang w:eastAsia="ja-JP"/>
              </w:rPr>
              <w:t>Kumquat</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rFonts w:hAnsi="MS Mincho"/>
                <w:kern w:val="2"/>
                <w:sz w:val="16"/>
                <w:szCs w:val="16"/>
                <w:lang w:eastAsia="ja-JP"/>
              </w:rPr>
              <w:t>Kumquat</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widowControl w:val="0"/>
              <w:spacing w:before="60" w:after="60"/>
              <w:jc w:val="left"/>
              <w:rPr>
                <w:rFonts w:hAnsi="MS Mincho"/>
                <w:kern w:val="2"/>
                <w:sz w:val="16"/>
                <w:szCs w:val="16"/>
                <w:lang w:eastAsia="ja-JP"/>
              </w:rPr>
            </w:pPr>
            <w:r w:rsidRPr="00AF342C">
              <w:rPr>
                <w:rFonts w:hAnsi="MS Mincho"/>
                <w:kern w:val="2"/>
                <w:sz w:val="16"/>
                <w:szCs w:val="16"/>
                <w:lang w:eastAsia="ja-JP"/>
              </w:rPr>
              <w:t>Kumquat</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rFonts w:hAnsi="MS Mincho"/>
                <w:i/>
                <w:sz w:val="16"/>
                <w:szCs w:val="16"/>
              </w:rPr>
              <w:t>Fortunella</w:t>
            </w:r>
            <w:r w:rsidRPr="00AF342C">
              <w:rPr>
                <w:rFonts w:hAnsi="MS Mincho"/>
                <w:sz w:val="16"/>
                <w:szCs w:val="16"/>
              </w:rPr>
              <w:t xml:space="preserve"> Swingle</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color w:val="000000"/>
                <w:sz w:val="16"/>
                <w:szCs w:val="16"/>
              </w:rPr>
            </w:pPr>
            <w:r w:rsidRPr="00AF342C">
              <w:rPr>
                <w:rFonts w:cs="Arial"/>
                <w:color w:val="000000"/>
                <w:sz w:val="16"/>
                <w:szCs w:val="16"/>
              </w:rPr>
              <w:t>NZ</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spacing w:before="60" w:after="60"/>
              <w:jc w:val="left"/>
              <w:rPr>
                <w:sz w:val="16"/>
                <w:szCs w:val="16"/>
              </w:rPr>
            </w:pPr>
            <w:r w:rsidRPr="00AF342C">
              <w:rPr>
                <w:sz w:val="16"/>
                <w:szCs w:val="16"/>
              </w:rPr>
              <w:t>TG/HEBE(proj.5)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Hebe</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Veronique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Strauchveronika</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Verónica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i/>
                <w:sz w:val="16"/>
                <w:szCs w:val="16"/>
              </w:rPr>
            </w:pPr>
            <w:r w:rsidRPr="00AF342C">
              <w:rPr>
                <w:i/>
                <w:sz w:val="16"/>
                <w:szCs w:val="16"/>
              </w:rPr>
              <w:t>Hebe</w:t>
            </w:r>
            <w:r w:rsidRPr="00AF342C">
              <w:rPr>
                <w:sz w:val="16"/>
                <w:szCs w:val="16"/>
              </w:rPr>
              <w:t xml:space="preserve"> Comm. ex Juss.</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CA</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spacing w:before="60" w:after="60"/>
              <w:jc w:val="left"/>
              <w:rPr>
                <w:sz w:val="16"/>
                <w:szCs w:val="16"/>
              </w:rPr>
            </w:pPr>
            <w:r w:rsidRPr="00AF342C">
              <w:rPr>
                <w:sz w:val="16"/>
                <w:szCs w:val="16"/>
              </w:rPr>
              <w:t>TG/LOBEL(proj.4)</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Lobelia, True Lobelia of Gardens</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Lobélie, Lobélie des jardins</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Lobelie, Männertreu</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Lobelia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bCs/>
                <w:i/>
                <w:sz w:val="16"/>
                <w:szCs w:val="16"/>
              </w:rPr>
              <w:t>Lobelia alsinoides</w:t>
            </w:r>
            <w:r w:rsidRPr="00AF342C">
              <w:rPr>
                <w:bCs/>
                <w:sz w:val="16"/>
                <w:szCs w:val="16"/>
              </w:rPr>
              <w:t xml:space="preserve"> Lam.;  </w:t>
            </w:r>
            <w:r w:rsidRPr="00AF342C">
              <w:rPr>
                <w:i/>
                <w:sz w:val="16"/>
                <w:szCs w:val="16"/>
              </w:rPr>
              <w:t>Lobelia erinus</w:t>
            </w:r>
            <w:r w:rsidRPr="00AF342C">
              <w:rPr>
                <w:sz w:val="16"/>
                <w:szCs w:val="16"/>
              </w:rPr>
              <w:t xml:space="preserve"> L.;  </w:t>
            </w:r>
            <w:r w:rsidRPr="00AF342C">
              <w:rPr>
                <w:sz w:val="16"/>
                <w:szCs w:val="16"/>
              </w:rPr>
              <w:br/>
            </w:r>
            <w:r w:rsidRPr="00AF342C">
              <w:rPr>
                <w:i/>
                <w:sz w:val="16"/>
                <w:szCs w:val="16"/>
              </w:rPr>
              <w:t xml:space="preserve">Lobelia valida </w:t>
            </w:r>
            <w:r w:rsidRPr="00AF342C">
              <w:rPr>
                <w:sz w:val="16"/>
                <w:szCs w:val="16"/>
              </w:rPr>
              <w:t xml:space="preserve">L. Bolus;  </w:t>
            </w:r>
            <w:r w:rsidRPr="00AF342C">
              <w:rPr>
                <w:sz w:val="16"/>
                <w:szCs w:val="16"/>
              </w:rPr>
              <w:br/>
              <w:t>Hybrids between</w:t>
            </w:r>
            <w:r w:rsidRPr="00AF342C">
              <w:rPr>
                <w:i/>
                <w:sz w:val="16"/>
                <w:szCs w:val="16"/>
              </w:rPr>
              <w:t xml:space="preserve"> Lobelia erinus </w:t>
            </w:r>
            <w:r w:rsidRPr="00AF342C">
              <w:rPr>
                <w:sz w:val="16"/>
                <w:szCs w:val="16"/>
              </w:rPr>
              <w:t xml:space="preserve">and </w:t>
            </w:r>
            <w:r w:rsidRPr="00AF342C">
              <w:rPr>
                <w:bCs/>
                <w:i/>
                <w:sz w:val="16"/>
                <w:szCs w:val="16"/>
              </w:rPr>
              <w:t>Lobelia alsinoides</w:t>
            </w:r>
            <w:r w:rsidRPr="00AF342C">
              <w:rPr>
                <w:bCs/>
                <w:sz w:val="16"/>
                <w:szCs w:val="16"/>
              </w:rPr>
              <w:t>;</w:t>
            </w:r>
            <w:r w:rsidRPr="00AF342C">
              <w:rPr>
                <w:bCs/>
                <w:i/>
                <w:sz w:val="16"/>
                <w:szCs w:val="16"/>
              </w:rPr>
              <w:t xml:space="preserve">  </w:t>
            </w:r>
            <w:r w:rsidRPr="00AF342C">
              <w:rPr>
                <w:sz w:val="16"/>
                <w:szCs w:val="16"/>
              </w:rPr>
              <w:t xml:space="preserve">Hybrids between </w:t>
            </w:r>
            <w:r w:rsidRPr="00AF342C">
              <w:rPr>
                <w:i/>
                <w:sz w:val="16"/>
                <w:szCs w:val="16"/>
              </w:rPr>
              <w:t>Lobelia erinus</w:t>
            </w:r>
            <w:r w:rsidRPr="00AF342C">
              <w:rPr>
                <w:sz w:val="16"/>
                <w:szCs w:val="16"/>
              </w:rPr>
              <w:t xml:space="preserve"> and </w:t>
            </w:r>
            <w:r w:rsidRPr="00AF342C">
              <w:rPr>
                <w:i/>
                <w:sz w:val="16"/>
                <w:szCs w:val="16"/>
              </w:rPr>
              <w:t>Lobelia valida</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AU</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sz w:val="16"/>
                <w:szCs w:val="16"/>
              </w:rPr>
            </w:pPr>
            <w:r w:rsidRPr="00AF342C">
              <w:rPr>
                <w:i w:val="0"/>
                <w:sz w:val="16"/>
                <w:szCs w:val="16"/>
              </w:rPr>
              <w:t>TG/LOMAN(proj.5)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Lomandra, Mat Rush</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Lomandra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Lomandra </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Lomandra </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bCs/>
                <w:i/>
                <w:sz w:val="16"/>
                <w:szCs w:val="16"/>
              </w:rPr>
              <w:t>Lomandra</w:t>
            </w:r>
            <w:r w:rsidRPr="00AF342C">
              <w:rPr>
                <w:bCs/>
                <w:sz w:val="16"/>
                <w:szCs w:val="16"/>
              </w:rPr>
              <w:t xml:space="preserve"> Labill.</w:t>
            </w:r>
          </w:p>
        </w:tc>
      </w:tr>
      <w:tr w:rsidR="00196886" w:rsidRPr="00AF342C" w:rsidTr="00196886">
        <w:trPr>
          <w:cantSplit/>
          <w:jc w:val="center"/>
        </w:trPr>
        <w:tc>
          <w:tcPr>
            <w:tcW w:w="568" w:type="dxa"/>
            <w:tcBorders>
              <w:top w:val="single" w:sz="4" w:space="0" w:color="auto"/>
              <w:left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CN</w:t>
            </w:r>
          </w:p>
        </w:tc>
        <w:tc>
          <w:tcPr>
            <w:tcW w:w="567" w:type="dxa"/>
            <w:tcBorders>
              <w:top w:val="single" w:sz="4" w:space="0" w:color="auto"/>
              <w:left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r w:rsidRPr="00AF342C">
              <w:rPr>
                <w:i w:val="0"/>
                <w:color w:val="000000"/>
                <w:sz w:val="16"/>
                <w:szCs w:val="16"/>
              </w:rPr>
              <w:t>TG/PAEON(proj.7)</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Tree peony,  </w:t>
            </w:r>
            <w:r w:rsidRPr="00AF342C">
              <w:rPr>
                <w:sz w:val="16"/>
                <w:szCs w:val="16"/>
              </w:rPr>
              <w:br/>
              <w:t>Yellow Tree Peony</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Pivoine arbustive</w:t>
            </w:r>
          </w:p>
        </w:tc>
        <w:tc>
          <w:tcPr>
            <w:tcW w:w="1474"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sz w:val="16"/>
                <w:szCs w:val="16"/>
                <w:lang w:val="de-DE"/>
              </w:rPr>
            </w:pPr>
            <w:r w:rsidRPr="00CB765C">
              <w:rPr>
                <w:sz w:val="16"/>
                <w:szCs w:val="16"/>
                <w:lang w:val="de-DE"/>
              </w:rPr>
              <w:t xml:space="preserve">Delavays Strauch-pfingstrose, </w:t>
            </w:r>
            <w:r w:rsidRPr="00CB765C">
              <w:rPr>
                <w:sz w:val="16"/>
                <w:szCs w:val="16"/>
                <w:lang w:val="de-DE"/>
              </w:rPr>
              <w:br/>
              <w:t>Gelbe Pfingstrose</w:t>
            </w:r>
          </w:p>
        </w:tc>
        <w:tc>
          <w:tcPr>
            <w:tcW w:w="1467"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sz w:val="16"/>
                <w:szCs w:val="16"/>
                <w:lang w:val="de-DE"/>
              </w:rPr>
            </w:pP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rPr>
            </w:pPr>
            <w:r w:rsidRPr="00AF342C">
              <w:rPr>
                <w:bCs/>
                <w:i/>
                <w:sz w:val="16"/>
                <w:szCs w:val="16"/>
              </w:rPr>
              <w:t>Paeonia delavayi</w:t>
            </w:r>
            <w:r w:rsidRPr="00AF342C">
              <w:rPr>
                <w:bCs/>
                <w:sz w:val="16"/>
                <w:szCs w:val="16"/>
              </w:rPr>
              <w:t xml:space="preserve"> Franch.</w:t>
            </w:r>
          </w:p>
        </w:tc>
      </w:tr>
      <w:tr w:rsidR="00196886" w:rsidRPr="00AF342C" w:rsidTr="00196886">
        <w:trPr>
          <w:cantSplit/>
          <w:jc w:val="center"/>
        </w:trPr>
        <w:tc>
          <w:tcPr>
            <w:tcW w:w="568" w:type="dxa"/>
            <w:tcBorders>
              <w:left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rPr>
            </w:pPr>
            <w:r w:rsidRPr="00AF342C">
              <w:rPr>
                <w:bCs/>
                <w:i/>
                <w:sz w:val="16"/>
                <w:szCs w:val="16"/>
              </w:rPr>
              <w:t xml:space="preserve">Paeonia jishanensis </w:t>
            </w:r>
            <w:r w:rsidRPr="00AF342C">
              <w:rPr>
                <w:bCs/>
                <w:sz w:val="16"/>
                <w:szCs w:val="16"/>
              </w:rPr>
              <w:t>T. Hong &amp; W. Z. Zhao</w:t>
            </w:r>
          </w:p>
        </w:tc>
      </w:tr>
      <w:tr w:rsidR="00196886" w:rsidRPr="00AF342C" w:rsidTr="00196886">
        <w:trPr>
          <w:cantSplit/>
          <w:jc w:val="center"/>
        </w:trPr>
        <w:tc>
          <w:tcPr>
            <w:tcW w:w="568" w:type="dxa"/>
            <w:tcBorders>
              <w:left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bCs/>
                <w:i/>
                <w:sz w:val="16"/>
                <w:szCs w:val="16"/>
              </w:rPr>
            </w:pPr>
            <w:r w:rsidRPr="00AF342C">
              <w:rPr>
                <w:bCs/>
                <w:i/>
                <w:sz w:val="16"/>
                <w:szCs w:val="16"/>
              </w:rPr>
              <w:t>Paeonia ludlowii</w:t>
            </w:r>
            <w:r w:rsidRPr="00AF342C">
              <w:rPr>
                <w:bCs/>
                <w:sz w:val="16"/>
                <w:szCs w:val="16"/>
              </w:rPr>
              <w:t xml:space="preserve"> (Stern &amp; Taylor) D. Y. Hong</w:t>
            </w:r>
          </w:p>
        </w:tc>
      </w:tr>
      <w:tr w:rsidR="00196886" w:rsidRPr="00147FCD" w:rsidTr="00196886">
        <w:trPr>
          <w:cantSplit/>
          <w:jc w:val="center"/>
        </w:trPr>
        <w:tc>
          <w:tcPr>
            <w:tcW w:w="568" w:type="dxa"/>
            <w:tcBorders>
              <w:left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2162" w:type="dxa"/>
            <w:tcBorders>
              <w:top w:val="single" w:sz="4" w:space="0" w:color="auto"/>
              <w:left w:val="single" w:sz="4" w:space="0" w:color="auto"/>
              <w:bottom w:val="single" w:sz="4" w:space="0" w:color="auto"/>
              <w:right w:val="single" w:sz="4" w:space="0" w:color="auto"/>
            </w:tcBorders>
          </w:tcPr>
          <w:p w:rsidR="00196886" w:rsidRPr="00020854" w:rsidRDefault="00196886" w:rsidP="00196886">
            <w:pPr>
              <w:spacing w:before="60" w:after="60"/>
              <w:jc w:val="left"/>
              <w:rPr>
                <w:sz w:val="16"/>
                <w:szCs w:val="16"/>
                <w:lang w:val="fr-FR"/>
              </w:rPr>
            </w:pPr>
            <w:r w:rsidRPr="00020854">
              <w:rPr>
                <w:bCs/>
                <w:i/>
                <w:sz w:val="16"/>
                <w:szCs w:val="16"/>
                <w:lang w:val="fr-FR"/>
              </w:rPr>
              <w:t>Paeonia ostii</w:t>
            </w:r>
            <w:r w:rsidRPr="00020854">
              <w:rPr>
                <w:bCs/>
                <w:sz w:val="16"/>
                <w:szCs w:val="16"/>
                <w:lang w:val="fr-FR"/>
              </w:rPr>
              <w:t xml:space="preserve"> T. Hong &amp; J. X. Zhang</w:t>
            </w:r>
          </w:p>
        </w:tc>
      </w:tr>
      <w:tr w:rsidR="00196886" w:rsidRPr="00AF342C" w:rsidTr="00196886">
        <w:trPr>
          <w:cantSplit/>
          <w:jc w:val="center"/>
        </w:trPr>
        <w:tc>
          <w:tcPr>
            <w:tcW w:w="568" w:type="dxa"/>
            <w:tcBorders>
              <w:left w:val="single" w:sz="4" w:space="0" w:color="auto"/>
              <w:right w:val="single" w:sz="4" w:space="0" w:color="auto"/>
            </w:tcBorders>
          </w:tcPr>
          <w:p w:rsidR="00196886" w:rsidRPr="00020854" w:rsidRDefault="00196886" w:rsidP="00196886">
            <w:pPr>
              <w:spacing w:before="60" w:after="60"/>
              <w:jc w:val="center"/>
              <w:rPr>
                <w:rFonts w:cs="Arial"/>
                <w:sz w:val="16"/>
                <w:szCs w:val="16"/>
                <w:lang w:val="fr-FR"/>
              </w:rPr>
            </w:pPr>
          </w:p>
        </w:tc>
        <w:tc>
          <w:tcPr>
            <w:tcW w:w="567" w:type="dxa"/>
            <w:tcBorders>
              <w:left w:val="single" w:sz="4" w:space="0" w:color="auto"/>
              <w:right w:val="single" w:sz="4" w:space="0" w:color="auto"/>
            </w:tcBorders>
          </w:tcPr>
          <w:p w:rsidR="00196886" w:rsidRPr="00020854" w:rsidRDefault="00196886" w:rsidP="00196886">
            <w:pPr>
              <w:spacing w:before="60" w:after="60"/>
              <w:jc w:val="center"/>
              <w:rPr>
                <w:sz w:val="16"/>
                <w:szCs w:val="16"/>
                <w:lang w:val="fr-FR"/>
              </w:rPr>
            </w:pPr>
          </w:p>
        </w:tc>
        <w:tc>
          <w:tcPr>
            <w:tcW w:w="1701" w:type="dxa"/>
            <w:tcBorders>
              <w:left w:val="single" w:sz="4" w:space="0" w:color="auto"/>
              <w:right w:val="single" w:sz="4" w:space="0" w:color="auto"/>
            </w:tcBorders>
          </w:tcPr>
          <w:p w:rsidR="00196886" w:rsidRPr="00020854" w:rsidRDefault="00196886" w:rsidP="00196886">
            <w:pPr>
              <w:pStyle w:val="preparedby"/>
              <w:spacing w:before="60" w:after="60"/>
              <w:jc w:val="left"/>
              <w:rPr>
                <w:i w:val="0"/>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196886" w:rsidRPr="00020854" w:rsidRDefault="00196886" w:rsidP="00196886">
            <w:pPr>
              <w:spacing w:before="60" w:after="60"/>
              <w:jc w:val="left"/>
              <w:rPr>
                <w:sz w:val="16"/>
                <w:szCs w:val="16"/>
                <w:lang w:val="fr-FR"/>
              </w:rPr>
            </w:pPr>
          </w:p>
        </w:tc>
        <w:tc>
          <w:tcPr>
            <w:tcW w:w="1225" w:type="dxa"/>
            <w:tcBorders>
              <w:top w:val="single" w:sz="4" w:space="0" w:color="auto"/>
              <w:left w:val="single" w:sz="4" w:space="0" w:color="auto"/>
              <w:bottom w:val="single" w:sz="4" w:space="0" w:color="auto"/>
              <w:right w:val="single" w:sz="4" w:space="0" w:color="auto"/>
            </w:tcBorders>
          </w:tcPr>
          <w:p w:rsidR="00196886" w:rsidRPr="00020854" w:rsidRDefault="00196886" w:rsidP="00196886">
            <w:pPr>
              <w:spacing w:before="60" w:after="60"/>
              <w:jc w:val="left"/>
              <w:rPr>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rsidR="00196886" w:rsidRPr="00020854" w:rsidRDefault="00196886" w:rsidP="00196886">
            <w:pPr>
              <w:spacing w:before="60" w:after="60"/>
              <w:jc w:val="left"/>
              <w:rPr>
                <w:sz w:val="16"/>
                <w:szCs w:val="16"/>
                <w:lang w:val="fr-FR"/>
              </w:rPr>
            </w:pPr>
          </w:p>
        </w:tc>
        <w:tc>
          <w:tcPr>
            <w:tcW w:w="1467" w:type="dxa"/>
            <w:tcBorders>
              <w:top w:val="single" w:sz="4" w:space="0" w:color="auto"/>
              <w:left w:val="single" w:sz="4" w:space="0" w:color="auto"/>
              <w:bottom w:val="single" w:sz="4" w:space="0" w:color="auto"/>
              <w:right w:val="single" w:sz="4" w:space="0" w:color="auto"/>
            </w:tcBorders>
          </w:tcPr>
          <w:p w:rsidR="00196886" w:rsidRPr="00020854" w:rsidRDefault="00196886" w:rsidP="00196886">
            <w:pPr>
              <w:spacing w:before="60" w:after="60"/>
              <w:jc w:val="left"/>
              <w:rPr>
                <w:sz w:val="16"/>
                <w:szCs w:val="16"/>
                <w:lang w:val="fr-FR"/>
              </w:rPr>
            </w:pP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bCs/>
                <w:i/>
                <w:sz w:val="16"/>
                <w:szCs w:val="16"/>
              </w:rPr>
            </w:pPr>
            <w:r w:rsidRPr="00AF342C">
              <w:rPr>
                <w:bCs/>
                <w:i/>
                <w:sz w:val="16"/>
                <w:szCs w:val="16"/>
              </w:rPr>
              <w:t>Paeonia qiui</w:t>
            </w:r>
            <w:r w:rsidRPr="00AF342C">
              <w:rPr>
                <w:bCs/>
                <w:sz w:val="16"/>
                <w:szCs w:val="16"/>
              </w:rPr>
              <w:t xml:space="preserve"> Y. L. Pei &amp; D. Y. Hong</w:t>
            </w:r>
          </w:p>
        </w:tc>
      </w:tr>
      <w:tr w:rsidR="00196886" w:rsidRPr="00AF342C" w:rsidTr="00196886">
        <w:trPr>
          <w:cantSplit/>
          <w:jc w:val="center"/>
        </w:trPr>
        <w:tc>
          <w:tcPr>
            <w:tcW w:w="568" w:type="dxa"/>
            <w:tcBorders>
              <w:left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Gefleckte Strauch-pfingstrose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rPr>
            </w:pPr>
            <w:r w:rsidRPr="00AF342C">
              <w:rPr>
                <w:bCs/>
                <w:i/>
                <w:sz w:val="16"/>
                <w:szCs w:val="16"/>
              </w:rPr>
              <w:t xml:space="preserve">Paeonia rockii </w:t>
            </w:r>
            <w:r w:rsidRPr="00AF342C">
              <w:rPr>
                <w:bCs/>
                <w:sz w:val="16"/>
                <w:szCs w:val="16"/>
              </w:rPr>
              <w:t>(S. G. Haw &amp; Lauener) T. Hong &amp; J. J. Li ex D. Y. Hong</w:t>
            </w:r>
          </w:p>
        </w:tc>
      </w:tr>
      <w:tr w:rsidR="00196886" w:rsidRPr="00AF342C" w:rsidTr="00196886">
        <w:trPr>
          <w:cantSplit/>
          <w:jc w:val="center"/>
        </w:trPr>
        <w:tc>
          <w:tcPr>
            <w:tcW w:w="568" w:type="dxa"/>
            <w:tcBorders>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Pr>
                <w:sz w:val="16"/>
                <w:szCs w:val="16"/>
              </w:rPr>
              <w:t>Tree P</w:t>
            </w:r>
            <w:r w:rsidRPr="00AF342C">
              <w:rPr>
                <w:sz w:val="16"/>
                <w:szCs w:val="16"/>
              </w:rPr>
              <w:t xml:space="preserve">eony, </w:t>
            </w:r>
            <w:r w:rsidRPr="00AF342C">
              <w:rPr>
                <w:sz w:val="16"/>
                <w:szCs w:val="16"/>
              </w:rPr>
              <w:br/>
              <w:t>Moutan Peony</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Pivoine arbustive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Strauchpäonie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Peonia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rPr>
            </w:pPr>
            <w:r w:rsidRPr="00AF342C">
              <w:rPr>
                <w:bCs/>
                <w:i/>
                <w:sz w:val="16"/>
                <w:szCs w:val="16"/>
              </w:rPr>
              <w:t>Paeonia suffruticosa</w:t>
            </w:r>
            <w:r w:rsidRPr="00AF342C">
              <w:rPr>
                <w:bCs/>
                <w:sz w:val="16"/>
                <w:szCs w:val="16"/>
              </w:rPr>
              <w:t xml:space="preserve"> Andrews, </w:t>
            </w:r>
            <w:r w:rsidRPr="00AF342C">
              <w:rPr>
                <w:i/>
                <w:sz w:val="16"/>
                <w:szCs w:val="16"/>
              </w:rPr>
              <w:t>Paeonia moutan</w:t>
            </w:r>
            <w:r w:rsidRPr="00AF342C">
              <w:rPr>
                <w:sz w:val="16"/>
                <w:szCs w:val="16"/>
              </w:rPr>
              <w:t xml:space="preserve"> Sims</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ES</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r w:rsidRPr="00AF342C">
              <w:rPr>
                <w:i w:val="0"/>
                <w:color w:val="000000"/>
                <w:sz w:val="16"/>
                <w:szCs w:val="16"/>
              </w:rPr>
              <w:t>TG/PGRAN(proj.5)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Pomegranate</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Grenadier</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Granatapfel</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Granado</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i/>
                <w:iCs/>
                <w:sz w:val="16"/>
                <w:szCs w:val="16"/>
              </w:rPr>
              <w:t>Punica granatum</w:t>
            </w:r>
            <w:r w:rsidRPr="00AF342C">
              <w:rPr>
                <w:sz w:val="16"/>
                <w:szCs w:val="16"/>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FR</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r w:rsidRPr="00AF342C">
              <w:rPr>
                <w:i w:val="0"/>
                <w:color w:val="000000"/>
                <w:sz w:val="16"/>
                <w:szCs w:val="16"/>
              </w:rPr>
              <w:t>TG/PINEAP(proj.12)</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 xml:space="preserve">Pineapple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 xml:space="preserve">Ananas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Ananas</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Piña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rFonts w:cs="Arial"/>
                <w:i/>
                <w:sz w:val="16"/>
                <w:szCs w:val="16"/>
              </w:rPr>
              <w:t>Ananas comosus</w:t>
            </w:r>
            <w:r w:rsidRPr="00AF342C">
              <w:rPr>
                <w:rFonts w:cs="Arial"/>
                <w:sz w:val="16"/>
                <w:szCs w:val="16"/>
              </w:rPr>
              <w:t xml:space="preserve"> (L.) Merr.</w:t>
            </w:r>
          </w:p>
        </w:tc>
      </w:tr>
      <w:tr w:rsidR="00196886" w:rsidRPr="00AF342C" w:rsidTr="00196886">
        <w:trPr>
          <w:cantSplit/>
          <w:jc w:val="center"/>
        </w:trPr>
        <w:tc>
          <w:tcPr>
            <w:tcW w:w="568" w:type="dxa"/>
            <w:tcBorders>
              <w:top w:val="single" w:sz="4" w:space="0" w:color="auto"/>
              <w:left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KR</w:t>
            </w:r>
          </w:p>
        </w:tc>
        <w:tc>
          <w:tcPr>
            <w:tcW w:w="567" w:type="dxa"/>
            <w:tcBorders>
              <w:top w:val="single" w:sz="4" w:space="0" w:color="auto"/>
              <w:left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TWV</w:t>
            </w:r>
          </w:p>
        </w:tc>
        <w:tc>
          <w:tcPr>
            <w:tcW w:w="1701" w:type="dxa"/>
            <w:tcBorders>
              <w:top w:val="single" w:sz="4" w:space="0" w:color="auto"/>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r w:rsidRPr="00AF342C">
              <w:rPr>
                <w:i w:val="0"/>
                <w:color w:val="000000"/>
                <w:sz w:val="16"/>
                <w:szCs w:val="16"/>
              </w:rPr>
              <w:t>TG/PLEUR(proj.5)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lang w:eastAsia="ko-KR"/>
              </w:rPr>
              <w:t>Oyster Mushroom</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lang w:eastAsia="ko-KR"/>
              </w:rPr>
            </w:pPr>
            <w:r w:rsidRPr="00AF342C">
              <w:rPr>
                <w:sz w:val="16"/>
                <w:szCs w:val="16"/>
                <w:lang w:eastAsia="ko-KR"/>
              </w:rPr>
              <w:t>Pleurote en coquille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rPr>
            </w:pPr>
            <w:r w:rsidRPr="00AF342C">
              <w:rPr>
                <w:sz w:val="16"/>
                <w:szCs w:val="16"/>
              </w:rPr>
              <w:t>Austernseitling, Drehling</w:t>
            </w:r>
          </w:p>
        </w:tc>
        <w:tc>
          <w:tcPr>
            <w:tcW w:w="1467" w:type="dxa"/>
            <w:tcBorders>
              <w:top w:val="single" w:sz="4" w:space="0" w:color="auto"/>
              <w:left w:val="single" w:sz="4" w:space="0" w:color="auto"/>
              <w:bottom w:val="single" w:sz="4" w:space="0" w:color="auto"/>
              <w:right w:val="single" w:sz="4" w:space="0" w:color="auto"/>
            </w:tcBorders>
          </w:tcPr>
          <w:p w:rsidR="00196886" w:rsidRPr="00097F82" w:rsidRDefault="00196886" w:rsidP="00196886">
            <w:pPr>
              <w:spacing w:before="60" w:after="60"/>
              <w:jc w:val="left"/>
              <w:rPr>
                <w:sz w:val="16"/>
                <w:szCs w:val="16"/>
                <w:lang w:val="es-ES"/>
              </w:rPr>
            </w:pPr>
            <w:r w:rsidRPr="00097F82">
              <w:rPr>
                <w:sz w:val="16"/>
                <w:szCs w:val="16"/>
                <w:lang w:val="es-ES"/>
              </w:rPr>
              <w:t>Champiñon ostra, Girgola, Seta de ostra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rFonts w:cs="Arial"/>
                <w:bCs/>
                <w:i/>
                <w:iCs/>
                <w:sz w:val="16"/>
                <w:szCs w:val="16"/>
                <w:lang w:eastAsia="ko-KR"/>
              </w:rPr>
              <w:t xml:space="preserve">Pleurotus ostreatus </w:t>
            </w:r>
            <w:r w:rsidRPr="00AF342C">
              <w:rPr>
                <w:rFonts w:cs="Arial"/>
                <w:bCs/>
                <w:sz w:val="16"/>
                <w:szCs w:val="16"/>
                <w:lang w:eastAsia="ko-KR"/>
              </w:rPr>
              <w:t>(Jacq.) P. Kumm.</w:t>
            </w:r>
          </w:p>
        </w:tc>
      </w:tr>
      <w:tr w:rsidR="00196886" w:rsidRPr="00AF342C" w:rsidTr="00196886">
        <w:trPr>
          <w:cantSplit/>
          <w:jc w:val="center"/>
        </w:trPr>
        <w:tc>
          <w:tcPr>
            <w:tcW w:w="568" w:type="dxa"/>
            <w:tcBorders>
              <w:left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lang w:eastAsia="ko-KR"/>
              </w:rPr>
            </w:pPr>
            <w:r w:rsidRPr="00AF342C">
              <w:rPr>
                <w:sz w:val="16"/>
                <w:szCs w:val="16"/>
                <w:lang w:eastAsia="ko-KR"/>
              </w:rPr>
              <w:t>Eringi, King Oyster Mushroom</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lang w:eastAsia="ko-KR"/>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rPr>
            </w:pPr>
            <w:r w:rsidRPr="00AF342C">
              <w:rPr>
                <w:sz w:val="16"/>
                <w:szCs w:val="16"/>
              </w:rPr>
              <w:t>Kräuterseitling</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rPr>
            </w:pPr>
            <w:r w:rsidRPr="00AF342C">
              <w:rPr>
                <w:sz w:val="16"/>
                <w:szCs w:val="16"/>
              </w:rPr>
              <w:t>Seta de cardo</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lang w:eastAsia="ko-KR"/>
              </w:rPr>
            </w:pPr>
            <w:r w:rsidRPr="00AF342C">
              <w:rPr>
                <w:rFonts w:cs="Arial"/>
                <w:bCs/>
                <w:i/>
                <w:iCs/>
                <w:sz w:val="16"/>
                <w:szCs w:val="16"/>
                <w:lang w:eastAsia="ko-KR"/>
              </w:rPr>
              <w:t>Pleurotus eryngii</w:t>
            </w:r>
            <w:r w:rsidRPr="00AF342C">
              <w:rPr>
                <w:rFonts w:cs="Arial"/>
                <w:bCs/>
                <w:iCs/>
                <w:sz w:val="16"/>
                <w:szCs w:val="16"/>
                <w:lang w:eastAsia="ko-KR"/>
              </w:rPr>
              <w:t xml:space="preserve"> </w:t>
            </w:r>
            <w:r w:rsidRPr="00AF342C">
              <w:rPr>
                <w:rFonts w:cs="Arial"/>
                <w:bCs/>
                <w:sz w:val="16"/>
                <w:szCs w:val="16"/>
                <w:lang w:eastAsia="ko-KR"/>
              </w:rPr>
              <w:t>(DC.) Quél.</w:t>
            </w:r>
          </w:p>
        </w:tc>
      </w:tr>
      <w:tr w:rsidR="00196886" w:rsidRPr="00AF342C" w:rsidTr="00196886">
        <w:trPr>
          <w:cantSplit/>
          <w:jc w:val="center"/>
        </w:trPr>
        <w:tc>
          <w:tcPr>
            <w:tcW w:w="568" w:type="dxa"/>
            <w:tcBorders>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lang w:eastAsia="ko-KR"/>
              </w:rPr>
            </w:pPr>
            <w:r w:rsidRPr="00AF342C">
              <w:rPr>
                <w:sz w:val="16"/>
                <w:szCs w:val="16"/>
                <w:lang w:eastAsia="ko-KR"/>
              </w:rPr>
              <w:t>Lung Oyster Mushroom</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lang w:eastAsia="ko-KR"/>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rPr>
            </w:pPr>
          </w:p>
        </w:tc>
        <w:tc>
          <w:tcPr>
            <w:tcW w:w="1467"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sz w:val="16"/>
                <w:szCs w:val="16"/>
                <w:lang w:val="pt-BR"/>
              </w:rPr>
            </w:pPr>
            <w:r w:rsidRPr="00CB765C">
              <w:rPr>
                <w:sz w:val="16"/>
                <w:szCs w:val="16"/>
                <w:lang w:val="pt-BR"/>
              </w:rPr>
              <w:t>Pleuroto pulmonado,</w:t>
            </w:r>
            <w:r w:rsidRPr="00CB765C">
              <w:rPr>
                <w:sz w:val="16"/>
                <w:szCs w:val="16"/>
                <w:lang w:val="pt-BR"/>
              </w:rPr>
              <w:br/>
              <w:t>Pleuroto de verano</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lang w:eastAsia="ko-KR"/>
              </w:rPr>
            </w:pPr>
            <w:r w:rsidRPr="00AF342C">
              <w:rPr>
                <w:rFonts w:cs="Arial"/>
                <w:bCs/>
                <w:i/>
                <w:sz w:val="16"/>
                <w:szCs w:val="16"/>
                <w:lang w:eastAsia="ko-KR"/>
              </w:rPr>
              <w:t>Pleurotus pulmonarius</w:t>
            </w:r>
            <w:r w:rsidRPr="00AF342C">
              <w:rPr>
                <w:rFonts w:cs="Arial"/>
                <w:bCs/>
                <w:sz w:val="16"/>
                <w:szCs w:val="16"/>
                <w:lang w:eastAsia="ko-KR"/>
              </w:rPr>
              <w:t xml:space="preserve"> </w:t>
            </w:r>
            <w:r w:rsidRPr="00AF342C">
              <w:rPr>
                <w:rFonts w:cs="Arial"/>
                <w:bCs/>
                <w:sz w:val="16"/>
                <w:szCs w:val="16"/>
                <w:lang w:eastAsia="ko-KR"/>
              </w:rPr>
              <w:br/>
              <w:t>(Fr.) Quél.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IL/KR</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TWA</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r w:rsidRPr="00AF342C">
              <w:rPr>
                <w:i w:val="0"/>
                <w:color w:val="000000"/>
                <w:sz w:val="16"/>
                <w:szCs w:val="16"/>
              </w:rPr>
              <w:t>TG/SESAME(proj.10)</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Sesame</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Sésame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Sesam</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Ajonjolí</w:t>
            </w:r>
            <w:r>
              <w:rPr>
                <w:sz w:val="16"/>
                <w:szCs w:val="16"/>
              </w:rPr>
              <w:t>, Sésamo</w:t>
            </w:r>
            <w:r w:rsidRPr="00AF342C">
              <w:rPr>
                <w:sz w:val="16"/>
                <w:szCs w:val="16"/>
              </w:rPr>
              <w:t xml:space="preserve"> </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i/>
                <w:sz w:val="16"/>
                <w:szCs w:val="16"/>
              </w:rPr>
              <w:t>Sesamum indicum</w:t>
            </w:r>
            <w:r w:rsidRPr="00AF342C">
              <w:rPr>
                <w:sz w:val="16"/>
                <w:szCs w:val="16"/>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CN</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TWA</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TG/SETARIA(proj.8)</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Foxtail Millet, </w:t>
            </w:r>
            <w:r w:rsidRPr="00AF342C">
              <w:rPr>
                <w:rFonts w:eastAsia="MS Mincho" w:cs="Arial"/>
                <w:sz w:val="16"/>
                <w:szCs w:val="16"/>
                <w:lang w:eastAsia="ja-JP"/>
              </w:rPr>
              <w:br/>
              <w:t>Italian Millet, Hungary Millet</w:t>
            </w:r>
          </w:p>
        </w:tc>
        <w:tc>
          <w:tcPr>
            <w:tcW w:w="1225"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rFonts w:eastAsia="MS Mincho" w:cs="Arial"/>
                <w:sz w:val="16"/>
                <w:szCs w:val="16"/>
                <w:lang w:val="fr-FR" w:eastAsia="ja-JP"/>
              </w:rPr>
            </w:pPr>
            <w:r w:rsidRPr="00CB765C">
              <w:rPr>
                <w:rFonts w:eastAsia="MS Mincho" w:cs="Arial"/>
                <w:sz w:val="16"/>
                <w:szCs w:val="16"/>
                <w:lang w:val="fr-FR" w:eastAsia="ja-JP"/>
              </w:rPr>
              <w:t xml:space="preserve">Millet d’Italie, Millet des oiseaux, </w:t>
            </w:r>
            <w:r w:rsidRPr="00CB765C">
              <w:rPr>
                <w:rFonts w:eastAsia="MS Mincho" w:cs="Arial"/>
                <w:sz w:val="16"/>
                <w:szCs w:val="16"/>
                <w:lang w:val="fr-FR" w:eastAsia="ja-JP"/>
              </w:rPr>
              <w:br/>
              <w:t>Setaire d’Italie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Italienhirse, Kolbenhirse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Dana, Mijo de cola de zorro, Mijo de Hungria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Setaria italica</w:t>
            </w:r>
            <w:r w:rsidRPr="00AF342C">
              <w:rPr>
                <w:rFonts w:eastAsia="MS Mincho" w:cs="Arial"/>
                <w:sz w:val="16"/>
                <w:szCs w:val="16"/>
                <w:lang w:eastAsia="ja-JP"/>
              </w:rPr>
              <w:t xml:space="preserve"> L., </w:t>
            </w:r>
            <w:r w:rsidRPr="00AF342C">
              <w:rPr>
                <w:rFonts w:eastAsia="MS Mincho" w:cs="Arial"/>
                <w:sz w:val="16"/>
                <w:szCs w:val="16"/>
                <w:lang w:eastAsia="ja-JP"/>
              </w:rPr>
              <w:br/>
            </w:r>
            <w:r w:rsidRPr="00AF342C">
              <w:rPr>
                <w:rFonts w:eastAsia="MS Mincho" w:cs="Arial"/>
                <w:i/>
                <w:sz w:val="16"/>
                <w:szCs w:val="16"/>
                <w:lang w:eastAsia="ja-JP"/>
              </w:rPr>
              <w:t>Setaria italica</w:t>
            </w:r>
            <w:r w:rsidRPr="00AF342C">
              <w:rPr>
                <w:rFonts w:eastAsia="MS Mincho" w:cs="Arial"/>
                <w:sz w:val="16"/>
                <w:szCs w:val="16"/>
                <w:lang w:eastAsia="ja-JP"/>
              </w:rPr>
              <w:t xml:space="preserve"> (L.) P. Beauv.</w:t>
            </w:r>
          </w:p>
        </w:tc>
      </w:tr>
      <w:tr w:rsidR="00196886" w:rsidRPr="00147FCD"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TG/TOM_ROOT</w:t>
            </w:r>
            <w:r w:rsidRPr="00AF342C">
              <w:rPr>
                <w:rFonts w:eastAsia="MS Mincho" w:cs="Arial"/>
                <w:sz w:val="16"/>
                <w:szCs w:val="16"/>
                <w:lang w:eastAsia="ja-JP"/>
              </w:rPr>
              <w:br/>
              <w:t>(proj.5)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Tomato Rootstocks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Porte-greffe de tomate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Tomatenunterlagen </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Portainjertos de tomate </w:t>
            </w:r>
          </w:p>
        </w:tc>
        <w:tc>
          <w:tcPr>
            <w:tcW w:w="2162"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rFonts w:eastAsia="MS Mincho" w:cs="Arial"/>
                <w:sz w:val="16"/>
                <w:szCs w:val="16"/>
                <w:lang w:val="pt-BR" w:eastAsia="ja-JP"/>
              </w:rPr>
            </w:pPr>
            <w:r w:rsidRPr="00AF342C">
              <w:rPr>
                <w:i/>
                <w:sz w:val="16"/>
                <w:szCs w:val="16"/>
              </w:rPr>
              <w:t xml:space="preserve">Solanum lycopersicum </w:t>
            </w:r>
            <w:r w:rsidRPr="00AF342C">
              <w:rPr>
                <w:sz w:val="16"/>
                <w:szCs w:val="16"/>
              </w:rPr>
              <w:t xml:space="preserve">L. x </w:t>
            </w:r>
            <w:r>
              <w:rPr>
                <w:i/>
                <w:sz w:val="16"/>
                <w:szCs w:val="16"/>
              </w:rPr>
              <w:t>Solanum habro</w:t>
            </w:r>
            <w:r w:rsidRPr="00AF342C">
              <w:rPr>
                <w:i/>
                <w:sz w:val="16"/>
                <w:szCs w:val="16"/>
              </w:rPr>
              <w:t>chaites</w:t>
            </w:r>
            <w:r w:rsidRPr="00AF342C">
              <w:rPr>
                <w:sz w:val="16"/>
                <w:szCs w:val="16"/>
              </w:rPr>
              <w:t xml:space="preserve"> S. Knapp &amp; D.M. Spooner;</w:t>
            </w:r>
            <w:r w:rsidRPr="00AF342C">
              <w:rPr>
                <w:sz w:val="16"/>
                <w:szCs w:val="16"/>
              </w:rPr>
              <w:br/>
            </w:r>
            <w:r w:rsidRPr="00AF342C">
              <w:rPr>
                <w:i/>
                <w:sz w:val="16"/>
                <w:szCs w:val="16"/>
              </w:rPr>
              <w:t xml:space="preserve">Solanum lycopersicum </w:t>
            </w:r>
            <w:r w:rsidRPr="00AF342C">
              <w:rPr>
                <w:sz w:val="16"/>
                <w:szCs w:val="16"/>
              </w:rPr>
              <w:t xml:space="preserve">L. x </w:t>
            </w:r>
            <w:r w:rsidRPr="00AF342C">
              <w:rPr>
                <w:sz w:val="16"/>
                <w:szCs w:val="16"/>
              </w:rPr>
              <w:br/>
            </w:r>
            <w:r w:rsidRPr="00AF342C">
              <w:rPr>
                <w:i/>
                <w:sz w:val="16"/>
                <w:szCs w:val="16"/>
              </w:rPr>
              <w:t xml:space="preserve">Solanum peruvianum </w:t>
            </w:r>
            <w:r w:rsidRPr="00AF342C">
              <w:rPr>
                <w:sz w:val="16"/>
                <w:szCs w:val="16"/>
              </w:rPr>
              <w:t xml:space="preserve">(L.) </w:t>
            </w:r>
            <w:r w:rsidRPr="00CB765C">
              <w:rPr>
                <w:sz w:val="16"/>
                <w:szCs w:val="16"/>
                <w:lang w:val="pt-BR"/>
              </w:rPr>
              <w:t>Mill</w:t>
            </w:r>
            <w:r w:rsidRPr="00CB765C">
              <w:rPr>
                <w:i/>
                <w:sz w:val="16"/>
                <w:szCs w:val="16"/>
                <w:lang w:val="pt-BR"/>
              </w:rPr>
              <w:t>.;</w:t>
            </w:r>
            <w:r w:rsidRPr="00CB765C">
              <w:rPr>
                <w:i/>
                <w:sz w:val="16"/>
                <w:szCs w:val="16"/>
                <w:lang w:val="pt-BR"/>
              </w:rPr>
              <w:br/>
              <w:t xml:space="preserve">Solanum lycopersicum </w:t>
            </w:r>
            <w:r w:rsidRPr="00CB765C">
              <w:rPr>
                <w:sz w:val="16"/>
                <w:szCs w:val="16"/>
                <w:lang w:val="pt-BR"/>
              </w:rPr>
              <w:t xml:space="preserve">L. x </w:t>
            </w:r>
            <w:r w:rsidRPr="00CB765C">
              <w:rPr>
                <w:sz w:val="16"/>
                <w:szCs w:val="16"/>
                <w:lang w:val="pt-BR"/>
              </w:rPr>
              <w:br/>
            </w:r>
            <w:r w:rsidRPr="00CB765C">
              <w:rPr>
                <w:i/>
                <w:sz w:val="16"/>
                <w:szCs w:val="16"/>
                <w:lang w:val="pt-BR"/>
              </w:rPr>
              <w:t xml:space="preserve">Solanum cheesmaniae </w:t>
            </w:r>
            <w:r w:rsidRPr="00CB765C">
              <w:rPr>
                <w:sz w:val="16"/>
                <w:szCs w:val="16"/>
                <w:lang w:val="pt-BR"/>
              </w:rPr>
              <w:t>(L. Ridley) Fosberg</w:t>
            </w:r>
          </w:p>
        </w:tc>
      </w:tr>
      <w:tr w:rsidR="00196886" w:rsidRPr="00AF342C" w:rsidTr="00196886">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196886" w:rsidRPr="00AF342C" w:rsidRDefault="002B162C" w:rsidP="00196886">
            <w:pPr>
              <w:spacing w:before="60" w:after="60"/>
              <w:jc w:val="left"/>
              <w:rPr>
                <w:i/>
                <w:sz w:val="16"/>
                <w:szCs w:val="16"/>
              </w:rPr>
            </w:pPr>
            <w:r>
              <w:rPr>
                <w:rFonts w:cs="Arial"/>
                <w:b/>
                <w:bCs/>
                <w:sz w:val="16"/>
                <w:szCs w:val="16"/>
                <w:u w:val="single"/>
              </w:rPr>
              <w:t>ÜBERARBEITUNGEN VON PRÜFUNGSRICHTLINIEN</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TWA</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Common Vetch</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Vesce commune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Saatwicke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Veza común</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Vicia sativa</w:t>
            </w:r>
            <w:r w:rsidRPr="00AF342C">
              <w:rPr>
                <w:rFonts w:eastAsia="MS Mincho" w:cs="Arial"/>
                <w:sz w:val="16"/>
                <w:szCs w:val="16"/>
                <w:lang w:eastAsia="ja-JP"/>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Gladiolus</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Glaïeul</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Gladiole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Gladiolo</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Gladiolus</w:t>
            </w:r>
            <w:r w:rsidRPr="00AF342C">
              <w:rPr>
                <w:rFonts w:eastAsia="MS Mincho" w:cs="Arial"/>
                <w:sz w:val="16"/>
                <w:szCs w:val="16"/>
                <w:lang w:eastAsia="ja-JP"/>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Endive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Chicorée frisée,</w:t>
            </w:r>
            <w:r w:rsidRPr="00AF342C">
              <w:rPr>
                <w:rFonts w:eastAsia="MS Mincho" w:cs="Arial"/>
                <w:sz w:val="16"/>
                <w:szCs w:val="16"/>
                <w:lang w:eastAsia="ja-JP"/>
              </w:rPr>
              <w:br/>
              <w:t>Chicorée scarole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Endivie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Escarola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Cichorium endivia</w:t>
            </w:r>
            <w:r w:rsidRPr="00AF342C">
              <w:rPr>
                <w:rFonts w:eastAsia="MS Mincho" w:cs="Arial"/>
                <w:sz w:val="16"/>
                <w:szCs w:val="16"/>
                <w:lang w:eastAsia="ja-JP"/>
              </w:rPr>
              <w:t xml:space="preserve"> L.</w:t>
            </w:r>
          </w:p>
        </w:tc>
      </w:tr>
      <w:tr w:rsidR="00196886" w:rsidRPr="00147FCD"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Watermelon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Melon d’eau; Pastèque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Wassermelone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Sandía</w:t>
            </w:r>
          </w:p>
        </w:tc>
        <w:tc>
          <w:tcPr>
            <w:tcW w:w="2162"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rFonts w:eastAsia="MS Mincho" w:cs="Arial"/>
                <w:sz w:val="16"/>
                <w:szCs w:val="16"/>
                <w:lang w:val="fr-FR" w:eastAsia="ja-JP"/>
              </w:rPr>
            </w:pPr>
            <w:r w:rsidRPr="00CB765C">
              <w:rPr>
                <w:rFonts w:eastAsia="MS Mincho" w:cs="Arial"/>
                <w:sz w:val="16"/>
                <w:szCs w:val="16"/>
                <w:lang w:val="fr-FR" w:eastAsia="ja-JP"/>
              </w:rPr>
              <w:t>Citrullus lanatus (Thunb.) Matsum. et Nakai, Citrullus vulgaris Schrad.</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Osteospermum;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Ostéospermum;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Osteospermum; </w:t>
            </w:r>
            <w:r w:rsidRPr="00AF342C">
              <w:rPr>
                <w:rFonts w:eastAsia="MS Mincho" w:cs="Arial"/>
                <w:sz w:val="16"/>
                <w:szCs w:val="16"/>
                <w:lang w:eastAsia="ja-JP"/>
              </w:rPr>
              <w:br/>
              <w:t>Osteospermum, Kapmargerite, Kapkörbchen</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Osteospermum; -</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Osteospermum</w:t>
            </w:r>
            <w:r w:rsidRPr="00AF342C">
              <w:rPr>
                <w:rFonts w:eastAsia="MS Mincho" w:cs="Arial"/>
                <w:sz w:val="16"/>
                <w:szCs w:val="16"/>
                <w:lang w:eastAsia="ja-JP"/>
              </w:rPr>
              <w:t xml:space="preserve"> L.; </w:t>
            </w:r>
            <w:r w:rsidRPr="00AF342C">
              <w:rPr>
                <w:rFonts w:eastAsia="MS Mincho" w:cs="Arial"/>
                <w:sz w:val="16"/>
                <w:szCs w:val="16"/>
                <w:lang w:eastAsia="ja-JP"/>
              </w:rPr>
              <w:br/>
              <w:t xml:space="preserve">hybrids with </w:t>
            </w:r>
            <w:r w:rsidRPr="00AF342C">
              <w:rPr>
                <w:rFonts w:eastAsia="MS Mincho" w:cs="Arial"/>
                <w:i/>
                <w:sz w:val="16"/>
                <w:szCs w:val="16"/>
                <w:lang w:eastAsia="ja-JP"/>
              </w:rPr>
              <w:t xml:space="preserve">Dimorphotheca </w:t>
            </w:r>
            <w:r w:rsidRPr="00AF342C">
              <w:rPr>
                <w:rFonts w:eastAsia="MS Mincho" w:cs="Arial"/>
                <w:sz w:val="16"/>
                <w:szCs w:val="16"/>
                <w:lang w:eastAsia="ja-JP"/>
              </w:rPr>
              <w:t>Vaill. ex Moench</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Phalaenopsis</w:t>
            </w:r>
            <w:r w:rsidRPr="00AF342C">
              <w:rPr>
                <w:rFonts w:eastAsia="MS Mincho" w:cs="Arial"/>
                <w:sz w:val="16"/>
                <w:szCs w:val="16"/>
                <w:lang w:eastAsia="ja-JP"/>
              </w:rPr>
              <w:t xml:space="preserve"> Blume</w:t>
            </w:r>
          </w:p>
        </w:tc>
      </w:tr>
      <w:tr w:rsidR="00196886" w:rsidRPr="00AF342C" w:rsidTr="00196886">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196886" w:rsidRPr="00AF342C" w:rsidRDefault="00CB0C58" w:rsidP="00D23870">
            <w:pPr>
              <w:keepNext/>
              <w:spacing w:before="60" w:after="60"/>
              <w:jc w:val="left"/>
              <w:rPr>
                <w:rFonts w:eastAsia="MS Mincho" w:cs="Arial"/>
                <w:sz w:val="16"/>
                <w:szCs w:val="16"/>
                <w:lang w:eastAsia="ja-JP"/>
              </w:rPr>
            </w:pPr>
            <w:r>
              <w:rPr>
                <w:rFonts w:cs="Arial"/>
                <w:b/>
                <w:bCs/>
                <w:sz w:val="16"/>
                <w:szCs w:val="16"/>
                <w:u w:val="single"/>
              </w:rPr>
              <w:lastRenderedPageBreak/>
              <w:t>TEILÜBERARBEITUNGEN VON PRÜFUNGSRICHTLINIEN</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196886" w:rsidRPr="00097F82" w:rsidRDefault="00196886" w:rsidP="00196886">
            <w:pPr>
              <w:spacing w:before="60" w:after="60"/>
              <w:jc w:val="left"/>
              <w:rPr>
                <w:rFonts w:eastAsia="MS Mincho" w:cs="Arial"/>
                <w:sz w:val="16"/>
                <w:szCs w:val="16"/>
                <w:lang w:eastAsia="ja-JP"/>
              </w:rPr>
            </w:pPr>
            <w:r w:rsidRPr="00097F82">
              <w:rPr>
                <w:rFonts w:eastAsia="MS Mincho" w:cs="Arial"/>
                <w:sz w:val="16"/>
                <w:szCs w:val="16"/>
                <w:lang w:eastAsia="ja-JP"/>
              </w:rPr>
              <w:t>TG/266/1 Rev.</w:t>
            </w:r>
            <w:r w:rsidRPr="00097F82">
              <w:rPr>
                <w:rFonts w:eastAsia="MS Mincho" w:cs="Arial"/>
                <w:sz w:val="16"/>
                <w:szCs w:val="16"/>
                <w:lang w:eastAsia="ja-JP"/>
              </w:rPr>
              <w:br/>
              <w:t>(TC/49/2 Rev.2, TC/49/37)</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African lily, Agapanthus, </w:t>
            </w:r>
            <w:r w:rsidRPr="00AF342C">
              <w:rPr>
                <w:sz w:val="16"/>
                <w:szCs w:val="16"/>
              </w:rPr>
              <w:br/>
              <w:t xml:space="preserve">Blue lily, </w:t>
            </w:r>
            <w:r w:rsidRPr="00AF342C">
              <w:rPr>
                <w:sz w:val="16"/>
                <w:szCs w:val="16"/>
              </w:rPr>
              <w:br/>
              <w:t>Lily of the Nile</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Agapanthe, </w:t>
            </w:r>
            <w:r w:rsidRPr="00AF342C">
              <w:rPr>
                <w:sz w:val="16"/>
                <w:szCs w:val="16"/>
              </w:rPr>
              <w:br/>
              <w:t>Fleur d’amour</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Agapanthus, Schmucklilie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Agapando, Agapanto, </w:t>
            </w:r>
            <w:r w:rsidRPr="00AF342C">
              <w:rPr>
                <w:sz w:val="16"/>
                <w:szCs w:val="16"/>
              </w:rPr>
              <w:br/>
              <w:t>Estrella de mar</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Agapanthus</w:t>
            </w:r>
            <w:r w:rsidRPr="00AF342C">
              <w:rPr>
                <w:rFonts w:eastAsia="MS Mincho" w:cs="Arial"/>
                <w:sz w:val="16"/>
                <w:szCs w:val="16"/>
                <w:lang w:eastAsia="ja-JP"/>
              </w:rPr>
              <w:t xml:space="preserve"> L'Hér</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FR/NL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097F82" w:rsidRDefault="00196886" w:rsidP="00196886">
            <w:pPr>
              <w:spacing w:before="60" w:after="60"/>
              <w:jc w:val="left"/>
              <w:rPr>
                <w:rFonts w:eastAsia="MS Mincho" w:cs="Arial"/>
                <w:sz w:val="16"/>
                <w:szCs w:val="16"/>
                <w:lang w:eastAsia="ja-JP"/>
              </w:rPr>
            </w:pPr>
            <w:r w:rsidRPr="00097F82">
              <w:rPr>
                <w:rFonts w:eastAsia="MS Mincho" w:cs="Arial"/>
                <w:sz w:val="16"/>
                <w:szCs w:val="16"/>
                <w:lang w:eastAsia="ja-JP"/>
              </w:rPr>
              <w:t xml:space="preserve">TG/13/10 Rev. </w:t>
            </w:r>
            <w:r w:rsidRPr="00097F82">
              <w:rPr>
                <w:rFonts w:eastAsia="MS Mincho" w:cs="Arial"/>
                <w:sz w:val="16"/>
                <w:szCs w:val="16"/>
                <w:lang w:eastAsia="ja-JP"/>
              </w:rPr>
              <w:br/>
              <w:t>(TC/49/2 Rev.2, TC/49/38)</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Lettuce</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Laitue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Salat</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Lechuga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Lactuca sativa</w:t>
            </w:r>
            <w:r w:rsidRPr="00AF342C">
              <w:rPr>
                <w:rFonts w:eastAsia="MS Mincho" w:cs="Arial"/>
                <w:sz w:val="16"/>
                <w:szCs w:val="16"/>
                <w:lang w:eastAsia="ja-JP"/>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097F82" w:rsidRDefault="00196886" w:rsidP="00196886">
            <w:pPr>
              <w:spacing w:before="60" w:after="60"/>
              <w:jc w:val="left"/>
              <w:rPr>
                <w:rFonts w:eastAsia="MS Mincho" w:cs="Arial"/>
                <w:sz w:val="16"/>
                <w:szCs w:val="16"/>
                <w:lang w:eastAsia="ja-JP"/>
              </w:rPr>
            </w:pPr>
            <w:r w:rsidRPr="00097F82">
              <w:rPr>
                <w:rFonts w:eastAsia="MS Mincho" w:cs="Arial"/>
                <w:sz w:val="16"/>
                <w:szCs w:val="16"/>
                <w:lang w:eastAsia="ja-JP"/>
              </w:rPr>
              <w:t xml:space="preserve">TG/55/7 Rev. </w:t>
            </w:r>
            <w:r w:rsidRPr="00097F82">
              <w:rPr>
                <w:rFonts w:eastAsia="MS Mincho" w:cs="Arial"/>
                <w:sz w:val="16"/>
                <w:szCs w:val="16"/>
                <w:lang w:eastAsia="ja-JP"/>
              </w:rPr>
              <w:br/>
              <w:t>(TC/49/2 Rev.2,</w:t>
            </w:r>
            <w:r w:rsidRPr="00097F82">
              <w:rPr>
                <w:rFonts w:eastAsia="MS Mincho" w:cs="Arial"/>
                <w:sz w:val="16"/>
                <w:szCs w:val="16"/>
                <w:lang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Spinach</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Épinard</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Spinat</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Espinaca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Spinacia oleracea</w:t>
            </w:r>
            <w:r w:rsidRPr="00AF342C">
              <w:rPr>
                <w:rFonts w:eastAsia="MS Mincho" w:cs="Arial"/>
                <w:sz w:val="16"/>
                <w:szCs w:val="16"/>
                <w:lang w:eastAsia="ja-JP"/>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097F82" w:rsidRDefault="00196886" w:rsidP="00196886">
            <w:pPr>
              <w:spacing w:before="60" w:after="60"/>
              <w:jc w:val="left"/>
              <w:rPr>
                <w:rFonts w:eastAsia="MS Mincho" w:cs="Arial"/>
                <w:sz w:val="16"/>
                <w:szCs w:val="16"/>
                <w:lang w:eastAsia="ja-JP"/>
              </w:rPr>
            </w:pPr>
            <w:r w:rsidRPr="00097F82">
              <w:rPr>
                <w:rFonts w:eastAsia="MS Mincho" w:cs="Arial"/>
                <w:sz w:val="16"/>
                <w:szCs w:val="16"/>
                <w:lang w:eastAsia="ja-JP"/>
              </w:rPr>
              <w:t>TG/44/11 Rev.</w:t>
            </w:r>
            <w:r w:rsidRPr="00097F82">
              <w:rPr>
                <w:rFonts w:eastAsia="MS Mincho" w:cs="Arial"/>
                <w:sz w:val="16"/>
                <w:szCs w:val="16"/>
                <w:lang w:eastAsia="ja-JP"/>
              </w:rPr>
              <w:br/>
              <w:t>(TC/49/2 Rev.2, TC/49/40)</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Tomato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097F82">
              <w:rPr>
                <w:rFonts w:eastAsia="MS Mincho" w:cs="Arial"/>
                <w:i/>
                <w:sz w:val="16"/>
                <w:szCs w:val="16"/>
                <w:lang w:eastAsia="ja-JP"/>
              </w:rPr>
              <w:t>Solanum lycopersicum</w:t>
            </w:r>
            <w:r w:rsidRPr="00097F82">
              <w:rPr>
                <w:rFonts w:eastAsia="MS Mincho" w:cs="Arial"/>
                <w:sz w:val="16"/>
                <w:szCs w:val="16"/>
                <w:lang w:eastAsia="ja-JP"/>
              </w:rPr>
              <w:t xml:space="preserve"> L.</w:t>
            </w:r>
          </w:p>
        </w:tc>
      </w:tr>
    </w:tbl>
    <w:p w:rsidR="00196886" w:rsidRPr="00AF342C" w:rsidRDefault="00196886" w:rsidP="00196886"/>
    <w:p w:rsidR="00196886" w:rsidRPr="004B2456" w:rsidRDefault="00196886" w:rsidP="0019688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2B162C">
        <w:rPr>
          <w:lang w:val="de-DE" w:eastAsia="de-DE" w:bidi="de-DE"/>
        </w:rPr>
        <w:t>Betreffend</w:t>
      </w:r>
      <w:r w:rsidR="002B162C" w:rsidRPr="001F7709">
        <w:rPr>
          <w:lang w:val="de-DE" w:eastAsia="de-DE" w:bidi="de-DE"/>
        </w:rPr>
        <w:t xml:space="preserve"> di</w:t>
      </w:r>
      <w:r w:rsidR="002B162C">
        <w:rPr>
          <w:lang w:val="de-DE" w:eastAsia="de-DE" w:bidi="de-DE"/>
        </w:rPr>
        <w:t>e Prüfungsrichtlinien für Mohn (Dokument TG/166/4(</w:t>
      </w:r>
      <w:r w:rsidR="002B162C" w:rsidRPr="001F7709">
        <w:rPr>
          <w:lang w:val="de-DE" w:eastAsia="de-DE" w:bidi="de-DE"/>
        </w:rPr>
        <w:t>proj.4)</w:t>
      </w:r>
      <w:r w:rsidR="002B162C">
        <w:rPr>
          <w:lang w:val="de-DE" w:eastAsia="de-DE" w:bidi="de-DE"/>
        </w:rPr>
        <w:t>)</w:t>
      </w:r>
      <w:r w:rsidR="002B162C" w:rsidRPr="001F7709">
        <w:rPr>
          <w:lang w:val="de-DE" w:eastAsia="de-DE" w:bidi="de-DE"/>
        </w:rPr>
        <w:t xml:space="preserve"> vereinbarte der TC ausgehend von der Empfehlung des TC-EDC, daß die technischen Fragen betreffend diesen Entwurf </w:t>
      </w:r>
      <w:r w:rsidR="002B162C">
        <w:rPr>
          <w:lang w:val="de-DE" w:eastAsia="de-DE" w:bidi="de-DE"/>
        </w:rPr>
        <w:t>von</w:t>
      </w:r>
      <w:r w:rsidR="002B162C" w:rsidRPr="001F7709">
        <w:rPr>
          <w:lang w:val="de-DE" w:eastAsia="de-DE" w:bidi="de-DE"/>
        </w:rPr>
        <w:t xml:space="preserve"> Prüfungsrichtlinie</w:t>
      </w:r>
      <w:r w:rsidR="002B162C">
        <w:rPr>
          <w:lang w:val="de-DE" w:eastAsia="de-DE" w:bidi="de-DE"/>
        </w:rPr>
        <w:t>n</w:t>
      </w:r>
      <w:r w:rsidR="002B162C" w:rsidRPr="001F7709">
        <w:rPr>
          <w:lang w:val="de-DE" w:eastAsia="de-DE" w:bidi="de-DE"/>
        </w:rPr>
        <w:t>, wie in der Anlage II dieses Dokuments dargelegt, zur weiteren Prüfung an die TWV zurückverwiesen werden sollen</w:t>
      </w:r>
      <w:r w:rsidRPr="004B2456">
        <w:rPr>
          <w:rFonts w:cs="Arial"/>
        </w:rPr>
        <w:t>.</w:t>
      </w:r>
    </w:p>
    <w:p w:rsidR="00196886" w:rsidRPr="00AF342C" w:rsidRDefault="00196886" w:rsidP="00196886"/>
    <w:p w:rsidR="002B162C" w:rsidRPr="003F2E1E" w:rsidRDefault="002B162C" w:rsidP="00B027B0">
      <w:pPr>
        <w:pStyle w:val="Heading3"/>
      </w:pPr>
      <w:bookmarkStart w:id="70" w:name="_Toc368583041"/>
      <w:r w:rsidRPr="003F2E1E">
        <w:t>Zusätzliche Merkmale</w:t>
      </w:r>
      <w:bookmarkEnd w:id="70"/>
    </w:p>
    <w:p w:rsidR="00196886" w:rsidRPr="00AF342C" w:rsidRDefault="00196886" w:rsidP="00196886">
      <w:pPr>
        <w:keepNext/>
      </w:pPr>
    </w:p>
    <w:p w:rsidR="002B162C" w:rsidRPr="001F7709" w:rsidRDefault="00196886" w:rsidP="002B162C">
      <w:pPr>
        <w:rPr>
          <w:rFonts w:cs="Arial"/>
          <w:lang w:val="de-DE" w:eastAsia="de-DE" w:bidi="de-DE"/>
        </w:rPr>
      </w:pPr>
      <w:r w:rsidRPr="00AF342C">
        <w:fldChar w:fldCharType="begin"/>
      </w:r>
      <w:r w:rsidRPr="00AF342C">
        <w:instrText xml:space="preserve"> AUTONUM  </w:instrText>
      </w:r>
      <w:r w:rsidRPr="00AF342C">
        <w:fldChar w:fldCharType="end"/>
      </w:r>
      <w:r w:rsidRPr="00AF342C">
        <w:tab/>
      </w:r>
      <w:r w:rsidR="002B162C" w:rsidRPr="001F7709">
        <w:rPr>
          <w:lang w:val="de-DE" w:eastAsia="de-DE" w:bidi="de-DE"/>
        </w:rPr>
        <w:t xml:space="preserve">Der TC vereinbarte, daß der Entwurf einer Überarbeitung von Dokument TGP/5 Abschnitt 10, vorbehaltlich der Entschließung </w:t>
      </w:r>
      <w:r w:rsidR="002B162C">
        <w:rPr>
          <w:lang w:val="de-DE" w:eastAsia="de-DE" w:bidi="de-DE"/>
        </w:rPr>
        <w:t>des Beratenden Ausschusses betreffend</w:t>
      </w:r>
      <w:r w:rsidR="002B162C" w:rsidRPr="001F7709">
        <w:rPr>
          <w:lang w:val="de-DE" w:eastAsia="de-DE" w:bidi="de-DE"/>
        </w:rPr>
        <w:t xml:space="preserve"> die Erörterungen über</w:t>
      </w:r>
      <w:r w:rsidR="002B162C">
        <w:rPr>
          <w:lang w:val="de-DE" w:eastAsia="de-DE" w:bidi="de-DE"/>
        </w:rPr>
        <w:t xml:space="preserve"> den Haftungsausschluß für UPOV</w:t>
      </w:r>
      <w:r w:rsidR="002B162C">
        <w:rPr>
          <w:lang w:val="de-DE" w:eastAsia="de-DE" w:bidi="de-DE"/>
        </w:rPr>
        <w:noBreakHyphen/>
      </w:r>
      <w:r w:rsidR="002B162C" w:rsidRPr="001F7709">
        <w:rPr>
          <w:lang w:val="de-DE" w:eastAsia="de-DE" w:bidi="de-DE"/>
        </w:rPr>
        <w:t xml:space="preserve">Dokumente, zur Prüfung durch den TC auf dessen fünfzigster Tagung vorgelegt werden solle. </w:t>
      </w:r>
    </w:p>
    <w:p w:rsidR="002B162C" w:rsidRPr="001F7709" w:rsidRDefault="002B162C" w:rsidP="002B162C">
      <w:pPr>
        <w:rPr>
          <w:rFonts w:cs="Arial"/>
          <w:lang w:val="de-DE" w:eastAsia="de-DE" w:bidi="de-DE"/>
        </w:rPr>
      </w:pPr>
    </w:p>
    <w:p w:rsidR="002B162C" w:rsidRPr="003F2E1E" w:rsidRDefault="002B162C" w:rsidP="00B027B0">
      <w:pPr>
        <w:pStyle w:val="Heading3"/>
      </w:pPr>
      <w:bookmarkStart w:id="71" w:name="_Toc368583042"/>
      <w:r w:rsidRPr="003F2E1E">
        <w:t>Korrekturen an Prüfungsrichtlinien</w:t>
      </w:r>
      <w:bookmarkEnd w:id="71"/>
    </w:p>
    <w:p w:rsidR="002B162C" w:rsidRPr="001F7709" w:rsidRDefault="002B162C" w:rsidP="002B162C">
      <w:pPr>
        <w:keepNext/>
        <w:rPr>
          <w:lang w:val="de-DE" w:eastAsia="de-DE" w:bidi="de-DE"/>
        </w:rPr>
      </w:pPr>
    </w:p>
    <w:p w:rsidR="00196886" w:rsidRPr="00AF342C" w:rsidRDefault="002B162C" w:rsidP="00196886">
      <w:r w:rsidRPr="001F7709">
        <w:rPr>
          <w:lang w:val="de-DE" w:eastAsia="de-DE" w:bidi="de-DE"/>
        </w:rPr>
        <w:fldChar w:fldCharType="begin"/>
      </w:r>
      <w:r w:rsidRPr="001F7709">
        <w:rPr>
          <w:lang w:val="de-DE" w:eastAsia="de-DE" w:bidi="de-DE"/>
        </w:rPr>
        <w:instrText xml:space="preserve"> AUTONUM  </w:instrText>
      </w:r>
      <w:r w:rsidRPr="001F7709">
        <w:rPr>
          <w:lang w:val="de-DE" w:eastAsia="de-DE" w:bidi="de-DE"/>
        </w:rPr>
        <w:fldChar w:fldCharType="end"/>
      </w:r>
      <w:r w:rsidRPr="001F7709">
        <w:rPr>
          <w:lang w:val="de-DE" w:eastAsia="de-DE" w:bidi="de-DE"/>
        </w:rPr>
        <w:tab/>
        <w:t>Der TC nahm die an den Prüfungsrichtlinien für Japanische Pflaume (Dokument TG/84/4 Corr.) vorgenommenen Korrekturen, wie in Absatz 15 von Dokument TC/49/2 Rev. 2 dargelegt, zur Kenntnis</w:t>
      </w:r>
      <w:r>
        <w:rPr>
          <w:lang w:val="de-DE" w:eastAsia="de-DE" w:bidi="de-DE"/>
        </w:rPr>
        <w:t>:</w:t>
      </w:r>
    </w:p>
    <w:p w:rsidR="00196886" w:rsidRPr="00AF342C" w:rsidRDefault="00196886" w:rsidP="00196886"/>
    <w:p w:rsidR="0049042B" w:rsidRPr="003F2E1E" w:rsidRDefault="0049042B" w:rsidP="00B027B0">
      <w:pPr>
        <w:pStyle w:val="Heading3"/>
      </w:pPr>
      <w:bookmarkStart w:id="72" w:name="_Toc368583043"/>
      <w:r w:rsidRPr="003F2E1E">
        <w:t>Von den Technischen Arbeitsgruppen im Jahr 2012 behandelte Prüfungsrichtlinien</w:t>
      </w:r>
      <w:bookmarkEnd w:id="72"/>
    </w:p>
    <w:p w:rsidR="00196886" w:rsidRPr="003F2E1E"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rsidR="0049042B" w:rsidRPr="001F7709">
        <w:rPr>
          <w:lang w:val="de-DE" w:eastAsia="de-DE" w:bidi="de-DE"/>
        </w:rPr>
        <w:t>Der TC nahm die von den Technischen Arbeitsgruppen auf ihren Tagungen im Jahr 2012 behandelten Entwürfe von Prüfungsrichtlinien, wie in</w:t>
      </w:r>
      <w:r w:rsidR="0049042B">
        <w:rPr>
          <w:lang w:val="de-DE" w:eastAsia="de-DE" w:bidi="de-DE"/>
        </w:rPr>
        <w:t xml:space="preserve"> Anlage II von Dokument TC/49/2 </w:t>
      </w:r>
      <w:r w:rsidR="0049042B" w:rsidRPr="001F7709">
        <w:rPr>
          <w:lang w:val="de-DE" w:eastAsia="de-DE" w:bidi="de-DE"/>
        </w:rPr>
        <w:t>Rev.</w:t>
      </w:r>
      <w:r w:rsidR="0049042B">
        <w:rPr>
          <w:lang w:val="de-DE" w:eastAsia="de-DE" w:bidi="de-DE"/>
        </w:rPr>
        <w:t> </w:t>
      </w:r>
      <w:r w:rsidR="0049042B" w:rsidRPr="001F7709">
        <w:rPr>
          <w:lang w:val="de-DE" w:eastAsia="de-DE" w:bidi="de-DE"/>
        </w:rPr>
        <w:t>2 wiedergegeben, zur Kenntnis</w:t>
      </w:r>
      <w:r>
        <w:t>.</w:t>
      </w:r>
    </w:p>
    <w:p w:rsidR="00196886" w:rsidRPr="00AF342C" w:rsidRDefault="00196886" w:rsidP="00196886"/>
    <w:p w:rsidR="0049042B" w:rsidRPr="003F2E1E" w:rsidRDefault="0049042B" w:rsidP="00B027B0">
      <w:pPr>
        <w:pStyle w:val="Heading3"/>
      </w:pPr>
      <w:bookmarkStart w:id="73" w:name="_Toc368583044"/>
      <w:r w:rsidRPr="003F2E1E">
        <w:t>Von den Technischen Arbeitsgruppen im Jahr 2013 zu behandelnde Prüfungsrichtlinien</w:t>
      </w:r>
      <w:bookmarkEnd w:id="73"/>
    </w:p>
    <w:p w:rsidR="0049042B" w:rsidRPr="001F7709" w:rsidRDefault="0049042B" w:rsidP="0049042B">
      <w:pPr>
        <w:keepNext/>
        <w:rPr>
          <w:lang w:val="de-DE" w:eastAsia="de-DE" w:bidi="de-DE"/>
        </w:rPr>
      </w:pPr>
    </w:p>
    <w:p w:rsidR="00196886" w:rsidRPr="00AF342C" w:rsidRDefault="0049042B" w:rsidP="0049042B">
      <w:r w:rsidRPr="001F7709">
        <w:rPr>
          <w:lang w:val="de-DE" w:eastAsia="de-DE" w:bidi="de-DE"/>
        </w:rPr>
        <w:fldChar w:fldCharType="begin"/>
      </w:r>
      <w:r w:rsidRPr="001F7709">
        <w:rPr>
          <w:lang w:val="de-DE" w:eastAsia="de-DE" w:bidi="de-DE"/>
        </w:rPr>
        <w:instrText xml:space="preserve"> AUTONUM  </w:instrText>
      </w:r>
      <w:r w:rsidRPr="001F7709">
        <w:rPr>
          <w:lang w:val="de-DE" w:eastAsia="de-DE" w:bidi="de-DE"/>
        </w:rPr>
        <w:fldChar w:fldCharType="end"/>
      </w:r>
      <w:r w:rsidRPr="001F7709">
        <w:rPr>
          <w:lang w:val="de-DE" w:eastAsia="de-DE" w:bidi="de-DE"/>
        </w:rPr>
        <w:tab/>
        <w:t xml:space="preserve">Der TC vereinbarte, das Programm für die Ausarbeitung neuer Prüfungsrichtlinien und die Überarbeitung bestehender Prüfungsrichtlinien gemäß der </w:t>
      </w:r>
      <w:r>
        <w:rPr>
          <w:lang w:val="de-DE" w:eastAsia="de-DE" w:bidi="de-DE"/>
        </w:rPr>
        <w:t xml:space="preserve">Anlage III von Dokument TC/49/2 Rev. 2 </w:t>
      </w:r>
      <w:r w:rsidRPr="001F7709">
        <w:rPr>
          <w:lang w:val="de-DE" w:eastAsia="de-DE" w:bidi="de-DE"/>
        </w:rPr>
        <w:t xml:space="preserve">zu billigen. Der TC nahm zur Kenntnis, daß die TWV zusätzlich zu den in der </w:t>
      </w:r>
      <w:r>
        <w:rPr>
          <w:lang w:val="de-DE" w:eastAsia="de-DE" w:bidi="de-DE"/>
        </w:rPr>
        <w:t>Anlage III von Dokument TC/49/2 </w:t>
      </w:r>
      <w:r w:rsidRPr="001F7709">
        <w:rPr>
          <w:lang w:val="de-DE" w:eastAsia="de-DE" w:bidi="de-DE"/>
        </w:rPr>
        <w:t>Rev.</w:t>
      </w:r>
      <w:r>
        <w:rPr>
          <w:lang w:val="de-DE" w:eastAsia="de-DE" w:bidi="de-DE"/>
        </w:rPr>
        <w:t> </w:t>
      </w:r>
      <w:r w:rsidRPr="001F7709">
        <w:rPr>
          <w:lang w:val="de-DE" w:eastAsia="de-DE" w:bidi="de-DE"/>
        </w:rPr>
        <w:t>2 aufgeführten Prüfungsrichtlinien</w:t>
      </w:r>
      <w:r>
        <w:rPr>
          <w:lang w:val="de-DE" w:eastAsia="de-DE" w:bidi="de-DE"/>
        </w:rPr>
        <w:t xml:space="preserve"> </w:t>
      </w:r>
      <w:r w:rsidRPr="001F7709">
        <w:rPr>
          <w:lang w:val="de-DE" w:eastAsia="de-DE" w:bidi="de-DE"/>
        </w:rPr>
        <w:t xml:space="preserve">auch den Entwurf </w:t>
      </w:r>
      <w:r>
        <w:rPr>
          <w:lang w:val="de-DE" w:eastAsia="de-DE" w:bidi="de-DE"/>
        </w:rPr>
        <w:t xml:space="preserve">der Prüfungsrichtlinien für </w:t>
      </w:r>
      <w:r w:rsidRPr="001F7709">
        <w:rPr>
          <w:lang w:val="de-DE" w:eastAsia="de-DE" w:bidi="de-DE"/>
        </w:rPr>
        <w:t xml:space="preserve">Mohn prüfen werde, wie </w:t>
      </w:r>
      <w:r w:rsidR="003F2E1E">
        <w:rPr>
          <w:lang w:val="de-DE" w:eastAsia="de-DE" w:bidi="de-DE"/>
        </w:rPr>
        <w:t>in Absatz 146</w:t>
      </w:r>
      <w:r w:rsidRPr="00432496">
        <w:rPr>
          <w:lang w:val="de-DE" w:eastAsia="de-DE" w:bidi="de-DE"/>
        </w:rPr>
        <w:t xml:space="preserve"> oben</w:t>
      </w:r>
      <w:r w:rsidRPr="001F7709">
        <w:rPr>
          <w:lang w:val="de-DE" w:eastAsia="de-DE" w:bidi="de-DE"/>
        </w:rPr>
        <w:t xml:space="preserve"> </w:t>
      </w:r>
      <w:r>
        <w:rPr>
          <w:lang w:val="de-DE" w:eastAsia="de-DE" w:bidi="de-DE"/>
        </w:rPr>
        <w:t>dargelegt</w:t>
      </w:r>
      <w:r w:rsidR="00196886" w:rsidRPr="00AF342C">
        <w:t>.</w:t>
      </w:r>
    </w:p>
    <w:p w:rsidR="00196886" w:rsidRPr="00AF342C" w:rsidRDefault="00196886" w:rsidP="00196886"/>
    <w:p w:rsidR="00196886" w:rsidRPr="00AF342C" w:rsidRDefault="00196886" w:rsidP="00196886">
      <w:r w:rsidRPr="00AF342C">
        <w:fldChar w:fldCharType="begin"/>
      </w:r>
      <w:r w:rsidRPr="00AF342C">
        <w:instrText xml:space="preserve"> AUTONUM  </w:instrText>
      </w:r>
      <w:r w:rsidRPr="00AF342C">
        <w:fldChar w:fldCharType="end"/>
      </w:r>
      <w:r w:rsidRPr="00AF342C">
        <w:tab/>
      </w:r>
      <w:r w:rsidR="0049042B" w:rsidRPr="001F7709">
        <w:rPr>
          <w:lang w:val="de-DE" w:eastAsia="de-DE" w:bidi="de-DE"/>
        </w:rPr>
        <w:t>Der TC nahm den Status der bestehenden Prüfungsrichtlinien wie in Anlage IV von Dokument</w:t>
      </w:r>
      <w:r w:rsidR="0049042B">
        <w:rPr>
          <w:lang w:val="de-DE" w:eastAsia="de-DE" w:bidi="de-DE"/>
        </w:rPr>
        <w:t> TC/49/2 </w:t>
      </w:r>
      <w:r w:rsidR="0049042B" w:rsidRPr="001F7709">
        <w:rPr>
          <w:lang w:val="de-DE" w:eastAsia="de-DE" w:bidi="de-DE"/>
        </w:rPr>
        <w:t>Rev.</w:t>
      </w:r>
      <w:r w:rsidR="0049042B">
        <w:rPr>
          <w:lang w:val="de-DE" w:eastAsia="de-DE" w:bidi="de-DE"/>
        </w:rPr>
        <w:t> </w:t>
      </w:r>
      <w:r w:rsidR="0049042B" w:rsidRPr="001F7709">
        <w:rPr>
          <w:lang w:val="de-DE" w:eastAsia="de-DE" w:bidi="de-DE"/>
        </w:rPr>
        <w:t xml:space="preserve">2 </w:t>
      </w:r>
      <w:r w:rsidR="0049042B">
        <w:rPr>
          <w:lang w:val="de-DE" w:eastAsia="de-DE" w:bidi="de-DE"/>
        </w:rPr>
        <w:t>dargeleg</w:t>
      </w:r>
      <w:r w:rsidR="0049042B" w:rsidRPr="001F7709">
        <w:rPr>
          <w:lang w:val="de-DE" w:eastAsia="de-DE" w:bidi="de-DE"/>
        </w:rPr>
        <w:t>t, zur Kenntnis</w:t>
      </w:r>
      <w:r>
        <w:rPr>
          <w:rFonts w:cs="Arial"/>
        </w:rPr>
        <w:t>.</w:t>
      </w:r>
    </w:p>
    <w:p w:rsidR="00196886" w:rsidRPr="00AF342C" w:rsidRDefault="00196886" w:rsidP="00196886"/>
    <w:p w:rsidR="0049042B" w:rsidRPr="003F2E1E" w:rsidRDefault="0049042B" w:rsidP="00B027B0">
      <w:pPr>
        <w:pStyle w:val="Heading3"/>
      </w:pPr>
      <w:bookmarkStart w:id="74" w:name="_Toc368583045"/>
      <w:r w:rsidRPr="003F2E1E">
        <w:t>Prüfungsrichtlinien auf der UPOV-Website</w:t>
      </w:r>
      <w:bookmarkEnd w:id="74"/>
    </w:p>
    <w:p w:rsidR="00196886" w:rsidRPr="00AF342C" w:rsidRDefault="00196886" w:rsidP="00196886">
      <w:pPr>
        <w:keepNext/>
      </w:pPr>
    </w:p>
    <w:p w:rsidR="0049042B" w:rsidRPr="001F7709" w:rsidRDefault="00196886" w:rsidP="0049042B">
      <w:pPr>
        <w:rPr>
          <w:lang w:val="de-DE" w:eastAsia="de-DE" w:bidi="de-DE"/>
        </w:rPr>
      </w:pPr>
      <w:r w:rsidRPr="00AF342C">
        <w:fldChar w:fldCharType="begin"/>
      </w:r>
      <w:r w:rsidRPr="00AF342C">
        <w:instrText xml:space="preserve"> AUTONUM  </w:instrText>
      </w:r>
      <w:r w:rsidRPr="00AF342C">
        <w:fldChar w:fldCharType="end"/>
      </w:r>
      <w:r w:rsidRPr="00AF342C">
        <w:tab/>
      </w:r>
      <w:r w:rsidR="0049042B" w:rsidRPr="001F7709">
        <w:rPr>
          <w:lang w:val="de-DE" w:eastAsia="de-DE" w:bidi="de-DE"/>
        </w:rPr>
        <w:t>Der TC nahm die Liste der angenommenen Prüfungsrichtlinien, die seitdem</w:t>
      </w:r>
      <w:r w:rsidR="0049042B">
        <w:rPr>
          <w:lang w:val="de-DE" w:eastAsia="de-DE" w:bidi="de-DE"/>
        </w:rPr>
        <w:t>,</w:t>
      </w:r>
      <w:r w:rsidR="0049042B" w:rsidRPr="001F7709">
        <w:rPr>
          <w:lang w:val="de-DE" w:eastAsia="de-DE" w:bidi="de-DE"/>
        </w:rPr>
        <w:t xml:space="preserve"> wie in Anlage V von Dokument TC/49/2 Rev.</w:t>
      </w:r>
      <w:r w:rsidR="0049042B">
        <w:rPr>
          <w:lang w:val="de-DE" w:eastAsia="de-DE" w:bidi="de-DE"/>
        </w:rPr>
        <w:t xml:space="preserve"> </w:t>
      </w:r>
      <w:r w:rsidR="0049042B" w:rsidRPr="001F7709">
        <w:rPr>
          <w:lang w:val="de-DE" w:eastAsia="de-DE" w:bidi="de-DE"/>
        </w:rPr>
        <w:t>2 dargelegt</w:t>
      </w:r>
      <w:r w:rsidR="0049042B">
        <w:rPr>
          <w:lang w:val="de-DE" w:eastAsia="de-DE" w:bidi="de-DE"/>
        </w:rPr>
        <w:t>,</w:t>
      </w:r>
      <w:r w:rsidR="0049042B" w:rsidRPr="001F7709">
        <w:rPr>
          <w:lang w:val="de-DE" w:eastAsia="de-DE" w:bidi="de-DE"/>
        </w:rPr>
        <w:t xml:space="preserve"> ersetzt wurden, zur Kenntnis.</w:t>
      </w:r>
    </w:p>
    <w:p w:rsidR="0049042B" w:rsidRPr="001F7709" w:rsidRDefault="0049042B" w:rsidP="0049042B">
      <w:pPr>
        <w:rPr>
          <w:lang w:val="de-DE" w:eastAsia="de-DE" w:bidi="de-DE"/>
        </w:rPr>
      </w:pPr>
    </w:p>
    <w:p w:rsidR="0049042B" w:rsidRPr="001F7709" w:rsidRDefault="0049042B" w:rsidP="0049042B">
      <w:pPr>
        <w:rPr>
          <w:lang w:val="de-DE" w:eastAsia="de-DE" w:bidi="de-DE"/>
        </w:rPr>
      </w:pPr>
      <w:r w:rsidRPr="001F7709">
        <w:rPr>
          <w:lang w:val="de-DE" w:eastAsia="de-DE" w:bidi="de-DE"/>
        </w:rPr>
        <w:fldChar w:fldCharType="begin"/>
      </w:r>
      <w:r w:rsidRPr="001F7709">
        <w:rPr>
          <w:lang w:val="de-DE" w:eastAsia="de-DE" w:bidi="de-DE"/>
        </w:rPr>
        <w:instrText xml:space="preserve"> AUTONUM  </w:instrText>
      </w:r>
      <w:r w:rsidRPr="001F7709">
        <w:rPr>
          <w:lang w:val="de-DE" w:eastAsia="de-DE" w:bidi="de-DE"/>
        </w:rPr>
        <w:fldChar w:fldCharType="end"/>
      </w:r>
      <w:r w:rsidRPr="001F7709">
        <w:rPr>
          <w:lang w:val="de-DE" w:eastAsia="de-DE" w:bidi="de-DE"/>
        </w:rPr>
        <w:tab/>
        <w:t xml:space="preserve">Der TC vereinbarte, daß in Einklang mit der nach den Erörterungen über diese Angelegenheiten durch den Beratenden Ausschuß getroffene Entscheidung der Entwurf eines Deckblattes für alle </w:t>
      </w:r>
      <w:r>
        <w:rPr>
          <w:lang w:val="de-DE" w:eastAsia="de-DE" w:bidi="de-DE"/>
        </w:rPr>
        <w:t>früher</w:t>
      </w:r>
      <w:r w:rsidRPr="001F7709">
        <w:rPr>
          <w:lang w:val="de-DE" w:eastAsia="de-DE" w:bidi="de-DE"/>
        </w:rPr>
        <w:t xml:space="preserve"> angenommenen </w:t>
      </w:r>
      <w:r>
        <w:rPr>
          <w:lang w:val="de-DE" w:eastAsia="de-DE" w:bidi="de-DE"/>
        </w:rPr>
        <w:t>Fassungen</w:t>
      </w:r>
      <w:r w:rsidRPr="001F7709">
        <w:rPr>
          <w:lang w:val="de-DE" w:eastAsia="de-DE" w:bidi="de-DE"/>
        </w:rPr>
        <w:t xml:space="preserve"> von Prüfungsrichtlinien und eines Haftungsaussc</w:t>
      </w:r>
      <w:r>
        <w:rPr>
          <w:lang w:val="de-DE" w:eastAsia="de-DE" w:bidi="de-DE"/>
        </w:rPr>
        <w:t>hlusses für UPOV</w:t>
      </w:r>
      <w:r>
        <w:rPr>
          <w:lang w:val="de-DE" w:eastAsia="de-DE" w:bidi="de-DE"/>
        </w:rPr>
        <w:noBreakHyphen/>
      </w:r>
      <w:r w:rsidRPr="001F7709">
        <w:rPr>
          <w:lang w:val="de-DE" w:eastAsia="de-DE" w:bidi="de-DE"/>
        </w:rPr>
        <w:t>Tagungsdokumente zur Prüfung durch den TC auf dessen fünfzigster Tagung vorgelegt werden sollen.</w:t>
      </w:r>
    </w:p>
    <w:p w:rsidR="0049042B" w:rsidRPr="001F7709" w:rsidRDefault="0049042B" w:rsidP="0049042B">
      <w:pPr>
        <w:rPr>
          <w:lang w:val="de-DE" w:eastAsia="de-DE" w:bidi="de-DE"/>
        </w:rPr>
      </w:pPr>
    </w:p>
    <w:p w:rsidR="00196886" w:rsidRPr="00AF342C" w:rsidRDefault="0049042B" w:rsidP="00196886">
      <w:r w:rsidRPr="001F7709">
        <w:rPr>
          <w:lang w:val="de-DE" w:eastAsia="de-DE" w:bidi="de-DE"/>
        </w:rPr>
        <w:fldChar w:fldCharType="begin"/>
      </w:r>
      <w:r w:rsidRPr="001F7709">
        <w:rPr>
          <w:lang w:val="de-DE" w:eastAsia="de-DE" w:bidi="de-DE"/>
        </w:rPr>
        <w:instrText xml:space="preserve"> AUTONUM  </w:instrText>
      </w:r>
      <w:r w:rsidRPr="001F7709">
        <w:rPr>
          <w:lang w:val="de-DE" w:eastAsia="de-DE" w:bidi="de-DE"/>
        </w:rPr>
        <w:fldChar w:fldCharType="end"/>
      </w:r>
      <w:r w:rsidRPr="001F7709">
        <w:rPr>
          <w:lang w:val="de-DE" w:eastAsia="de-DE" w:bidi="de-DE"/>
        </w:rPr>
        <w:tab/>
        <w:t>Der TC vereinbarte, der Liste der Prüfungsrichtlinien auf der UPOV-Website eine Spalte für das Datum der Annahme der Prüfungsrichtlinien hinzuzufügen</w:t>
      </w:r>
      <w:r>
        <w:t xml:space="preserve"> </w:t>
      </w:r>
      <w:r w:rsidR="005F1840">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 xml:space="preserve">Absätze </w:t>
      </w:r>
      <w:r w:rsidR="00132ABD">
        <w:t>148 bis</w:t>
      </w:r>
      <w:r w:rsidR="005F1840">
        <w:t xml:space="preserve"> 157)</w:t>
      </w:r>
      <w:r w:rsidR="00196886">
        <w:t>.</w:t>
      </w:r>
    </w:p>
    <w:p w:rsidR="00196886" w:rsidRDefault="00196886" w:rsidP="00196886"/>
    <w:p w:rsidR="00D23870" w:rsidRPr="00AF342C" w:rsidRDefault="00D23870" w:rsidP="00196886"/>
    <w:p w:rsidR="00196886" w:rsidRPr="00AF342C" w:rsidRDefault="00E857D8" w:rsidP="00747C66">
      <w:pPr>
        <w:pStyle w:val="Heading2"/>
        <w:rPr>
          <w:snapToGrid w:val="0"/>
        </w:rPr>
      </w:pPr>
      <w:bookmarkStart w:id="75" w:name="_Toc368583046"/>
      <w:r w:rsidRPr="001F7709">
        <w:rPr>
          <w:snapToGrid w:val="0"/>
          <w:lang w:val="de-DE" w:eastAsia="de-DE" w:bidi="de-DE"/>
        </w:rPr>
        <w:t>Liste der Gattungen und Arten, für die die Behörden über praktische Erfahrung bei der Prüfung der Unterscheidbarkeit, Homogenität und Beständigkeit verfügen</w:t>
      </w:r>
      <w:bookmarkEnd w:id="75"/>
    </w:p>
    <w:p w:rsidR="00196886" w:rsidRPr="00AF342C" w:rsidRDefault="00196886" w:rsidP="00196886">
      <w:pPr>
        <w:keepNext/>
        <w:rPr>
          <w:rFonts w:cs="Arial"/>
          <w:snapToGrid w:val="0"/>
          <w:u w:val="single"/>
        </w:rPr>
      </w:pPr>
    </w:p>
    <w:p w:rsidR="00E857D8" w:rsidRPr="001F7709" w:rsidRDefault="00196886" w:rsidP="00E857D8">
      <w:pPr>
        <w:spacing w:after="240"/>
        <w:rPr>
          <w:rFonts w:cs="Arial"/>
          <w:lang w:val="de-DE" w:eastAsia="de-DE" w:bidi="de-DE"/>
        </w:rPr>
      </w:pPr>
      <w:r w:rsidRPr="00AF342C">
        <w:fldChar w:fldCharType="begin"/>
      </w:r>
      <w:r w:rsidRPr="00AF342C">
        <w:instrText xml:space="preserve"> AUTONUM  </w:instrText>
      </w:r>
      <w:r w:rsidRPr="00AF342C">
        <w:fldChar w:fldCharType="end"/>
      </w:r>
      <w:r w:rsidRPr="00AF342C">
        <w:tab/>
      </w:r>
      <w:r w:rsidR="00E857D8" w:rsidRPr="001F7709">
        <w:rPr>
          <w:lang w:val="de-DE" w:eastAsia="de-DE" w:bidi="de-DE"/>
        </w:rPr>
        <w:t>Der TC nahm die in Dokument TC/49/4 enthaltene Information zur Kenntnis und hörte, daß die Zahl der Gattungen und Arten, für die die Verbandsmitglieder über praktische Erfahrung verfügen, im Jahr 2013 2.589 betrage. Das Verbandsbüro prüfe derzeit allerdings mögliche weitere Informationen, die in der nahen Zukunft zu einer Berichtigung dieser Zahl führen könnten.</w:t>
      </w:r>
    </w:p>
    <w:p w:rsidR="00196886" w:rsidRPr="00AF342C" w:rsidRDefault="00E857D8" w:rsidP="00196886">
      <w:r w:rsidRPr="001F7709">
        <w:rPr>
          <w:lang w:val="de-DE" w:eastAsia="de-DE" w:bidi="de-DE"/>
        </w:rPr>
        <w:fldChar w:fldCharType="begin"/>
      </w:r>
      <w:r w:rsidRPr="001F7709">
        <w:rPr>
          <w:lang w:val="de-DE" w:eastAsia="de-DE" w:bidi="de-DE"/>
        </w:rPr>
        <w:instrText xml:space="preserve"> AUTONUM  </w:instrText>
      </w:r>
      <w:r w:rsidRPr="001F7709">
        <w:rPr>
          <w:lang w:val="de-DE" w:eastAsia="de-DE" w:bidi="de-DE"/>
        </w:rPr>
        <w:fldChar w:fldCharType="end"/>
      </w:r>
      <w:r w:rsidRPr="001F7709">
        <w:rPr>
          <w:lang w:val="de-DE" w:eastAsia="de-DE" w:bidi="de-DE"/>
        </w:rPr>
        <w:tab/>
        <w:t>Der TC vereinbarte, daß Dokument TC/49/4 für die fünfzigste Tagung des TC aktualisiert werden solle. Der TC vereinbarte, daß Zweck und Wert von Dokument TC/49/4 in künftigen Fassungen des Dokuments dargelegt werden sollen</w:t>
      </w:r>
      <w:r>
        <w:t xml:space="preserve"> </w:t>
      </w:r>
      <w:r w:rsidR="005F1840">
        <w:t>(</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Absätze</w:t>
      </w:r>
      <w:r w:rsidR="00132ABD">
        <w:t xml:space="preserve"> 158 u</w:t>
      </w:r>
      <w:r w:rsidR="005F1840">
        <w:t>nd 159)</w:t>
      </w:r>
      <w:r w:rsidR="00196886">
        <w:t>.</w:t>
      </w:r>
    </w:p>
    <w:p w:rsidR="00196886" w:rsidRPr="00AF342C" w:rsidRDefault="00196886" w:rsidP="00196886"/>
    <w:p w:rsidR="00196886" w:rsidRDefault="00196886" w:rsidP="00196886">
      <w:pPr>
        <w:rPr>
          <w:snapToGrid w:val="0"/>
          <w:u w:val="single"/>
        </w:rPr>
      </w:pPr>
    </w:p>
    <w:p w:rsidR="008A3954" w:rsidRPr="001F7709" w:rsidRDefault="008A3954" w:rsidP="00747C66">
      <w:pPr>
        <w:pStyle w:val="Heading2"/>
        <w:rPr>
          <w:snapToGrid w:val="0"/>
          <w:lang w:val="de-DE" w:eastAsia="de-DE" w:bidi="de-DE"/>
        </w:rPr>
      </w:pPr>
      <w:bookmarkStart w:id="76" w:name="_Toc368583047"/>
      <w:r w:rsidRPr="001F7709">
        <w:rPr>
          <w:snapToGrid w:val="0"/>
          <w:lang w:val="de-DE" w:eastAsia="de-DE" w:bidi="de-DE"/>
        </w:rPr>
        <w:t>Programm für die fünfzigste Tagung</w:t>
      </w:r>
      <w:bookmarkEnd w:id="76"/>
    </w:p>
    <w:p w:rsidR="00196886" w:rsidRPr="00AF342C" w:rsidRDefault="00196886" w:rsidP="00196886">
      <w:pPr>
        <w:keepNext/>
        <w:rPr>
          <w:snapToGrid w:val="0"/>
          <w:u w:val="single"/>
        </w:rPr>
      </w:pPr>
    </w:p>
    <w:p w:rsidR="008A3954" w:rsidRPr="001F7709" w:rsidRDefault="00196886" w:rsidP="008A3954">
      <w:pPr>
        <w:rPr>
          <w:lang w:val="de-DE" w:eastAsia="de-DE" w:bidi="de-DE"/>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008A3954" w:rsidRPr="001F7709">
        <w:rPr>
          <w:lang w:val="de-DE" w:eastAsia="de-DE" w:bidi="de-DE"/>
        </w:rPr>
        <w:t>Folgender Entwurf der Tagesordnung wurde für die fünfzigste Tagung des TC im Jahr 2014 in Genf vereinbart:</w:t>
      </w:r>
    </w:p>
    <w:p w:rsidR="008A3954" w:rsidRPr="001F7709" w:rsidRDefault="008A3954" w:rsidP="008A3954">
      <w:pPr>
        <w:rPr>
          <w:snapToGrid w:val="0"/>
          <w:lang w:val="de-DE" w:eastAsia="de-DE" w:bidi="de-DE"/>
        </w:rPr>
      </w:pPr>
    </w:p>
    <w:p w:rsidR="008A3954" w:rsidRPr="001F7709" w:rsidRDefault="008A3954" w:rsidP="008A3954">
      <w:pPr>
        <w:spacing w:before="60" w:after="60"/>
        <w:ind w:left="1134" w:hanging="567"/>
        <w:rPr>
          <w:rFonts w:cs="Arial"/>
          <w:snapToGrid w:val="0"/>
          <w:lang w:val="de-DE" w:eastAsia="de-DE" w:bidi="de-DE"/>
        </w:rPr>
      </w:pPr>
      <w:r w:rsidRPr="001F7709">
        <w:rPr>
          <w:lang w:val="de-DE" w:eastAsia="de-DE" w:bidi="de-DE"/>
        </w:rPr>
        <w:t>1.</w:t>
      </w:r>
      <w:r w:rsidRPr="001F7709">
        <w:rPr>
          <w:lang w:val="de-DE" w:eastAsia="de-DE" w:bidi="de-DE"/>
        </w:rPr>
        <w:tab/>
        <w:t>Eröffnung der Tagung</w:t>
      </w:r>
    </w:p>
    <w:p w:rsidR="008A3954" w:rsidRPr="001F7709" w:rsidRDefault="008A3954" w:rsidP="008A3954">
      <w:pPr>
        <w:spacing w:before="60" w:after="60"/>
        <w:ind w:left="1134" w:hanging="567"/>
        <w:rPr>
          <w:rFonts w:cs="Arial"/>
          <w:snapToGrid w:val="0"/>
          <w:lang w:val="de-DE" w:eastAsia="de-DE" w:bidi="de-DE"/>
        </w:rPr>
      </w:pPr>
      <w:r w:rsidRPr="001F7709">
        <w:rPr>
          <w:lang w:val="de-DE" w:eastAsia="de-DE" w:bidi="de-DE"/>
        </w:rPr>
        <w:t>2.</w:t>
      </w:r>
      <w:r w:rsidRPr="001F7709">
        <w:rPr>
          <w:lang w:val="de-DE" w:eastAsia="de-DE" w:bidi="de-DE"/>
        </w:rPr>
        <w:tab/>
        <w:t>Annahme der Tagesordnung</w:t>
      </w:r>
    </w:p>
    <w:p w:rsidR="008A3954" w:rsidRPr="001F7709" w:rsidRDefault="008A3954" w:rsidP="008A3954">
      <w:pPr>
        <w:spacing w:before="60" w:after="60"/>
        <w:ind w:left="1134" w:hanging="567"/>
        <w:rPr>
          <w:rFonts w:cs="Arial"/>
          <w:snapToGrid w:val="0"/>
          <w:lang w:val="de-DE" w:eastAsia="de-DE" w:bidi="de-DE"/>
        </w:rPr>
      </w:pPr>
      <w:r w:rsidRPr="001F7709">
        <w:rPr>
          <w:lang w:val="de-DE" w:eastAsia="de-DE" w:bidi="de-DE"/>
        </w:rPr>
        <w:t>3.</w:t>
      </w:r>
      <w:r w:rsidRPr="001F7709">
        <w:rPr>
          <w:lang w:val="de-DE" w:eastAsia="de-DE" w:bidi="de-DE"/>
        </w:rPr>
        <w:tab/>
        <w:t>Erörterungen zu:</w:t>
      </w:r>
    </w:p>
    <w:p w:rsidR="008A3954" w:rsidRPr="001F7709" w:rsidRDefault="008A3954" w:rsidP="008A3954">
      <w:pPr>
        <w:spacing w:before="60" w:after="60"/>
        <w:ind w:left="1701" w:hanging="567"/>
        <w:rPr>
          <w:lang w:val="de-DE" w:eastAsia="de-DE" w:bidi="de-DE"/>
        </w:rPr>
      </w:pPr>
      <w:r w:rsidRPr="001F7709">
        <w:rPr>
          <w:lang w:val="de-DE" w:eastAsia="de-DE" w:bidi="de-DE"/>
        </w:rPr>
        <w:t xml:space="preserve">a) </w:t>
      </w:r>
      <w:r w:rsidRPr="001F7709">
        <w:rPr>
          <w:lang w:val="de-DE" w:eastAsia="de-DE" w:bidi="de-DE"/>
        </w:rPr>
        <w:tab/>
        <w:t>Verbesserun</w:t>
      </w:r>
      <w:r>
        <w:rPr>
          <w:lang w:val="de-DE" w:eastAsia="de-DE" w:bidi="de-DE"/>
        </w:rPr>
        <w:t xml:space="preserve">g der Effektivität des Technischen Ausschusses, </w:t>
      </w:r>
      <w:r w:rsidRPr="001F7709">
        <w:rPr>
          <w:lang w:val="de-DE" w:eastAsia="de-DE" w:bidi="de-DE"/>
        </w:rPr>
        <w:t>der Technischen Arbeitsgruppen sowie der vorbereitenden Arbeitstagungen</w:t>
      </w:r>
    </w:p>
    <w:p w:rsidR="008A3954" w:rsidRPr="001F7709" w:rsidRDefault="008A3954" w:rsidP="008A3954">
      <w:pPr>
        <w:spacing w:before="60" w:after="60"/>
        <w:ind w:left="1701" w:hanging="567"/>
        <w:rPr>
          <w:lang w:val="de-DE" w:eastAsia="de-DE" w:bidi="de-DE"/>
        </w:rPr>
      </w:pPr>
      <w:r w:rsidRPr="001F7709">
        <w:rPr>
          <w:lang w:val="de-DE" w:eastAsia="de-DE" w:bidi="de-DE"/>
        </w:rPr>
        <w:t>b)</w:t>
      </w:r>
      <w:r w:rsidRPr="001F7709">
        <w:rPr>
          <w:lang w:val="de-DE" w:eastAsia="de-DE" w:bidi="de-DE"/>
        </w:rPr>
        <w:tab/>
        <w:t xml:space="preserve">Schulungsmöglichkeiten für die DUS-Prüfung </w:t>
      </w:r>
    </w:p>
    <w:p w:rsidR="008A3954" w:rsidRPr="001F7709" w:rsidRDefault="008A3954" w:rsidP="008A3954">
      <w:pPr>
        <w:spacing w:before="60" w:after="60"/>
        <w:ind w:left="1701" w:hanging="567"/>
        <w:rPr>
          <w:lang w:val="de-DE" w:eastAsia="de-DE" w:bidi="de-DE"/>
        </w:rPr>
      </w:pPr>
      <w:r w:rsidRPr="001F7709">
        <w:rPr>
          <w:lang w:val="de-DE" w:eastAsia="de-DE" w:bidi="de-DE"/>
        </w:rPr>
        <w:t>c)</w:t>
      </w:r>
      <w:r w:rsidRPr="001F7709">
        <w:rPr>
          <w:lang w:val="de-DE" w:eastAsia="de-DE" w:bidi="de-DE"/>
        </w:rPr>
        <w:tab/>
        <w:t>Zusammenarbeit mit Züchtern bei der DUS-Prüfung</w:t>
      </w:r>
    </w:p>
    <w:p w:rsidR="008A3954" w:rsidRPr="001F7709" w:rsidRDefault="008A3954" w:rsidP="008A3954">
      <w:pPr>
        <w:spacing w:before="60" w:after="60"/>
        <w:ind w:left="1134" w:hanging="567"/>
        <w:rPr>
          <w:rFonts w:cs="Arial"/>
          <w:snapToGrid w:val="0"/>
          <w:lang w:val="de-DE" w:eastAsia="de-DE" w:bidi="de-DE"/>
        </w:rPr>
      </w:pPr>
      <w:r w:rsidRPr="001F7709">
        <w:rPr>
          <w:lang w:val="de-DE" w:eastAsia="de-DE" w:bidi="de-DE"/>
        </w:rPr>
        <w:t>4.</w:t>
      </w:r>
      <w:r w:rsidRPr="001F7709">
        <w:rPr>
          <w:lang w:val="de-DE" w:eastAsia="de-DE" w:bidi="de-DE"/>
        </w:rPr>
        <w:tab/>
        <w:t>Bericht über die Entwicklungen in der UPOV, u. a. die auf den letzten Tagungen des Verwaltungs- und Rechtsausschusses, des Beratenden Ausschusses und des Rates erörterten wichtigen Angelegenheiten (mündlicher Bericht des Stellvertretenden Generalsekretärs)</w:t>
      </w:r>
    </w:p>
    <w:p w:rsidR="008A3954" w:rsidRPr="001F7709" w:rsidRDefault="008A3954" w:rsidP="008A3954">
      <w:pPr>
        <w:spacing w:before="60" w:after="60"/>
        <w:ind w:left="1134" w:hanging="567"/>
        <w:rPr>
          <w:lang w:val="de-DE" w:eastAsia="de-DE" w:bidi="de-DE"/>
        </w:rPr>
      </w:pPr>
      <w:r w:rsidRPr="001F7709">
        <w:rPr>
          <w:lang w:val="de-DE" w:eastAsia="de-DE" w:bidi="de-DE"/>
        </w:rPr>
        <w:t>5.</w:t>
      </w:r>
      <w:r w:rsidRPr="001F7709">
        <w:rPr>
          <w:lang w:val="de-DE" w:eastAsia="de-DE" w:bidi="de-DE"/>
        </w:rPr>
        <w:tab/>
        <w:t xml:space="preserve">Berichte über den Fortschritt der Arbeiten der Technischen Arbeitsgruppen, einschließlich der Arbeitsgruppe für biochemische und molekulare Verfahren und insbesondere für DNS Profilierungsverfahren (BMT) und der artenspezifischen Ad-hoc-Untergruppen für molekulare Verfahren </w:t>
      </w:r>
    </w:p>
    <w:p w:rsidR="008A3954" w:rsidRPr="001F7709" w:rsidRDefault="008A3954" w:rsidP="008A3954">
      <w:pPr>
        <w:spacing w:before="60" w:after="60"/>
        <w:ind w:left="1134" w:hanging="567"/>
        <w:rPr>
          <w:rFonts w:cs="Arial"/>
          <w:snapToGrid w:val="0"/>
          <w:lang w:val="de-DE" w:eastAsia="de-DE" w:bidi="de-DE"/>
        </w:rPr>
      </w:pPr>
      <w:r w:rsidRPr="001F7709">
        <w:rPr>
          <w:lang w:val="de-DE" w:eastAsia="de-DE" w:bidi="de-DE"/>
        </w:rPr>
        <w:t>6.</w:t>
      </w:r>
      <w:r w:rsidRPr="001F7709">
        <w:rPr>
          <w:lang w:val="de-DE" w:eastAsia="de-DE" w:bidi="de-DE"/>
        </w:rPr>
        <w:tab/>
        <w:t>Fragen, die von den technischen Arbeitsgruppen aufgeworfen wurden</w:t>
      </w:r>
    </w:p>
    <w:p w:rsidR="008A3954" w:rsidRPr="001F7709" w:rsidRDefault="008A3954" w:rsidP="008A3954">
      <w:pPr>
        <w:keepLines/>
        <w:tabs>
          <w:tab w:val="left" w:pos="1134"/>
        </w:tabs>
        <w:spacing w:before="60" w:after="60"/>
        <w:ind w:left="567"/>
        <w:jc w:val="left"/>
        <w:rPr>
          <w:rFonts w:cs="Arial"/>
          <w:snapToGrid w:val="0"/>
          <w:lang w:val="de-DE" w:eastAsia="de-DE" w:bidi="de-DE"/>
        </w:rPr>
      </w:pPr>
      <w:r w:rsidRPr="001F7709">
        <w:rPr>
          <w:lang w:val="de-DE" w:eastAsia="de-DE" w:bidi="de-DE"/>
        </w:rPr>
        <w:t>7.</w:t>
      </w:r>
      <w:r w:rsidRPr="001F7709">
        <w:rPr>
          <w:lang w:val="de-DE" w:eastAsia="de-DE" w:bidi="de-DE"/>
        </w:rPr>
        <w:tab/>
        <w:t>TGP-Dokumente</w:t>
      </w:r>
    </w:p>
    <w:p w:rsidR="008A3954" w:rsidRPr="001F7709" w:rsidRDefault="008A3954" w:rsidP="008A3954">
      <w:pPr>
        <w:spacing w:before="60" w:after="60"/>
        <w:ind w:left="1134" w:hanging="567"/>
        <w:rPr>
          <w:rFonts w:cs="Arial"/>
          <w:lang w:val="de-DE" w:eastAsia="de-DE" w:bidi="de-DE"/>
        </w:rPr>
      </w:pPr>
      <w:r w:rsidRPr="001F7709">
        <w:rPr>
          <w:lang w:val="de-DE" w:eastAsia="de-DE" w:bidi="de-DE"/>
        </w:rPr>
        <w:t>8.</w:t>
      </w:r>
      <w:r w:rsidRPr="001F7709">
        <w:rPr>
          <w:lang w:val="de-DE" w:eastAsia="de-DE" w:bidi="de-DE"/>
        </w:rPr>
        <w:tab/>
        <w:t>Molekulare Verfahren</w:t>
      </w:r>
    </w:p>
    <w:p w:rsidR="008A3954" w:rsidRPr="001F7709" w:rsidRDefault="008A3954" w:rsidP="008A3954">
      <w:pPr>
        <w:spacing w:before="60" w:after="60"/>
        <w:ind w:left="1134" w:hanging="567"/>
        <w:rPr>
          <w:rFonts w:cs="Arial"/>
          <w:snapToGrid w:val="0"/>
          <w:lang w:val="de-DE" w:eastAsia="de-DE" w:bidi="de-DE"/>
        </w:rPr>
      </w:pPr>
      <w:r w:rsidRPr="001F7709">
        <w:rPr>
          <w:lang w:val="de-DE" w:eastAsia="de-DE" w:bidi="de-DE"/>
        </w:rPr>
        <w:t>9.</w:t>
      </w:r>
      <w:r w:rsidRPr="001F7709">
        <w:rPr>
          <w:lang w:val="de-DE" w:eastAsia="de-DE" w:bidi="de-DE"/>
        </w:rPr>
        <w:tab/>
        <w:t>Sortenbezeichnungen</w:t>
      </w:r>
    </w:p>
    <w:p w:rsidR="008A3954" w:rsidRPr="001F7709" w:rsidRDefault="008A3954" w:rsidP="008A3954">
      <w:pPr>
        <w:spacing w:before="60" w:after="60"/>
        <w:ind w:left="1134" w:hanging="567"/>
        <w:rPr>
          <w:rFonts w:cs="Arial"/>
          <w:snapToGrid w:val="0"/>
          <w:lang w:val="de-DE" w:eastAsia="de-DE" w:bidi="de-DE"/>
        </w:rPr>
      </w:pPr>
      <w:r w:rsidRPr="001F7709">
        <w:rPr>
          <w:lang w:val="de-DE" w:eastAsia="de-DE" w:bidi="de-DE"/>
        </w:rPr>
        <w:t>10.</w:t>
      </w:r>
      <w:r w:rsidRPr="001F7709">
        <w:rPr>
          <w:lang w:val="de-DE" w:eastAsia="de-DE" w:bidi="de-DE"/>
        </w:rPr>
        <w:tab/>
        <w:t>Informationen und Datenbanken</w:t>
      </w:r>
    </w:p>
    <w:p w:rsidR="008A3954" w:rsidRPr="001F7709" w:rsidRDefault="008A3954" w:rsidP="008A3954">
      <w:pPr>
        <w:spacing w:before="60" w:after="60"/>
        <w:ind w:left="1701" w:hanging="567"/>
        <w:rPr>
          <w:rFonts w:cs="Arial"/>
          <w:snapToGrid w:val="0"/>
          <w:lang w:val="de-DE" w:eastAsia="de-DE" w:bidi="de-DE"/>
        </w:rPr>
      </w:pPr>
      <w:r w:rsidRPr="001F7709">
        <w:rPr>
          <w:lang w:val="de-DE" w:eastAsia="de-DE" w:bidi="de-DE"/>
        </w:rPr>
        <w:t>a)</w:t>
      </w:r>
      <w:r w:rsidRPr="001F7709">
        <w:rPr>
          <w:lang w:val="de-DE" w:eastAsia="de-DE" w:bidi="de-DE"/>
        </w:rPr>
        <w:tab/>
        <w:t>UPOV-Informationsdatenbanken</w:t>
      </w:r>
    </w:p>
    <w:p w:rsidR="008A3954" w:rsidRPr="001F7709" w:rsidRDefault="008A3954" w:rsidP="008A3954">
      <w:pPr>
        <w:spacing w:before="60" w:after="60"/>
        <w:ind w:left="1701" w:hanging="567"/>
        <w:rPr>
          <w:rFonts w:cs="Arial"/>
          <w:snapToGrid w:val="0"/>
          <w:lang w:val="de-DE" w:eastAsia="de-DE" w:bidi="de-DE"/>
        </w:rPr>
      </w:pPr>
      <w:r w:rsidRPr="001F7709">
        <w:rPr>
          <w:lang w:val="de-DE" w:eastAsia="de-DE" w:bidi="de-DE"/>
        </w:rPr>
        <w:t>b)</w:t>
      </w:r>
      <w:r w:rsidRPr="001F7709">
        <w:rPr>
          <w:lang w:val="de-DE" w:eastAsia="de-DE" w:bidi="de-DE"/>
        </w:rPr>
        <w:tab/>
        <w:t xml:space="preserve">Datenbanken für Sortenbeschreibungen </w:t>
      </w:r>
    </w:p>
    <w:p w:rsidR="008A3954" w:rsidRPr="001F7709" w:rsidRDefault="008A3954" w:rsidP="008A3954">
      <w:pPr>
        <w:spacing w:before="60" w:after="60"/>
        <w:ind w:left="1701" w:hanging="567"/>
        <w:rPr>
          <w:rFonts w:cs="Arial"/>
          <w:snapToGrid w:val="0"/>
          <w:lang w:val="de-DE" w:eastAsia="de-DE" w:bidi="de-DE"/>
        </w:rPr>
      </w:pPr>
      <w:r w:rsidRPr="001F7709">
        <w:rPr>
          <w:lang w:val="de-DE" w:eastAsia="de-DE" w:bidi="de-DE"/>
        </w:rPr>
        <w:t>c)</w:t>
      </w:r>
      <w:r w:rsidRPr="001F7709">
        <w:rPr>
          <w:lang w:val="de-DE" w:eastAsia="de-DE" w:bidi="de-DE"/>
        </w:rPr>
        <w:tab/>
        <w:t xml:space="preserve">Austauschbare Software </w:t>
      </w:r>
    </w:p>
    <w:p w:rsidR="008A3954" w:rsidRPr="001F7709" w:rsidRDefault="008A3954" w:rsidP="008A3954">
      <w:pPr>
        <w:spacing w:before="60" w:after="60"/>
        <w:ind w:left="1701" w:hanging="567"/>
        <w:rPr>
          <w:rFonts w:cs="Arial"/>
          <w:snapToGrid w:val="0"/>
          <w:lang w:val="de-DE" w:eastAsia="de-DE" w:bidi="de-DE"/>
        </w:rPr>
      </w:pPr>
      <w:r w:rsidRPr="001F7709">
        <w:rPr>
          <w:lang w:val="de-DE" w:eastAsia="de-DE" w:bidi="de-DE"/>
        </w:rPr>
        <w:t>d)</w:t>
      </w:r>
      <w:r w:rsidRPr="001F7709">
        <w:rPr>
          <w:lang w:val="de-DE" w:eastAsia="de-DE" w:bidi="de-DE"/>
        </w:rPr>
        <w:tab/>
        <w:t xml:space="preserve">Elektronische Systeme für die Einreichung von Anträgen </w:t>
      </w:r>
    </w:p>
    <w:p w:rsidR="008A3954" w:rsidRPr="001F7709" w:rsidRDefault="008A3954" w:rsidP="008A3954">
      <w:pPr>
        <w:spacing w:before="60" w:after="60"/>
        <w:ind w:left="1134" w:hanging="567"/>
        <w:rPr>
          <w:rFonts w:cs="Arial"/>
          <w:snapToGrid w:val="0"/>
          <w:lang w:val="de-DE" w:eastAsia="de-DE" w:bidi="de-DE"/>
        </w:rPr>
      </w:pPr>
      <w:r w:rsidRPr="001F7709">
        <w:rPr>
          <w:lang w:val="de-DE" w:eastAsia="de-DE" w:bidi="de-DE"/>
        </w:rPr>
        <w:t>11.</w:t>
      </w:r>
      <w:r w:rsidRPr="001F7709">
        <w:rPr>
          <w:lang w:val="de-DE" w:eastAsia="de-DE" w:bidi="de-DE"/>
        </w:rPr>
        <w:tab/>
        <w:t xml:space="preserve">Prüfung der Homogenität anhand von Abweichern aufgrund von mehr als einer Probe oder Unterproben </w:t>
      </w:r>
    </w:p>
    <w:p w:rsidR="008A3954" w:rsidRPr="001F7709" w:rsidRDefault="008A3954" w:rsidP="008A3954">
      <w:pPr>
        <w:spacing w:before="60" w:after="60"/>
        <w:ind w:left="1134" w:hanging="567"/>
        <w:rPr>
          <w:rFonts w:cs="Arial"/>
          <w:snapToGrid w:val="0"/>
          <w:lang w:val="de-DE" w:eastAsia="de-DE" w:bidi="de-DE"/>
        </w:rPr>
      </w:pPr>
      <w:r w:rsidRPr="001F7709">
        <w:rPr>
          <w:lang w:val="de-DE" w:eastAsia="de-DE" w:bidi="de-DE"/>
        </w:rPr>
        <w:t>12.</w:t>
      </w:r>
      <w:r w:rsidRPr="001F7709">
        <w:rPr>
          <w:lang w:val="de-DE" w:eastAsia="de-DE" w:bidi="de-DE"/>
        </w:rPr>
        <w:tab/>
        <w:t xml:space="preserve">Vorbereitende Arbeitstagungen </w:t>
      </w:r>
    </w:p>
    <w:p w:rsidR="008A3954" w:rsidRPr="001F7709" w:rsidRDefault="008A3954" w:rsidP="008A3954">
      <w:pPr>
        <w:spacing w:before="60" w:after="60"/>
        <w:ind w:left="1134" w:hanging="567"/>
        <w:rPr>
          <w:rFonts w:cs="Arial"/>
          <w:snapToGrid w:val="0"/>
          <w:lang w:val="de-DE" w:eastAsia="de-DE" w:bidi="de-DE"/>
        </w:rPr>
      </w:pPr>
      <w:r>
        <w:rPr>
          <w:lang w:val="de-DE" w:eastAsia="de-DE" w:bidi="de-DE"/>
        </w:rPr>
        <w:t>13.</w:t>
      </w:r>
      <w:r>
        <w:rPr>
          <w:lang w:val="de-DE" w:eastAsia="de-DE" w:bidi="de-DE"/>
        </w:rPr>
        <w:tab/>
        <w:t>Prüfungsrichtlinien</w:t>
      </w:r>
    </w:p>
    <w:p w:rsidR="008A3954" w:rsidRPr="001F7709" w:rsidRDefault="008A3954" w:rsidP="008A3954">
      <w:pPr>
        <w:spacing w:before="60" w:after="60"/>
        <w:ind w:left="1134" w:hanging="567"/>
        <w:rPr>
          <w:rFonts w:cs="Arial"/>
          <w:snapToGrid w:val="0"/>
          <w:lang w:val="de-DE" w:eastAsia="de-DE" w:bidi="de-DE"/>
        </w:rPr>
      </w:pPr>
      <w:r w:rsidRPr="001F7709">
        <w:rPr>
          <w:lang w:val="de-DE" w:eastAsia="de-DE" w:bidi="de-DE"/>
        </w:rPr>
        <w:t>14.</w:t>
      </w:r>
      <w:r w:rsidRPr="001F7709">
        <w:rPr>
          <w:lang w:val="de-DE" w:eastAsia="de-DE" w:bidi="de-DE"/>
        </w:rPr>
        <w:tab/>
        <w:t xml:space="preserve">Liste der Gattungen und Arten, für die die Behörden über praktische Erfahrung bei der Prüfung der Unterscheidbarkeit, Homogenität und Beständigkeit verfügen </w:t>
      </w:r>
    </w:p>
    <w:p w:rsidR="008A3954" w:rsidRPr="001F7709" w:rsidRDefault="008A3954" w:rsidP="008A3954">
      <w:pPr>
        <w:spacing w:before="60" w:after="60"/>
        <w:ind w:left="1134" w:hanging="567"/>
        <w:rPr>
          <w:rFonts w:cs="Arial"/>
          <w:snapToGrid w:val="0"/>
          <w:lang w:val="de-DE" w:eastAsia="de-DE" w:bidi="de-DE"/>
        </w:rPr>
      </w:pPr>
      <w:r w:rsidRPr="001F7709">
        <w:rPr>
          <w:lang w:val="de-DE" w:eastAsia="de-DE" w:bidi="de-DE"/>
        </w:rPr>
        <w:t>15.</w:t>
      </w:r>
      <w:r w:rsidRPr="001F7709">
        <w:rPr>
          <w:lang w:val="de-DE" w:eastAsia="de-DE" w:bidi="de-DE"/>
        </w:rPr>
        <w:tab/>
        <w:t xml:space="preserve">Programm </w:t>
      </w:r>
      <w:r>
        <w:rPr>
          <w:lang w:val="de-DE" w:eastAsia="de-DE" w:bidi="de-DE"/>
        </w:rPr>
        <w:t xml:space="preserve">der </w:t>
      </w:r>
      <w:r w:rsidRPr="001F7709">
        <w:rPr>
          <w:lang w:val="de-DE" w:eastAsia="de-DE" w:bidi="de-DE"/>
        </w:rPr>
        <w:t>einundfünfzigste</w:t>
      </w:r>
      <w:r>
        <w:rPr>
          <w:lang w:val="de-DE" w:eastAsia="de-DE" w:bidi="de-DE"/>
        </w:rPr>
        <w:t>n</w:t>
      </w:r>
      <w:r w:rsidRPr="001F7709">
        <w:rPr>
          <w:lang w:val="de-DE" w:eastAsia="de-DE" w:bidi="de-DE"/>
        </w:rPr>
        <w:t xml:space="preserve"> Tagung </w:t>
      </w:r>
    </w:p>
    <w:p w:rsidR="008A3954" w:rsidRPr="001F7709" w:rsidRDefault="008A3954" w:rsidP="00D23870">
      <w:pPr>
        <w:keepNext/>
        <w:spacing w:before="60" w:after="60"/>
        <w:ind w:left="1134" w:hanging="567"/>
        <w:rPr>
          <w:rFonts w:cs="Arial"/>
          <w:snapToGrid w:val="0"/>
          <w:lang w:val="de-DE" w:eastAsia="de-DE" w:bidi="de-DE"/>
        </w:rPr>
      </w:pPr>
      <w:r w:rsidRPr="001F7709">
        <w:rPr>
          <w:lang w:val="de-DE" w:eastAsia="de-DE" w:bidi="de-DE"/>
        </w:rPr>
        <w:lastRenderedPageBreak/>
        <w:t>16.</w:t>
      </w:r>
      <w:r w:rsidRPr="001F7709">
        <w:rPr>
          <w:lang w:val="de-DE" w:eastAsia="de-DE" w:bidi="de-DE"/>
        </w:rPr>
        <w:tab/>
        <w:t>Annahme des Berichts über die Entschließungen (sofern zeitlich möglich)</w:t>
      </w:r>
    </w:p>
    <w:p w:rsidR="008A3954" w:rsidRPr="00856077" w:rsidRDefault="008A3954" w:rsidP="00D23870">
      <w:pPr>
        <w:ind w:left="567"/>
        <w:rPr>
          <w:rFonts w:cs="Arial"/>
          <w:snapToGrid w:val="0"/>
        </w:rPr>
      </w:pPr>
      <w:r w:rsidRPr="001F7709">
        <w:rPr>
          <w:lang w:val="de-DE" w:eastAsia="de-DE" w:bidi="de-DE"/>
        </w:rPr>
        <w:t>17.</w:t>
      </w:r>
      <w:r w:rsidRPr="001F7709">
        <w:rPr>
          <w:lang w:val="de-DE" w:eastAsia="de-DE" w:bidi="de-DE"/>
        </w:rPr>
        <w:tab/>
        <w:t>Schließung der Tagung</w:t>
      </w:r>
    </w:p>
    <w:p w:rsidR="00196886" w:rsidRPr="00AF342C" w:rsidRDefault="00196886" w:rsidP="00196886">
      <w:pPr>
        <w:rPr>
          <w:u w:val="single"/>
        </w:rPr>
      </w:pPr>
    </w:p>
    <w:p w:rsidR="00196886" w:rsidRPr="00AF342C" w:rsidRDefault="00196886" w:rsidP="00196886">
      <w:r w:rsidRPr="00D62583">
        <w:fldChar w:fldCharType="begin"/>
      </w:r>
      <w:r w:rsidRPr="00D62583">
        <w:instrText xml:space="preserve"> AUTONUM  </w:instrText>
      </w:r>
      <w:r w:rsidRPr="00D62583">
        <w:fldChar w:fldCharType="end"/>
      </w:r>
      <w:r w:rsidRPr="00D62583">
        <w:tab/>
      </w:r>
      <w:r w:rsidR="0015433F" w:rsidRPr="001F7709">
        <w:rPr>
          <w:lang w:val="de-DE" w:eastAsia="de-DE" w:bidi="de-DE"/>
        </w:rPr>
        <w:t xml:space="preserve">Der TC vereinbarte, daß sich die fünfzigste Tagung über drei Tage erstrecken solle: von Montagmorgen bis Mittwochnachmittag. Er vereinbarte, daß die Erörterungen unter Tagesordnungspunkt 3 auf den Mittwochvormittag angesetzt werden sollen. Der TC vereinbarte, daß die Vorsitzenden der TWP </w:t>
      </w:r>
      <w:r w:rsidR="0015433F">
        <w:rPr>
          <w:lang w:val="de-DE" w:eastAsia="de-DE" w:bidi="de-DE"/>
        </w:rPr>
        <w:t>ersucht</w:t>
      </w:r>
      <w:r w:rsidR="0015433F" w:rsidRPr="001F7709">
        <w:rPr>
          <w:lang w:val="de-DE" w:eastAsia="de-DE" w:bidi="de-DE"/>
        </w:rPr>
        <w:t xml:space="preserve"> werden sollen, unter Tagesordnungspunkt 5 genau wie </w:t>
      </w:r>
      <w:r w:rsidR="0015433F">
        <w:rPr>
          <w:lang w:val="de-DE" w:eastAsia="de-DE" w:bidi="de-DE"/>
        </w:rPr>
        <w:t>auf</w:t>
      </w:r>
      <w:r w:rsidR="0015433F" w:rsidRPr="001F7709">
        <w:rPr>
          <w:lang w:val="de-DE" w:eastAsia="de-DE" w:bidi="de-DE"/>
        </w:rPr>
        <w:t xml:space="preserve"> der neunundvierzigsten Tagung eine visuelle Präsentation zu halten. Er vereinbarte, daß der TC-EDC im Januar 2014 eine zweitägige Sitzung abhalten solle</w:t>
      </w:r>
      <w:r w:rsidR="005F1840">
        <w:t xml:space="preserve"> (</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Absätze</w:t>
      </w:r>
      <w:r w:rsidR="00132ABD">
        <w:t> 160 u</w:t>
      </w:r>
      <w:r w:rsidR="005F1840">
        <w:t>nd 161)</w:t>
      </w:r>
      <w:r w:rsidRPr="00D62583">
        <w:t>.</w:t>
      </w:r>
    </w:p>
    <w:p w:rsidR="00196886" w:rsidRPr="00AF342C" w:rsidRDefault="00196886" w:rsidP="00196886"/>
    <w:p w:rsidR="00196886" w:rsidRPr="00AF342C" w:rsidRDefault="00196886" w:rsidP="00196886"/>
    <w:p w:rsidR="0015433F" w:rsidRPr="001F7709" w:rsidRDefault="0015433F" w:rsidP="00747C66">
      <w:pPr>
        <w:pStyle w:val="Heading2"/>
        <w:rPr>
          <w:lang w:val="de-DE" w:eastAsia="de-DE" w:bidi="de-DE"/>
        </w:rPr>
      </w:pPr>
      <w:bookmarkStart w:id="77" w:name="_Toc368583048"/>
      <w:r w:rsidRPr="001F7709">
        <w:rPr>
          <w:lang w:val="de-DE" w:eastAsia="de-DE" w:bidi="de-DE"/>
        </w:rPr>
        <w:t>Vorsitzender und stellvertretender Vorsitzender</w:t>
      </w:r>
      <w:bookmarkEnd w:id="77"/>
    </w:p>
    <w:p w:rsidR="00196886" w:rsidRPr="00AF342C" w:rsidRDefault="00196886" w:rsidP="00196886"/>
    <w:p w:rsidR="00196886" w:rsidRDefault="00196886" w:rsidP="00196886">
      <w:r>
        <w:fldChar w:fldCharType="begin"/>
      </w:r>
      <w:r>
        <w:instrText xml:space="preserve"> AUTONUM  </w:instrText>
      </w:r>
      <w:r>
        <w:fldChar w:fldCharType="end"/>
      </w:r>
      <w:r>
        <w:tab/>
      </w:r>
      <w:r w:rsidR="0015433F" w:rsidRPr="001F7709">
        <w:rPr>
          <w:lang w:val="de-DE" w:eastAsia="de-DE" w:bidi="de-DE"/>
        </w:rPr>
        <w:t>Der TC nahm zur Kenntnis, daß der Vorsitz von Herrn Joël Guiard (Frankreich) mit Beendigung der anstehenden ordentlichen Tagung des Rates im Oktober enden werde. Er schlug dem Rat vor, für die bevorstehende dreijährige Amtszeit Herrn Alejandro Barrientos-Priego (Mexiko) zum neuen Vorsitzenden und Herrn Kees Van Ettekoven (Niederlande) zum neuen stellvertretenden Vorsitzenden des TC zu wählen</w:t>
      </w:r>
      <w:r w:rsidR="005F1840">
        <w:t xml:space="preserve"> (</w:t>
      </w:r>
      <w:r w:rsidR="00132ABD" w:rsidRPr="00816118">
        <w:rPr>
          <w:lang w:val="de-DE"/>
        </w:rPr>
        <w:t>vergleiche Dokument TC/</w:t>
      </w:r>
      <w:r w:rsidR="00132ABD">
        <w:rPr>
          <w:lang w:val="de-DE"/>
        </w:rPr>
        <w:t>49/41 „</w:t>
      </w:r>
      <w:r w:rsidR="00132ABD" w:rsidRPr="00816118">
        <w:rPr>
          <w:lang w:val="de-DE"/>
        </w:rPr>
        <w:t xml:space="preserve">Bericht über die Entschließungen”, </w:t>
      </w:r>
      <w:r w:rsidR="00132ABD">
        <w:rPr>
          <w:lang w:val="de-DE"/>
        </w:rPr>
        <w:t>Absatz</w:t>
      </w:r>
      <w:r w:rsidR="005F1840">
        <w:t> 162)</w:t>
      </w:r>
      <w:r w:rsidRPr="00AD55B3">
        <w:t>.</w:t>
      </w:r>
    </w:p>
    <w:p w:rsidR="00614435" w:rsidRDefault="00614435" w:rsidP="00196886"/>
    <w:p w:rsidR="00D23870" w:rsidRDefault="00D23870" w:rsidP="00196886"/>
    <w:p w:rsidR="005B0B2E" w:rsidRDefault="005B0B2E" w:rsidP="00196886"/>
    <w:p w:rsidR="000313D8" w:rsidRPr="00262B2F" w:rsidRDefault="005B0B2E" w:rsidP="00D23870">
      <w:pPr>
        <w:pStyle w:val="Heading1"/>
        <w:ind w:left="567" w:hanging="567"/>
      </w:pPr>
      <w:bookmarkStart w:id="78" w:name="_Toc207696611"/>
      <w:bookmarkStart w:id="79" w:name="_Toc242528473"/>
      <w:bookmarkStart w:id="80" w:name="_Toc336593163"/>
      <w:bookmarkStart w:id="81" w:name="_Toc368583049"/>
      <w:r w:rsidRPr="00262B2F">
        <w:t>II.</w:t>
      </w:r>
      <w:r w:rsidRPr="00262B2F">
        <w:tab/>
      </w:r>
      <w:bookmarkEnd w:id="78"/>
      <w:bookmarkEnd w:id="79"/>
      <w:bookmarkEnd w:id="80"/>
      <w:r w:rsidR="000313D8">
        <w:t>Bericht über den Fortschritt der Arbeiten der Technischen Arbeitsgruppen und der Arbeitsgruppe für biochemische und molekulare Verfahren und insbesondere für DNS-Profilierungsverfahren im Jahr 2012</w:t>
      </w:r>
      <w:bookmarkEnd w:id="81"/>
    </w:p>
    <w:p w:rsidR="000313D8" w:rsidRPr="00262B2F" w:rsidRDefault="000313D8" w:rsidP="000313D8">
      <w:pPr>
        <w:pStyle w:val="Heading1"/>
      </w:pPr>
    </w:p>
    <w:p w:rsidR="000313D8" w:rsidRPr="00262B2F" w:rsidRDefault="000313D8" w:rsidP="000313D8">
      <w:pPr>
        <w:rPr>
          <w:rFonts w:cs="Arial"/>
        </w:rPr>
      </w:pPr>
      <w:r w:rsidRPr="00262B2F">
        <w:rPr>
          <w:rFonts w:cs="Arial"/>
        </w:rPr>
        <w:fldChar w:fldCharType="begin"/>
      </w:r>
      <w:r w:rsidRPr="00262B2F">
        <w:rPr>
          <w:rFonts w:cs="Arial"/>
        </w:rPr>
        <w:instrText xml:space="preserve"> AUTONUM  </w:instrText>
      </w:r>
      <w:r w:rsidRPr="00262B2F">
        <w:rPr>
          <w:rFonts w:cs="Arial"/>
        </w:rPr>
        <w:fldChar w:fldCharType="end"/>
      </w:r>
      <w:r>
        <w:tab/>
        <w:t>Folgende Berichte wurden auf der neunundvierzigsten Tagung des TC von den Vorsitzenden über die Arbeiten der TWA, TWC, TWF, TWO, TWV und BMT vorgelegt.</w:t>
      </w:r>
    </w:p>
    <w:p w:rsidR="000313D8" w:rsidRDefault="000313D8" w:rsidP="00D23870">
      <w:pPr>
        <w:tabs>
          <w:tab w:val="left" w:pos="795"/>
        </w:tabs>
        <w:rPr>
          <w:rFonts w:cs="Arial"/>
        </w:rPr>
      </w:pPr>
    </w:p>
    <w:p w:rsidR="00D23870" w:rsidRPr="00262B2F" w:rsidRDefault="00D23870" w:rsidP="00D23870">
      <w:pPr>
        <w:tabs>
          <w:tab w:val="left" w:pos="795"/>
        </w:tabs>
        <w:rPr>
          <w:rFonts w:cs="Arial"/>
        </w:rPr>
      </w:pPr>
    </w:p>
    <w:p w:rsidR="000313D8" w:rsidRPr="00483EFD" w:rsidRDefault="000313D8" w:rsidP="00747C66">
      <w:pPr>
        <w:pStyle w:val="Heading2"/>
      </w:pPr>
      <w:bookmarkStart w:id="82" w:name="_Toc207696612"/>
      <w:bookmarkStart w:id="83" w:name="_Toc242528474"/>
      <w:bookmarkStart w:id="84" w:name="_Toc336593164"/>
      <w:bookmarkStart w:id="85" w:name="_Toc368583050"/>
      <w:r>
        <w:t>Technische Arbeitsgruppe für landwirtschaftliche Arten (TWA)</w:t>
      </w:r>
      <w:bookmarkEnd w:id="82"/>
      <w:bookmarkEnd w:id="83"/>
      <w:bookmarkEnd w:id="84"/>
      <w:bookmarkEnd w:id="85"/>
    </w:p>
    <w:p w:rsidR="000313D8" w:rsidRDefault="000313D8" w:rsidP="000313D8">
      <w:pPr>
        <w:rPr>
          <w:u w:val="single"/>
        </w:rPr>
      </w:pPr>
    </w:p>
    <w:p w:rsidR="000313D8" w:rsidRPr="00FB5F45" w:rsidRDefault="000313D8" w:rsidP="000313D8">
      <w:pPr>
        <w:contextualSpacing/>
        <w:rPr>
          <w:rFonts w:cs="Arial"/>
        </w:rPr>
      </w:pPr>
      <w:r w:rsidRPr="00AF342C">
        <w:fldChar w:fldCharType="begin"/>
      </w:r>
      <w:r w:rsidRPr="00AF342C">
        <w:instrText xml:space="preserve"> AUTONUM  \* Arabic </w:instrText>
      </w:r>
      <w:r w:rsidRPr="00AF342C">
        <w:fldChar w:fldCharType="end"/>
      </w:r>
      <w:r>
        <w:tab/>
        <w:t>Die TWA hielt vom 21. bis 25. Mai 2012 ihre einundvierzigste Tagung in Angers, Frankreich, unter dem Vorsitz von Frau Robyn Hierse (Südafrika), der Vorsitzenden der TWA, ab. Der Bericht der Tagung ist in Dokument TWV/41/34 „Report“ enthalten.</w:t>
      </w:r>
    </w:p>
    <w:p w:rsidR="000313D8" w:rsidRPr="00FB5F45" w:rsidRDefault="000313D8" w:rsidP="000313D8">
      <w:pPr>
        <w:contextualSpacing/>
        <w:rPr>
          <w:rFonts w:cs="Arial"/>
        </w:rPr>
      </w:pPr>
    </w:p>
    <w:p w:rsidR="000313D8" w:rsidRPr="00FB5F45" w:rsidRDefault="000313D8" w:rsidP="000313D8">
      <w:pPr>
        <w:contextualSpacing/>
        <w:rPr>
          <w:rFonts w:cs="Arial"/>
        </w:rPr>
      </w:pPr>
      <w:r w:rsidRPr="00FB5F45">
        <w:fldChar w:fldCharType="begin"/>
      </w:r>
      <w:r w:rsidRPr="00FB5F45">
        <w:instrText xml:space="preserve"> AUTONUM  \* Arabic </w:instrText>
      </w:r>
      <w:r w:rsidRPr="00FB5F45">
        <w:fldChar w:fldCharType="end"/>
      </w:r>
      <w:r>
        <w:tab/>
        <w:t>An der Tagung nahmen 53 Teilnehmer aus 28 Verbandsmitgliedern, ein Beobachterstaat, zwei Organisationen und drei elektronische Teilnehmer, zwei aus Australien und einer von der Weltorganisation für Geistiges Eigentum (WIPO) teil. Die vorbereitende Arbeitstagung fand am Nachmittag des 20. Mai statt und 25 Teilnehmer aus 14 Verbandsmitgliedern nahmen daran teil.</w:t>
      </w:r>
    </w:p>
    <w:p w:rsidR="000313D8" w:rsidRPr="00FB5F45" w:rsidRDefault="000313D8" w:rsidP="000313D8">
      <w:pPr>
        <w:contextualSpacing/>
        <w:rPr>
          <w:rFonts w:cs="Arial"/>
        </w:rPr>
      </w:pPr>
    </w:p>
    <w:p w:rsidR="000313D8" w:rsidRPr="00FB5F45" w:rsidRDefault="000313D8" w:rsidP="000313D8">
      <w:pPr>
        <w:contextualSpacing/>
        <w:rPr>
          <w:rFonts w:cs="Arial"/>
        </w:rPr>
      </w:pPr>
      <w:r w:rsidRPr="00FB5F45">
        <w:fldChar w:fldCharType="begin"/>
      </w:r>
      <w:r w:rsidRPr="00FB5F45">
        <w:rPr>
          <w:lang w:val="fr-FR"/>
        </w:rPr>
        <w:instrText xml:space="preserve"> AUTONUM  \* Arabic </w:instrText>
      </w:r>
      <w:r w:rsidRPr="00FB5F45">
        <w:fldChar w:fldCharType="end"/>
      </w:r>
      <w:r>
        <w:tab/>
        <w:t xml:space="preserve">Die TWA wurde von Herrn Robert Tessier, </w:t>
      </w:r>
      <w:r>
        <w:rPr>
          <w:i/>
        </w:rPr>
        <w:t xml:space="preserve">Sous-Directeur de la Qualité et de la protection des végétaux, Ministère de l’agriculture et de la pêche, </w:t>
      </w:r>
      <w:r>
        <w:t xml:space="preserve">begrüßt und hörte Referate von Frau Sylvie Dutartre, Direktorin der </w:t>
      </w:r>
      <w:r>
        <w:rPr>
          <w:i/>
        </w:rPr>
        <w:t xml:space="preserve">Groupe d’étude et de contrôle des variétés et des semences </w:t>
      </w:r>
      <w:r>
        <w:t xml:space="preserve">(GEVES), Herrn Georges Sicard, Leiter der Abteilung Sortenprüfung der GEVES, und Frau Virginie Bertoux, Leiterin von </w:t>
      </w:r>
      <w:r>
        <w:rPr>
          <w:i/>
        </w:rPr>
        <w:t xml:space="preserve">Instance nationale des obtentions végétales </w:t>
      </w:r>
      <w:r>
        <w:t xml:space="preserve">(INOV). </w:t>
      </w:r>
    </w:p>
    <w:p w:rsidR="000313D8" w:rsidRPr="00FB5F45" w:rsidRDefault="000313D8" w:rsidP="000313D8">
      <w:pPr>
        <w:contextualSpacing/>
        <w:rPr>
          <w:rFonts w:cs="Arial"/>
          <w:lang w:val="fr-FR"/>
        </w:rPr>
      </w:pPr>
    </w:p>
    <w:p w:rsidR="000313D8" w:rsidRPr="0048732D" w:rsidRDefault="000313D8" w:rsidP="000313D8">
      <w:pPr>
        <w:contextualSpacing/>
        <w:rPr>
          <w:rFonts w:cs="Arial"/>
        </w:rPr>
      </w:pPr>
      <w:r w:rsidRPr="00FB5F45">
        <w:fldChar w:fldCharType="begin"/>
      </w:r>
      <w:r w:rsidRPr="00FB5F45">
        <w:instrText xml:space="preserve"> AUTONUM  \* Arabic </w:instrText>
      </w:r>
      <w:r w:rsidRPr="00FB5F45">
        <w:fldChar w:fldCharType="end"/>
      </w:r>
      <w:r>
        <w:tab/>
        <w:t>Die TWA nahm zur Kenntnis, dass die Informationen über Entwicklungen beim Sortenschutz von Mitgliedern und Beobachtern in Dokument TWA/41/31 „Berichte über Entwicklungen beim Sortenschutz von Mitgliedern und Beobachtern” enthalten ist. Darauf folgte ein Referat des Verbandsbüros über die jüngsten Entwicklungen in der UPOV. Nach den Berichten nahm die TWA die Informationen über Entwicklungen in der UPOV im Bereich der molekularen Verfahren, die in Dokument TWA/41/2 „Molekulare Verfahren“ dargelegt sind, zur Kenntnis.</w:t>
      </w:r>
    </w:p>
    <w:p w:rsidR="000313D8" w:rsidRPr="0048732D" w:rsidRDefault="000313D8" w:rsidP="000313D8">
      <w:pPr>
        <w:contextualSpacing/>
        <w:rPr>
          <w:rFonts w:cs="Arial"/>
        </w:rPr>
      </w:pPr>
    </w:p>
    <w:p w:rsidR="000313D8" w:rsidRDefault="000313D8" w:rsidP="000313D8">
      <w:pPr>
        <w:contextualSpacing/>
        <w:rPr>
          <w:rFonts w:cs="Arial"/>
        </w:rPr>
      </w:pPr>
      <w:r w:rsidRPr="00AF342C">
        <w:fldChar w:fldCharType="begin"/>
      </w:r>
      <w:r w:rsidRPr="00AF342C">
        <w:instrText xml:space="preserve"> AUTONUM  \* Arabic </w:instrText>
      </w:r>
      <w:r w:rsidRPr="00AF342C">
        <w:fldChar w:fldCharType="end"/>
      </w:r>
      <w:r>
        <w:tab/>
        <w:t>Eine Reihe von TGP-Dokumenten wurde erörtert: TGP/7 „Erstellung von Prüfungsrichtlinien“, TGP/8 „Prüfungsanlage und Verfahren für die Prüfung von Unterscheidbarkeit, Homogenität und Beständigkeit“ und TGP/14 „Glossar der in den UPOV-Dokumenten verwendeten Begriffe“.</w:t>
      </w:r>
    </w:p>
    <w:p w:rsidR="000313D8" w:rsidRDefault="000313D8" w:rsidP="000313D8">
      <w:pPr>
        <w:contextualSpacing/>
        <w:rPr>
          <w:rFonts w:cs="Arial"/>
        </w:rPr>
      </w:pPr>
    </w:p>
    <w:p w:rsidR="000313D8" w:rsidRDefault="000313D8" w:rsidP="000313D8">
      <w:pPr>
        <w:contextualSpacing/>
        <w:rPr>
          <w:rFonts w:cs="Arial"/>
        </w:rPr>
      </w:pPr>
      <w:r w:rsidRPr="00AF342C">
        <w:fldChar w:fldCharType="begin"/>
      </w:r>
      <w:r w:rsidRPr="00AF342C">
        <w:instrText xml:space="preserve"> AUTONUM  \* Arabic </w:instrText>
      </w:r>
      <w:r w:rsidRPr="00AF342C">
        <w:fldChar w:fldCharType="end"/>
      </w:r>
      <w:r>
        <w:tab/>
        <w:t>Im Hinblick auf die Überarbeitung von TGP/7 prüfte die TWA Dokument TWA/41/11 „Zusammenfaßung von für Dokument TGP/7 ‘Erstellung von Prüfungsrichtlinien‘ vereinbarten Überarbeitungen“ und war sich darin einig, daß, wie in der Anlage von Dokument TWA/41/11 vorgeschlagen, Dokument TGP/7: GN 7 geändert werden sollte.</w:t>
      </w:r>
    </w:p>
    <w:p w:rsidR="000313D8" w:rsidRPr="0048732D" w:rsidRDefault="000313D8" w:rsidP="000313D8">
      <w:pPr>
        <w:contextualSpacing/>
        <w:rPr>
          <w:rFonts w:cs="Arial"/>
        </w:rPr>
      </w:pPr>
    </w:p>
    <w:p w:rsidR="000313D8" w:rsidRPr="008D2FFE" w:rsidRDefault="000313D8" w:rsidP="000313D8">
      <w:pPr>
        <w:contextualSpacing/>
        <w:rPr>
          <w:rFonts w:cs="Arial"/>
        </w:rPr>
      </w:pPr>
      <w:r w:rsidRPr="00AF342C">
        <w:lastRenderedPageBreak/>
        <w:fldChar w:fldCharType="begin"/>
      </w:r>
      <w:r w:rsidRPr="00AF342C">
        <w:instrText xml:space="preserve"> AUTONUM  \* Arabic </w:instrText>
      </w:r>
      <w:r w:rsidRPr="00AF342C">
        <w:fldChar w:fldCharType="end"/>
      </w:r>
      <w:r>
        <w:tab/>
        <w:t>Die TWA hörte ein Referat vom Sachverständigen aus Deutschland auf der Grundlage von Dokument TWA/41/12 „Anleitung zur Anzahl der auf Unterscheidbarkeit zu prüfenden Pflanzen”.  Auch folgende Dokumente wurden geprüft: TWA/41/13 „Anleitung für die Erfassungsmethode”</w:t>
      </w:r>
      <w:r>
        <w:rPr>
          <w:i/>
        </w:rPr>
        <w:t xml:space="preserve">, </w:t>
      </w:r>
      <w:r>
        <w:t>TWA/41/14 „Beispielssorten”</w:t>
      </w:r>
      <w:r>
        <w:rPr>
          <w:i/>
        </w:rPr>
        <w:t xml:space="preserve"> </w:t>
      </w:r>
      <w:r>
        <w:t>und TWA/41/15</w:t>
      </w:r>
      <w:r>
        <w:rPr>
          <w:i/>
        </w:rPr>
        <w:t xml:space="preserve"> </w:t>
      </w:r>
      <w:r>
        <w:t>„Einreichung von Fotoaufnahmen mit dem Technischen Fragebogen”.  Es wurden mehrere Vorschläge und Anmerkungen gemacht und vermerkt.</w:t>
      </w:r>
    </w:p>
    <w:p w:rsidR="000313D8" w:rsidRPr="0048732D" w:rsidRDefault="000313D8" w:rsidP="000313D8">
      <w:pPr>
        <w:contextualSpacing/>
        <w:rPr>
          <w:rFonts w:cs="Arial"/>
        </w:rPr>
      </w:pPr>
    </w:p>
    <w:p w:rsidR="000313D8" w:rsidRDefault="000313D8" w:rsidP="000313D8">
      <w:pPr>
        <w:autoSpaceDE w:val="0"/>
        <w:autoSpaceDN w:val="0"/>
        <w:adjustRightInd w:val="0"/>
        <w:rPr>
          <w:rFonts w:cs="Arial"/>
        </w:rPr>
      </w:pPr>
      <w:r w:rsidRPr="00AF342C">
        <w:fldChar w:fldCharType="begin"/>
      </w:r>
      <w:r w:rsidRPr="00AF342C">
        <w:instrText xml:space="preserve"> AUTONUM  \* Arabic </w:instrText>
      </w:r>
      <w:r w:rsidRPr="00AF342C">
        <w:fldChar w:fldCharType="end"/>
      </w:r>
      <w:r>
        <w:tab/>
        <w:t>In Bezug auf Dokument TGP/8 „Prüfungsanlage und Verfahren für die Prüfung der Unterscheidbarkeit, der Homogenität und der Beständigkeit“ wurden mehrere Dokumente geprüft. Die TWA hörte auch Referate zu mehreren dieser Dokumente.</w:t>
      </w:r>
    </w:p>
    <w:p w:rsidR="000313D8" w:rsidRDefault="000313D8" w:rsidP="000313D8">
      <w:pPr>
        <w:autoSpaceDE w:val="0"/>
        <w:autoSpaceDN w:val="0"/>
        <w:adjustRightInd w:val="0"/>
        <w:rPr>
          <w:rFonts w:cs="Arial"/>
        </w:rPr>
      </w:pPr>
    </w:p>
    <w:p w:rsidR="000313D8" w:rsidRDefault="000313D8" w:rsidP="000313D8">
      <w:r w:rsidRPr="00AF342C">
        <w:fldChar w:fldCharType="begin"/>
      </w:r>
      <w:r w:rsidRPr="00AF342C">
        <w:instrText xml:space="preserve"> AUTONUM  \* Arabic </w:instrText>
      </w:r>
      <w:r w:rsidRPr="00AF342C">
        <w:fldChar w:fldCharType="end"/>
      </w:r>
      <w:r>
        <w:tab/>
        <w:t xml:space="preserve">Ein Sachverständiger aus Deutschland hielt ein Referat zu Dokument TWA/41/16 „Überarbeitung von Dokument TGP/8 Teil I, DUS-Prüfungsanlage und Datenanalyse, Neuer Abschnitt 2 – Zu erfassende Daten”;  ein Sachverständiger aus Frankreich hielt ein Referat zu Dokument TWA/41/17 „Überarbeitung von Dokument </w:t>
      </w:r>
      <w:r>
        <w:rPr>
          <w:iCs/>
        </w:rPr>
        <w:t xml:space="preserve">TGP/8  Teil II: Verfahren für die DUS-Prüfung, </w:t>
      </w:r>
      <w:r>
        <w:t xml:space="preserve">Neuer Abschnitt:  Anleitung zur Datenanalyse für randomisierte Blindprüfungen”; </w:t>
      </w:r>
      <w:r>
        <w:rPr>
          <w:iCs/>
        </w:rPr>
        <w:t xml:space="preserve"> ein Sachverständiger aus dem Vereinigten Königreich hielt ein Referat zu Dokument </w:t>
      </w:r>
      <w:r>
        <w:t xml:space="preserve">TWA/41/21 Corr. „Überarbeitung von Dokument </w:t>
      </w:r>
      <w:r>
        <w:rPr>
          <w:iCs/>
        </w:rPr>
        <w:t xml:space="preserve"> TGP/8  Teil II: Verfahren für die DUS-Prüfung, Neuer Abschnitt: Verringerung der Größe von Anbauprüfungen”</w:t>
      </w:r>
      <w:r>
        <w:rPr>
          <w:i/>
          <w:iCs/>
        </w:rPr>
        <w:t xml:space="preserve"> </w:t>
      </w:r>
      <w:r>
        <w:rPr>
          <w:iCs/>
        </w:rPr>
        <w:t xml:space="preserve">und ein Sachverständiger aus den Niederlanden hielt ein Referat zu Dokument </w:t>
      </w:r>
      <w:r>
        <w:t>TWA/41/24 „Überarbeitung von Dokument TGP/8 Teil I, DUS-Prüfungsanlage und Datenanalyse,</w:t>
      </w:r>
      <w:r>
        <w:rPr>
          <w:iCs/>
        </w:rPr>
        <w:t xml:space="preserve"> Neuer Abschnitt:  Minimierung der Variation infolge verschiedener Erfasser”</w:t>
      </w:r>
      <w:r>
        <w:rPr>
          <w:i/>
          <w:iCs/>
        </w:rPr>
        <w:t xml:space="preserve">.  </w:t>
      </w:r>
      <w:r>
        <w:t xml:space="preserve">Die in diesen Anlagen enthaltenen Informationen wurden erörtert und es wurden einige Vorschläge und Empfehlungen gemacht. </w:t>
      </w:r>
    </w:p>
    <w:p w:rsidR="000313D8" w:rsidRPr="0048732D" w:rsidRDefault="000313D8" w:rsidP="000313D8">
      <w:pPr>
        <w:contextualSpacing/>
        <w:rPr>
          <w:rFonts w:cs="Arial"/>
        </w:rPr>
      </w:pPr>
    </w:p>
    <w:p w:rsidR="000313D8" w:rsidRPr="00C80C40" w:rsidRDefault="000313D8" w:rsidP="000313D8">
      <w:pPr>
        <w:rPr>
          <w:rFonts w:cs="Arial"/>
        </w:rPr>
      </w:pPr>
      <w:r w:rsidRPr="00AF342C">
        <w:fldChar w:fldCharType="begin"/>
      </w:r>
      <w:r w:rsidRPr="00AF342C">
        <w:instrText xml:space="preserve"> AUTONUM  \* Arabic </w:instrText>
      </w:r>
      <w:r w:rsidRPr="00AF342C">
        <w:fldChar w:fldCharType="end"/>
      </w:r>
      <w:r>
        <w:tab/>
        <w:t>Die TWA prüfte auch die Dokumente, die sich auf die Überarbeitung von Dokument TGP/14 „Glossar der in den UPOV-Dokumenten verwendeten Begriffe” beziehen und stimmte dem vorgeschlagenen Text, wie in der Anlage I von Dokument TWA/41/27 „Überarbeitung von Dokument TGP/14: Abschnitt 2: Botanische Begriffe, Unterabschnitt 2: Formen und Strukturen“ betreffend die Perspektive, aus der Pflanzenformen zu erfassen sind, dargelegt, zu. Die TWA stimmte den vorgeschlagenen Definitionen für Blütenstandstiel, Blütenstiel, Blattstiel und kleiner Blattstiel zu und empfahl, die Übersetzung dieser Begriffe zu prüfen.  Bezüglich der Überarbeitung von „Bestandteile der Form:  Ausprägungsstufen für Verhältnisse“ empfahl die TWA, daß es zur Beschreibung des Verhältnisses Länge/Breite zweckmäßiger wäre, die Ausprägungsstufen „klein“ bis „groß“ statt „niedrig“ bis „hoch“ zu verwenden. Die TWA prüfte die in Anlage V von Dokument TWA/41/27 enthaltene Anleitung zur Verwendung zusammengesetzter Merkmale für die Bestimmung von Unterscheidbarkeit und Homogenität und stimmte darin überein, daß das vorgestellte Verfahren zweckmäßig sei und empfahl es für die Aufnahme in Dokument TGP/14.</w:t>
      </w:r>
    </w:p>
    <w:p w:rsidR="000313D8" w:rsidRPr="0048732D" w:rsidRDefault="000313D8" w:rsidP="000313D8">
      <w:pPr>
        <w:contextualSpacing/>
        <w:rPr>
          <w:rFonts w:cs="Arial"/>
        </w:rPr>
      </w:pPr>
    </w:p>
    <w:p w:rsidR="000313D8" w:rsidRDefault="000313D8" w:rsidP="000313D8">
      <w:pPr>
        <w:contextualSpacing/>
        <w:rPr>
          <w:rFonts w:cs="Arial"/>
          <w:color w:val="000000"/>
        </w:rPr>
      </w:pPr>
      <w:r w:rsidRPr="00AF342C">
        <w:fldChar w:fldCharType="begin"/>
      </w:r>
      <w:r w:rsidRPr="00AF342C">
        <w:instrText xml:space="preserve"> AUTONUM  \* Arabic </w:instrText>
      </w:r>
      <w:r w:rsidRPr="00AF342C">
        <w:fldChar w:fldCharType="end"/>
      </w:r>
      <w:r>
        <w:tab/>
        <w:t xml:space="preserve">Die TWA nahm die in Dokument TWA/41/10 „Verfahren für die Berechnung von COYU“ und Dokument TWA/41/9 „Prüfung der Homogenität anhand von Abweichern aufgrund von mehr als einer Probe oder Unterproben“ sowie auch die </w:t>
      </w:r>
      <w:r>
        <w:rPr>
          <w:color w:val="000000"/>
        </w:rPr>
        <w:t xml:space="preserve"> Entwicklungen betreffend Sortenbezeichnungen (Dokument TWA/41/4 „Sortenbezeichnungen“) und Information und Datenbanken, die in folgenden Dokumenten enthalten sind, zur Kenntnis: TWA/41/6 „Datenbanken für Sortenbeschreibungen”, TWA/41/7 „Austauschbare Software” und TWA/41/8 „Elektronische Systeme für die Einreichung von Anträgen”.  </w:t>
      </w:r>
    </w:p>
    <w:p w:rsidR="000313D8" w:rsidRDefault="000313D8" w:rsidP="000313D8">
      <w:pPr>
        <w:contextualSpacing/>
        <w:rPr>
          <w:rFonts w:cs="Arial"/>
          <w:color w:val="000000"/>
        </w:rPr>
      </w:pPr>
    </w:p>
    <w:p w:rsidR="000313D8" w:rsidRDefault="000313D8" w:rsidP="000313D8">
      <w:pPr>
        <w:contextualSpacing/>
        <w:rPr>
          <w:rFonts w:cs="Arial"/>
          <w:color w:val="000000"/>
        </w:rPr>
      </w:pPr>
      <w:r w:rsidRPr="00AF342C">
        <w:fldChar w:fldCharType="begin"/>
      </w:r>
      <w:r w:rsidRPr="00AF342C">
        <w:instrText xml:space="preserve"> AUTONUM  \* Arabic </w:instrText>
      </w:r>
      <w:r w:rsidRPr="00AF342C">
        <w:fldChar w:fldCharType="end"/>
      </w:r>
      <w:r>
        <w:tab/>
      </w:r>
      <w:r>
        <w:rPr>
          <w:color w:val="000000"/>
        </w:rPr>
        <w:t>Die TWA hörte ein Referat über die PLUTO-Datenbank und nahm die in Dokument  TWA/41/5 „UPOV-Informationsdatenbanken” enthaltenen Informationen zur Kenntnis. </w:t>
      </w:r>
    </w:p>
    <w:p w:rsidR="000313D8" w:rsidRPr="00424513" w:rsidRDefault="000313D8" w:rsidP="000313D8">
      <w:pPr>
        <w:contextualSpacing/>
        <w:rPr>
          <w:rFonts w:cs="Arial"/>
          <w:color w:val="000000"/>
        </w:rPr>
      </w:pPr>
    </w:p>
    <w:p w:rsidR="000313D8" w:rsidRPr="00424513" w:rsidRDefault="000313D8" w:rsidP="000313D8">
      <w:pPr>
        <w:contextualSpacing/>
        <w:rPr>
          <w:rFonts w:cs="Arial"/>
          <w:color w:val="000000"/>
        </w:rPr>
      </w:pPr>
      <w:r w:rsidRPr="00AF342C">
        <w:fldChar w:fldCharType="begin"/>
      </w:r>
      <w:r w:rsidRPr="00AF342C">
        <w:instrText xml:space="preserve"> AUTONUM  \* Arabic </w:instrText>
      </w:r>
      <w:r w:rsidRPr="00AF342C">
        <w:fldChar w:fldCharType="end"/>
      </w:r>
      <w:r>
        <w:tab/>
      </w:r>
      <w:r>
        <w:rPr>
          <w:color w:val="000000"/>
        </w:rPr>
        <w:t>Zum Tagesordnungspunkt 13, Anleitung für Verfasser von Prüfungsrichtlinien, hörte die TWA ein Referat über das Projekt für eine webbasierte Mustervorlage für Prüfungsrichtlinien (TG-Mustervorlage), um die Verfasser von Prüfungsrichtlinien in das Projekt einzuführen.  Die TWA nahm die Funktionen der vorgeschlagenen TG-Mustervorlage zur Kenntnis und erörterte die mögliche Verwendung einer solchen Mustervorlage und damit verbundener Datenbanken. Die TWA unterstützte die Initiative und stimmte der Fortführung der Arbeit zur TG-Mustervorlage zu.</w:t>
      </w:r>
    </w:p>
    <w:p w:rsidR="000313D8" w:rsidRPr="0048732D" w:rsidRDefault="000313D8" w:rsidP="000313D8">
      <w:pPr>
        <w:contextualSpacing/>
        <w:rPr>
          <w:rFonts w:cs="Arial"/>
          <w:color w:val="000000"/>
        </w:rPr>
      </w:pPr>
    </w:p>
    <w:p w:rsidR="000313D8" w:rsidRPr="00192B05" w:rsidRDefault="000313D8" w:rsidP="000313D8">
      <w:pPr>
        <w:contextualSpacing/>
        <w:rPr>
          <w:rFonts w:cs="Arial"/>
          <w:color w:val="000000"/>
        </w:rPr>
      </w:pPr>
      <w:r w:rsidRPr="00AF342C">
        <w:fldChar w:fldCharType="begin"/>
      </w:r>
      <w:r w:rsidRPr="00AF342C">
        <w:instrText xml:space="preserve"> AUTONUM  \* Arabic </w:instrText>
      </w:r>
      <w:r w:rsidRPr="00AF342C">
        <w:fldChar w:fldCharType="end"/>
      </w:r>
      <w:r>
        <w:tab/>
      </w:r>
      <w:r>
        <w:rPr>
          <w:color w:val="000000"/>
        </w:rPr>
        <w:t xml:space="preserve">Die TWA erörterte 14 Entwürfe von Prüfungsrichtlinien und vereinbarte, dem TC drei dieser Prüfungsrichtlinien, nämlich für Saatwicke, Italienhirse/Kolbenhirse und Sesam, zu unterbreiten. </w:t>
      </w:r>
    </w:p>
    <w:p w:rsidR="000313D8" w:rsidRDefault="000313D8" w:rsidP="000313D8">
      <w:pPr>
        <w:contextualSpacing/>
        <w:rPr>
          <w:rFonts w:cs="Arial"/>
          <w:color w:val="000000"/>
        </w:rPr>
      </w:pPr>
    </w:p>
    <w:p w:rsidR="000313D8" w:rsidRPr="00483EFD" w:rsidRDefault="000313D8" w:rsidP="000313D8">
      <w:pPr>
        <w:keepNext/>
        <w:keepLines/>
      </w:pPr>
      <w:r w:rsidRPr="00AF342C">
        <w:fldChar w:fldCharType="begin"/>
      </w:r>
      <w:r w:rsidRPr="00AF342C">
        <w:instrText xml:space="preserve"> AUTONUM  \* Arabic </w:instrText>
      </w:r>
      <w:r w:rsidRPr="00AF342C">
        <w:fldChar w:fldCharType="end"/>
      </w:r>
      <w:r>
        <w:tab/>
        <w:t>Die TWA vereinbarte, folgende Entwürfe von Prüfungsrichtlinien auf ihrer zweiundvierzigsten Tagung zu erörtern:</w:t>
      </w:r>
    </w:p>
    <w:p w:rsidR="000313D8" w:rsidRDefault="000313D8" w:rsidP="000313D8">
      <w:pPr>
        <w:contextualSpacing/>
        <w:rPr>
          <w:rFonts w:cs="Arial"/>
          <w:color w:val="000000"/>
        </w:rPr>
      </w:pPr>
    </w:p>
    <w:p w:rsidR="000313D8" w:rsidRPr="009525FD" w:rsidRDefault="000313D8" w:rsidP="002C7FBB">
      <w:pPr>
        <w:numPr>
          <w:ilvl w:val="0"/>
          <w:numId w:val="39"/>
        </w:numPr>
        <w:tabs>
          <w:tab w:val="clear" w:pos="720"/>
        </w:tabs>
        <w:ind w:left="993" w:hanging="437"/>
        <w:contextualSpacing/>
        <w:rPr>
          <w:rFonts w:cs="Arial"/>
        </w:rPr>
      </w:pPr>
      <w:r>
        <w:rPr>
          <w:snapToGrid w:val="0"/>
          <w:color w:val="000000"/>
        </w:rPr>
        <w:t>Adlay (</w:t>
      </w:r>
      <w:r>
        <w:rPr>
          <w:rFonts w:hint="eastAsia"/>
          <w:i/>
        </w:rPr>
        <w:t>Coix ma-yuen</w:t>
      </w:r>
      <w:r>
        <w:t xml:space="preserve"> Roman.</w:t>
      </w:r>
      <w:r>
        <w:rPr>
          <w:rFonts w:hint="eastAsia"/>
        </w:rPr>
        <w:t>)</w:t>
      </w:r>
    </w:p>
    <w:p w:rsidR="000313D8" w:rsidRDefault="000313D8" w:rsidP="002C7FBB">
      <w:pPr>
        <w:numPr>
          <w:ilvl w:val="0"/>
          <w:numId w:val="39"/>
        </w:numPr>
        <w:tabs>
          <w:tab w:val="clear" w:pos="720"/>
        </w:tabs>
        <w:ind w:left="993" w:hanging="437"/>
        <w:contextualSpacing/>
        <w:rPr>
          <w:color w:val="000000"/>
        </w:rPr>
      </w:pPr>
      <w:r>
        <w:rPr>
          <w:color w:val="000000"/>
        </w:rPr>
        <w:t>Adzuki/Rote Bohne (</w:t>
      </w:r>
      <w:r>
        <w:rPr>
          <w:i/>
          <w:color w:val="000000"/>
        </w:rPr>
        <w:t>Vigna angularis</w:t>
      </w:r>
      <w:r>
        <w:rPr>
          <w:color w:val="000000"/>
        </w:rPr>
        <w:t>)</w:t>
      </w:r>
    </w:p>
    <w:p w:rsidR="000313D8" w:rsidRDefault="000313D8" w:rsidP="002C7FBB">
      <w:pPr>
        <w:numPr>
          <w:ilvl w:val="0"/>
          <w:numId w:val="39"/>
        </w:numPr>
        <w:tabs>
          <w:tab w:val="clear" w:pos="720"/>
        </w:tabs>
        <w:ind w:left="993" w:hanging="437"/>
        <w:contextualSpacing/>
        <w:rPr>
          <w:snapToGrid w:val="0"/>
          <w:color w:val="000000"/>
        </w:rPr>
      </w:pPr>
      <w:r>
        <w:rPr>
          <w:snapToGrid w:val="0"/>
          <w:color w:val="000000"/>
        </w:rPr>
        <w:t>Maniok (</w:t>
      </w:r>
      <w:r>
        <w:rPr>
          <w:i/>
          <w:snapToGrid w:val="0"/>
          <w:color w:val="000000"/>
        </w:rPr>
        <w:t xml:space="preserve">Manihot esculenta </w:t>
      </w:r>
      <w:r>
        <w:rPr>
          <w:snapToGrid w:val="0"/>
          <w:color w:val="000000"/>
        </w:rPr>
        <w:t>Crantz.)</w:t>
      </w:r>
    </w:p>
    <w:p w:rsidR="000313D8" w:rsidRDefault="000313D8" w:rsidP="002C7FBB">
      <w:pPr>
        <w:numPr>
          <w:ilvl w:val="0"/>
          <w:numId w:val="39"/>
        </w:numPr>
        <w:tabs>
          <w:tab w:val="clear" w:pos="720"/>
        </w:tabs>
        <w:ind w:left="993" w:hanging="437"/>
        <w:contextualSpacing/>
      </w:pPr>
      <w:r>
        <w:rPr>
          <w:color w:val="000000"/>
        </w:rPr>
        <w:t>Erdnuß</w:t>
      </w:r>
      <w:r>
        <w:t xml:space="preserve"> (</w:t>
      </w:r>
      <w:r>
        <w:rPr>
          <w:i/>
        </w:rPr>
        <w:t>Arachis</w:t>
      </w:r>
      <w:r>
        <w:t xml:space="preserve"> L.) (Überarbeitung)</w:t>
      </w:r>
    </w:p>
    <w:p w:rsidR="000313D8" w:rsidRDefault="000313D8" w:rsidP="002C7FBB">
      <w:pPr>
        <w:numPr>
          <w:ilvl w:val="0"/>
          <w:numId w:val="39"/>
        </w:numPr>
        <w:tabs>
          <w:tab w:val="clear" w:pos="720"/>
        </w:tabs>
        <w:ind w:left="993" w:hanging="437"/>
        <w:contextualSpacing/>
        <w:rPr>
          <w:color w:val="000000"/>
        </w:rPr>
      </w:pPr>
      <w:r>
        <w:rPr>
          <w:color w:val="000000"/>
        </w:rPr>
        <w:lastRenderedPageBreak/>
        <w:t>Wiesenrispe (</w:t>
      </w:r>
      <w:r>
        <w:rPr>
          <w:i/>
          <w:color w:val="000000"/>
        </w:rPr>
        <w:t>Poa pratensis</w:t>
      </w:r>
      <w:r>
        <w:rPr>
          <w:color w:val="000000"/>
        </w:rPr>
        <w:t xml:space="preserve"> L.) (Überarbeitung)</w:t>
      </w:r>
    </w:p>
    <w:p w:rsidR="000313D8" w:rsidRDefault="000313D8" w:rsidP="002C7FBB">
      <w:pPr>
        <w:numPr>
          <w:ilvl w:val="0"/>
          <w:numId w:val="39"/>
        </w:numPr>
        <w:tabs>
          <w:tab w:val="clear" w:pos="720"/>
        </w:tabs>
        <w:ind w:left="993" w:hanging="437"/>
        <w:contextualSpacing/>
      </w:pPr>
      <w:r>
        <w:t>Rhodesgras (</w:t>
      </w:r>
      <w:r>
        <w:rPr>
          <w:i/>
        </w:rPr>
        <w:t>Chloris gayana</w:t>
      </w:r>
      <w:r>
        <w:t xml:space="preserve"> Kunth)</w:t>
      </w:r>
    </w:p>
    <w:p w:rsidR="000313D8" w:rsidRDefault="000313D8" w:rsidP="002C7FBB">
      <w:pPr>
        <w:numPr>
          <w:ilvl w:val="0"/>
          <w:numId w:val="39"/>
        </w:numPr>
        <w:tabs>
          <w:tab w:val="clear" w:pos="720"/>
        </w:tabs>
        <w:ind w:left="993" w:hanging="437"/>
        <w:contextualSpacing/>
        <w:rPr>
          <w:snapToGrid w:val="0"/>
          <w:color w:val="000000"/>
        </w:rPr>
      </w:pPr>
      <w:r>
        <w:rPr>
          <w:snapToGrid w:val="0"/>
          <w:color w:val="000000"/>
        </w:rPr>
        <w:t>Skorpiongras (</w:t>
      </w:r>
      <w:r>
        <w:rPr>
          <w:i/>
          <w:snapToGrid w:val="0"/>
          <w:color w:val="000000"/>
        </w:rPr>
        <w:t>Phacelia tanacetifolia</w:t>
      </w:r>
      <w:r>
        <w:rPr>
          <w:snapToGrid w:val="0"/>
          <w:color w:val="000000"/>
        </w:rPr>
        <w:t xml:space="preserve"> Benth.)</w:t>
      </w:r>
    </w:p>
    <w:p w:rsidR="000313D8" w:rsidRPr="000F4C94" w:rsidRDefault="000313D8" w:rsidP="002C7FBB">
      <w:pPr>
        <w:numPr>
          <w:ilvl w:val="0"/>
          <w:numId w:val="39"/>
        </w:numPr>
        <w:tabs>
          <w:tab w:val="clear" w:pos="720"/>
        </w:tabs>
        <w:ind w:left="993" w:hanging="437"/>
        <w:contextualSpacing/>
        <w:rPr>
          <w:rFonts w:cs="Arial"/>
        </w:rPr>
      </w:pPr>
      <w:r>
        <w:t>Solanum tuberosum subsp. Andigenum</w:t>
      </w:r>
    </w:p>
    <w:p w:rsidR="000313D8" w:rsidRDefault="000313D8" w:rsidP="002C7FBB">
      <w:pPr>
        <w:numPr>
          <w:ilvl w:val="0"/>
          <w:numId w:val="39"/>
        </w:numPr>
        <w:tabs>
          <w:tab w:val="clear" w:pos="720"/>
        </w:tabs>
        <w:ind w:left="993" w:hanging="437"/>
        <w:contextualSpacing/>
      </w:pPr>
      <w:r>
        <w:t>Mohrenhirse (</w:t>
      </w:r>
      <w:r>
        <w:rPr>
          <w:i/>
        </w:rPr>
        <w:t>Sorghum bicolor</w:t>
      </w:r>
      <w:r>
        <w:t xml:space="preserve"> L.) (Überarbeitung)</w:t>
      </w:r>
    </w:p>
    <w:p w:rsidR="000313D8" w:rsidRDefault="000313D8" w:rsidP="002C7FBB">
      <w:pPr>
        <w:numPr>
          <w:ilvl w:val="0"/>
          <w:numId w:val="39"/>
        </w:numPr>
        <w:tabs>
          <w:tab w:val="clear" w:pos="720"/>
        </w:tabs>
        <w:ind w:left="993" w:hanging="437"/>
        <w:contextualSpacing/>
        <w:rPr>
          <w:snapToGrid w:val="0"/>
          <w:color w:val="000000"/>
        </w:rPr>
      </w:pPr>
      <w:r>
        <w:rPr>
          <w:snapToGrid w:val="0"/>
          <w:color w:val="000000"/>
        </w:rPr>
        <w:t>Hohes Weizengras (</w:t>
      </w:r>
      <w:r>
        <w:rPr>
          <w:i/>
          <w:snapToGrid w:val="0"/>
          <w:color w:val="000000"/>
        </w:rPr>
        <w:t>Elytrigia elongata</w:t>
      </w:r>
      <w:r>
        <w:rPr>
          <w:snapToGrid w:val="0"/>
          <w:color w:val="000000"/>
        </w:rPr>
        <w:t xml:space="preserve"> (Host) Nevski), (</w:t>
      </w:r>
      <w:r>
        <w:rPr>
          <w:i/>
          <w:snapToGrid w:val="0"/>
          <w:color w:val="000000"/>
        </w:rPr>
        <w:t>Agropyron elongatum</w:t>
      </w:r>
      <w:r>
        <w:rPr>
          <w:snapToGrid w:val="0"/>
          <w:color w:val="000000"/>
        </w:rPr>
        <w:t xml:space="preserve"> (Host) P. Beauv.)</w:t>
      </w:r>
    </w:p>
    <w:p w:rsidR="000313D8" w:rsidRDefault="000313D8" w:rsidP="002C7FBB">
      <w:pPr>
        <w:numPr>
          <w:ilvl w:val="0"/>
          <w:numId w:val="39"/>
        </w:numPr>
        <w:tabs>
          <w:tab w:val="clear" w:pos="720"/>
        </w:tabs>
        <w:ind w:left="993" w:hanging="437"/>
        <w:contextualSpacing/>
        <w:rPr>
          <w:i/>
          <w:snapToGrid w:val="0"/>
          <w:color w:val="000000"/>
        </w:rPr>
      </w:pPr>
      <w:r>
        <w:rPr>
          <w:i/>
          <w:snapToGrid w:val="0"/>
          <w:color w:val="000000"/>
        </w:rPr>
        <w:t>Urochloa (Brachiaria)</w:t>
      </w:r>
    </w:p>
    <w:p w:rsidR="000313D8" w:rsidRDefault="000313D8" w:rsidP="002C7FBB">
      <w:pPr>
        <w:numPr>
          <w:ilvl w:val="0"/>
          <w:numId w:val="39"/>
        </w:numPr>
        <w:tabs>
          <w:tab w:val="clear" w:pos="720"/>
        </w:tabs>
        <w:ind w:left="993" w:hanging="437"/>
        <w:contextualSpacing/>
        <w:rPr>
          <w:rFonts w:cs="Arial"/>
        </w:rPr>
      </w:pPr>
      <w:r>
        <w:t>Weizen (</w:t>
      </w:r>
      <w:r>
        <w:rPr>
          <w:i/>
        </w:rPr>
        <w:t>Triticum aestivum</w:t>
      </w:r>
      <w:r>
        <w:t>) (Überarbeitung)</w:t>
      </w:r>
    </w:p>
    <w:p w:rsidR="000313D8" w:rsidRPr="000F4C94" w:rsidRDefault="000313D8" w:rsidP="000313D8">
      <w:pPr>
        <w:contextualSpacing/>
        <w:rPr>
          <w:color w:val="000000"/>
          <w:lang w:val="pl-PL"/>
        </w:rPr>
      </w:pPr>
    </w:p>
    <w:p w:rsidR="000313D8" w:rsidRPr="00CE233F" w:rsidRDefault="000313D8" w:rsidP="000313D8">
      <w:pPr>
        <w:autoSpaceDE w:val="0"/>
        <w:autoSpaceDN w:val="0"/>
        <w:adjustRightInd w:val="0"/>
        <w:rPr>
          <w:rFonts w:eastAsia="MS Mincho" w:cs="Arial"/>
        </w:rPr>
      </w:pPr>
      <w:r w:rsidRPr="00AF342C">
        <w:fldChar w:fldCharType="begin"/>
      </w:r>
      <w:r w:rsidRPr="00AF342C">
        <w:instrText xml:space="preserve"> AUTONUM  \* Arabic </w:instrText>
      </w:r>
      <w:r w:rsidRPr="00AF342C">
        <w:fldChar w:fldCharType="end"/>
      </w:r>
      <w:r>
        <w:tab/>
        <w:t>Auf Einladung der Ukraine stimmte die TWA zu, ihre zweiundvierzig</w:t>
      </w:r>
      <w:r w:rsidR="00916DB0">
        <w:t>ste Tagung vom 17. bis 21. Juni </w:t>
      </w:r>
      <w:r>
        <w:t xml:space="preserve">2013 </w:t>
      </w:r>
      <w:r w:rsidR="00916DB0">
        <w:t xml:space="preserve">in Kiew </w:t>
      </w:r>
      <w:r>
        <w:t xml:space="preserve">mit </w:t>
      </w:r>
      <w:r w:rsidR="00916DB0">
        <w:t xml:space="preserve">der </w:t>
      </w:r>
      <w:r>
        <w:t>vorbereitenden Arbeitstagung am 16. Juni 2013 abzuhalten.</w:t>
      </w:r>
    </w:p>
    <w:p w:rsidR="000313D8" w:rsidRPr="0048732D" w:rsidRDefault="000313D8" w:rsidP="000313D8">
      <w:pPr>
        <w:autoSpaceDE w:val="0"/>
        <w:autoSpaceDN w:val="0"/>
        <w:adjustRightInd w:val="0"/>
        <w:rPr>
          <w:rFonts w:cs="Arial"/>
        </w:rPr>
      </w:pPr>
    </w:p>
    <w:p w:rsidR="000313D8" w:rsidRDefault="000313D8" w:rsidP="000313D8">
      <w:pPr>
        <w:autoSpaceDE w:val="0"/>
        <w:autoSpaceDN w:val="0"/>
        <w:adjustRightInd w:val="0"/>
        <w:rPr>
          <w:rFonts w:cs="Arial"/>
        </w:rPr>
      </w:pPr>
      <w:r w:rsidRPr="00AF342C">
        <w:fldChar w:fldCharType="begin"/>
      </w:r>
      <w:r w:rsidRPr="00AF342C">
        <w:instrText xml:space="preserve"> AUTONUM  \* Arabic </w:instrText>
      </w:r>
      <w:r w:rsidRPr="00AF342C">
        <w:fldChar w:fldCharType="end"/>
      </w:r>
      <w:r>
        <w:tab/>
        <w:t xml:space="preserve">Die TWA schlug vor, auf ihrer nächsten Tagung folgende Punkte zu behandeln: </w:t>
      </w:r>
    </w:p>
    <w:p w:rsidR="000313D8" w:rsidRPr="00DE0C53" w:rsidRDefault="000313D8" w:rsidP="000313D8">
      <w:pPr>
        <w:autoSpaceDE w:val="0"/>
        <w:autoSpaceDN w:val="0"/>
        <w:adjustRightInd w:val="0"/>
        <w:rPr>
          <w:rFonts w:cs="Arial"/>
        </w:rPr>
      </w:pPr>
    </w:p>
    <w:p w:rsidR="000313D8" w:rsidRDefault="000313D8" w:rsidP="000313D8">
      <w:pPr>
        <w:numPr>
          <w:ilvl w:val="0"/>
          <w:numId w:val="29"/>
        </w:numPr>
        <w:tabs>
          <w:tab w:val="num" w:pos="1134"/>
        </w:tabs>
        <w:spacing w:before="20" w:afterLines="20" w:after="48"/>
        <w:ind w:left="924" w:hanging="357"/>
        <w:rPr>
          <w:rFonts w:cs="Arial"/>
        </w:rPr>
      </w:pPr>
      <w:r>
        <w:t>Eröffnung der Tagung</w:t>
      </w:r>
    </w:p>
    <w:p w:rsidR="000313D8" w:rsidRDefault="000313D8" w:rsidP="000313D8">
      <w:pPr>
        <w:numPr>
          <w:ilvl w:val="0"/>
          <w:numId w:val="29"/>
        </w:numPr>
        <w:tabs>
          <w:tab w:val="num" w:pos="1134"/>
        </w:tabs>
        <w:spacing w:before="20" w:afterLines="20" w:after="48"/>
        <w:ind w:left="924" w:hanging="357"/>
        <w:rPr>
          <w:rFonts w:cs="Arial"/>
        </w:rPr>
      </w:pPr>
      <w:r>
        <w:t>Annahme der Tagesordnung</w:t>
      </w:r>
    </w:p>
    <w:p w:rsidR="000313D8" w:rsidRPr="00DE0C53" w:rsidRDefault="000313D8" w:rsidP="000313D8">
      <w:pPr>
        <w:numPr>
          <w:ilvl w:val="0"/>
          <w:numId w:val="29"/>
        </w:numPr>
        <w:tabs>
          <w:tab w:val="num" w:pos="1134"/>
        </w:tabs>
        <w:spacing w:before="20" w:afterLines="20" w:after="48"/>
        <w:ind w:left="924" w:hanging="357"/>
        <w:rPr>
          <w:rFonts w:cs="Arial"/>
        </w:rPr>
      </w:pPr>
      <w:r>
        <w:t>Kurzberichte über die Entwicklungen im Sortenschutz</w:t>
      </w:r>
    </w:p>
    <w:p w:rsidR="000313D8" w:rsidRPr="00DE0C53" w:rsidRDefault="000313D8" w:rsidP="000313D8">
      <w:pPr>
        <w:numPr>
          <w:ilvl w:val="0"/>
          <w:numId w:val="30"/>
        </w:numPr>
        <w:tabs>
          <w:tab w:val="clear" w:pos="360"/>
          <w:tab w:val="num" w:pos="1134"/>
          <w:tab w:val="num" w:pos="1494"/>
        </w:tabs>
        <w:spacing w:before="20" w:afterLines="20" w:after="48"/>
        <w:ind w:left="1494"/>
        <w:rPr>
          <w:rFonts w:cs="Arial"/>
        </w:rPr>
      </w:pPr>
      <w:r>
        <w:t xml:space="preserve">Berichte von Mitgliedern und Beobachtern </w:t>
      </w:r>
    </w:p>
    <w:p w:rsidR="000313D8" w:rsidRPr="00DE0C53" w:rsidRDefault="000313D8" w:rsidP="000313D8">
      <w:pPr>
        <w:numPr>
          <w:ilvl w:val="0"/>
          <w:numId w:val="30"/>
        </w:numPr>
        <w:tabs>
          <w:tab w:val="clear" w:pos="360"/>
          <w:tab w:val="num" w:pos="1134"/>
          <w:tab w:val="num" w:pos="1494"/>
        </w:tabs>
        <w:spacing w:before="20" w:afterLines="20" w:after="48"/>
        <w:ind w:left="1494"/>
        <w:rPr>
          <w:rFonts w:cs="Arial"/>
        </w:rPr>
      </w:pPr>
      <w:r>
        <w:t xml:space="preserve">Berichte über Entwicklungen in der UPOV </w:t>
      </w:r>
    </w:p>
    <w:p w:rsidR="000313D8" w:rsidRPr="00DE0C53" w:rsidRDefault="000313D8" w:rsidP="000313D8">
      <w:pPr>
        <w:numPr>
          <w:ilvl w:val="0"/>
          <w:numId w:val="29"/>
        </w:numPr>
        <w:spacing w:before="20" w:afterLines="20" w:after="48"/>
        <w:ind w:left="1134" w:hanging="567"/>
        <w:rPr>
          <w:rFonts w:cs="Arial"/>
        </w:rPr>
      </w:pPr>
      <w:r>
        <w:t xml:space="preserve">Molekulare Verfahren </w:t>
      </w:r>
    </w:p>
    <w:p w:rsidR="000313D8" w:rsidRPr="00DE0C53" w:rsidRDefault="000313D8" w:rsidP="000313D8">
      <w:pPr>
        <w:numPr>
          <w:ilvl w:val="0"/>
          <w:numId w:val="29"/>
        </w:numPr>
        <w:spacing w:before="20" w:afterLines="20" w:after="48"/>
        <w:ind w:left="1134" w:hanging="567"/>
        <w:rPr>
          <w:rFonts w:cs="Arial"/>
        </w:rPr>
      </w:pPr>
      <w:r>
        <w:t xml:space="preserve">TGP-Dokumente </w:t>
      </w:r>
    </w:p>
    <w:p w:rsidR="000313D8" w:rsidRPr="00DE0C53" w:rsidRDefault="000313D8" w:rsidP="000313D8">
      <w:pPr>
        <w:numPr>
          <w:ilvl w:val="0"/>
          <w:numId w:val="29"/>
        </w:numPr>
        <w:spacing w:before="20" w:afterLines="20" w:after="48"/>
        <w:ind w:left="1134" w:hanging="567"/>
        <w:rPr>
          <w:rFonts w:cs="Arial"/>
        </w:rPr>
      </w:pPr>
      <w:r>
        <w:t>Sortenbezeichnungen</w:t>
      </w:r>
    </w:p>
    <w:p w:rsidR="000313D8" w:rsidRPr="00DE0C53" w:rsidRDefault="000313D8" w:rsidP="000313D8">
      <w:pPr>
        <w:numPr>
          <w:ilvl w:val="0"/>
          <w:numId w:val="29"/>
        </w:numPr>
        <w:spacing w:before="20" w:afterLines="20" w:after="48"/>
        <w:ind w:left="1134" w:hanging="567"/>
        <w:rPr>
          <w:rFonts w:cs="Arial"/>
        </w:rPr>
      </w:pPr>
      <w:r>
        <w:t>Informationen und Datenbanken</w:t>
      </w:r>
      <w:bookmarkStart w:id="86" w:name="OLE_LINK5"/>
    </w:p>
    <w:bookmarkEnd w:id="86"/>
    <w:p w:rsidR="000313D8" w:rsidRPr="00DE0C53" w:rsidRDefault="000313D8" w:rsidP="000313D8">
      <w:pPr>
        <w:tabs>
          <w:tab w:val="num" w:pos="1494"/>
        </w:tabs>
        <w:spacing w:before="20" w:afterLines="20" w:after="48"/>
        <w:ind w:left="1134"/>
        <w:rPr>
          <w:rFonts w:cs="Arial"/>
        </w:rPr>
      </w:pPr>
      <w:r>
        <w:t>a)</w:t>
      </w:r>
      <w:r>
        <w:tab/>
        <w:t xml:space="preserve">UPOV-Informationsdatenbanken </w:t>
      </w:r>
    </w:p>
    <w:p w:rsidR="000313D8" w:rsidRPr="00DE0C53" w:rsidRDefault="000313D8" w:rsidP="000313D8">
      <w:pPr>
        <w:tabs>
          <w:tab w:val="num" w:pos="1494"/>
        </w:tabs>
        <w:spacing w:before="20" w:afterLines="20" w:after="48"/>
        <w:ind w:left="1134"/>
        <w:rPr>
          <w:rFonts w:cs="Arial"/>
        </w:rPr>
      </w:pPr>
      <w:r>
        <w:t>b)</w:t>
      </w:r>
      <w:r>
        <w:tab/>
        <w:t xml:space="preserve">Datenbanken für Sortenbeschreibungen </w:t>
      </w:r>
    </w:p>
    <w:p w:rsidR="000313D8" w:rsidRPr="00DE0C53" w:rsidRDefault="000313D8" w:rsidP="000313D8">
      <w:pPr>
        <w:tabs>
          <w:tab w:val="num" w:pos="1494"/>
        </w:tabs>
        <w:spacing w:before="20" w:afterLines="20" w:after="48"/>
        <w:ind w:left="1134"/>
        <w:rPr>
          <w:rFonts w:cs="Arial"/>
        </w:rPr>
      </w:pPr>
      <w:r>
        <w:t>c)</w:t>
      </w:r>
      <w:r>
        <w:tab/>
        <w:t xml:space="preserve">Austauschbare Software </w:t>
      </w:r>
    </w:p>
    <w:p w:rsidR="000313D8" w:rsidRPr="00DE0C53" w:rsidRDefault="000313D8" w:rsidP="000313D8">
      <w:pPr>
        <w:tabs>
          <w:tab w:val="num" w:pos="1494"/>
        </w:tabs>
        <w:spacing w:before="20" w:afterLines="20" w:after="48"/>
        <w:ind w:left="1134"/>
        <w:rPr>
          <w:rFonts w:cs="Arial"/>
        </w:rPr>
      </w:pPr>
      <w:r>
        <w:t>d)</w:t>
      </w:r>
      <w:r>
        <w:tab/>
        <w:t xml:space="preserve">Elektronische Systeme für die Einreichung von Anträgen </w:t>
      </w:r>
    </w:p>
    <w:p w:rsidR="000313D8" w:rsidRPr="00DE0C53" w:rsidRDefault="000313D8" w:rsidP="000313D8">
      <w:pPr>
        <w:numPr>
          <w:ilvl w:val="0"/>
          <w:numId w:val="29"/>
        </w:numPr>
        <w:spacing w:before="20" w:afterLines="20" w:after="48"/>
        <w:ind w:left="1134" w:hanging="567"/>
        <w:rPr>
          <w:rFonts w:cs="Arial"/>
        </w:rPr>
      </w:pPr>
      <w:r>
        <w:t>Homogenitätsprüfung</w:t>
      </w:r>
    </w:p>
    <w:p w:rsidR="000313D8" w:rsidRPr="00DE0C53" w:rsidRDefault="000313D8" w:rsidP="000313D8">
      <w:pPr>
        <w:numPr>
          <w:ilvl w:val="0"/>
          <w:numId w:val="29"/>
        </w:numPr>
        <w:spacing w:before="20" w:afterLines="20" w:after="48"/>
        <w:ind w:left="1134" w:hanging="567"/>
        <w:rPr>
          <w:rFonts w:cs="Arial"/>
        </w:rPr>
      </w:pPr>
      <w:r>
        <w:t xml:space="preserve">Angelegenheiten, die bezüglich der vom Technischen Ausschuß angenommenen Prüfungsrichtlinien zu bereinigen sind (sofern zweckmäßig) </w:t>
      </w:r>
    </w:p>
    <w:p w:rsidR="000313D8" w:rsidRPr="00DE0C53" w:rsidRDefault="000313D8" w:rsidP="000313D8">
      <w:pPr>
        <w:numPr>
          <w:ilvl w:val="0"/>
          <w:numId w:val="29"/>
        </w:numPr>
        <w:spacing w:before="20" w:afterLines="20" w:after="48"/>
        <w:ind w:left="1134" w:hanging="567"/>
        <w:rPr>
          <w:rFonts w:cs="Arial"/>
        </w:rPr>
      </w:pPr>
      <w:r>
        <w:t xml:space="preserve">Erörterung über Entwürfe von Prüfungsrichtlinien (Untergruppen) </w:t>
      </w:r>
    </w:p>
    <w:p w:rsidR="000313D8" w:rsidRPr="00DE0C53" w:rsidRDefault="000313D8" w:rsidP="000313D8">
      <w:pPr>
        <w:numPr>
          <w:ilvl w:val="0"/>
          <w:numId w:val="29"/>
        </w:numPr>
        <w:spacing w:before="20" w:afterLines="20" w:after="48"/>
        <w:ind w:left="1134" w:hanging="567"/>
        <w:rPr>
          <w:rFonts w:cs="Arial"/>
        </w:rPr>
      </w:pPr>
      <w:r>
        <w:t>Empfehlungen zu Entwürfen von Prüfungsrichtlinien</w:t>
      </w:r>
    </w:p>
    <w:p w:rsidR="000313D8" w:rsidRPr="00DE0C53" w:rsidRDefault="000313D8" w:rsidP="000313D8">
      <w:pPr>
        <w:numPr>
          <w:ilvl w:val="0"/>
          <w:numId w:val="29"/>
        </w:numPr>
        <w:spacing w:before="20" w:afterLines="20" w:after="48"/>
        <w:ind w:left="1134" w:hanging="567"/>
        <w:rPr>
          <w:rFonts w:cs="Arial"/>
        </w:rPr>
      </w:pPr>
      <w:r>
        <w:t>Anleitung für Verfasser von Prüfungsrichtlinien</w:t>
      </w:r>
    </w:p>
    <w:p w:rsidR="000313D8" w:rsidRPr="00DE0C53" w:rsidRDefault="000313D8" w:rsidP="000313D8">
      <w:pPr>
        <w:numPr>
          <w:ilvl w:val="0"/>
          <w:numId w:val="29"/>
        </w:numPr>
        <w:spacing w:before="20" w:afterLines="20" w:after="48"/>
        <w:ind w:left="1134" w:hanging="567"/>
        <w:rPr>
          <w:rFonts w:cs="Arial"/>
        </w:rPr>
      </w:pPr>
      <w:r>
        <w:t>Ort und Datum der nächsten Tagung</w:t>
      </w:r>
    </w:p>
    <w:p w:rsidR="000313D8" w:rsidRPr="00DE0C53" w:rsidRDefault="000313D8" w:rsidP="000313D8">
      <w:pPr>
        <w:numPr>
          <w:ilvl w:val="0"/>
          <w:numId w:val="29"/>
        </w:numPr>
        <w:spacing w:before="20" w:afterLines="20" w:after="48"/>
        <w:ind w:left="1134" w:hanging="567"/>
        <w:rPr>
          <w:rFonts w:cs="Arial"/>
        </w:rPr>
      </w:pPr>
      <w:r>
        <w:t>Künftiges Programm</w:t>
      </w:r>
    </w:p>
    <w:p w:rsidR="000313D8" w:rsidRPr="00DE0C53" w:rsidRDefault="000313D8" w:rsidP="000313D8">
      <w:pPr>
        <w:numPr>
          <w:ilvl w:val="0"/>
          <w:numId w:val="29"/>
        </w:numPr>
        <w:spacing w:before="20" w:afterLines="20" w:after="48"/>
        <w:ind w:left="1134" w:hanging="567"/>
        <w:rPr>
          <w:rFonts w:cs="Arial"/>
        </w:rPr>
      </w:pPr>
      <w:r>
        <w:t xml:space="preserve">Bericht über die Tagung (falls es die Zeit erlaubt) </w:t>
      </w:r>
    </w:p>
    <w:p w:rsidR="000313D8" w:rsidRPr="00DE0C53" w:rsidRDefault="000313D8" w:rsidP="000313D8">
      <w:pPr>
        <w:numPr>
          <w:ilvl w:val="0"/>
          <w:numId w:val="29"/>
        </w:numPr>
        <w:spacing w:before="20" w:afterLines="20" w:after="48"/>
        <w:ind w:left="1134" w:hanging="567"/>
        <w:rPr>
          <w:rFonts w:cs="Arial"/>
        </w:rPr>
      </w:pPr>
      <w:r>
        <w:t>Schließung der Tagung</w:t>
      </w:r>
    </w:p>
    <w:p w:rsidR="000313D8" w:rsidRPr="0048732D" w:rsidRDefault="000313D8" w:rsidP="000313D8">
      <w:pPr>
        <w:tabs>
          <w:tab w:val="num" w:pos="1494"/>
        </w:tabs>
        <w:spacing w:before="20" w:afterLines="20" w:after="48"/>
        <w:rPr>
          <w:rFonts w:cs="Arial"/>
        </w:rPr>
      </w:pPr>
    </w:p>
    <w:p w:rsidR="000313D8" w:rsidRPr="007116DE" w:rsidRDefault="000313D8" w:rsidP="000313D8">
      <w:pPr>
        <w:autoSpaceDE w:val="0"/>
        <w:autoSpaceDN w:val="0"/>
        <w:adjustRightInd w:val="0"/>
        <w:rPr>
          <w:rFonts w:cs="Arial"/>
        </w:rPr>
      </w:pPr>
      <w:r w:rsidRPr="00AF342C">
        <w:fldChar w:fldCharType="begin"/>
      </w:r>
      <w:r w:rsidRPr="00AF342C">
        <w:instrText xml:space="preserve"> AUTONUM  \* Arabic </w:instrText>
      </w:r>
      <w:r w:rsidRPr="00AF342C">
        <w:fldChar w:fldCharType="end"/>
      </w:r>
      <w:r>
        <w:tab/>
        <w:t>Am Nachmittag des 23. Mai 2012 besuchte die TWA die technische Einrichtung der GEVES in L’Anjouère. Die TWA besichtigte das Gewächshaus und Feldversuche für Raps und Getreide, wobei die Durchführung von Prüfungen und die Verwaltung von Erfassungen erläutert wurden.</w:t>
      </w:r>
    </w:p>
    <w:p w:rsidR="000313D8" w:rsidRPr="007116DE" w:rsidRDefault="000313D8" w:rsidP="000313D8">
      <w:pPr>
        <w:autoSpaceDE w:val="0"/>
        <w:autoSpaceDN w:val="0"/>
        <w:adjustRightInd w:val="0"/>
        <w:rPr>
          <w:rFonts w:cs="Arial"/>
        </w:rPr>
      </w:pPr>
    </w:p>
    <w:p w:rsidR="000313D8" w:rsidRDefault="000313D8" w:rsidP="000313D8">
      <w:pPr>
        <w:rPr>
          <w:u w:val="single"/>
        </w:rPr>
      </w:pPr>
    </w:p>
    <w:p w:rsidR="000313D8" w:rsidRPr="00483EFD" w:rsidRDefault="000313D8" w:rsidP="00747C66">
      <w:pPr>
        <w:pStyle w:val="Heading2"/>
      </w:pPr>
      <w:bookmarkStart w:id="87" w:name="_Toc242528475"/>
      <w:bookmarkStart w:id="88" w:name="_Toc336593165"/>
      <w:bookmarkStart w:id="89" w:name="_Toc368583051"/>
      <w:r>
        <w:t>Technische Arbeitsgruppe für Automatisierung und Computerprogramme (TWC)</w:t>
      </w:r>
      <w:bookmarkEnd w:id="87"/>
      <w:bookmarkEnd w:id="88"/>
      <w:bookmarkEnd w:id="89"/>
      <w:r>
        <w:t xml:space="preserve">  </w:t>
      </w:r>
    </w:p>
    <w:p w:rsidR="000313D8" w:rsidRDefault="000313D8" w:rsidP="000313D8">
      <w:pPr>
        <w:rPr>
          <w:u w:val="single"/>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Die TWC hielt vom 25. bis 29. Juni 2012 ihre dreißigste Tagung in Chisinau, Republik Moldau, unter dem Vorsitz von Herrn Sami Markkanen (Finnland), dem Vorsitzenden der TWC, ab.</w:t>
      </w:r>
    </w:p>
    <w:p w:rsidR="000313D8"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An der TWC-Tagung nahmen 51 Teilnehmer aus 20 Verbandsmitgliedern teil. Die vorbereitende Arbeitstagung fand am Nachmittag des Montags, 25. Juni statt und 26</w:t>
      </w:r>
      <w:r w:rsidR="00916DB0">
        <w:t xml:space="preserve"> Teilnehmer aus 7 </w:t>
      </w:r>
      <w:r>
        <w:t>Verbandsmitgliedern nahmen daran teil. Während der Tagung wurden 46 Dokumente erörtert.</w:t>
      </w:r>
    </w:p>
    <w:p w:rsidR="000313D8" w:rsidRDefault="000313D8" w:rsidP="000313D8">
      <w:pPr>
        <w:rPr>
          <w:rFonts w:cs="Arial"/>
        </w:rPr>
      </w:pPr>
    </w:p>
    <w:p w:rsidR="000313D8" w:rsidRDefault="000313D8" w:rsidP="00916DB0">
      <w:pPr>
        <w:tabs>
          <w:tab w:val="left" w:pos="709"/>
          <w:tab w:val="left" w:pos="851"/>
        </w:tabs>
        <w:spacing w:after="240"/>
        <w:rPr>
          <w:rFonts w:cs="Arial"/>
        </w:rPr>
      </w:pPr>
      <w:r w:rsidRPr="00AF342C">
        <w:fldChar w:fldCharType="begin"/>
      </w:r>
      <w:r w:rsidRPr="00AF342C">
        <w:instrText xml:space="preserve"> AUTONUM  \* Arabic </w:instrText>
      </w:r>
      <w:r w:rsidRPr="00AF342C">
        <w:fldChar w:fldCharType="end"/>
      </w:r>
      <w:r>
        <w:tab/>
        <w:t>Die TWC wurde von Herrn Viorel Gutu, dem Vizeminister für Landwirtschaft und Lebensmittelindustrie der Republik Moldau begrüßt.  Auch Frau Svetlana Munteanu, Stellvertretende Generaldirektorin der staatlichen Behörde für geistiges Eigentum, begrü</w:t>
      </w:r>
      <w:r w:rsidR="00916DB0">
        <w:t>ßte die Teilnehmer. Herr Mihail </w:t>
      </w:r>
      <w:r>
        <w:t>Machidon, Vorsitzender der Staatlichen Kommission für Sortenprüfung (SCPVT), hielt ein Referat über das Sortenschutzsystem der Republik Moldau.</w:t>
      </w:r>
    </w:p>
    <w:p w:rsidR="000313D8" w:rsidRDefault="000313D8" w:rsidP="000313D8">
      <w:pPr>
        <w:rPr>
          <w:rFonts w:cs="Arial"/>
        </w:rPr>
      </w:pPr>
      <w:r w:rsidRPr="00AF342C">
        <w:lastRenderedPageBreak/>
        <w:fldChar w:fldCharType="begin"/>
      </w:r>
      <w:r w:rsidRPr="00AF342C">
        <w:instrText xml:space="preserve"> AUTONUM  \* Arabic </w:instrText>
      </w:r>
      <w:r w:rsidRPr="00AF342C">
        <w:fldChar w:fldCharType="end"/>
      </w:r>
      <w:r>
        <w:tab/>
        <w:t>Die TWC prüfte 14 Dokumente über die Überarbeitung von TGP/8 „Prüfungsanlage und Verfahren für die Prüfung der Unterscheidbarkeit, der Homogenität und der Beständigkeit“.</w:t>
      </w:r>
    </w:p>
    <w:p w:rsidR="000313D8" w:rsidRDefault="000313D8" w:rsidP="00D23870">
      <w:pPr>
        <w:spacing w:line="360" w:lineRule="auto"/>
        <w:rPr>
          <w:rFonts w:cs="Arial"/>
        </w:rPr>
      </w:pPr>
    </w:p>
    <w:p w:rsidR="000313D8" w:rsidRDefault="000313D8" w:rsidP="000313D8">
      <w:pPr>
        <w:rPr>
          <w:rFonts w:cs="Arial"/>
          <w:i/>
        </w:rPr>
      </w:pPr>
      <w:r>
        <w:rPr>
          <w:i/>
        </w:rPr>
        <w:t>Dokumente für TGP/8 Teil I: DUS-Prüfungsanlage und Datenanalyse</w:t>
      </w:r>
    </w:p>
    <w:p w:rsidR="000313D8" w:rsidRPr="00EE768A" w:rsidRDefault="000313D8" w:rsidP="000313D8">
      <w:pPr>
        <w:ind w:firstLine="1304"/>
        <w:rPr>
          <w:rFonts w:cs="Arial"/>
          <w:i/>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Die TWC prüfte Dokument TWC/30/16 Rev. „Zu erfassende Daten” und vereinbarte, daß das Dokument nach Aktualisierung der empfohlenen Freiheitsgrade in der Tabelle der Anlage dem TC zur Billigung vorgelegt werden solle. Ferner wurden einige kleine Änderungen an dem Text vorgeschlagen.</w:t>
      </w:r>
    </w:p>
    <w:p w:rsidR="000313D8" w:rsidRDefault="000313D8" w:rsidP="000313D8">
      <w:pPr>
        <w:ind w:left="1304"/>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 xml:space="preserve">Die TWC empfahl, dem TC auch den neuen Abschnitt „Minimierung der Variation infolge verschiedener Erfasser” in Dokument TWC/30/24 zur Prüfung vorzulegen. </w:t>
      </w:r>
    </w:p>
    <w:p w:rsidR="000313D8" w:rsidRDefault="000313D8" w:rsidP="000313D8">
      <w:pPr>
        <w:tabs>
          <w:tab w:val="left" w:pos="1560"/>
        </w:tabs>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Die TWC vereinbarte, daß die letzte Überschrift in Dokument TWC/30/21 „Verringerung der Größe von Anbauprüfungen” so geändert werden solle, daß sie sich auf technische Einzelheiten und ein gegebenes Beispiel bezieht. Die TWC ersuchte den Verfasser auch, zu Beginn des Kapitels einen Satz aufzunehmen, der besagt, daß das „Kapitel für den an technischen Einzelheiten interessierten Leser maßgeblich ist“.</w:t>
      </w:r>
    </w:p>
    <w:p w:rsidR="000313D8" w:rsidRDefault="000313D8" w:rsidP="00D23870">
      <w:pPr>
        <w:spacing w:line="360" w:lineRule="auto"/>
        <w:rPr>
          <w:rFonts w:cs="Arial"/>
        </w:rPr>
      </w:pPr>
    </w:p>
    <w:p w:rsidR="000313D8" w:rsidRPr="00EE768A" w:rsidRDefault="000313D8" w:rsidP="000313D8">
      <w:pPr>
        <w:rPr>
          <w:rFonts w:cs="Arial"/>
          <w:i/>
        </w:rPr>
      </w:pPr>
      <w:r>
        <w:rPr>
          <w:i/>
        </w:rPr>
        <w:t>Dokumente für TGP/8 Teil II: Verfahren für die DUS-Prüfung</w:t>
      </w:r>
    </w:p>
    <w:p w:rsidR="000313D8" w:rsidRDefault="000313D8" w:rsidP="000313D8">
      <w:pPr>
        <w:tabs>
          <w:tab w:val="left" w:pos="1560"/>
        </w:tabs>
      </w:pPr>
    </w:p>
    <w:p w:rsidR="000313D8" w:rsidRPr="00721FBD" w:rsidRDefault="000313D8" w:rsidP="000313D8">
      <w:r w:rsidRPr="00AF342C">
        <w:fldChar w:fldCharType="begin"/>
      </w:r>
      <w:r w:rsidRPr="00AF342C">
        <w:instrText xml:space="preserve"> AUTONUM  \* Arabic </w:instrText>
      </w:r>
      <w:r w:rsidRPr="00AF342C">
        <w:fldChar w:fldCharType="end"/>
      </w:r>
      <w:r>
        <w:tab/>
        <w:t>Die TWC prüfte die Fragen anderer Technischer Arbeitsgruppen (TWP) zu Dokument TWC/30/23 „Das Unterscheidbarkeitskriterium über mehrere Jahre (COYD)”. Die TWC stellte klar, daß der Vorschlag zur Verringerung der Anzahl an Freiheitsgraden geeignete statistische Verfahren für kleine Anbauprüfungen liefere, obgleich 20 Freiheitsgrade vorzuziehen seien. Die TWC überprüfte auch, daß das Diagramm auf Seite 39 von Dokument TGP/8/1 betreffend Voraussetzungen für die statistischen Verfahren für die Prüfung der Unterscheidbarkeit nicht geändert werden muß.  Das Diagramm stimmte mit den vorgeschlagenen Änderungen der Freiheitsgrade überein.</w:t>
      </w:r>
    </w:p>
    <w:p w:rsidR="000313D8" w:rsidRDefault="000313D8" w:rsidP="000313D8">
      <w:pPr>
        <w:tabs>
          <w:tab w:val="left" w:pos="1560"/>
        </w:tabs>
        <w:rPr>
          <w:rFonts w:cs="Arial"/>
        </w:rPr>
      </w:pPr>
    </w:p>
    <w:p w:rsidR="000313D8" w:rsidRPr="00A15FBA" w:rsidRDefault="000313D8" w:rsidP="000313D8">
      <w:pPr>
        <w:rPr>
          <w:rFonts w:cs="Arial"/>
        </w:rPr>
      </w:pPr>
      <w:r w:rsidRPr="00AF342C">
        <w:fldChar w:fldCharType="begin"/>
      </w:r>
      <w:r w:rsidRPr="00AF342C">
        <w:instrText xml:space="preserve"> AUTONUM  \* Arabic </w:instrText>
      </w:r>
      <w:r w:rsidRPr="00AF342C">
        <w:fldChar w:fldCharType="end"/>
      </w:r>
      <w:r>
        <w:tab/>
        <w:t>Ferner vereinbarte die TWC, daß Dokument TWC/30/20 „Anpassung von COYD an besondere Gegebenheiten” in Dokument TGP/8 aufgenommen werden solle. Bez</w:t>
      </w:r>
      <w:r w:rsidR="00916DB0">
        <w:t>üglich Dokument TWC/30/22 „2x1%</w:t>
      </w:r>
      <w:r w:rsidR="00916DB0">
        <w:noBreakHyphen/>
      </w:r>
      <w:r>
        <w:t>Verfahren – Mindestanzahl von Freiheitsgraden für das 2x1%-Verfahren” stellte die TWC klar, daß das COYD-Verfahren dem 2x1%-Verfahren zur Absicherung der Beständigkeit und Wiederholbarkeit der Ergebnisse vorzuziehen sei.</w:t>
      </w:r>
    </w:p>
    <w:p w:rsidR="000313D8"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Die TWC prüfte Dokument TWC/30/26 „Mindestanzahl vergleichbarer Sorten für das Verfahren der relativen Varianz”.  Die TWC bat den Verfasser zu prüfen, ob die verbleibenden Abschnitte bereits in TGP/8/1 behandelt sind.  Bezüglich Dokument TWC/30/28 über „Neuer Abschnitt 11 – DUS-Prüfung an Mischproben” merkte die TWC an, daß diese Anleitung für die Bestimmung des Substanzgehalts und die Elektrophorese nützlich wäre.</w:t>
      </w:r>
    </w:p>
    <w:p w:rsidR="000313D8"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 xml:space="preserve">Das Verbandsbüro hielt ein Referat über die verschiedenen Verfahren, die zur Umwandlung von Messungen in Noten für die Sortenbeschreibung verwendet werden. Die TWC war sich darin einig, daß Sachverständige aus Finnland, Italien und dem Vereinigten Königreich das Verbandsbüro dabei unterstützen sollten, die unterschiedlichen Ansätze für die Weiterentwicklung einer gemeinsamen Anleitung zur Datenverarbeitung für die Prüfung der Unterscheidbarkeit und Erstellung von Sortenbeschreibungen zusammenzufassen. Ferner vereinbarte die TWC, daß Sachverständige aus Frankreich, Deutschland und dem Vereinigten Königreich eine Befragung zur Verarbeitung eines gemeinsamen Datensatzes zur Erstellung von Sortenbeschreibungen vorbereiten würden. Das Ziel dieser Befragung wäre festzustellen, welches die gemeinsamen Aspekte sind und wo es Abweichungen hinsichtlich der Verfahren gibt. </w:t>
      </w:r>
    </w:p>
    <w:p w:rsidR="000313D8"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Nach Erörterung von Dokument TWC/30/17 „Anleitung zur Datenanalyse für randomisierte Blindprüfungen” empfahl die TWC, die Anleitung allgemeiner zu halten, so daß sie sich an a</w:t>
      </w:r>
      <w:r w:rsidR="00916DB0">
        <w:t xml:space="preserve">lle etwaigen Anwender richtet. </w:t>
      </w:r>
      <w:r>
        <w:t>Weitere im Dokument enthaltene Anleitung sollte Information über die Zahl der Wiederholungen umfassen, um sicherzustellen, daß eine zufällige korrekte Kennzeichnung der Sorte unwahrscheinlich ist.</w:t>
      </w:r>
    </w:p>
    <w:p w:rsidR="000313D8"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 xml:space="preserve">Die TWC stimmte darin überein, daß Dokument TWC/30/18 „Anleitung zur Erstellung von Sortenbeschreibungen” weiterentwickelt werden solle. Die TWC prüfte die Probleme, die sich aus voneinander abweichenden Noten ergeben und schlug vor, daß das Dokument überarbeitet werden sollte, damit es sämtliche von den Verbandsmitgliedern verwendeten Verfahren behandele. </w:t>
      </w:r>
    </w:p>
    <w:p w:rsidR="000313D8" w:rsidRDefault="000313D8" w:rsidP="000313D8">
      <w:pPr>
        <w:rPr>
          <w:rFonts w:cs="Arial"/>
        </w:rPr>
      </w:pPr>
    </w:p>
    <w:p w:rsidR="000313D8" w:rsidRDefault="000313D8" w:rsidP="00916DB0">
      <w:pPr>
        <w:spacing w:after="240"/>
        <w:rPr>
          <w:rFonts w:cs="Arial"/>
        </w:rPr>
      </w:pPr>
      <w:r w:rsidRPr="00AF342C">
        <w:fldChar w:fldCharType="begin"/>
      </w:r>
      <w:r w:rsidRPr="00AF342C">
        <w:instrText xml:space="preserve"> AUTONUM  \* Arabic </w:instrText>
      </w:r>
      <w:r w:rsidRPr="00AF342C">
        <w:fldChar w:fldCharType="end"/>
      </w:r>
      <w:r>
        <w:tab/>
        <w:t>Nach Prüfung von Dokument TWC/30/29 „Statistische Verfahren für visuell erfaßte Merkmale” hoffte die TWC, neue Beispiele für die Ausarbeitung eines neuen Entwurfs für das Dokument zu haben.</w:t>
      </w:r>
    </w:p>
    <w:p w:rsidR="000313D8" w:rsidRDefault="000313D8" w:rsidP="000313D8">
      <w:pPr>
        <w:rPr>
          <w:rFonts w:cs="Arial"/>
        </w:rPr>
      </w:pPr>
      <w:r w:rsidRPr="00AF342C">
        <w:lastRenderedPageBreak/>
        <w:fldChar w:fldCharType="begin"/>
      </w:r>
      <w:r w:rsidRPr="00AF342C">
        <w:instrText xml:space="preserve"> AUTONUM  \* Arabic </w:instrText>
      </w:r>
      <w:r w:rsidRPr="00AF342C">
        <w:fldChar w:fldCharType="end"/>
      </w:r>
      <w:r>
        <w:tab/>
        <w:t xml:space="preserve">Die TWC nahm Kenntnis von der in Dokument TWC/30/10 „Verfahren für die Berechnung von COYU” enthaltenen Information und nahm zur Kenntnis, daß es nicht möglich war, ein Dokument über etwaige Vorschläge für Verbesserungen von COYU zur Prüfung durch die TWC im Jahr 2012 zu erstellen. Die TWC ersuchte Sachverständige aus Dänemark und aus dem Vereinigten Königreich, mit der Ausarbeitung des Dokuments für die Prüfung durch die TWC auf ihrer einunddreißigsten Tagung fortzufahren. </w:t>
      </w:r>
    </w:p>
    <w:p w:rsidR="000313D8" w:rsidRPr="00A42121"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 xml:space="preserve">Die TWC prüfte Dokument TWC/30/9 „Prüfung der Homogenität anhand von Abweichern aufgrund von mehr als einer Probe oder Unterproben” in Verbindung mit einer mündlichen Präsentation eines Sachverständigen aus Deutschland über die Untersuchung verschiedener in dem Dokument enthaltener Ansätze. Die TWC nahm zur Kenntnis, daß weitere Erklärungen zu den beschriebenen Situationen erforderlich seien, </w:t>
      </w:r>
      <w:r w:rsidRPr="008A3963">
        <w:t>wie etwa die Klärung der Frage, ob zwei Wachstumsperioden in Bezug auf die Verwendung derselben Probe und im selben Jahr möglich seien.</w:t>
      </w:r>
      <w:r>
        <w:t xml:space="preserve"> Die TWC vereinbarte, daß detailliertere Informationen und weitere Analysen erforderlich seien, um Anleitung zu den Folgen der Verwendung unterschiedlicher Herangehensweisen erteilen zu können. Die TWC vereinbarte, daß Frankreich, Deutschland und die Niederlande eine oder mehrere in ihren Ländern vorkommende konkrete Situationen sowie die statistische Grundlage ihrer Analysen vorlegen würden. Die TWC vereinbarte ferner, daß die statistische Grundlage für die annehmbare Zahl von Abweichern in der Unterprobe von 20 Pflanzen, die im Zusammenhang mit einer Probe von 100 Pflanzen verwendet wird, von Sachverständigen aus Frankreich und Deutschland geprüft werde.</w:t>
      </w:r>
    </w:p>
    <w:p w:rsidR="000313D8" w:rsidRPr="00A42121"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Die TWC hörte ein Referat zu Dokument TWC/30/31 „AIM: Verwaltung der Bildanalyse – Erfahrung aus Frankreich” von einem Sachverständigen aus Frankreich. Die Software AIM wird von GEVES zur Kontrolle des zentralisierten und gemeinsamen Bildanalysesystems verwendet. Die Software AIM könnte von ihrem Entwickler GEVES  kostenlos zur Verfügung gestellt werden. Die TWC legte nahe, daß eine Schulung zur Verwendung dieser Software und ihre Übersetzung ins Englische für einen größeren Nutzerkreis grundlegend wichtig wäre. Die TWC vereinbarte ferner, die Aufnahme der AIM-Software in die Liste der austauschbaren Software vorzuschlagen.</w:t>
      </w:r>
    </w:p>
    <w:p w:rsidR="000313D8" w:rsidRPr="00FF17ED"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Dokument TWC/30/39 „A Survey on Software and Hardware used for Image Analysis” wurde der TWC vorgelegt. Die Befragung lieferte Informationen zur Anleitung, über benötigte Materialien und die für die Bildanalyse grundlegend wichtige Kalibrierung und Standardisierung. Die von Finnland und Frankreich gelieferten Informationen würden in das Dokument aufgenommen werden. Die TWC vereinbarte, daß ein Entwurf eines neuen Abschnitts „Prüfung von Merkmalen anhand der Bildanalyse“ von dieser Information profitieren würde und vereinbarte, daß Sachverständige aus den Niederlanden in Zusammenarbeit mit einem Sachverständigen aus der Europäischen Union dieses Dokument ausarbeiten sollen.</w:t>
      </w:r>
    </w:p>
    <w:p w:rsidR="000313D8" w:rsidRPr="00FF17ED"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 xml:space="preserve">Bezüglich Dokument TWC/30/34 „Updated Survey on Hand-Held Data Capture Devices” empfahl die TWC, daß das Verbandsbüro zum Zwecke der Überprüfung der in dem Dokument enthaltenen Information ein neues Rundschreiben verschicken solle. </w:t>
      </w:r>
    </w:p>
    <w:p w:rsidR="000313D8" w:rsidRPr="00FF17ED"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Die TWC prüfte das Dokument TWC/30/7 „Exchangeable Software”. Die TWC vereinbarte, daß zunächst eine Klärung bezüglich der Verfügbarkeitsbedingungen, des Übersetzungsbedarfs, der Schulung, der Instandhaltung und der Kosten für potentielle Nutzer erforderlich sei, bevor eine Stellungnahme zur Aufnahme einer Software in die Liste abgegeben werden könne.  Die TWC hörte ein Referat „Information System (IS) Used for Test and Protection of Plant Varieties in the Russian Federation” (Für die Prüfung und den Schutz von Pflanzensorten in der Russischen Föderation verwendete Informationssysteme (IS)) (siehe Dokument TWC/30/35) von einem Sachverständigen aus Belarus in Abwesenheit des Sachverständigen aus der Russischen Föderation. Die TWC war sich darin einig, daß das von der Russischen Föderation verwendete Informationssystem mit einer Anmerkung, daß es in russischer Sprache verfügbar ist, in die Liste der austauschbaren Software aufgenommen werden könnte.</w:t>
      </w:r>
    </w:p>
    <w:p w:rsidR="000313D8" w:rsidRPr="00FF17ED"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 xml:space="preserve">Die TWC hörte via Internet ein elektronisches Referat über ein vom Verbandsbüro für eine </w:t>
      </w:r>
      <w:r>
        <w:rPr>
          <w:color w:val="000000"/>
        </w:rPr>
        <w:t>webbasierte Mustervorlage für Prüfungsrichtlinien (TG-Mustervorlage)</w:t>
      </w:r>
      <w:r>
        <w:t xml:space="preserve"> für Verfasser von Prüfungsrichtlinien konzipiertes Projekt. Die TWC unterstützte die Initiative und Fortführung der Arbeit zu diesem Projekt. Ein weiteres elektronisches Referat wurde von der WIPO über die PLUTO-Datenbank gehalten. </w:t>
      </w:r>
    </w:p>
    <w:p w:rsidR="000313D8" w:rsidRPr="00FF17ED" w:rsidRDefault="000313D8" w:rsidP="000313D8">
      <w:pPr>
        <w:rPr>
          <w:rFonts w:cs="Arial"/>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Der Sachverständige aus Deutschland verteilte eine CD mit der jüngsten Datenbank der Arbeitsunterlagen der TWC an die Teilnehmer.</w:t>
      </w:r>
    </w:p>
    <w:p w:rsidR="000313D8" w:rsidRDefault="000313D8" w:rsidP="000313D8">
      <w:pPr>
        <w:rPr>
          <w:rFonts w:cs="Arial"/>
        </w:rPr>
      </w:pPr>
    </w:p>
    <w:p w:rsidR="000313D8" w:rsidRDefault="000313D8" w:rsidP="000313D8">
      <w:pPr>
        <w:autoSpaceDE w:val="0"/>
        <w:autoSpaceDN w:val="0"/>
        <w:adjustRightInd w:val="0"/>
        <w:rPr>
          <w:rFonts w:ascii="ArialMT" w:hAnsi="ArialMT" w:cs="ArialMT"/>
        </w:rPr>
      </w:pPr>
      <w:r w:rsidRPr="00AF342C">
        <w:fldChar w:fldCharType="begin"/>
      </w:r>
      <w:r w:rsidRPr="00AF342C">
        <w:instrText xml:space="preserve"> AUTONUM  \* Arabic </w:instrText>
      </w:r>
      <w:r w:rsidRPr="00AF342C">
        <w:fldChar w:fldCharType="end"/>
      </w:r>
      <w:r>
        <w:tab/>
      </w:r>
      <w:r>
        <w:rPr>
          <w:rFonts w:ascii="ArialMT" w:hAnsi="ArialMT"/>
        </w:rPr>
        <w:t>Die TWC vereinbarte, ihre einunddreißigste Tagung vom 4. bis 7. Juni 2013 in Seoul, Republik Korea, mit der vorbereitenden Arbeitstagung am 3. Juni 2013 abzuhalten.</w:t>
      </w:r>
    </w:p>
    <w:p w:rsidR="000313D8" w:rsidRDefault="000313D8" w:rsidP="000313D8">
      <w:pPr>
        <w:autoSpaceDE w:val="0"/>
        <w:autoSpaceDN w:val="0"/>
        <w:adjustRightInd w:val="0"/>
        <w:rPr>
          <w:rFonts w:ascii="ArialMT" w:hAnsi="ArialMT" w:cs="ArialMT"/>
        </w:rPr>
      </w:pPr>
    </w:p>
    <w:p w:rsidR="000313D8" w:rsidRPr="00D0316E" w:rsidRDefault="000313D8" w:rsidP="00916DB0">
      <w:pPr>
        <w:keepNext/>
        <w:autoSpaceDE w:val="0"/>
        <w:autoSpaceDN w:val="0"/>
        <w:adjustRightInd w:val="0"/>
        <w:rPr>
          <w:rFonts w:ascii="ArialMT" w:hAnsi="ArialMT" w:cs="ArialMT"/>
        </w:rPr>
      </w:pPr>
      <w:r w:rsidRPr="00AF342C">
        <w:lastRenderedPageBreak/>
        <w:fldChar w:fldCharType="begin"/>
      </w:r>
      <w:r w:rsidRPr="00AF342C">
        <w:instrText xml:space="preserve"> AUTONUM  \* Arabic </w:instrText>
      </w:r>
      <w:r w:rsidRPr="00AF342C">
        <w:fldChar w:fldCharType="end"/>
      </w:r>
      <w:r>
        <w:tab/>
      </w:r>
      <w:r>
        <w:rPr>
          <w:rFonts w:ascii="ArialMT" w:hAnsi="ArialMT"/>
        </w:rPr>
        <w:t>Die TW</w:t>
      </w:r>
      <w:r w:rsidR="00916DB0">
        <w:rPr>
          <w:rFonts w:ascii="ArialMT" w:hAnsi="ArialMT"/>
        </w:rPr>
        <w:t>C</w:t>
      </w:r>
      <w:r>
        <w:rPr>
          <w:rFonts w:ascii="ArialMT" w:hAnsi="ArialMT"/>
        </w:rPr>
        <w:t xml:space="preserve"> sah vor, auf ihrer einunddreißigsten Tagung folgende Punkte zu behandeln:</w:t>
      </w:r>
    </w:p>
    <w:p w:rsidR="000313D8" w:rsidRDefault="000313D8" w:rsidP="000313D8">
      <w:pPr>
        <w:tabs>
          <w:tab w:val="num" w:pos="1134"/>
        </w:tabs>
        <w:spacing w:before="20" w:afterLines="20" w:after="48"/>
        <w:ind w:left="567"/>
        <w:rPr>
          <w:rFonts w:ascii="ArialMT" w:hAnsi="ArialMT" w:cs="ArialMT"/>
        </w:rPr>
      </w:pP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1.</w:t>
      </w:r>
      <w:r>
        <w:tab/>
      </w:r>
      <w:r>
        <w:rPr>
          <w:rFonts w:ascii="ArialMT" w:hAnsi="ArialMT"/>
        </w:rPr>
        <w:t>Eröffnung der Tagung</w:t>
      </w: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2.</w:t>
      </w:r>
      <w:r>
        <w:tab/>
      </w:r>
      <w:r>
        <w:rPr>
          <w:rFonts w:ascii="ArialMT" w:hAnsi="ArialMT"/>
        </w:rPr>
        <w:t>Annahme der Tagesordnung</w:t>
      </w:r>
    </w:p>
    <w:p w:rsidR="000313D8" w:rsidRPr="00D0316E" w:rsidRDefault="000313D8" w:rsidP="000313D8">
      <w:pPr>
        <w:keepNext/>
        <w:tabs>
          <w:tab w:val="num" w:pos="1134"/>
        </w:tabs>
        <w:spacing w:before="20" w:afterLines="20" w:after="48"/>
        <w:ind w:left="567"/>
        <w:rPr>
          <w:rFonts w:ascii="ArialMT" w:hAnsi="ArialMT" w:cs="ArialMT"/>
        </w:rPr>
      </w:pPr>
      <w:r>
        <w:rPr>
          <w:rFonts w:ascii="ArialMT" w:hAnsi="ArialMT"/>
        </w:rPr>
        <w:t>3.</w:t>
      </w:r>
      <w:r>
        <w:tab/>
      </w:r>
      <w:r>
        <w:rPr>
          <w:rFonts w:ascii="ArialMT" w:hAnsi="ArialMT"/>
        </w:rPr>
        <w:t>Kurzberichte über die Entwicklungen im Sortenschutz:</w:t>
      </w:r>
    </w:p>
    <w:p w:rsidR="000313D8" w:rsidRPr="00D0316E" w:rsidRDefault="000313D8" w:rsidP="000313D8">
      <w:pPr>
        <w:keepNext/>
        <w:spacing w:before="20" w:afterLines="20" w:after="48"/>
        <w:ind w:left="1584" w:hanging="450"/>
        <w:rPr>
          <w:rFonts w:ascii="ArialMT" w:hAnsi="ArialMT" w:cs="ArialMT"/>
        </w:rPr>
      </w:pPr>
      <w:r>
        <w:rPr>
          <w:rFonts w:ascii="ArialMT" w:hAnsi="ArialMT"/>
        </w:rPr>
        <w:t>a)</w:t>
      </w:r>
      <w:r>
        <w:tab/>
      </w:r>
      <w:r>
        <w:rPr>
          <w:rFonts w:ascii="ArialMT" w:hAnsi="ArialMT"/>
        </w:rPr>
        <w:t xml:space="preserve">Berichte von Mitgliedern und Beobachtern </w:t>
      </w:r>
    </w:p>
    <w:p w:rsidR="000313D8" w:rsidRPr="00D0316E" w:rsidRDefault="000313D8" w:rsidP="000313D8">
      <w:pPr>
        <w:keepNext/>
        <w:spacing w:before="20" w:afterLines="20" w:after="48"/>
        <w:ind w:left="1584" w:hanging="450"/>
        <w:rPr>
          <w:rFonts w:ascii="ArialMT" w:hAnsi="ArialMT" w:cs="ArialMT"/>
        </w:rPr>
      </w:pPr>
      <w:r>
        <w:rPr>
          <w:rFonts w:ascii="ArialMT" w:hAnsi="ArialMT"/>
        </w:rPr>
        <w:t>b)</w:t>
      </w:r>
      <w:r>
        <w:tab/>
      </w:r>
      <w:r>
        <w:rPr>
          <w:rFonts w:ascii="ArialMT" w:hAnsi="ArialMT"/>
        </w:rPr>
        <w:t xml:space="preserve">Berichte über Entwicklungen in der UPOV </w:t>
      </w: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 xml:space="preserve">4. </w:t>
      </w:r>
      <w:r>
        <w:tab/>
      </w:r>
      <w:r>
        <w:rPr>
          <w:rFonts w:ascii="ArialMT" w:hAnsi="ArialMT"/>
        </w:rPr>
        <w:t xml:space="preserve">Molekulare Verfahren </w:t>
      </w: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5.</w:t>
      </w:r>
      <w:r>
        <w:tab/>
      </w:r>
      <w:r>
        <w:rPr>
          <w:rFonts w:ascii="ArialMT" w:hAnsi="ArialMT"/>
        </w:rPr>
        <w:t>TGP-Dokumente</w:t>
      </w:r>
    </w:p>
    <w:p w:rsidR="000313D8" w:rsidRDefault="000313D8" w:rsidP="000313D8">
      <w:pPr>
        <w:tabs>
          <w:tab w:val="num" w:pos="1134"/>
        </w:tabs>
        <w:spacing w:before="20" w:afterLines="20" w:after="48"/>
        <w:ind w:left="567"/>
        <w:rPr>
          <w:rFonts w:ascii="ArialMT" w:hAnsi="ArialMT" w:cs="ArialMT"/>
        </w:rPr>
      </w:pPr>
      <w:r>
        <w:rPr>
          <w:rFonts w:ascii="ArialMT" w:hAnsi="ArialMT"/>
        </w:rPr>
        <w:t>7.</w:t>
      </w:r>
      <w:r>
        <w:tab/>
      </w:r>
      <w:r>
        <w:rPr>
          <w:rFonts w:ascii="ArialMT" w:hAnsi="ArialMT"/>
        </w:rPr>
        <w:t>Sortenbezeichnungen</w:t>
      </w:r>
    </w:p>
    <w:p w:rsidR="000313D8" w:rsidRPr="00CC587F" w:rsidRDefault="000313D8" w:rsidP="000313D8">
      <w:pPr>
        <w:spacing w:before="20" w:afterLines="20" w:after="48"/>
        <w:ind w:left="567"/>
        <w:rPr>
          <w:rFonts w:cs="Arial"/>
        </w:rPr>
      </w:pPr>
      <w:r>
        <w:rPr>
          <w:rFonts w:ascii="ArialMT" w:hAnsi="ArialMT"/>
        </w:rPr>
        <w:t>8.</w:t>
      </w:r>
      <w:r>
        <w:tab/>
        <w:t>Informationen und Datenbanken</w:t>
      </w:r>
    </w:p>
    <w:p w:rsidR="000313D8" w:rsidRPr="00CC587F" w:rsidRDefault="000313D8" w:rsidP="000313D8">
      <w:pPr>
        <w:spacing w:before="20" w:afterLines="20" w:after="48"/>
        <w:ind w:left="1584" w:hanging="450"/>
        <w:rPr>
          <w:rFonts w:cs="Arial"/>
        </w:rPr>
      </w:pPr>
      <w:r>
        <w:t>a)</w:t>
      </w:r>
      <w:r>
        <w:tab/>
        <w:t xml:space="preserve">UPOV-Informationsdatenbanken </w:t>
      </w:r>
    </w:p>
    <w:p w:rsidR="000313D8" w:rsidRPr="00CC587F" w:rsidRDefault="000313D8" w:rsidP="000313D8">
      <w:pPr>
        <w:spacing w:before="20" w:afterLines="20" w:after="48"/>
        <w:ind w:left="1584" w:hanging="450"/>
        <w:jc w:val="left"/>
        <w:rPr>
          <w:rFonts w:cs="Arial"/>
        </w:rPr>
      </w:pPr>
      <w:r>
        <w:t>b)</w:t>
      </w:r>
      <w:r>
        <w:tab/>
        <w:t xml:space="preserve">Datenbanken für Sortenbeschreibungen </w:t>
      </w:r>
    </w:p>
    <w:p w:rsidR="000313D8" w:rsidRPr="00CC587F" w:rsidRDefault="000313D8" w:rsidP="000313D8">
      <w:pPr>
        <w:spacing w:before="20" w:afterLines="20" w:after="48"/>
        <w:ind w:left="1584" w:hanging="450"/>
        <w:rPr>
          <w:rFonts w:cs="Arial"/>
        </w:rPr>
      </w:pPr>
      <w:r>
        <w:t>c)</w:t>
      </w:r>
      <w:r>
        <w:tab/>
        <w:t xml:space="preserve">Austauschbare Software </w:t>
      </w:r>
    </w:p>
    <w:p w:rsidR="000313D8" w:rsidRPr="00D0316E" w:rsidRDefault="000313D8" w:rsidP="000313D8">
      <w:pPr>
        <w:spacing w:before="20" w:afterLines="20" w:after="48"/>
        <w:ind w:left="1584" w:hanging="450"/>
        <w:rPr>
          <w:rFonts w:ascii="ArialMT" w:hAnsi="ArialMT" w:cs="ArialMT"/>
        </w:rPr>
      </w:pPr>
      <w:r>
        <w:t>d)</w:t>
      </w:r>
      <w:r>
        <w:tab/>
        <w:t>Elektronische Systeme für die Einreichung von Anträgen</w:t>
      </w: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 xml:space="preserve">9. </w:t>
      </w:r>
      <w:r>
        <w:tab/>
      </w:r>
      <w:r>
        <w:rPr>
          <w:rFonts w:ascii="ArialMT" w:hAnsi="ArialMT"/>
        </w:rPr>
        <w:t xml:space="preserve">Datenlogger </w:t>
      </w: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10.</w:t>
      </w:r>
      <w:r>
        <w:tab/>
      </w:r>
      <w:r>
        <w:rPr>
          <w:rFonts w:ascii="ArialMT" w:hAnsi="ArialMT"/>
        </w:rPr>
        <w:t xml:space="preserve">Bildanalyse </w:t>
      </w:r>
    </w:p>
    <w:p w:rsidR="000313D8" w:rsidRPr="00D0316E" w:rsidRDefault="000313D8" w:rsidP="000313D8">
      <w:pPr>
        <w:tabs>
          <w:tab w:val="num" w:pos="1134"/>
        </w:tabs>
        <w:spacing w:before="20" w:afterLines="20" w:after="48"/>
        <w:ind w:left="1134" w:hanging="567"/>
        <w:rPr>
          <w:rFonts w:ascii="ArialMT" w:hAnsi="ArialMT" w:cs="ArialMT"/>
        </w:rPr>
      </w:pPr>
      <w:r>
        <w:rPr>
          <w:rFonts w:ascii="ArialMT" w:hAnsi="ArialMT"/>
        </w:rPr>
        <w:t>11.</w:t>
      </w:r>
      <w:r>
        <w:tab/>
      </w:r>
      <w:r>
        <w:rPr>
          <w:rFonts w:ascii="ArialMT" w:hAnsi="ArialMT"/>
        </w:rPr>
        <w:t>Prüfung der Homogenität anhand von Abweichern aufgrund von mehr als einer Probe oder Unterproben</w:t>
      </w: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12.</w:t>
      </w:r>
      <w:r>
        <w:tab/>
      </w:r>
      <w:r>
        <w:rPr>
          <w:rFonts w:ascii="ArialMT" w:hAnsi="ArialMT"/>
        </w:rPr>
        <w:t>Entwicklung von COY</w:t>
      </w:r>
    </w:p>
    <w:p w:rsidR="000313D8" w:rsidRPr="00D0316E" w:rsidRDefault="000313D8" w:rsidP="000313D8">
      <w:pPr>
        <w:tabs>
          <w:tab w:val="num" w:pos="1134"/>
        </w:tabs>
        <w:spacing w:before="20" w:afterLines="20" w:after="48"/>
        <w:ind w:left="567"/>
        <w:rPr>
          <w:rFonts w:ascii="ArialMT" w:hAnsi="ArialMT" w:cs="ArialMT"/>
        </w:rPr>
      </w:pPr>
      <w:r>
        <w:tab/>
      </w:r>
      <w:r>
        <w:rPr>
          <w:rFonts w:ascii="ArialMT" w:hAnsi="ArialMT"/>
        </w:rPr>
        <w:t xml:space="preserve">COYU:  mögliche Vorschläge für Verbesserungen von COYU </w:t>
      </w: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13.</w:t>
      </w:r>
      <w:r>
        <w:tab/>
      </w:r>
      <w:r>
        <w:rPr>
          <w:rFonts w:ascii="ArialMT" w:hAnsi="ArialMT"/>
        </w:rPr>
        <w:t xml:space="preserve">Statistische Auswertung kategorischer Daten </w:t>
      </w: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14.</w:t>
      </w:r>
      <w:r>
        <w:tab/>
      </w:r>
      <w:r>
        <w:rPr>
          <w:rFonts w:ascii="ArialMT" w:hAnsi="ArialMT"/>
        </w:rPr>
        <w:t>Webcasting von UPOV-Tagungen</w:t>
      </w: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15.</w:t>
      </w:r>
      <w:r>
        <w:tab/>
      </w:r>
      <w:r>
        <w:rPr>
          <w:rFonts w:ascii="ArialMT" w:hAnsi="ArialMT"/>
        </w:rPr>
        <w:t xml:space="preserve">Datenbank für die Suche nach TWC-Dokumenten </w:t>
      </w: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16.</w:t>
      </w:r>
      <w:r>
        <w:tab/>
      </w:r>
      <w:r>
        <w:rPr>
          <w:rFonts w:ascii="ArialMT" w:hAnsi="ArialMT"/>
        </w:rPr>
        <w:t>Ort und Datum der nächsten Tagung</w:t>
      </w:r>
    </w:p>
    <w:p w:rsidR="000313D8" w:rsidRPr="00C00CCF" w:rsidRDefault="000313D8" w:rsidP="000313D8">
      <w:pPr>
        <w:tabs>
          <w:tab w:val="num" w:pos="1134"/>
        </w:tabs>
        <w:spacing w:before="20" w:afterLines="20" w:after="48"/>
        <w:ind w:left="567"/>
        <w:rPr>
          <w:rFonts w:ascii="ArialMT" w:hAnsi="ArialMT" w:cs="ArialMT"/>
        </w:rPr>
      </w:pPr>
      <w:r>
        <w:rPr>
          <w:rFonts w:ascii="ArialMT" w:hAnsi="ArialMT"/>
        </w:rPr>
        <w:t>17.</w:t>
      </w:r>
      <w:r>
        <w:tab/>
      </w:r>
      <w:r>
        <w:rPr>
          <w:rFonts w:ascii="ArialMT" w:hAnsi="ArialMT"/>
        </w:rPr>
        <w:t>Künftiges Programm</w:t>
      </w:r>
    </w:p>
    <w:p w:rsidR="000313D8" w:rsidRPr="00C00CCF" w:rsidRDefault="000313D8" w:rsidP="000313D8">
      <w:pPr>
        <w:tabs>
          <w:tab w:val="num" w:pos="1134"/>
        </w:tabs>
        <w:spacing w:before="20" w:afterLines="20" w:after="48"/>
        <w:ind w:left="567"/>
        <w:rPr>
          <w:rFonts w:ascii="ArialMT" w:hAnsi="ArialMT" w:cs="ArialMT"/>
        </w:rPr>
      </w:pPr>
    </w:p>
    <w:bookmarkStart w:id="90" w:name="_Toc336593166"/>
    <w:p w:rsidR="000313D8" w:rsidRDefault="000313D8" w:rsidP="000313D8">
      <w:pPr>
        <w:rPr>
          <w:szCs w:val="24"/>
        </w:rPr>
      </w:pPr>
      <w:r w:rsidRPr="00AF342C">
        <w:fldChar w:fldCharType="begin"/>
      </w:r>
      <w:r w:rsidRPr="00AF342C">
        <w:instrText xml:space="preserve"> AUTONUM  \* Arabic </w:instrText>
      </w:r>
      <w:r w:rsidRPr="00AF342C">
        <w:fldChar w:fldCharType="end"/>
      </w:r>
      <w:r>
        <w:tab/>
      </w:r>
      <w:r>
        <w:rPr>
          <w:szCs w:val="24"/>
        </w:rPr>
        <w:t>Am Nachmittag des 28. Juni 2012 besuchte die TWC den Trauben- und Weinerzeuger Chateau Vartely, in Orhei, Republik Moldau.</w:t>
      </w:r>
    </w:p>
    <w:p w:rsidR="000313D8" w:rsidRDefault="000313D8" w:rsidP="00747C66">
      <w:pPr>
        <w:pStyle w:val="Heading2"/>
      </w:pPr>
    </w:p>
    <w:p w:rsidR="000313D8" w:rsidRPr="004856BF" w:rsidRDefault="000313D8" w:rsidP="000313D8"/>
    <w:p w:rsidR="000313D8" w:rsidRPr="00483EFD" w:rsidRDefault="000313D8" w:rsidP="00747C66">
      <w:pPr>
        <w:pStyle w:val="Heading2"/>
      </w:pPr>
      <w:bookmarkStart w:id="91" w:name="_Toc368583052"/>
      <w:r>
        <w:t>Technische Arbeitsgruppe für Obstarten (TWF)</w:t>
      </w:r>
      <w:bookmarkEnd w:id="90"/>
      <w:bookmarkEnd w:id="91"/>
    </w:p>
    <w:p w:rsidR="000313D8" w:rsidRDefault="000313D8" w:rsidP="000313D8">
      <w:pPr>
        <w:rPr>
          <w:u w:val="single"/>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Die TWF hielt ihre dreiundvierzigste Tagung vom 30. Juli bis 3. August 2012 in Peking, China, ab.  Die Tagung wurde von Frau Carensa Petzer (Südafrika), der Vorsitzenden der TWF, eröffnet, die auch den Vorsitz führte.</w:t>
      </w:r>
    </w:p>
    <w:p w:rsidR="000313D8" w:rsidRDefault="000313D8" w:rsidP="000313D8">
      <w:pPr>
        <w:rPr>
          <w:szCs w:val="22"/>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An der TWF-Tagung nahmen 52 Teilnehmer aus 16 Verbandsmitgliedern, drei Beobachterstaaten und eine Beobachterorganisation teil.</w:t>
      </w:r>
    </w:p>
    <w:p w:rsidR="000313D8" w:rsidRDefault="000313D8" w:rsidP="000313D8">
      <w:pPr>
        <w:rPr>
          <w:szCs w:val="22"/>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An der vorbereitenden Arbeitstagung nahmen 25 Teilnehmer aus 9 Verbandsmitgliedern und drei Beobachterstaaten teil.</w:t>
      </w:r>
    </w:p>
    <w:p w:rsidR="000313D8" w:rsidRDefault="000313D8" w:rsidP="000313D8">
      <w:pPr>
        <w:rPr>
          <w:szCs w:val="22"/>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Die TWF wurde von Herrn Zhang Yanqui, Generaldirektor des Büros für Saatgutverwaltung, Landwirtschaftsministerium, und Herrn Huang Faqiang, stellvertretender Generaldirektor des Entwicklungszentrums für Wissenschaft und Technologie, Staatliche Forstverwaltung sowie dem stellvertretenden Generaldirektor des Sortenschutzamtes, Staatliche Forstverwaltung, begrüßt.</w:t>
      </w:r>
    </w:p>
    <w:p w:rsidR="000313D8" w:rsidRDefault="000313D8" w:rsidP="000313D8">
      <w:pPr>
        <w:rPr>
          <w:szCs w:val="22"/>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Die TWF bat TWF-Sachverständige um weitere Informationen über die Verwendung biochemischer und molekularer Verfahren bei Obstarten für Zwecke, wie etwa Sortenidentifikation, Verwaltung von Sortensammlungen und andere Anwendungen, die bei ihrer nächsten Tagung vorgestellt werden sollen. Der Sachverständige aus Frankreich würde bei der nächsten TWF-Tagung mehr Informationen liefern.</w:t>
      </w:r>
    </w:p>
    <w:p w:rsidR="000313D8" w:rsidRDefault="000313D8" w:rsidP="000313D8">
      <w:pPr>
        <w:rPr>
          <w:szCs w:val="22"/>
        </w:rPr>
      </w:pPr>
    </w:p>
    <w:p w:rsidR="000313D8" w:rsidRDefault="000313D8" w:rsidP="000313D8">
      <w:pPr>
        <w:rPr>
          <w:szCs w:val="22"/>
        </w:rPr>
      </w:pPr>
      <w:r w:rsidRPr="00FB5F45">
        <w:fldChar w:fldCharType="begin"/>
      </w:r>
      <w:r w:rsidRPr="00FB5F45">
        <w:instrText xml:space="preserve"> AUTONUM  \* Arabic </w:instrText>
      </w:r>
      <w:r w:rsidRPr="00FB5F45">
        <w:fldChar w:fldCharType="end"/>
      </w:r>
      <w:r>
        <w:tab/>
      </w:r>
      <w:r>
        <w:rPr>
          <w:szCs w:val="22"/>
        </w:rPr>
        <w:t>Die TWF prüfte folgende Angelegenheiten auf der Grundlage v</w:t>
      </w:r>
      <w:r w:rsidR="00916DB0">
        <w:rPr>
          <w:szCs w:val="22"/>
        </w:rPr>
        <w:t>on Dokument TWF/43/3 „TGP</w:t>
      </w:r>
      <w:r w:rsidR="00916DB0">
        <w:rPr>
          <w:szCs w:val="22"/>
        </w:rPr>
        <w:noBreakHyphen/>
      </w:r>
      <w:r>
        <w:rPr>
          <w:szCs w:val="22"/>
        </w:rPr>
        <w:t>Dokumente“.</w:t>
      </w:r>
    </w:p>
    <w:p w:rsidR="000313D8" w:rsidRDefault="000313D8" w:rsidP="000313D8">
      <w:pPr>
        <w:ind w:firstLine="360"/>
        <w:rPr>
          <w:szCs w:val="22"/>
        </w:rPr>
      </w:pPr>
    </w:p>
    <w:p w:rsidR="000313D8" w:rsidRDefault="000313D8" w:rsidP="00916DB0">
      <w:pPr>
        <w:keepNext/>
        <w:ind w:firstLine="567"/>
        <w:rPr>
          <w:szCs w:val="22"/>
        </w:rPr>
      </w:pPr>
      <w:r>
        <w:rPr>
          <w:szCs w:val="22"/>
        </w:rPr>
        <w:lastRenderedPageBreak/>
        <w:t>TGP/7:  Erstellung von Prüfungsrichtlinien</w:t>
      </w:r>
    </w:p>
    <w:p w:rsidR="000313D8" w:rsidRDefault="000313D8" w:rsidP="00916DB0">
      <w:pPr>
        <w:numPr>
          <w:ilvl w:val="0"/>
          <w:numId w:val="32"/>
        </w:numPr>
        <w:tabs>
          <w:tab w:val="clear" w:pos="720"/>
        </w:tabs>
        <w:ind w:left="993" w:hanging="437"/>
        <w:jc w:val="left"/>
        <w:rPr>
          <w:szCs w:val="22"/>
        </w:rPr>
      </w:pPr>
      <w:r>
        <w:rPr>
          <w:szCs w:val="22"/>
        </w:rPr>
        <w:t>Zusammenfassung der für Dokument TGP/7 „Erstellung von Prüfungsrichtlinien” vereinbarten Überarbeitungen</w:t>
      </w:r>
    </w:p>
    <w:p w:rsidR="000313D8" w:rsidRDefault="000313D8" w:rsidP="00916DB0">
      <w:pPr>
        <w:numPr>
          <w:ilvl w:val="0"/>
          <w:numId w:val="32"/>
        </w:numPr>
        <w:tabs>
          <w:tab w:val="clear" w:pos="720"/>
        </w:tabs>
        <w:ind w:left="993" w:hanging="437"/>
        <w:jc w:val="left"/>
        <w:rPr>
          <w:szCs w:val="22"/>
        </w:rPr>
      </w:pPr>
      <w:r>
        <w:rPr>
          <w:szCs w:val="22"/>
        </w:rPr>
        <w:t>Anleitung zu der Zahl der (auf Unterscheidbarkeit) zu prüfenden Pflanzen</w:t>
      </w:r>
    </w:p>
    <w:p w:rsidR="000313D8" w:rsidRDefault="000313D8" w:rsidP="00916DB0">
      <w:pPr>
        <w:numPr>
          <w:ilvl w:val="0"/>
          <w:numId w:val="32"/>
        </w:numPr>
        <w:tabs>
          <w:tab w:val="clear" w:pos="720"/>
        </w:tabs>
        <w:ind w:left="993" w:hanging="437"/>
        <w:jc w:val="left"/>
        <w:rPr>
          <w:szCs w:val="22"/>
        </w:rPr>
      </w:pPr>
      <w:r>
        <w:rPr>
          <w:szCs w:val="22"/>
        </w:rPr>
        <w:t>Anleitung für die Erfassungsmethode</w:t>
      </w:r>
    </w:p>
    <w:p w:rsidR="000313D8" w:rsidRDefault="000313D8" w:rsidP="00916DB0">
      <w:pPr>
        <w:numPr>
          <w:ilvl w:val="0"/>
          <w:numId w:val="32"/>
        </w:numPr>
        <w:tabs>
          <w:tab w:val="clear" w:pos="720"/>
        </w:tabs>
        <w:ind w:left="993" w:hanging="437"/>
        <w:jc w:val="left"/>
        <w:rPr>
          <w:szCs w:val="22"/>
        </w:rPr>
      </w:pPr>
      <w:r>
        <w:rPr>
          <w:szCs w:val="22"/>
        </w:rPr>
        <w:t>Beilegen von Fotos zum Technischen Fragebogen</w:t>
      </w:r>
    </w:p>
    <w:p w:rsidR="000313D8" w:rsidRDefault="000313D8" w:rsidP="00916DB0">
      <w:pPr>
        <w:numPr>
          <w:ilvl w:val="0"/>
          <w:numId w:val="32"/>
        </w:numPr>
        <w:tabs>
          <w:tab w:val="clear" w:pos="720"/>
        </w:tabs>
        <w:ind w:left="993" w:hanging="437"/>
        <w:rPr>
          <w:szCs w:val="22"/>
        </w:rPr>
      </w:pPr>
      <w:r>
        <w:rPr>
          <w:szCs w:val="22"/>
        </w:rPr>
        <w:t>Beispielsorten</w:t>
      </w:r>
    </w:p>
    <w:p w:rsidR="000313D8" w:rsidRDefault="000313D8" w:rsidP="000313D8">
      <w:pPr>
        <w:rPr>
          <w:szCs w:val="22"/>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Die TWF hörte ein Referat über Beispielssorten von einem Sachverständigen aus Frankreich und schlug vor, daß der Führende Sachverständige bei der Verfassung von Prüfungsrichtlinien nach einem Ansatz in drei Schritten vorgehen sollte.</w:t>
      </w:r>
    </w:p>
    <w:p w:rsidR="000313D8" w:rsidRDefault="000313D8" w:rsidP="000313D8">
      <w:pPr>
        <w:rPr>
          <w:szCs w:val="22"/>
        </w:rPr>
      </w:pPr>
    </w:p>
    <w:p w:rsidR="000313D8" w:rsidRDefault="000313D8" w:rsidP="00916DB0">
      <w:pPr>
        <w:numPr>
          <w:ilvl w:val="0"/>
          <w:numId w:val="33"/>
        </w:numPr>
        <w:tabs>
          <w:tab w:val="clear" w:pos="720"/>
          <w:tab w:val="left" w:pos="993"/>
        </w:tabs>
        <w:ind w:left="1985" w:hanging="1418"/>
        <w:rPr>
          <w:szCs w:val="22"/>
        </w:rPr>
      </w:pPr>
      <w:r>
        <w:rPr>
          <w:szCs w:val="22"/>
        </w:rPr>
        <w:t>Schritt 1:</w:t>
      </w:r>
      <w:r>
        <w:tab/>
      </w:r>
      <w:r>
        <w:rPr>
          <w:szCs w:val="22"/>
        </w:rPr>
        <w:t>abklären, ob Beispielssorten für ein bestimmtes Merkmal erforderlich sind;</w:t>
      </w:r>
    </w:p>
    <w:p w:rsidR="000313D8" w:rsidRDefault="000313D8" w:rsidP="00916DB0">
      <w:pPr>
        <w:numPr>
          <w:ilvl w:val="0"/>
          <w:numId w:val="33"/>
        </w:numPr>
        <w:tabs>
          <w:tab w:val="clear" w:pos="720"/>
          <w:tab w:val="left" w:pos="993"/>
          <w:tab w:val="left" w:pos="1710"/>
        </w:tabs>
        <w:ind w:left="1985" w:hanging="1418"/>
        <w:rPr>
          <w:szCs w:val="22"/>
        </w:rPr>
      </w:pPr>
      <w:r>
        <w:rPr>
          <w:szCs w:val="22"/>
        </w:rPr>
        <w:t xml:space="preserve">Schritt 2: </w:t>
      </w:r>
      <w:r>
        <w:tab/>
      </w:r>
      <w:r>
        <w:rPr>
          <w:szCs w:val="22"/>
        </w:rPr>
        <w:t>falls als erforderlich angesehen, sollten die Beispielssorten, die als gemeinsame oder universelle Beispielssorten verwendet werden könnten, aufgeführt werden;</w:t>
      </w:r>
    </w:p>
    <w:p w:rsidR="000313D8" w:rsidRDefault="000313D8" w:rsidP="00916DB0">
      <w:pPr>
        <w:numPr>
          <w:ilvl w:val="0"/>
          <w:numId w:val="33"/>
        </w:numPr>
        <w:tabs>
          <w:tab w:val="clear" w:pos="720"/>
          <w:tab w:val="left" w:pos="993"/>
        </w:tabs>
        <w:ind w:left="1985" w:hanging="1418"/>
        <w:rPr>
          <w:szCs w:val="22"/>
        </w:rPr>
      </w:pPr>
      <w:r>
        <w:rPr>
          <w:szCs w:val="22"/>
        </w:rPr>
        <w:t>Schritt 3:</w:t>
      </w:r>
      <w:r>
        <w:tab/>
      </w:r>
      <w:r>
        <w:rPr>
          <w:szCs w:val="22"/>
        </w:rPr>
        <w:t>festlegen, ob ein regionaler Satz an Beispielssorten für die</w:t>
      </w:r>
      <w:r w:rsidR="00916DB0">
        <w:rPr>
          <w:szCs w:val="22"/>
        </w:rPr>
        <w:t xml:space="preserve"> </w:t>
      </w:r>
      <w:r>
        <w:rPr>
          <w:szCs w:val="22"/>
        </w:rPr>
        <w:t xml:space="preserve">jeweilige Prüfungsrichtlinie notwendig ist. </w:t>
      </w:r>
    </w:p>
    <w:p w:rsidR="000313D8" w:rsidRDefault="000313D8" w:rsidP="000313D8">
      <w:pPr>
        <w:rPr>
          <w:szCs w:val="22"/>
        </w:rPr>
      </w:pPr>
    </w:p>
    <w:p w:rsidR="000313D8" w:rsidRDefault="000313D8" w:rsidP="000313D8">
      <w:r w:rsidRPr="00FB5F45">
        <w:fldChar w:fldCharType="begin"/>
      </w:r>
      <w:r w:rsidRPr="00FB5F45">
        <w:instrText xml:space="preserve"> AUTONUM  \* Arabic </w:instrText>
      </w:r>
      <w:r w:rsidRPr="00FB5F45">
        <w:fldChar w:fldCharType="end"/>
      </w:r>
      <w:r>
        <w:tab/>
        <w:t>Die TWF prüfte Dokument TWF/46/16 „Überarbeitung von Dokument TGP/8: Teil I: DUS-Prüfungsanlage und Datenanalyse, Neuer Abschnitt 2 : Zu erfassende Daten” und stimmte darin überein, daß das Dokument dem TC auf seiner nächsten Tagung zur Billigung vorgelegt werden solle.</w:t>
      </w:r>
    </w:p>
    <w:p w:rsidR="000313D8" w:rsidRDefault="000313D8" w:rsidP="000313D8">
      <w:pPr>
        <w:ind w:left="720" w:hanging="720"/>
        <w:rPr>
          <w:szCs w:val="22"/>
        </w:rPr>
      </w:pPr>
    </w:p>
    <w:p w:rsidR="000313D8" w:rsidRPr="009A1588" w:rsidRDefault="000313D8" w:rsidP="000313D8">
      <w:r w:rsidRPr="00AF342C">
        <w:fldChar w:fldCharType="begin"/>
      </w:r>
      <w:r w:rsidRPr="00AF342C">
        <w:instrText xml:space="preserve"> AUTONUM  \* Arabic </w:instrText>
      </w:r>
      <w:r w:rsidRPr="00AF342C">
        <w:fldChar w:fldCharType="end"/>
      </w:r>
      <w:r>
        <w:tab/>
        <w:t>Bezüglich Dokument TGP/14 „Glossar der in den UPOV-Dokumenten verwendeten Begriffe” prüfte die TWF das Dokument TWF/46/27:  „Überarbeitung von Dokument TGP/14: Abschnitt 2: Botanische Begriffe; Unterabschnitt 2: Formen und Strukturen”.  Im Hinblick auf die Überarbeitung von „Bestandteile der Form: Ausprägungsstufen für Verhältnisse”:</w:t>
      </w:r>
    </w:p>
    <w:p w:rsidR="000313D8" w:rsidRDefault="000313D8" w:rsidP="000313D8">
      <w:pPr>
        <w:rPr>
          <w:szCs w:val="22"/>
        </w:rPr>
      </w:pPr>
    </w:p>
    <w:p w:rsidR="000313D8" w:rsidRPr="00127B67" w:rsidRDefault="000313D8" w:rsidP="000313D8">
      <w:pPr>
        <w:numPr>
          <w:ilvl w:val="0"/>
          <w:numId w:val="33"/>
        </w:numPr>
        <w:rPr>
          <w:szCs w:val="22"/>
        </w:rPr>
      </w:pPr>
      <w:r>
        <w:rPr>
          <w:szCs w:val="22"/>
        </w:rPr>
        <w:t>schätzte es die TWF, daß andere TWP ihrem früheren Vorschlag, alle Stufen, von „zusammengedrückt bis langgezogen“ zu haben, zugestimmt hatten.</w:t>
      </w:r>
    </w:p>
    <w:p w:rsidR="000313D8" w:rsidRPr="00127B67" w:rsidRDefault="000313D8" w:rsidP="000313D8">
      <w:pPr>
        <w:numPr>
          <w:ilvl w:val="0"/>
          <w:numId w:val="33"/>
        </w:numPr>
        <w:rPr>
          <w:szCs w:val="22"/>
        </w:rPr>
      </w:pPr>
      <w:r>
        <w:rPr>
          <w:szCs w:val="22"/>
        </w:rPr>
        <w:t>ersuchte die TWF darum, daß die vorgeschlagenen Änderungen im gesamten Dokument TGP/14 durchgehend umgesetzt werden.</w:t>
      </w:r>
    </w:p>
    <w:p w:rsidR="000313D8" w:rsidRPr="00127B67" w:rsidRDefault="000313D8" w:rsidP="000313D8">
      <w:pPr>
        <w:numPr>
          <w:ilvl w:val="0"/>
          <w:numId w:val="33"/>
        </w:numPr>
        <w:rPr>
          <w:szCs w:val="22"/>
        </w:rPr>
      </w:pPr>
      <w:r>
        <w:rPr>
          <w:szCs w:val="22"/>
        </w:rPr>
        <w:t>schlug sie vor, daß das Verhältnis Durchmesser/Höhe in Verhältnis Länge/Breite geändert werde, um Übereinstimmung im gesamten Dokument TGP/14 zu gewährleisten.</w:t>
      </w:r>
    </w:p>
    <w:p w:rsidR="000313D8" w:rsidRDefault="000313D8" w:rsidP="000313D8">
      <w:pPr>
        <w:rPr>
          <w:szCs w:val="22"/>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Die TWF nahm die Entwicklungen, über die in Dokument  TWF/43/4 „Sortenbezeichnungen” berichtet wird, zur Kenntnis.</w:t>
      </w:r>
    </w:p>
    <w:p w:rsidR="000313D8" w:rsidRDefault="000313D8" w:rsidP="000313D8">
      <w:pPr>
        <w:rPr>
          <w:szCs w:val="22"/>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Die TWF prüfte Dokument TWF/43/19 „Webcasting von UPOV-Tagungen”, wies aber auf die Grenzen elektronischer Kommunikationsmittel bei großem Publikum, wenn aktive Beiträge gefordert sind, hin.</w:t>
      </w:r>
    </w:p>
    <w:p w:rsidR="000313D8" w:rsidRDefault="000313D8" w:rsidP="000313D8">
      <w:pPr>
        <w:rPr>
          <w:szCs w:val="22"/>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Die TWF prüfte Dokument TWF/43/36 „</w:t>
      </w:r>
      <w:r>
        <w:t>Vorschlag für eine Teilüberarbeitung der Prüfungsrichtlinien für Mandarine</w:t>
      </w:r>
      <w:r>
        <w:rPr>
          <w:szCs w:val="22"/>
        </w:rPr>
        <w:t xml:space="preserve">” und hörte ein Referat von Herrn Jean Maison (Europäische Union), dem Koordinator der Untergruppe. Die Sachverständigen aus Spanien und Marokko berichteten über ihre bisherigen Fortschritte. Die TWF nahm zur Kenntnis, daß der TWF auf ihrer Tagung im Jahr 2013 die Ergebnisse vorgelegt würden, die die Ringprüfungen, die auf der Grundlage der vereinbarten Methodik durchgeführt wurden, ergeben haben.  </w:t>
      </w:r>
    </w:p>
    <w:p w:rsidR="000313D8" w:rsidRDefault="000313D8" w:rsidP="000313D8">
      <w:pPr>
        <w:rPr>
          <w:szCs w:val="22"/>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Die TWF bedankte sich für die als Koordinator der Untergruppe geleistete Arbeit von Herrn Jean Maison (Europäische Union).</w:t>
      </w:r>
    </w:p>
    <w:p w:rsidR="000313D8" w:rsidRDefault="000313D8" w:rsidP="000313D8">
      <w:pPr>
        <w:rPr>
          <w:szCs w:val="22"/>
        </w:rPr>
      </w:pPr>
    </w:p>
    <w:p w:rsidR="000313D8" w:rsidRPr="004265E2"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 xml:space="preserve">Die TWF vereinbarte, dem TC folgende Entwürfe von Prüfungsrichtlinien zur Annahme vorzulegen: </w:t>
      </w:r>
      <w:r>
        <w:rPr>
          <w:i/>
          <w:szCs w:val="22"/>
        </w:rPr>
        <w:t>Fortunella</w:t>
      </w:r>
      <w:r>
        <w:rPr>
          <w:szCs w:val="22"/>
        </w:rPr>
        <w:t xml:space="preserve"> Swingle, Papaya (</w:t>
      </w:r>
      <w:r>
        <w:rPr>
          <w:i/>
          <w:szCs w:val="22"/>
        </w:rPr>
        <w:t xml:space="preserve">Carica papaya </w:t>
      </w:r>
      <w:r>
        <w:rPr>
          <w:szCs w:val="22"/>
        </w:rPr>
        <w:t>L.), Ananas (</w:t>
      </w:r>
      <w:r>
        <w:rPr>
          <w:i/>
          <w:szCs w:val="22"/>
        </w:rPr>
        <w:t>Ananas comosus</w:t>
      </w:r>
      <w:r>
        <w:rPr>
          <w:szCs w:val="22"/>
        </w:rPr>
        <w:t xml:space="preserve"> L. Merr.) und Granatapfel (</w:t>
      </w:r>
      <w:r>
        <w:rPr>
          <w:i/>
          <w:szCs w:val="22"/>
        </w:rPr>
        <w:t>Punica</w:t>
      </w:r>
      <w:r w:rsidR="00916DB0">
        <w:rPr>
          <w:i/>
          <w:szCs w:val="22"/>
        </w:rPr>
        <w:t> </w:t>
      </w:r>
      <w:r>
        <w:rPr>
          <w:i/>
          <w:szCs w:val="22"/>
        </w:rPr>
        <w:t>granatum</w:t>
      </w:r>
      <w:r>
        <w:rPr>
          <w:szCs w:val="22"/>
        </w:rPr>
        <w:t xml:space="preserve"> L.). </w:t>
      </w:r>
    </w:p>
    <w:p w:rsidR="000313D8" w:rsidRDefault="000313D8" w:rsidP="000313D8">
      <w:pPr>
        <w:rPr>
          <w:szCs w:val="22"/>
        </w:rPr>
      </w:pPr>
    </w:p>
    <w:p w:rsidR="000313D8" w:rsidRDefault="000313D8" w:rsidP="000313D8">
      <w:r w:rsidRPr="00AF342C">
        <w:fldChar w:fldCharType="begin"/>
      </w:r>
      <w:r w:rsidRPr="00AF342C">
        <w:instrText xml:space="preserve"> AUTONUM  \* Arabic </w:instrText>
      </w:r>
      <w:r w:rsidRPr="00AF342C">
        <w:fldChar w:fldCharType="end"/>
      </w:r>
      <w:r>
        <w:tab/>
        <w:t>Die TWF vereinbarte, folgende Entwürfe von Prüfungsrichtlinien auf ihrer vierundvierzigsten Tagung zu erörtern:</w:t>
      </w:r>
    </w:p>
    <w:p w:rsidR="000313D8" w:rsidRDefault="000313D8" w:rsidP="000313D8">
      <w:pPr>
        <w:rPr>
          <w:szCs w:val="22"/>
        </w:rPr>
      </w:pPr>
    </w:p>
    <w:p w:rsidR="000313D8" w:rsidRDefault="000313D8" w:rsidP="00916DB0">
      <w:pPr>
        <w:numPr>
          <w:ilvl w:val="0"/>
          <w:numId w:val="38"/>
        </w:numPr>
        <w:tabs>
          <w:tab w:val="clear" w:pos="720"/>
        </w:tabs>
        <w:ind w:left="993" w:hanging="426"/>
        <w:rPr>
          <w:szCs w:val="22"/>
        </w:rPr>
      </w:pPr>
      <w:r>
        <w:rPr>
          <w:snapToGrid w:val="0"/>
          <w:color w:val="000000"/>
        </w:rPr>
        <w:t>Avokado Unterlage (</w:t>
      </w:r>
      <w:r>
        <w:rPr>
          <w:i/>
          <w:snapToGrid w:val="0"/>
          <w:color w:val="000000"/>
        </w:rPr>
        <w:t>Persea</w:t>
      </w:r>
      <w:r>
        <w:rPr>
          <w:snapToGrid w:val="0"/>
          <w:color w:val="000000"/>
        </w:rPr>
        <w:t xml:space="preserve"> Mill.)</w:t>
      </w:r>
    </w:p>
    <w:p w:rsidR="000313D8" w:rsidRDefault="000313D8" w:rsidP="00916DB0">
      <w:pPr>
        <w:numPr>
          <w:ilvl w:val="0"/>
          <w:numId w:val="38"/>
        </w:numPr>
        <w:tabs>
          <w:tab w:val="clear" w:pos="720"/>
        </w:tabs>
        <w:ind w:left="993" w:hanging="426"/>
        <w:rPr>
          <w:rFonts w:cs="Arial"/>
          <w:snapToGrid w:val="0"/>
          <w:color w:val="000000"/>
        </w:rPr>
      </w:pPr>
      <w:r>
        <w:rPr>
          <w:snapToGrid w:val="0"/>
          <w:color w:val="000000"/>
        </w:rPr>
        <w:t>Brasilianische Guave (</w:t>
      </w:r>
      <w:r>
        <w:rPr>
          <w:i/>
          <w:snapToGrid w:val="0"/>
          <w:color w:val="000000"/>
        </w:rPr>
        <w:t>Acca sellowiana</w:t>
      </w:r>
      <w:r>
        <w:rPr>
          <w:snapToGrid w:val="0"/>
          <w:color w:val="000000"/>
        </w:rPr>
        <w:t xml:space="preserve"> (Berg) Burret)</w:t>
      </w:r>
    </w:p>
    <w:p w:rsidR="000313D8" w:rsidRDefault="000313D8" w:rsidP="00916DB0">
      <w:pPr>
        <w:numPr>
          <w:ilvl w:val="0"/>
          <w:numId w:val="38"/>
        </w:numPr>
        <w:tabs>
          <w:tab w:val="clear" w:pos="720"/>
        </w:tabs>
        <w:ind w:left="993" w:hanging="426"/>
        <w:rPr>
          <w:rFonts w:cs="Arial"/>
          <w:snapToGrid w:val="0"/>
          <w:color w:val="000000"/>
        </w:rPr>
      </w:pPr>
      <w:r>
        <w:rPr>
          <w:i/>
          <w:snapToGrid w:val="0"/>
          <w:color w:val="000000"/>
        </w:rPr>
        <w:t>Apfelunterlagen (</w:t>
      </w:r>
      <w:r>
        <w:rPr>
          <w:snapToGrid w:val="0"/>
          <w:color w:val="000000"/>
        </w:rPr>
        <w:t>Malus Mill.) (Überarbeitung)</w:t>
      </w:r>
    </w:p>
    <w:p w:rsidR="000313D8" w:rsidRDefault="000313D8" w:rsidP="00916DB0">
      <w:pPr>
        <w:numPr>
          <w:ilvl w:val="0"/>
          <w:numId w:val="38"/>
        </w:numPr>
        <w:tabs>
          <w:tab w:val="clear" w:pos="720"/>
        </w:tabs>
        <w:ind w:left="993" w:hanging="426"/>
        <w:rPr>
          <w:rFonts w:cs="Arial"/>
          <w:snapToGrid w:val="0"/>
          <w:color w:val="000000"/>
        </w:rPr>
      </w:pPr>
      <w:r>
        <w:rPr>
          <w:snapToGrid w:val="0"/>
          <w:color w:val="000000"/>
        </w:rPr>
        <w:t>Kokosnuß (</w:t>
      </w:r>
      <w:r>
        <w:rPr>
          <w:i/>
          <w:snapToGrid w:val="0"/>
          <w:color w:val="000000"/>
        </w:rPr>
        <w:t>Cocos nucifera</w:t>
      </w:r>
      <w:r>
        <w:rPr>
          <w:snapToGrid w:val="0"/>
          <w:color w:val="000000"/>
        </w:rPr>
        <w:t xml:space="preserve"> L.)</w:t>
      </w:r>
    </w:p>
    <w:p w:rsidR="000313D8" w:rsidRDefault="000313D8" w:rsidP="00916DB0">
      <w:pPr>
        <w:numPr>
          <w:ilvl w:val="0"/>
          <w:numId w:val="38"/>
        </w:numPr>
        <w:tabs>
          <w:tab w:val="clear" w:pos="720"/>
        </w:tabs>
        <w:ind w:left="993" w:hanging="426"/>
        <w:rPr>
          <w:rFonts w:cs="Arial"/>
          <w:snapToGrid w:val="0"/>
          <w:color w:val="000000"/>
        </w:rPr>
      </w:pPr>
      <w:r>
        <w:rPr>
          <w:snapToGrid w:val="0"/>
          <w:color w:val="000000"/>
        </w:rPr>
        <w:t>Litschi (</w:t>
      </w:r>
      <w:r>
        <w:rPr>
          <w:i/>
          <w:snapToGrid w:val="0"/>
          <w:color w:val="000000"/>
        </w:rPr>
        <w:t>Litchi chinensis</w:t>
      </w:r>
      <w:r>
        <w:rPr>
          <w:snapToGrid w:val="0"/>
          <w:color w:val="000000"/>
        </w:rPr>
        <w:t xml:space="preserve"> Sonn.)</w:t>
      </w:r>
    </w:p>
    <w:p w:rsidR="000313D8" w:rsidRDefault="000313D8" w:rsidP="00916DB0">
      <w:pPr>
        <w:numPr>
          <w:ilvl w:val="0"/>
          <w:numId w:val="38"/>
        </w:numPr>
        <w:tabs>
          <w:tab w:val="clear" w:pos="720"/>
        </w:tabs>
        <w:ind w:left="993" w:hanging="426"/>
        <w:rPr>
          <w:rFonts w:cs="Arial"/>
          <w:snapToGrid w:val="0"/>
          <w:color w:val="000000"/>
        </w:rPr>
      </w:pPr>
      <w:r>
        <w:rPr>
          <w:snapToGrid w:val="0"/>
          <w:color w:val="000000"/>
        </w:rPr>
        <w:lastRenderedPageBreak/>
        <w:t>Mandarine (</w:t>
      </w:r>
      <w:r>
        <w:rPr>
          <w:i/>
          <w:snapToGrid w:val="0"/>
          <w:color w:val="000000"/>
        </w:rPr>
        <w:t>Citrus</w:t>
      </w:r>
      <w:r>
        <w:rPr>
          <w:snapToGrid w:val="0"/>
          <w:color w:val="000000"/>
        </w:rPr>
        <w:t xml:space="preserve"> L. - Gruppe 1) (Teilüberarbeitung)</w:t>
      </w:r>
    </w:p>
    <w:p w:rsidR="000313D8" w:rsidRDefault="000313D8" w:rsidP="00916DB0">
      <w:pPr>
        <w:numPr>
          <w:ilvl w:val="0"/>
          <w:numId w:val="38"/>
        </w:numPr>
        <w:tabs>
          <w:tab w:val="clear" w:pos="720"/>
        </w:tabs>
        <w:ind w:left="993" w:hanging="426"/>
        <w:rPr>
          <w:rFonts w:cs="Arial"/>
          <w:snapToGrid w:val="0"/>
          <w:color w:val="000000"/>
        </w:rPr>
      </w:pPr>
      <w:r>
        <w:rPr>
          <w:snapToGrid w:val="0"/>
          <w:color w:val="000000"/>
        </w:rPr>
        <w:t>Pfirsich (</w:t>
      </w:r>
      <w:r>
        <w:rPr>
          <w:i/>
          <w:snapToGrid w:val="0"/>
          <w:color w:val="000000"/>
        </w:rPr>
        <w:t>Prunus persica</w:t>
      </w:r>
      <w:r>
        <w:rPr>
          <w:snapToGrid w:val="0"/>
          <w:color w:val="000000"/>
        </w:rPr>
        <w:t xml:space="preserve"> (L.) Batsch) (Teilüberarbeitung)</w:t>
      </w:r>
    </w:p>
    <w:p w:rsidR="000313D8" w:rsidRDefault="000313D8" w:rsidP="00916DB0">
      <w:pPr>
        <w:numPr>
          <w:ilvl w:val="0"/>
          <w:numId w:val="38"/>
        </w:numPr>
        <w:tabs>
          <w:tab w:val="clear" w:pos="720"/>
        </w:tabs>
        <w:ind w:left="993" w:hanging="426"/>
        <w:rPr>
          <w:rFonts w:cs="Arial"/>
          <w:snapToGrid w:val="0"/>
          <w:color w:val="000000"/>
        </w:rPr>
      </w:pPr>
      <w:r>
        <w:rPr>
          <w:snapToGrid w:val="0"/>
          <w:color w:val="000000"/>
        </w:rPr>
        <w:t>Pekannuß (</w:t>
      </w:r>
      <w:r>
        <w:rPr>
          <w:i/>
          <w:snapToGrid w:val="0"/>
          <w:color w:val="000000"/>
        </w:rPr>
        <w:t>Carya illinoinensis</w:t>
      </w:r>
      <w:r>
        <w:rPr>
          <w:snapToGrid w:val="0"/>
          <w:color w:val="000000"/>
        </w:rPr>
        <w:t xml:space="preserve"> (Wangenh.) K. Koch)</w:t>
      </w:r>
    </w:p>
    <w:p w:rsidR="000313D8" w:rsidRDefault="000313D8" w:rsidP="00916DB0">
      <w:pPr>
        <w:numPr>
          <w:ilvl w:val="0"/>
          <w:numId w:val="38"/>
        </w:numPr>
        <w:tabs>
          <w:tab w:val="clear" w:pos="720"/>
        </w:tabs>
        <w:ind w:left="993" w:hanging="426"/>
        <w:rPr>
          <w:rFonts w:cs="Arial"/>
          <w:snapToGrid w:val="0"/>
          <w:color w:val="000000"/>
        </w:rPr>
      </w:pPr>
      <w:r>
        <w:rPr>
          <w:snapToGrid w:val="0"/>
          <w:color w:val="000000"/>
        </w:rPr>
        <w:t>Pflaumenunterlagen (</w:t>
      </w:r>
      <w:r>
        <w:rPr>
          <w:i/>
          <w:snapToGrid w:val="0"/>
          <w:color w:val="000000"/>
        </w:rPr>
        <w:t>Prunus</w:t>
      </w:r>
      <w:r>
        <w:rPr>
          <w:snapToGrid w:val="0"/>
          <w:color w:val="000000"/>
        </w:rPr>
        <w:t xml:space="preserve"> L.) (Überarbeitung)</w:t>
      </w:r>
    </w:p>
    <w:p w:rsidR="000313D8" w:rsidRPr="00137EEF" w:rsidRDefault="000313D8" w:rsidP="00916DB0">
      <w:pPr>
        <w:numPr>
          <w:ilvl w:val="0"/>
          <w:numId w:val="38"/>
        </w:numPr>
        <w:tabs>
          <w:tab w:val="clear" w:pos="720"/>
        </w:tabs>
        <w:ind w:left="993" w:hanging="426"/>
        <w:rPr>
          <w:szCs w:val="22"/>
        </w:rPr>
      </w:pPr>
      <w:r>
        <w:rPr>
          <w:snapToGrid w:val="0"/>
          <w:color w:val="000000"/>
        </w:rPr>
        <w:t>Vanille (</w:t>
      </w:r>
      <w:r>
        <w:rPr>
          <w:i/>
          <w:snapToGrid w:val="0"/>
          <w:color w:val="000000"/>
        </w:rPr>
        <w:t>Vanilla planifolia</w:t>
      </w:r>
      <w:r>
        <w:rPr>
          <w:snapToGrid w:val="0"/>
          <w:color w:val="000000"/>
        </w:rPr>
        <w:t xml:space="preserve"> Jacks.)</w:t>
      </w:r>
    </w:p>
    <w:p w:rsidR="000313D8" w:rsidRDefault="000313D8" w:rsidP="00916DB0">
      <w:pPr>
        <w:numPr>
          <w:ilvl w:val="0"/>
          <w:numId w:val="38"/>
        </w:numPr>
        <w:tabs>
          <w:tab w:val="clear" w:pos="720"/>
        </w:tabs>
        <w:ind w:left="993" w:hanging="426"/>
        <w:rPr>
          <w:rFonts w:cs="Arial"/>
          <w:snapToGrid w:val="0"/>
          <w:color w:val="000000"/>
        </w:rPr>
      </w:pPr>
      <w:r>
        <w:rPr>
          <w:snapToGrid w:val="0"/>
          <w:color w:val="000000"/>
        </w:rPr>
        <w:t>Waalnuß (</w:t>
      </w:r>
      <w:r>
        <w:rPr>
          <w:i/>
          <w:snapToGrid w:val="0"/>
          <w:color w:val="000000"/>
        </w:rPr>
        <w:t>Juglans regia</w:t>
      </w:r>
      <w:r>
        <w:rPr>
          <w:snapToGrid w:val="0"/>
          <w:color w:val="000000"/>
        </w:rPr>
        <w:t xml:space="preserve"> L.) (Überarbeitung)</w:t>
      </w:r>
    </w:p>
    <w:p w:rsidR="000313D8" w:rsidRPr="00137EEF" w:rsidRDefault="000313D8" w:rsidP="000313D8">
      <w:pPr>
        <w:rPr>
          <w:szCs w:val="22"/>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Auf Einladung des Sachverständigen aus Neuseeland stimmte die TWF zu, ihre vierundvierzigste Tagung vom 29. April bis 3. Mai 2013 mit der vorbereitenden Arbeitstagung am 28. April 2013 in Napier, Neuseeland, abzuhalten.</w:t>
      </w:r>
    </w:p>
    <w:p w:rsidR="000313D8" w:rsidRDefault="000313D8" w:rsidP="000313D8">
      <w:pPr>
        <w:rPr>
          <w:szCs w:val="22"/>
        </w:rPr>
      </w:pPr>
    </w:p>
    <w:p w:rsidR="000313D8" w:rsidRDefault="000313D8" w:rsidP="000313D8">
      <w:pPr>
        <w:keepNext/>
        <w:rPr>
          <w:szCs w:val="22"/>
        </w:rPr>
      </w:pPr>
      <w:r w:rsidRPr="00AF342C">
        <w:fldChar w:fldCharType="begin"/>
      </w:r>
      <w:r w:rsidRPr="00AF342C">
        <w:instrText xml:space="preserve"> AUTONUM  \* Arabic </w:instrText>
      </w:r>
      <w:r w:rsidRPr="00AF342C">
        <w:fldChar w:fldCharType="end"/>
      </w:r>
      <w:r>
        <w:tab/>
      </w:r>
      <w:r>
        <w:rPr>
          <w:szCs w:val="22"/>
        </w:rPr>
        <w:t>Die TWF schlug vor, auf ihrer nächsten Tagung folgende Punkte zu behandeln:</w:t>
      </w:r>
    </w:p>
    <w:p w:rsidR="000313D8" w:rsidRDefault="000313D8" w:rsidP="000313D8">
      <w:pPr>
        <w:keepNext/>
        <w:rPr>
          <w:szCs w:val="22"/>
        </w:rPr>
      </w:pPr>
    </w:p>
    <w:p w:rsidR="000313D8" w:rsidRPr="00080AD0" w:rsidRDefault="000313D8" w:rsidP="000313D8">
      <w:pPr>
        <w:keepNext/>
        <w:tabs>
          <w:tab w:val="num" w:pos="1134"/>
        </w:tabs>
        <w:spacing w:before="20" w:afterLines="20" w:after="48"/>
        <w:ind w:left="567"/>
        <w:rPr>
          <w:rFonts w:ascii="ArialMT" w:hAnsi="ArialMT" w:cs="ArialMT"/>
        </w:rPr>
      </w:pPr>
      <w:r>
        <w:rPr>
          <w:rFonts w:ascii="ArialMT" w:hAnsi="ArialMT"/>
        </w:rPr>
        <w:t>1.</w:t>
      </w:r>
      <w:r>
        <w:tab/>
      </w:r>
      <w:r>
        <w:rPr>
          <w:rFonts w:ascii="ArialMT" w:hAnsi="ArialMT"/>
        </w:rPr>
        <w:t>Eröffnung der Tagung</w:t>
      </w:r>
    </w:p>
    <w:p w:rsidR="000313D8" w:rsidRDefault="000313D8" w:rsidP="000313D8">
      <w:pPr>
        <w:tabs>
          <w:tab w:val="num" w:pos="1134"/>
        </w:tabs>
        <w:spacing w:before="20" w:afterLines="20" w:after="48"/>
        <w:ind w:left="567"/>
        <w:rPr>
          <w:rFonts w:ascii="ArialMT" w:hAnsi="ArialMT" w:cs="ArialMT"/>
        </w:rPr>
      </w:pPr>
      <w:r>
        <w:rPr>
          <w:rFonts w:ascii="ArialMT" w:hAnsi="ArialMT"/>
        </w:rPr>
        <w:t>2.</w:t>
      </w:r>
      <w:r>
        <w:tab/>
      </w:r>
      <w:r>
        <w:rPr>
          <w:rFonts w:ascii="ArialMT" w:hAnsi="ArialMT"/>
        </w:rPr>
        <w:t>Annahme der Tagesordnung</w:t>
      </w:r>
    </w:p>
    <w:p w:rsidR="000313D8" w:rsidRPr="00DE0C53" w:rsidRDefault="000313D8" w:rsidP="000313D8">
      <w:pPr>
        <w:tabs>
          <w:tab w:val="num" w:pos="1134"/>
        </w:tabs>
        <w:spacing w:before="20" w:afterLines="20" w:after="48"/>
        <w:ind w:left="567"/>
        <w:rPr>
          <w:rFonts w:cs="Arial"/>
        </w:rPr>
      </w:pPr>
      <w:r>
        <w:rPr>
          <w:rFonts w:ascii="ArialMT" w:hAnsi="ArialMT"/>
        </w:rPr>
        <w:t>3.</w:t>
      </w:r>
      <w:r>
        <w:tab/>
        <w:t>Kurzberichte über die Entwicklungen im Sortenschutz</w:t>
      </w:r>
    </w:p>
    <w:p w:rsidR="000313D8" w:rsidRPr="00DE0C53" w:rsidRDefault="000313D8" w:rsidP="000313D8">
      <w:pPr>
        <w:tabs>
          <w:tab w:val="num" w:pos="1494"/>
        </w:tabs>
        <w:spacing w:before="20" w:afterLines="20" w:after="48"/>
        <w:ind w:left="1134"/>
        <w:rPr>
          <w:rFonts w:cs="Arial"/>
        </w:rPr>
      </w:pPr>
      <w:r>
        <w:t>a)</w:t>
      </w:r>
      <w:r>
        <w:tab/>
        <w:t xml:space="preserve">Berichte von Mitgliedern und Beobachtern </w:t>
      </w:r>
    </w:p>
    <w:p w:rsidR="000313D8" w:rsidRPr="00D34B22" w:rsidRDefault="000313D8" w:rsidP="000313D8">
      <w:pPr>
        <w:tabs>
          <w:tab w:val="num" w:pos="1494"/>
        </w:tabs>
        <w:spacing w:before="20" w:afterLines="20" w:after="48"/>
        <w:ind w:left="1134"/>
        <w:rPr>
          <w:rFonts w:cs="Arial"/>
        </w:rPr>
      </w:pPr>
      <w:r>
        <w:t>b)</w:t>
      </w:r>
      <w:r>
        <w:tab/>
        <w:t xml:space="preserve">Berichte über Entwicklungen in der UPOV </w:t>
      </w:r>
    </w:p>
    <w:p w:rsidR="000313D8" w:rsidRPr="00080AD0" w:rsidRDefault="000313D8" w:rsidP="000313D8">
      <w:pPr>
        <w:tabs>
          <w:tab w:val="num" w:pos="1134"/>
        </w:tabs>
        <w:spacing w:before="20" w:afterLines="20" w:after="48"/>
        <w:ind w:left="567"/>
        <w:rPr>
          <w:rFonts w:ascii="ArialMT" w:hAnsi="ArialMT" w:cs="ArialMT"/>
        </w:rPr>
      </w:pPr>
      <w:r>
        <w:rPr>
          <w:rFonts w:ascii="ArialMT" w:hAnsi="ArialMT"/>
        </w:rPr>
        <w:t>4.</w:t>
      </w:r>
      <w:r>
        <w:tab/>
      </w:r>
      <w:r>
        <w:rPr>
          <w:rFonts w:ascii="ArialMT" w:hAnsi="ArialMT"/>
        </w:rPr>
        <w:t>Molekulare Verfahren</w:t>
      </w:r>
    </w:p>
    <w:p w:rsidR="000313D8" w:rsidRPr="00080AD0" w:rsidRDefault="000313D8" w:rsidP="000313D8">
      <w:pPr>
        <w:tabs>
          <w:tab w:val="num" w:pos="1134"/>
        </w:tabs>
        <w:spacing w:before="20" w:afterLines="20" w:after="48"/>
        <w:ind w:left="567"/>
        <w:rPr>
          <w:rFonts w:ascii="ArialMT" w:hAnsi="ArialMT" w:cs="ArialMT"/>
        </w:rPr>
      </w:pPr>
      <w:r>
        <w:rPr>
          <w:rFonts w:ascii="ArialMT" w:hAnsi="ArialMT"/>
        </w:rPr>
        <w:t>5.</w:t>
      </w:r>
      <w:r>
        <w:tab/>
      </w:r>
      <w:r>
        <w:rPr>
          <w:rFonts w:ascii="ArialMT" w:hAnsi="ArialMT"/>
        </w:rPr>
        <w:t>TGP-Dokumente</w:t>
      </w:r>
    </w:p>
    <w:p w:rsidR="000313D8" w:rsidRDefault="000313D8" w:rsidP="000313D8">
      <w:pPr>
        <w:tabs>
          <w:tab w:val="num" w:pos="1134"/>
        </w:tabs>
        <w:spacing w:before="20" w:afterLines="20" w:after="48"/>
        <w:ind w:left="567"/>
        <w:rPr>
          <w:rFonts w:ascii="ArialMT" w:hAnsi="ArialMT" w:cs="ArialMT"/>
        </w:rPr>
      </w:pPr>
      <w:r>
        <w:rPr>
          <w:rFonts w:ascii="ArialMT" w:hAnsi="ArialMT"/>
        </w:rPr>
        <w:t>6.</w:t>
      </w:r>
      <w:r>
        <w:tab/>
      </w:r>
      <w:r>
        <w:rPr>
          <w:rFonts w:ascii="ArialMT" w:hAnsi="ArialMT"/>
        </w:rPr>
        <w:t>Sortenbezeichnungen</w:t>
      </w:r>
    </w:p>
    <w:p w:rsidR="000313D8" w:rsidRPr="00CC587F" w:rsidRDefault="000313D8" w:rsidP="000313D8">
      <w:pPr>
        <w:spacing w:before="20" w:afterLines="20" w:after="48"/>
        <w:ind w:left="567"/>
        <w:rPr>
          <w:rFonts w:cs="Arial"/>
        </w:rPr>
      </w:pPr>
      <w:r>
        <w:rPr>
          <w:rFonts w:ascii="ArialMT" w:hAnsi="ArialMT"/>
        </w:rPr>
        <w:t>7.</w:t>
      </w:r>
      <w:r>
        <w:tab/>
        <w:t>Informationen und Datenbanken</w:t>
      </w:r>
    </w:p>
    <w:p w:rsidR="000313D8" w:rsidRPr="00CC587F" w:rsidRDefault="000313D8" w:rsidP="000313D8">
      <w:pPr>
        <w:spacing w:before="20" w:afterLines="20" w:after="48"/>
        <w:ind w:left="1584" w:hanging="450"/>
        <w:rPr>
          <w:rFonts w:cs="Arial"/>
        </w:rPr>
      </w:pPr>
      <w:r>
        <w:t>a)</w:t>
      </w:r>
      <w:r>
        <w:tab/>
        <w:t xml:space="preserve">UPOV-Informationsdatenbanken </w:t>
      </w:r>
    </w:p>
    <w:p w:rsidR="000313D8" w:rsidRPr="00CC587F" w:rsidRDefault="000313D8" w:rsidP="000313D8">
      <w:pPr>
        <w:spacing w:before="20" w:afterLines="20" w:after="48"/>
        <w:ind w:left="1584" w:hanging="450"/>
        <w:jc w:val="left"/>
        <w:rPr>
          <w:rFonts w:cs="Arial"/>
        </w:rPr>
      </w:pPr>
      <w:r>
        <w:t>b)</w:t>
      </w:r>
      <w:r>
        <w:tab/>
        <w:t xml:space="preserve">Datenbanken für Sortenbeschreibungen </w:t>
      </w:r>
    </w:p>
    <w:p w:rsidR="000313D8" w:rsidRPr="00CC587F" w:rsidRDefault="000313D8" w:rsidP="000313D8">
      <w:pPr>
        <w:spacing w:before="20" w:afterLines="20" w:after="48"/>
        <w:ind w:left="1584" w:hanging="450"/>
        <w:rPr>
          <w:rFonts w:cs="Arial"/>
        </w:rPr>
      </w:pPr>
      <w:r>
        <w:t>c)</w:t>
      </w:r>
      <w:r>
        <w:tab/>
        <w:t xml:space="preserve">Austauschbare Software </w:t>
      </w:r>
    </w:p>
    <w:p w:rsidR="000313D8" w:rsidRPr="00D43452" w:rsidRDefault="000313D8" w:rsidP="000313D8">
      <w:pPr>
        <w:spacing w:before="20" w:afterLines="20" w:after="48"/>
        <w:ind w:left="1584" w:hanging="450"/>
        <w:rPr>
          <w:rFonts w:cs="Arial"/>
        </w:rPr>
      </w:pPr>
      <w:r>
        <w:t>d)</w:t>
      </w:r>
      <w:r>
        <w:tab/>
        <w:t xml:space="preserve">Elektronische Systeme für die Einreichung von Anträgen </w:t>
      </w:r>
    </w:p>
    <w:p w:rsidR="000313D8" w:rsidRPr="00080AD0" w:rsidRDefault="000313D8" w:rsidP="000313D8">
      <w:pPr>
        <w:tabs>
          <w:tab w:val="num" w:pos="1134"/>
        </w:tabs>
        <w:spacing w:before="20" w:afterLines="20" w:after="48"/>
        <w:ind w:left="567"/>
        <w:rPr>
          <w:rFonts w:ascii="ArialMT" w:hAnsi="ArialMT" w:cs="ArialMT"/>
        </w:rPr>
      </w:pPr>
      <w:r>
        <w:rPr>
          <w:rFonts w:ascii="ArialMT" w:hAnsi="ArialMT"/>
        </w:rPr>
        <w:t>8.</w:t>
      </w:r>
      <w:r>
        <w:tab/>
      </w:r>
      <w:r>
        <w:rPr>
          <w:rFonts w:ascii="ArialMT" w:hAnsi="ArialMT"/>
        </w:rPr>
        <w:t>Homogenitätsprüfung</w:t>
      </w:r>
    </w:p>
    <w:p w:rsidR="000313D8" w:rsidRPr="00080AD0" w:rsidRDefault="000313D8" w:rsidP="000313D8">
      <w:pPr>
        <w:tabs>
          <w:tab w:val="num" w:pos="1134"/>
        </w:tabs>
        <w:spacing w:before="20" w:afterLines="20" w:after="48"/>
        <w:ind w:left="1134" w:hanging="567"/>
        <w:rPr>
          <w:rFonts w:ascii="ArialMT" w:hAnsi="ArialMT" w:cs="ArialMT"/>
        </w:rPr>
      </w:pPr>
      <w:r>
        <w:rPr>
          <w:rFonts w:ascii="ArialMT" w:hAnsi="ArialMT"/>
        </w:rPr>
        <w:t>9.</w:t>
      </w:r>
      <w:r>
        <w:tab/>
      </w:r>
      <w:r>
        <w:rPr>
          <w:rFonts w:ascii="ArialMT" w:hAnsi="ArialMT"/>
        </w:rPr>
        <w:t>Angelegenheiten, die bezüglich der vom Technischen Ausschuß angenommenen Prüfungsrichtlinien zu bereinigen sind (sofern zweckmäßig)</w:t>
      </w:r>
    </w:p>
    <w:p w:rsidR="000313D8" w:rsidRPr="00080AD0" w:rsidRDefault="000313D8" w:rsidP="000313D8">
      <w:pPr>
        <w:tabs>
          <w:tab w:val="num" w:pos="1134"/>
        </w:tabs>
        <w:spacing w:before="20" w:afterLines="20" w:after="48"/>
        <w:ind w:left="567"/>
        <w:rPr>
          <w:rFonts w:ascii="ArialMT" w:hAnsi="ArialMT" w:cs="ArialMT"/>
        </w:rPr>
      </w:pPr>
      <w:r>
        <w:rPr>
          <w:rFonts w:ascii="ArialMT" w:hAnsi="ArialMT"/>
        </w:rPr>
        <w:t>10.</w:t>
      </w:r>
      <w:r>
        <w:tab/>
      </w:r>
      <w:r>
        <w:rPr>
          <w:rFonts w:ascii="ArialMT" w:hAnsi="ArialMT"/>
        </w:rPr>
        <w:t>Erörterungen über die Prüfungsrichtlinien</w:t>
      </w:r>
    </w:p>
    <w:p w:rsidR="000313D8" w:rsidRPr="00080AD0" w:rsidRDefault="000313D8" w:rsidP="000313D8">
      <w:pPr>
        <w:tabs>
          <w:tab w:val="num" w:pos="1134"/>
        </w:tabs>
        <w:spacing w:before="20" w:afterLines="20" w:after="48"/>
        <w:ind w:left="567"/>
        <w:rPr>
          <w:rFonts w:ascii="ArialMT" w:hAnsi="ArialMT" w:cs="ArialMT"/>
        </w:rPr>
      </w:pPr>
      <w:r>
        <w:rPr>
          <w:rFonts w:ascii="ArialMT" w:hAnsi="ArialMT"/>
        </w:rPr>
        <w:t>11.</w:t>
      </w:r>
      <w:r>
        <w:tab/>
      </w:r>
      <w:r>
        <w:rPr>
          <w:rFonts w:ascii="ArialMT" w:hAnsi="ArialMT"/>
        </w:rPr>
        <w:t>Empfehlungen zu Entwürfen von Prüfungsrichtlinien</w:t>
      </w:r>
    </w:p>
    <w:p w:rsidR="000313D8" w:rsidRPr="00080AD0" w:rsidRDefault="000313D8" w:rsidP="000313D8">
      <w:pPr>
        <w:tabs>
          <w:tab w:val="num" w:pos="1134"/>
        </w:tabs>
        <w:spacing w:before="20" w:afterLines="20" w:after="48"/>
        <w:ind w:left="567"/>
        <w:rPr>
          <w:rFonts w:ascii="ArialMT" w:hAnsi="ArialMT" w:cs="ArialMT"/>
        </w:rPr>
      </w:pPr>
      <w:r>
        <w:rPr>
          <w:rFonts w:ascii="ArialMT" w:hAnsi="ArialMT"/>
        </w:rPr>
        <w:t>12.</w:t>
      </w:r>
      <w:r>
        <w:tab/>
      </w:r>
      <w:r>
        <w:rPr>
          <w:rFonts w:ascii="ArialMT" w:hAnsi="ArialMT"/>
        </w:rPr>
        <w:t>Anleitung für Verfasser von Prüfungsrichtlinien</w:t>
      </w:r>
    </w:p>
    <w:p w:rsidR="000313D8" w:rsidRPr="00080AD0" w:rsidRDefault="000313D8" w:rsidP="000313D8">
      <w:pPr>
        <w:tabs>
          <w:tab w:val="num" w:pos="1134"/>
        </w:tabs>
        <w:spacing w:before="20" w:afterLines="20" w:after="48"/>
        <w:ind w:left="567"/>
        <w:rPr>
          <w:rFonts w:ascii="ArialMT" w:hAnsi="ArialMT" w:cs="ArialMT"/>
        </w:rPr>
      </w:pPr>
      <w:r>
        <w:rPr>
          <w:rFonts w:ascii="ArialMT" w:hAnsi="ArialMT"/>
        </w:rPr>
        <w:t>13.</w:t>
      </w:r>
      <w:r>
        <w:tab/>
      </w:r>
      <w:r>
        <w:rPr>
          <w:rFonts w:ascii="ArialMT" w:hAnsi="ArialMT"/>
        </w:rPr>
        <w:t>Erfahrungen mit neuen Typen und Arten</w:t>
      </w:r>
    </w:p>
    <w:p w:rsidR="000313D8" w:rsidRPr="00080AD0" w:rsidRDefault="000313D8" w:rsidP="000313D8">
      <w:pPr>
        <w:tabs>
          <w:tab w:val="num" w:pos="1134"/>
        </w:tabs>
        <w:spacing w:before="20" w:afterLines="20" w:after="48"/>
        <w:ind w:left="567"/>
        <w:rPr>
          <w:rFonts w:ascii="ArialMT" w:hAnsi="ArialMT" w:cs="ArialMT"/>
        </w:rPr>
      </w:pPr>
      <w:r>
        <w:rPr>
          <w:rFonts w:ascii="ArialMT" w:hAnsi="ArialMT"/>
        </w:rPr>
        <w:t>14.</w:t>
      </w:r>
      <w:r>
        <w:tab/>
      </w:r>
      <w:r>
        <w:rPr>
          <w:rFonts w:ascii="ArialMT" w:hAnsi="ArialMT"/>
        </w:rPr>
        <w:t>Ort und Datum der nächsten Tagung</w:t>
      </w:r>
    </w:p>
    <w:p w:rsidR="000313D8" w:rsidRPr="00080AD0" w:rsidRDefault="000313D8" w:rsidP="000313D8">
      <w:pPr>
        <w:tabs>
          <w:tab w:val="num" w:pos="1134"/>
        </w:tabs>
        <w:spacing w:before="20" w:afterLines="20" w:after="48"/>
        <w:ind w:left="567"/>
        <w:rPr>
          <w:rFonts w:ascii="ArialMT" w:hAnsi="ArialMT" w:cs="ArialMT"/>
        </w:rPr>
      </w:pPr>
      <w:r>
        <w:rPr>
          <w:rFonts w:ascii="ArialMT" w:hAnsi="ArialMT"/>
        </w:rPr>
        <w:t>15.</w:t>
      </w:r>
      <w:r>
        <w:tab/>
      </w:r>
      <w:r>
        <w:rPr>
          <w:rFonts w:ascii="ArialMT" w:hAnsi="ArialMT"/>
        </w:rPr>
        <w:t>Künftiges Programm</w:t>
      </w:r>
    </w:p>
    <w:p w:rsidR="000313D8" w:rsidRPr="00080AD0" w:rsidRDefault="000313D8" w:rsidP="000313D8">
      <w:pPr>
        <w:tabs>
          <w:tab w:val="num" w:pos="1134"/>
        </w:tabs>
        <w:spacing w:before="20" w:afterLines="20" w:after="48"/>
        <w:ind w:left="567"/>
        <w:rPr>
          <w:rFonts w:ascii="ArialMT" w:hAnsi="ArialMT" w:cs="ArialMT"/>
        </w:rPr>
      </w:pPr>
      <w:r>
        <w:rPr>
          <w:rFonts w:ascii="ArialMT" w:hAnsi="ArialMT"/>
        </w:rPr>
        <w:t>16.</w:t>
      </w:r>
      <w:r>
        <w:tab/>
      </w:r>
      <w:r>
        <w:rPr>
          <w:rFonts w:ascii="ArialMT" w:hAnsi="ArialMT"/>
        </w:rPr>
        <w:t>Bericht über die Tagung (falls es die Zeit erlaubt)</w:t>
      </w:r>
    </w:p>
    <w:p w:rsidR="000313D8" w:rsidRPr="00080AD0" w:rsidRDefault="000313D8" w:rsidP="000313D8">
      <w:pPr>
        <w:tabs>
          <w:tab w:val="num" w:pos="1134"/>
        </w:tabs>
        <w:spacing w:before="20" w:afterLines="20" w:after="48"/>
        <w:ind w:left="567"/>
        <w:rPr>
          <w:rFonts w:ascii="ArialMT" w:hAnsi="ArialMT" w:cs="ArialMT"/>
        </w:rPr>
      </w:pPr>
      <w:r>
        <w:rPr>
          <w:rFonts w:ascii="ArialMT" w:hAnsi="ArialMT"/>
        </w:rPr>
        <w:t>17.</w:t>
      </w:r>
      <w:r>
        <w:tab/>
      </w:r>
      <w:r>
        <w:rPr>
          <w:rFonts w:ascii="ArialMT" w:hAnsi="ArialMT"/>
        </w:rPr>
        <w:t>Schließung der Tagung</w:t>
      </w:r>
    </w:p>
    <w:p w:rsidR="000313D8" w:rsidRPr="00080AD0" w:rsidRDefault="000313D8" w:rsidP="000313D8">
      <w:pPr>
        <w:tabs>
          <w:tab w:val="num" w:pos="1134"/>
        </w:tabs>
        <w:spacing w:before="20" w:afterLines="20" w:after="48"/>
        <w:ind w:left="567"/>
        <w:rPr>
          <w:rFonts w:ascii="ArialMT" w:hAnsi="ArialMT" w:cs="ArialMT"/>
        </w:rPr>
      </w:pPr>
    </w:p>
    <w:p w:rsidR="000313D8" w:rsidRDefault="000313D8" w:rsidP="000313D8">
      <w:pPr>
        <w:rPr>
          <w:szCs w:val="22"/>
        </w:rPr>
      </w:pPr>
      <w:r w:rsidRPr="00AF342C">
        <w:fldChar w:fldCharType="begin"/>
      </w:r>
      <w:r w:rsidRPr="00AF342C">
        <w:instrText xml:space="preserve"> AUTONUM  \* Arabic </w:instrText>
      </w:r>
      <w:r w:rsidRPr="00AF342C">
        <w:fldChar w:fldCharType="end"/>
      </w:r>
      <w:r>
        <w:tab/>
      </w:r>
      <w:r>
        <w:rPr>
          <w:szCs w:val="22"/>
        </w:rPr>
        <w:t>Am Nachmittag des 1. August 2012 besuchte die TWF die Einrichtungen des Instituts für Forstwirtschaft und Obstbaukunde, Peking-Akademie für land- und forstwirtschaftliche Wissenschaften, Peking, wo die TWF von Herrn Dr. Yuzhu Wang, dem Direktor des Instituts, begrüßt wurde.</w:t>
      </w:r>
    </w:p>
    <w:p w:rsidR="000313D8" w:rsidRDefault="000313D8" w:rsidP="000313D8">
      <w:pPr>
        <w:rPr>
          <w:u w:val="single"/>
        </w:rPr>
      </w:pPr>
    </w:p>
    <w:p w:rsidR="000313D8" w:rsidRDefault="000313D8" w:rsidP="000313D8">
      <w:pPr>
        <w:rPr>
          <w:u w:val="single"/>
        </w:rPr>
      </w:pPr>
    </w:p>
    <w:p w:rsidR="000313D8" w:rsidRPr="00483EFD" w:rsidRDefault="000313D8" w:rsidP="00747C66">
      <w:pPr>
        <w:pStyle w:val="Heading2"/>
      </w:pPr>
      <w:bookmarkStart w:id="92" w:name="_Toc336593167"/>
      <w:bookmarkStart w:id="93" w:name="_Toc368583053"/>
      <w:r>
        <w:t>Technische Arbeitsgruppe für Zierpflanzen und forstliche Baumarten (TWO)</w:t>
      </w:r>
      <w:bookmarkEnd w:id="92"/>
      <w:bookmarkEnd w:id="93"/>
    </w:p>
    <w:p w:rsidR="000313D8" w:rsidRDefault="000313D8" w:rsidP="000313D8">
      <w:pPr>
        <w:rPr>
          <w:u w:val="single"/>
        </w:rPr>
      </w:pPr>
    </w:p>
    <w:p w:rsidR="000313D8" w:rsidRPr="00FE0C9B"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 xml:space="preserve">Die TWO hielt ihre fünfundvierzigste Tagung vom 6. bis 10. August 2012 in Jeju, Republik Korea, ab. Den Vorsitz über die Tagung führte Herr Nik Hulse (Australien), Vorsitzender der TWO.  Der ausführliche Bericht ist in Dokument TWO/45/37 enthalten. </w:t>
      </w:r>
    </w:p>
    <w:p w:rsidR="000313D8" w:rsidRPr="00FE0C9B" w:rsidRDefault="000313D8" w:rsidP="000313D8">
      <w:pPr>
        <w:autoSpaceDE w:val="0"/>
        <w:autoSpaceDN w:val="0"/>
        <w:adjustRightInd w:val="0"/>
        <w:rPr>
          <w:rFonts w:cs="Arial"/>
          <w:color w:val="000000"/>
        </w:rPr>
      </w:pPr>
    </w:p>
    <w:p w:rsidR="000313D8" w:rsidRPr="00FE0C9B"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 xml:space="preserve">An der Tagung nahmen 60 Teilnehmer aus 15 Verbandsmitgliedern, vier Beobachterstaaten und zwei Beobachterorganisationen teil. Die vorbereitende Arbeitstagung fand am Nachmittag des 5. August statt und 34 Teilnehmer nahmen daran teil. </w:t>
      </w:r>
    </w:p>
    <w:p w:rsidR="000313D8" w:rsidRPr="00FE0C9B" w:rsidRDefault="000313D8" w:rsidP="000313D8">
      <w:pPr>
        <w:autoSpaceDE w:val="0"/>
        <w:autoSpaceDN w:val="0"/>
        <w:adjustRightInd w:val="0"/>
        <w:rPr>
          <w:rFonts w:cs="Arial"/>
          <w:color w:val="000000"/>
        </w:rPr>
      </w:pPr>
    </w:p>
    <w:p w:rsidR="000313D8" w:rsidRPr="00FE0C9B" w:rsidRDefault="000313D8" w:rsidP="00916DB0">
      <w:pPr>
        <w:autoSpaceDE w:val="0"/>
        <w:autoSpaceDN w:val="0"/>
        <w:adjustRightInd w:val="0"/>
        <w:spacing w:after="240"/>
        <w:rPr>
          <w:rFonts w:cs="Arial"/>
        </w:rPr>
      </w:pPr>
      <w:r w:rsidRPr="00AF342C">
        <w:fldChar w:fldCharType="begin"/>
      </w:r>
      <w:r w:rsidRPr="00AF342C">
        <w:instrText xml:space="preserve"> AUTONUM  \* Arabic </w:instrText>
      </w:r>
      <w:r w:rsidRPr="00AF342C">
        <w:fldChar w:fldCharType="end"/>
      </w:r>
      <w:r>
        <w:tab/>
        <w:t xml:space="preserve">Die TWO wurde von Herrn Won-Gil Bae, Generaldirektor, Koreanisches Sorten- und Saatgutamt (KSVS), und Herrn Young-Kook Chang, Direktor, Abteilung Pflanzensorten, KSVS, begrüßt. Herr Won-Gil Bae </w:t>
      </w:r>
      <w:r>
        <w:rPr>
          <w:color w:val="000000"/>
        </w:rPr>
        <w:t>lieferte einen Überblick über das Sortenschutzsystem in der Republik Korea.</w:t>
      </w:r>
      <w:r>
        <w:t xml:space="preserve"> Herr Young-Kook Chang hielt ein Referat über die vom KSVS durchgeführten Sortenschutztätigkeiten.</w:t>
      </w:r>
    </w:p>
    <w:p w:rsidR="000313D8" w:rsidRPr="00FE0C9B" w:rsidRDefault="000313D8" w:rsidP="000313D8">
      <w:pPr>
        <w:autoSpaceDE w:val="0"/>
        <w:autoSpaceDN w:val="0"/>
        <w:adjustRightInd w:val="0"/>
        <w:rPr>
          <w:rFonts w:cs="Arial"/>
        </w:rPr>
      </w:pPr>
      <w:r w:rsidRPr="00AF342C">
        <w:lastRenderedPageBreak/>
        <w:fldChar w:fldCharType="begin"/>
      </w:r>
      <w:r w:rsidRPr="00AF342C">
        <w:instrText xml:space="preserve"> AUTONUM  \* Arabic </w:instrText>
      </w:r>
      <w:r w:rsidRPr="00AF342C">
        <w:fldChar w:fldCharType="end"/>
      </w:r>
      <w:r>
        <w:tab/>
        <w:t xml:space="preserve">Die TWO nahm die von Mitgliedern und Beobachtern in Dokument TWO/45/36 Prov. „Berichte über Entwicklungen im Sortenschutz von Mitgliedern und Beobachtern“ gelieferten Informationen über Entwicklungen beim Sortenschutz zur Kenntnis. </w:t>
      </w:r>
      <w:r>
        <w:rPr>
          <w:color w:val="000000"/>
        </w:rPr>
        <w:t xml:space="preserve">Die TWO hörte einen mündlichen Bericht des Verbandsbüros über die jüngsten Entwicklungen in der UPOV. </w:t>
      </w:r>
    </w:p>
    <w:p w:rsidR="000313D8" w:rsidRPr="00FE0C9B" w:rsidRDefault="000313D8" w:rsidP="000313D8">
      <w:pPr>
        <w:autoSpaceDE w:val="0"/>
        <w:autoSpaceDN w:val="0"/>
        <w:adjustRightInd w:val="0"/>
        <w:rPr>
          <w:rFonts w:cs="Arial"/>
          <w:color w:val="000000"/>
        </w:rPr>
      </w:pPr>
    </w:p>
    <w:p w:rsidR="000313D8" w:rsidRPr="00FE0C9B"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Die TWO prüfte Dokument TWO/45/11 „</w:t>
      </w:r>
      <w:r>
        <w:t xml:space="preserve">Zusammenfaßung der für Dokument TGP/7 ‘Erstellung von Prüfungsrichtlinien’ vorgeschlagenen Überarbeitungen” </w:t>
      </w:r>
      <w:r>
        <w:rPr>
          <w:color w:val="000000"/>
        </w:rPr>
        <w:t xml:space="preserve">und vereinbarte, daß Kapitel 2.3 folgendermaßen lauten solle „Die vom Anmelder einzusendende Mindestmenge an Vermehrungsmaterial sollte betragen: […]”. </w:t>
      </w:r>
    </w:p>
    <w:p w:rsidR="000313D8" w:rsidRPr="00FE0C9B" w:rsidRDefault="000313D8" w:rsidP="000313D8">
      <w:pPr>
        <w:autoSpaceDE w:val="0"/>
        <w:autoSpaceDN w:val="0"/>
        <w:adjustRightInd w:val="0"/>
        <w:rPr>
          <w:rFonts w:cs="Arial"/>
          <w:color w:val="000000"/>
        </w:rPr>
      </w:pPr>
    </w:p>
    <w:p w:rsidR="000313D8" w:rsidRPr="005D1DC5"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Die TWO prüfte das Dokument TWO/45/12 über „Anleitung zur Anzahl der (auf Unterscheidbarkeit) zu prüfenden Pflanzen”. Die TWO schlug vor, daß die Mindestanzahl von Pflanzen mit der Zahl übereinstimmen sollte, die notwendig ist, um das Merkmal zu erfassen, das die größte Anzahl an Pflanzen erfordert.</w:t>
      </w:r>
    </w:p>
    <w:p w:rsidR="000313D8" w:rsidRPr="002624E8" w:rsidRDefault="000313D8" w:rsidP="000313D8">
      <w:pPr>
        <w:autoSpaceDE w:val="0"/>
        <w:autoSpaceDN w:val="0"/>
        <w:adjustRightInd w:val="0"/>
        <w:rPr>
          <w:rFonts w:cs="Arial"/>
          <w:color w:val="000000"/>
        </w:rPr>
      </w:pPr>
    </w:p>
    <w:p w:rsidR="000313D8" w:rsidRPr="002624E8"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t>Die TWO prüfte das Dokument TWO/45/13 über „Anleitung zur Erfassungsmethode“ und stimmte mit der TWA, TWC, TWV und TWF bezüglich des vorgeschlagenen Textes, wie in Absatz 14 von Dokument TWO/45/37 dargelegt, überein.</w:t>
      </w:r>
    </w:p>
    <w:p w:rsidR="000313D8" w:rsidRPr="00FE0C9B" w:rsidRDefault="000313D8" w:rsidP="000313D8">
      <w:pPr>
        <w:autoSpaceDE w:val="0"/>
        <w:autoSpaceDN w:val="0"/>
        <w:adjustRightInd w:val="0"/>
        <w:rPr>
          <w:rFonts w:cs="Arial"/>
          <w:color w:val="000000"/>
        </w:rPr>
      </w:pPr>
    </w:p>
    <w:p w:rsidR="000313D8"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Die TWO prüfte die Dokumente TWO/45/14 und TWO/45/14 Add. über „Beispielssorten” und vereinbarte, daß die Verwendung von Abbildungen für qualitative und pseudoqualitative Merkmale weiter gefördert werden solle und befürwortete den von der TWF entwickelten Ansatz in drei Schritten, bei dem der Führende Sachverständige folgendermaßen vorgeht:</w:t>
      </w:r>
    </w:p>
    <w:p w:rsidR="000313D8" w:rsidRPr="008E4A50" w:rsidRDefault="000313D8" w:rsidP="000313D8">
      <w:pPr>
        <w:autoSpaceDE w:val="0"/>
        <w:autoSpaceDN w:val="0"/>
        <w:adjustRightInd w:val="0"/>
        <w:rPr>
          <w:rFonts w:cs="Arial"/>
          <w:color w:val="000000"/>
        </w:rPr>
      </w:pPr>
    </w:p>
    <w:p w:rsidR="000313D8" w:rsidRPr="008E4A50" w:rsidRDefault="000313D8" w:rsidP="00916DB0">
      <w:pPr>
        <w:numPr>
          <w:ilvl w:val="0"/>
          <w:numId w:val="34"/>
        </w:numPr>
        <w:tabs>
          <w:tab w:val="clear" w:pos="720"/>
          <w:tab w:val="num" w:pos="993"/>
        </w:tabs>
        <w:autoSpaceDE w:val="0"/>
        <w:autoSpaceDN w:val="0"/>
        <w:adjustRightInd w:val="0"/>
        <w:ind w:left="1985" w:hanging="1418"/>
        <w:rPr>
          <w:rFonts w:cs="Arial"/>
          <w:color w:val="000000"/>
        </w:rPr>
      </w:pPr>
      <w:r>
        <w:rPr>
          <w:color w:val="000000"/>
        </w:rPr>
        <w:t>Schritt 1:</w:t>
      </w:r>
      <w:r>
        <w:tab/>
      </w:r>
      <w:r>
        <w:rPr>
          <w:color w:val="000000"/>
        </w:rPr>
        <w:t>abklären, ob Beispielssorten für ein bestimmtes Merkmal erforderlich sind;</w:t>
      </w:r>
    </w:p>
    <w:p w:rsidR="000313D8" w:rsidRPr="008E4A50" w:rsidRDefault="000313D8" w:rsidP="00916DB0">
      <w:pPr>
        <w:numPr>
          <w:ilvl w:val="0"/>
          <w:numId w:val="34"/>
        </w:numPr>
        <w:tabs>
          <w:tab w:val="clear" w:pos="720"/>
          <w:tab w:val="num" w:pos="993"/>
        </w:tabs>
        <w:autoSpaceDE w:val="0"/>
        <w:autoSpaceDN w:val="0"/>
        <w:adjustRightInd w:val="0"/>
        <w:ind w:left="1985" w:hanging="1418"/>
        <w:rPr>
          <w:rFonts w:cs="Arial"/>
          <w:color w:val="000000"/>
        </w:rPr>
      </w:pPr>
      <w:r>
        <w:rPr>
          <w:color w:val="000000"/>
        </w:rPr>
        <w:t>Schritt 2:</w:t>
      </w:r>
      <w:r>
        <w:tab/>
      </w:r>
      <w:r>
        <w:rPr>
          <w:color w:val="000000"/>
        </w:rPr>
        <w:t>falls als erforderlich betrachtet, sollten die Beispielssorten, die als gemeinsame oder universelle Beispielssorten verwendet werden könnten, aufgeführt werden;</w:t>
      </w:r>
    </w:p>
    <w:p w:rsidR="000313D8" w:rsidRPr="008E4A50" w:rsidRDefault="000313D8" w:rsidP="00916DB0">
      <w:pPr>
        <w:numPr>
          <w:ilvl w:val="0"/>
          <w:numId w:val="34"/>
        </w:numPr>
        <w:tabs>
          <w:tab w:val="clear" w:pos="720"/>
          <w:tab w:val="num" w:pos="993"/>
        </w:tabs>
        <w:autoSpaceDE w:val="0"/>
        <w:autoSpaceDN w:val="0"/>
        <w:adjustRightInd w:val="0"/>
        <w:ind w:left="1985" w:hanging="1418"/>
        <w:rPr>
          <w:rFonts w:cs="Arial"/>
          <w:color w:val="000000"/>
        </w:rPr>
      </w:pPr>
      <w:r>
        <w:rPr>
          <w:color w:val="000000"/>
        </w:rPr>
        <w:t>Schritt 3:</w:t>
      </w:r>
      <w:r>
        <w:tab/>
      </w:r>
      <w:r>
        <w:rPr>
          <w:color w:val="000000"/>
        </w:rPr>
        <w:t>festlegen, ob ein regionaler Satz an Beispielssorten für die</w:t>
      </w:r>
      <w:r>
        <w:t xml:space="preserve"> </w:t>
      </w:r>
      <w:r>
        <w:rPr>
          <w:color w:val="000000"/>
        </w:rPr>
        <w:t>jeweilige Prüfungsrichtlinie notwendig ist.</w:t>
      </w:r>
    </w:p>
    <w:p w:rsidR="000313D8" w:rsidRDefault="000313D8" w:rsidP="000313D8">
      <w:pPr>
        <w:autoSpaceDE w:val="0"/>
        <w:autoSpaceDN w:val="0"/>
        <w:adjustRightInd w:val="0"/>
        <w:rPr>
          <w:rFonts w:cs="Arial"/>
          <w:color w:val="000000"/>
        </w:rPr>
      </w:pPr>
    </w:p>
    <w:p w:rsidR="000313D8"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 xml:space="preserve">Die TWO prüfte das Dokument TWO/45/15 </w:t>
      </w:r>
      <w:r>
        <w:t xml:space="preserve">„Überarbeitung von Dokument TGP/7:  Anleitung zur Bereitstellung von Fotoaufnahmen für den Technischen Fragebogen“ </w:t>
      </w:r>
      <w:r>
        <w:rPr>
          <w:color w:val="000000"/>
        </w:rPr>
        <w:t>und schlug vor, den vorgeschlagenen Wortlaut für den neuen ASW 16, wie in der Anlage von Dokument TWO/45/15 dargelegt, zu überarbeiten, damit er folgendermaßen laute: „Ein repräsentatives Farbfoto der Sorte, das (die) maßgebende(n) Unterscheidungsmerkmal(e) zeigt, muß dem Technischen Fragebogen beigelegt werden, falls dies von der Behörde verlangt wird. Die Fotoaufnahme wird eine visuelle Abbildung der Kandidatensorte vermitteln, die die im Technischen Fragebogen angegebenen Informationen ergänzt.“</w:t>
      </w:r>
    </w:p>
    <w:p w:rsidR="000313D8" w:rsidRPr="00FE0C9B" w:rsidRDefault="000313D8" w:rsidP="000313D8">
      <w:pPr>
        <w:autoSpaceDE w:val="0"/>
        <w:autoSpaceDN w:val="0"/>
        <w:adjustRightInd w:val="0"/>
        <w:rPr>
          <w:rFonts w:cs="Arial"/>
          <w:color w:val="000000"/>
        </w:rPr>
      </w:pPr>
    </w:p>
    <w:p w:rsidR="000313D8" w:rsidRPr="00FB5F45" w:rsidRDefault="000313D8" w:rsidP="000313D8">
      <w:pPr>
        <w:autoSpaceDE w:val="0"/>
        <w:autoSpaceDN w:val="0"/>
        <w:adjustRightInd w:val="0"/>
        <w:rPr>
          <w:rFonts w:cs="Arial"/>
          <w:color w:val="000000"/>
        </w:rPr>
      </w:pPr>
      <w:r w:rsidRPr="00FB5F45">
        <w:fldChar w:fldCharType="begin"/>
      </w:r>
      <w:r w:rsidRPr="00FB5F45">
        <w:instrText xml:space="preserve"> AUTONUM  \* Arabic </w:instrText>
      </w:r>
      <w:r w:rsidRPr="00FB5F45">
        <w:fldChar w:fldCharType="end"/>
      </w:r>
      <w:r>
        <w:tab/>
      </w:r>
      <w:r>
        <w:rPr>
          <w:color w:val="000000"/>
        </w:rPr>
        <w:t>Die TWO prüfte die Dokumente TWO/45/30 und TWO/45/30 Add. „Überarbeitung von Dokument TGP/8: Teil II: Verfahren für die DUS-Prüfung, Neuer Abschnitt: Verfahren für die Datenverarbeitung für die Prüfung der Unterscheidbarkeit und die Erstellung von Sortenbeschreibungen.“ Die Dokumente enthielten eine Zusammenfaßung verschiedener Ansätze zur Umwandlung von Mittelwerten in Noten zur Sortenbeschreibung. Die TWO stimmte den Empfehlungen der TWF, daß man sich im Falle einer eingeschränkten Palette verfügbarer Sorten auf die Erstellung einer aussagekräftigen Bandbreite von Ausprägungen konzentrieren sollte, zu.</w:t>
      </w:r>
    </w:p>
    <w:p w:rsidR="000313D8" w:rsidRPr="00FB5F45" w:rsidRDefault="000313D8" w:rsidP="000313D8"/>
    <w:p w:rsidR="000313D8" w:rsidRDefault="000313D8" w:rsidP="000313D8">
      <w:pPr>
        <w:rPr>
          <w:rFonts w:cs="Arial"/>
        </w:rPr>
      </w:pPr>
      <w:r w:rsidRPr="00FB5F45">
        <w:fldChar w:fldCharType="begin"/>
      </w:r>
      <w:r w:rsidRPr="00FB5F45">
        <w:instrText xml:space="preserve"> AUTONUM  \* Arabic </w:instrText>
      </w:r>
      <w:r w:rsidRPr="00FB5F45">
        <w:fldChar w:fldCharType="end"/>
      </w:r>
      <w:r>
        <w:tab/>
        <w:t xml:space="preserve">Die TWO prüfte Dokument TWO/45/17 </w:t>
      </w:r>
      <w:r>
        <w:rPr>
          <w:color w:val="000000"/>
        </w:rPr>
        <w:t>„Überarbeitung von Dokument TGP/8: Teil II: Verfahren für die DUS-Prüfung, Neuer Abschnitt: Anleitung zur Datenanalyse für randomisierte Blindprüfungen“</w:t>
      </w:r>
      <w:r>
        <w:t>.  Die TWO schlug vor, Beispiele für die Anwendung randomisierter Blindprüfungen für andere Pflanzentypen, wie etwa Zierpflanzen, in die Weiterentwicklung der Anleitung aufzunehmen.</w:t>
      </w:r>
    </w:p>
    <w:p w:rsidR="000313D8" w:rsidRDefault="000313D8" w:rsidP="000313D8">
      <w:pPr>
        <w:rPr>
          <w:rFonts w:cs="Arial"/>
        </w:rPr>
      </w:pPr>
    </w:p>
    <w:p w:rsidR="000313D8" w:rsidRPr="002624E8" w:rsidRDefault="000313D8" w:rsidP="000313D8">
      <w:pPr>
        <w:rPr>
          <w:rFonts w:cs="Arial"/>
        </w:rPr>
      </w:pPr>
      <w:r w:rsidRPr="00AF342C">
        <w:fldChar w:fldCharType="begin"/>
      </w:r>
      <w:r w:rsidRPr="00AF342C">
        <w:instrText xml:space="preserve"> AUTONUM  \* Arabic </w:instrText>
      </w:r>
      <w:r w:rsidRPr="00AF342C">
        <w:fldChar w:fldCharType="end"/>
      </w:r>
      <w:r>
        <w:tab/>
        <w:t xml:space="preserve">Die TWO prüfte das Dokument TWO/45/27 </w:t>
      </w:r>
      <w:r>
        <w:rPr>
          <w:color w:val="000000"/>
        </w:rPr>
        <w:t>„Überarbeitung von Dokument TGP/14:  Abschnitt 2:  Botanische Begriffe, Unterabschnitt 2:  Formen und Strukturen”.</w:t>
      </w:r>
    </w:p>
    <w:p w:rsidR="000313D8" w:rsidRDefault="000313D8" w:rsidP="000313D8">
      <w:pPr>
        <w:autoSpaceDE w:val="0"/>
        <w:autoSpaceDN w:val="0"/>
        <w:adjustRightInd w:val="0"/>
        <w:rPr>
          <w:rFonts w:cs="Arial"/>
          <w:color w:val="000000"/>
        </w:rPr>
      </w:pPr>
    </w:p>
    <w:p w:rsidR="000313D8" w:rsidRDefault="000313D8" w:rsidP="00D23870">
      <w:pPr>
        <w:autoSpaceDE w:val="0"/>
        <w:autoSpaceDN w:val="0"/>
        <w:adjustRightInd w:val="0"/>
        <w:spacing w:after="240"/>
        <w:rPr>
          <w:rFonts w:cs="Arial"/>
          <w:color w:val="000000"/>
        </w:rPr>
      </w:pPr>
      <w:r w:rsidRPr="00AF342C">
        <w:fldChar w:fldCharType="begin"/>
      </w:r>
      <w:r w:rsidRPr="00AF342C">
        <w:instrText xml:space="preserve"> AUTONUM  \* Arabic </w:instrText>
      </w:r>
      <w:r w:rsidRPr="00AF342C">
        <w:fldChar w:fldCharType="end"/>
      </w:r>
      <w:r>
        <w:tab/>
      </w:r>
      <w:r>
        <w:rPr>
          <w:color w:val="000000"/>
        </w:rPr>
        <w:t>Im Hinblick auf Abschnitt 2: Absatz 2.8 „Perspektive, aus der Pflanzenformen zu erfassen sind“, stimmte die TWO dem Text, wie in Anlage I von Dokument TWO/45/27, Absatz 2.8, wie folgt dargelegt, zu:  „Gegebenenfalls sollte eine Erläuterung zur Perspektive, aus der Pflanzenformen zu erfassen sind, in die Prüfungsrichtlinien aufgenommen werden.“</w:t>
      </w:r>
    </w:p>
    <w:p w:rsidR="000313D8"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 xml:space="preserve">Bezüglich der Überarbeitung von „Bestandteile der Form: Ausprägungsstufen für Verhältnisse“ war sich die TWO darin einig, daß es zur Beschreibung des Verhältnisses: Länge/Breite zweckmäßiger wäre, die Stufen „sehr niedrig bis sehr hoch“ statt „sehr hoch bis sehr niedrig“ zu verwenden. Würde das Merkmal </w:t>
      </w:r>
      <w:r>
        <w:rPr>
          <w:color w:val="000000"/>
        </w:rPr>
        <w:lastRenderedPageBreak/>
        <w:t>Länge/Breite als Form präsentiert, würden die Ausprägungsstufen „sehr zusammengedrückt bis sehr langgezogen“ statt „sehr langgezogen bis sehr zusammengedrückt“ lauten.</w:t>
      </w:r>
    </w:p>
    <w:p w:rsidR="000313D8" w:rsidRDefault="000313D8" w:rsidP="000313D8">
      <w:pPr>
        <w:autoSpaceDE w:val="0"/>
        <w:autoSpaceDN w:val="0"/>
        <w:adjustRightInd w:val="0"/>
        <w:rPr>
          <w:rFonts w:cs="Arial"/>
          <w:color w:val="000000"/>
        </w:rPr>
      </w:pPr>
    </w:p>
    <w:p w:rsidR="000313D8"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t xml:space="preserve">Die TWO prüfte das Dokument TWO/45/25 </w:t>
      </w:r>
      <w:r>
        <w:rPr>
          <w:color w:val="000000"/>
        </w:rPr>
        <w:t>bezüglich der „Überarbeitung von Dokument TGP/14: Abschnitt 2: Botanische Begriffe, Unterabschnitt 3:  Farbe“ und machte Anmerkungen zu dem Entwurf, darunter folgende:</w:t>
      </w:r>
    </w:p>
    <w:p w:rsidR="000313D8" w:rsidRDefault="000313D8" w:rsidP="000313D8">
      <w:pPr>
        <w:autoSpaceDE w:val="0"/>
        <w:autoSpaceDN w:val="0"/>
        <w:adjustRightInd w:val="0"/>
        <w:rPr>
          <w:rFonts w:cs="Arial"/>
          <w:color w:val="000000"/>
        </w:rPr>
      </w:pPr>
      <w:r>
        <w:rPr>
          <w:color w:val="000000"/>
        </w:rPr>
        <w:t xml:space="preserve"> </w:t>
      </w:r>
    </w:p>
    <w:p w:rsidR="000313D8" w:rsidRPr="002A4966" w:rsidRDefault="000313D8" w:rsidP="00916DB0">
      <w:pPr>
        <w:numPr>
          <w:ilvl w:val="0"/>
          <w:numId w:val="33"/>
        </w:numPr>
        <w:tabs>
          <w:tab w:val="clear" w:pos="720"/>
        </w:tabs>
        <w:ind w:left="993" w:hanging="426"/>
        <w:rPr>
          <w:szCs w:val="22"/>
        </w:rPr>
      </w:pPr>
      <w:r>
        <w:rPr>
          <w:szCs w:val="22"/>
        </w:rPr>
        <w:t>Die Erläuterung in Teil 1:  Einführung und 2.3.1 von TWO/45/25:  Anlage sollte lauten:  „Zur Beschreibung von Farben bei Pflanzen in Prüfungsrichtlinien ist es allgemein übliche Praxis, ein oder mehrere der drei Farbelemente getrennt oder in Kombination zu betrachten.“</w:t>
      </w:r>
    </w:p>
    <w:p w:rsidR="000313D8" w:rsidRPr="002A4966" w:rsidRDefault="000313D8" w:rsidP="00916DB0">
      <w:pPr>
        <w:ind w:left="993" w:hanging="426"/>
        <w:rPr>
          <w:szCs w:val="22"/>
        </w:rPr>
      </w:pPr>
    </w:p>
    <w:p w:rsidR="000313D8" w:rsidRPr="002A4966" w:rsidRDefault="000313D8" w:rsidP="00916DB0">
      <w:pPr>
        <w:numPr>
          <w:ilvl w:val="0"/>
          <w:numId w:val="33"/>
        </w:numPr>
        <w:tabs>
          <w:tab w:val="clear" w:pos="720"/>
        </w:tabs>
        <w:ind w:left="993" w:hanging="426"/>
        <w:rPr>
          <w:szCs w:val="22"/>
        </w:rPr>
      </w:pPr>
      <w:r>
        <w:rPr>
          <w:szCs w:val="22"/>
        </w:rPr>
        <w:t>Teil III, 3.1 sollte lauten: „Die Hauptfarbe ist die Farbe mit der größten Fläche. In Fällen, in denen die Flächen der Haupt- und der Sekundärfarbe zu ähnlich sind, um zuverlässig entscheiden zu können, welche Farbe die größte Fläche hat, wird die [dunkelste Farbe] / [die Farbe..[Lokalisierung]] als Hauptfarbe betrachtet.“</w:t>
      </w:r>
    </w:p>
    <w:p w:rsidR="000313D8" w:rsidRPr="002A4966" w:rsidRDefault="000313D8" w:rsidP="00916DB0">
      <w:pPr>
        <w:ind w:left="993" w:hanging="426"/>
        <w:rPr>
          <w:szCs w:val="22"/>
        </w:rPr>
      </w:pPr>
    </w:p>
    <w:p w:rsidR="000313D8" w:rsidRPr="002A4966" w:rsidRDefault="000313D8" w:rsidP="00916DB0">
      <w:pPr>
        <w:numPr>
          <w:ilvl w:val="0"/>
          <w:numId w:val="33"/>
        </w:numPr>
        <w:tabs>
          <w:tab w:val="clear" w:pos="720"/>
        </w:tabs>
        <w:ind w:left="993" w:hanging="426"/>
        <w:rPr>
          <w:szCs w:val="22"/>
        </w:rPr>
      </w:pPr>
      <w:r>
        <w:rPr>
          <w:szCs w:val="22"/>
        </w:rPr>
        <w:t>In Teil III, 3.5.1 ist aufzunehmen: „Panaschierung besteht aus Farbe, Farbverteilung und Muster. Je nach betreffender Art ist es eventuell nicht erforderlich, alle Komponenten zu beschreiben.”  Zudem sollten die Beispiele für Panaschierung aus 4.2.1.8 in diesen Abschnitt verlegt werden.</w:t>
      </w:r>
    </w:p>
    <w:p w:rsidR="000313D8" w:rsidRPr="002A4966" w:rsidRDefault="000313D8" w:rsidP="000313D8">
      <w:pPr>
        <w:ind w:left="360"/>
        <w:rPr>
          <w:szCs w:val="22"/>
        </w:rPr>
      </w:pPr>
    </w:p>
    <w:p w:rsidR="000313D8"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Die TWO nahm die in den Dokumenten TWO/45/6 und TWO/45/6 Add. „Datenbanken für Sortenbeschreibungen“ enthaltenen Informationen über Datenbanken für Sortenbeschreibungen  sowie auch das von einem Sachverständigen aus Frankreich gehaltene Referat zur Kenntnis und verwies auf die Bedeutung der Studie für die künftige Harmonisierung von Sortenbeschreibungen.</w:t>
      </w:r>
    </w:p>
    <w:p w:rsidR="000313D8" w:rsidRDefault="000313D8" w:rsidP="000313D8">
      <w:pPr>
        <w:autoSpaceDE w:val="0"/>
        <w:autoSpaceDN w:val="0"/>
        <w:adjustRightInd w:val="0"/>
        <w:rPr>
          <w:rFonts w:cs="Arial"/>
          <w:color w:val="000000"/>
        </w:rPr>
      </w:pPr>
    </w:p>
    <w:p w:rsidR="000313D8" w:rsidRPr="00B14CC8"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Die TWO prüfte Dokument TWO/45/19 „</w:t>
      </w:r>
      <w:r>
        <w:t>Webcasting von UPOV-Tagungen”</w:t>
      </w:r>
      <w:r>
        <w:rPr>
          <w:color w:val="000000"/>
        </w:rPr>
        <w:t xml:space="preserve"> und merkte an, daß das Webcasting potentiell ein nützliches Instrument für die Erörterungen der Untergruppe sei.</w:t>
      </w:r>
    </w:p>
    <w:p w:rsidR="000313D8" w:rsidRDefault="000313D8" w:rsidP="000313D8">
      <w:pPr>
        <w:autoSpaceDE w:val="0"/>
        <w:autoSpaceDN w:val="0"/>
        <w:adjustRightInd w:val="0"/>
        <w:rPr>
          <w:rFonts w:cs="Arial"/>
          <w:color w:val="000000"/>
        </w:rPr>
      </w:pPr>
    </w:p>
    <w:p w:rsidR="000313D8" w:rsidRPr="003B6B12"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 xml:space="preserve">Die TWO nahm die Überarbeitung des „Praktischen Leitfadens für Verfasser (führende Sachverständige) von UPOV-Prüfungsrichtlinien”, Abschnitt „In der Technischen Arbeitsgruppe zu erörternde Prüfungsrichtlinien”, die auf der Grundlage von Dokument TC/48/3 dargelegt wurde, und wie auf der Website für Verfasser von Prüfungsrichtlinien verfügbar, zur Kenntnis.  Die TWO nahm ferner zur Kenntnis, daß die Prüfungsrichtlinie, falls ein Führender Sachverständiger eines Entwurfs einer Prüfungsrichtlinie nicht an einer TWP-Tagung teilnehmen kann, von der Tagesordnung dieser Tagung entfernt werden könne. </w:t>
      </w:r>
    </w:p>
    <w:p w:rsidR="000313D8" w:rsidRDefault="000313D8" w:rsidP="000313D8">
      <w:pPr>
        <w:autoSpaceDE w:val="0"/>
        <w:autoSpaceDN w:val="0"/>
        <w:adjustRightInd w:val="0"/>
        <w:rPr>
          <w:rFonts w:cs="Arial"/>
          <w:color w:val="000000"/>
        </w:rPr>
      </w:pPr>
    </w:p>
    <w:p w:rsidR="000313D8" w:rsidRDefault="000313D8" w:rsidP="000313D8">
      <w:pPr>
        <w:autoSpaceDE w:val="0"/>
        <w:autoSpaceDN w:val="0"/>
        <w:adjustRightInd w:val="0"/>
        <w:rPr>
          <w:rFonts w:eastAsia="Batang" w:cs="Arial"/>
        </w:rPr>
      </w:pPr>
      <w:r w:rsidRPr="00AF342C">
        <w:fldChar w:fldCharType="begin"/>
      </w:r>
      <w:r w:rsidRPr="00AF342C">
        <w:instrText xml:space="preserve"> AUTONUM  \* Arabic </w:instrText>
      </w:r>
      <w:r w:rsidRPr="00AF342C">
        <w:fldChar w:fldCharType="end"/>
      </w:r>
      <w:r>
        <w:tab/>
        <w:t xml:space="preserve">Die TWO hörte ein Referat über ein vom Verbandsbüro entwickeltes Projektkonzept für eine </w:t>
      </w:r>
      <w:r>
        <w:rPr>
          <w:color w:val="000000"/>
        </w:rPr>
        <w:t>webbasierte Mustervorlage für Prüfungsrichtlinien (TG-Mustervorlage)</w:t>
      </w:r>
      <w:r>
        <w:t xml:space="preserve"> für Verfasser von Prüfungsrichtlinien. Die TWO nahm die Funktionen der vorgeschlagenen TG-Mustervorlage zur Kenntnis und erörterte die mögliche Verwendung einer solchen Mustervorlage und damit verbundener Datenbanken auch für die Erstellung nationaler Richtlinien. Die TWO unterstützte die Initiative und stimmte der Fortführung der Arbeit über die TG-Mustervorlage zu.</w:t>
      </w:r>
    </w:p>
    <w:p w:rsidR="000313D8" w:rsidRDefault="000313D8" w:rsidP="000313D8">
      <w:pPr>
        <w:autoSpaceDE w:val="0"/>
        <w:autoSpaceDN w:val="0"/>
        <w:adjustRightInd w:val="0"/>
        <w:rPr>
          <w:rFonts w:cs="Arial"/>
          <w:color w:val="000000"/>
        </w:rPr>
      </w:pPr>
    </w:p>
    <w:p w:rsidR="000313D8"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t>Die TWO stimmte darin überein, daß die Teilüberarbeitung der Prüfungsrichtlinien für Agapanthus, Schmucklilie (Dokument TG/266/1), wie von der TWO geändert, zur Annahme durch den Technischen Ausschuß vorgelegt werden solle.</w:t>
      </w:r>
    </w:p>
    <w:p w:rsidR="000313D8" w:rsidRDefault="000313D8" w:rsidP="000313D8">
      <w:pPr>
        <w:autoSpaceDE w:val="0"/>
        <w:autoSpaceDN w:val="0"/>
        <w:adjustRightInd w:val="0"/>
        <w:rPr>
          <w:rFonts w:cs="Arial"/>
          <w:color w:val="000000"/>
        </w:rPr>
      </w:pPr>
    </w:p>
    <w:p w:rsidR="000313D8"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 xml:space="preserve">Die TWO vereinbarte, dem Technischen Ausschuß neun Prüfungsrichtlinien </w:t>
      </w:r>
      <w:r>
        <w:t xml:space="preserve"> zur Annahme vorzulegen:  Dianella, Eukalyptus (nur Teil der Gattung), Gladiole (Überarbeitung), </w:t>
      </w:r>
      <w:r>
        <w:rPr>
          <w:i/>
          <w:iCs/>
        </w:rPr>
        <w:t xml:space="preserve">Hebe, </w:t>
      </w:r>
      <w:r>
        <w:t xml:space="preserve">Lobelie, </w:t>
      </w:r>
      <w:r>
        <w:rPr>
          <w:i/>
        </w:rPr>
        <w:t>Lo</w:t>
      </w:r>
      <w:r>
        <w:rPr>
          <w:i/>
          <w:iCs/>
        </w:rPr>
        <w:t xml:space="preserve">mandra, </w:t>
      </w:r>
      <w:r>
        <w:t xml:space="preserve">Osteospermum, Phalaenopsis und Strauchpäonie. </w:t>
      </w:r>
      <w:r>
        <w:rPr>
          <w:color w:val="000000"/>
        </w:rPr>
        <w:t xml:space="preserve">Für ihre sechsundvierzigste Tagung im Jahr 2013 sah die TWO die Erörterung von 15 Prüfungsrichtlinien vor, die aus zwei Überarbeitungen und 13 neuen Prüfungsrichtlinien bestehen. </w:t>
      </w:r>
    </w:p>
    <w:p w:rsidR="000313D8" w:rsidRDefault="000313D8" w:rsidP="000313D8">
      <w:pPr>
        <w:autoSpaceDE w:val="0"/>
        <w:autoSpaceDN w:val="0"/>
        <w:adjustRightInd w:val="0"/>
        <w:rPr>
          <w:rFonts w:cs="Arial"/>
          <w:color w:val="000000"/>
        </w:rPr>
      </w:pPr>
    </w:p>
    <w:p w:rsidR="000313D8" w:rsidRPr="00CC587F" w:rsidRDefault="000313D8" w:rsidP="000313D8">
      <w:pPr>
        <w:rPr>
          <w:rFonts w:cs="Arial"/>
        </w:rPr>
      </w:pPr>
      <w:r w:rsidRPr="00AF342C">
        <w:fldChar w:fldCharType="begin"/>
      </w:r>
      <w:r w:rsidRPr="00AF342C">
        <w:instrText xml:space="preserve"> AUTONUM  \* Arabic </w:instrText>
      </w:r>
      <w:r w:rsidRPr="00AF342C">
        <w:fldChar w:fldCharType="end"/>
      </w:r>
      <w:r>
        <w:tab/>
        <w:t>Die TWO vereinbarte, folgende Entwürfe von Prüfungsrichtlinien auf ihrer sechsundvierzigsten Tagung zu erörtern:</w:t>
      </w:r>
    </w:p>
    <w:p w:rsidR="000313D8" w:rsidRDefault="000313D8" w:rsidP="000313D8">
      <w:pPr>
        <w:autoSpaceDE w:val="0"/>
        <w:autoSpaceDN w:val="0"/>
        <w:adjustRightInd w:val="0"/>
        <w:rPr>
          <w:rFonts w:cs="Arial"/>
          <w:color w:val="000000"/>
        </w:rPr>
      </w:pP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color w:val="000000"/>
        </w:rPr>
        <w:t>Abelie</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i/>
          <w:color w:val="000000"/>
        </w:rPr>
        <w:t>Aglaonema</w:t>
      </w:r>
      <w:r>
        <w:rPr>
          <w:color w:val="000000"/>
        </w:rPr>
        <w:t xml:space="preserve"> Schott.</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i/>
        </w:rPr>
        <w:t>Aloe</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i/>
          <w:color w:val="000000"/>
        </w:rPr>
        <w:t>Campanula</w:t>
      </w:r>
      <w:r>
        <w:rPr>
          <w:color w:val="000000"/>
        </w:rPr>
        <w:t xml:space="preserve"> L.</w:t>
      </w:r>
    </w:p>
    <w:p w:rsidR="000313D8" w:rsidRDefault="000313D8" w:rsidP="00916DB0">
      <w:pPr>
        <w:numPr>
          <w:ilvl w:val="0"/>
          <w:numId w:val="37"/>
        </w:numPr>
        <w:tabs>
          <w:tab w:val="clear" w:pos="720"/>
        </w:tabs>
        <w:autoSpaceDE w:val="0"/>
        <w:autoSpaceDN w:val="0"/>
        <w:adjustRightInd w:val="0"/>
        <w:ind w:left="993" w:hanging="426"/>
        <w:rPr>
          <w:rFonts w:cs="Arial"/>
          <w:i/>
          <w:color w:val="000000"/>
        </w:rPr>
      </w:pPr>
      <w:r>
        <w:rPr>
          <w:color w:val="000000"/>
        </w:rPr>
        <w:t>Chinesische Aster (</w:t>
      </w:r>
      <w:r>
        <w:rPr>
          <w:i/>
          <w:color w:val="000000"/>
        </w:rPr>
        <w:t xml:space="preserve">Callistephus chinensis </w:t>
      </w:r>
      <w:r>
        <w:rPr>
          <w:color w:val="000000"/>
        </w:rPr>
        <w:t>(L.) Nees</w:t>
      </w:r>
      <w:r>
        <w:rPr>
          <w:i/>
          <w:color w:val="000000"/>
        </w:rPr>
        <w:t>)</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color w:val="000000"/>
        </w:rPr>
        <w:t>Keulenlilie</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color w:val="000000"/>
        </w:rPr>
        <w:t>Cosmos (</w:t>
      </w:r>
      <w:r>
        <w:rPr>
          <w:i/>
          <w:color w:val="000000"/>
        </w:rPr>
        <w:t xml:space="preserve">Cosmos </w:t>
      </w:r>
      <w:r>
        <w:rPr>
          <w:color w:val="000000"/>
        </w:rPr>
        <w:t>Cav.)</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color w:val="000000"/>
        </w:rPr>
        <w:lastRenderedPageBreak/>
        <w:t>Nelke (Überarbeitung) (TG/25/9)</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color w:val="000000"/>
        </w:rPr>
        <w:t>Grevillea</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color w:val="000000"/>
        </w:rPr>
        <w:t>Funkie</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color w:val="000000"/>
        </w:rPr>
        <w:t>Flieder (</w:t>
      </w:r>
      <w:r>
        <w:rPr>
          <w:i/>
          <w:iCs/>
          <w:color w:val="000000"/>
        </w:rPr>
        <w:t>Syringa</w:t>
      </w:r>
      <w:r>
        <w:rPr>
          <w:color w:val="000000"/>
        </w:rPr>
        <w:t xml:space="preserve"> L.)</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color w:val="000000"/>
        </w:rPr>
        <w:t>Mandevilla</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color w:val="000000"/>
        </w:rPr>
        <w:t>Edelpelargonie (Überarbeitung) (TG/109/3)</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color w:val="000000"/>
        </w:rPr>
        <w:t>Salbei</w:t>
      </w:r>
    </w:p>
    <w:p w:rsidR="000313D8" w:rsidRDefault="000313D8" w:rsidP="00916DB0">
      <w:pPr>
        <w:numPr>
          <w:ilvl w:val="0"/>
          <w:numId w:val="37"/>
        </w:numPr>
        <w:tabs>
          <w:tab w:val="clear" w:pos="720"/>
        </w:tabs>
        <w:autoSpaceDE w:val="0"/>
        <w:autoSpaceDN w:val="0"/>
        <w:adjustRightInd w:val="0"/>
        <w:ind w:left="993" w:hanging="426"/>
        <w:rPr>
          <w:rFonts w:cs="Arial"/>
          <w:color w:val="000000"/>
        </w:rPr>
      </w:pPr>
      <w:r>
        <w:rPr>
          <w:i/>
          <w:color w:val="000000"/>
        </w:rPr>
        <w:t>Zinnia</w:t>
      </w:r>
      <w:r>
        <w:rPr>
          <w:color w:val="000000"/>
        </w:rPr>
        <w:t xml:space="preserve"> L.</w:t>
      </w:r>
    </w:p>
    <w:p w:rsidR="000313D8" w:rsidRDefault="000313D8" w:rsidP="00916DB0">
      <w:pPr>
        <w:autoSpaceDE w:val="0"/>
        <w:autoSpaceDN w:val="0"/>
        <w:adjustRightInd w:val="0"/>
        <w:ind w:left="993" w:hanging="426"/>
        <w:rPr>
          <w:rFonts w:cs="Arial"/>
          <w:color w:val="000000"/>
        </w:rPr>
      </w:pPr>
    </w:p>
    <w:p w:rsidR="000313D8" w:rsidRPr="0003383F"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t>Auf Einladung Australiens vereinbarte die TWO, ihre sechsundvierzigste Tagung vom 22. bis 26. April mit der vorbereitenden Arbeitstagung am 21. April 2013 in Melbourne, Australien, abzuhalten.</w:t>
      </w:r>
    </w:p>
    <w:p w:rsidR="000313D8" w:rsidRDefault="000313D8" w:rsidP="000313D8">
      <w:pPr>
        <w:autoSpaceDE w:val="0"/>
        <w:autoSpaceDN w:val="0"/>
        <w:adjustRightInd w:val="0"/>
        <w:rPr>
          <w:rFonts w:cs="Arial"/>
          <w:color w:val="000000"/>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Die TWO schlug vor, auf ihrer nächsten Tagung folgende Punkte zu behandeln:</w:t>
      </w:r>
    </w:p>
    <w:p w:rsidR="000313D8" w:rsidRPr="00CC587F" w:rsidRDefault="000313D8" w:rsidP="000313D8">
      <w:pPr>
        <w:rPr>
          <w:rFonts w:cs="Arial"/>
        </w:rPr>
      </w:pP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1.</w:t>
      </w:r>
      <w:r>
        <w:tab/>
      </w:r>
      <w:r>
        <w:rPr>
          <w:rFonts w:ascii="ArialMT" w:hAnsi="ArialMT"/>
        </w:rPr>
        <w:t>Eröffnung der Tagung</w:t>
      </w:r>
    </w:p>
    <w:p w:rsidR="000313D8" w:rsidRPr="00E95492" w:rsidRDefault="000313D8" w:rsidP="000313D8">
      <w:pPr>
        <w:tabs>
          <w:tab w:val="num" w:pos="1134"/>
        </w:tabs>
        <w:spacing w:before="20" w:afterLines="20" w:after="48"/>
        <w:ind w:left="567"/>
        <w:rPr>
          <w:rFonts w:ascii="ArialMT" w:hAnsi="ArialMT" w:cs="ArialMT"/>
        </w:rPr>
      </w:pPr>
      <w:r>
        <w:rPr>
          <w:rFonts w:ascii="ArialMT" w:hAnsi="ArialMT"/>
        </w:rPr>
        <w:t>2.</w:t>
      </w:r>
      <w:r>
        <w:tab/>
      </w:r>
      <w:r>
        <w:rPr>
          <w:rFonts w:ascii="ArialMT" w:hAnsi="ArialMT"/>
        </w:rPr>
        <w:t>Annahme der Tagesordnung</w:t>
      </w:r>
    </w:p>
    <w:p w:rsidR="000313D8" w:rsidRPr="00CC587F" w:rsidRDefault="000313D8" w:rsidP="000313D8">
      <w:pPr>
        <w:tabs>
          <w:tab w:val="num" w:pos="1134"/>
        </w:tabs>
        <w:spacing w:before="20" w:afterLines="20" w:after="48"/>
        <w:ind w:left="567"/>
        <w:rPr>
          <w:rFonts w:cs="Arial"/>
        </w:rPr>
      </w:pPr>
      <w:r>
        <w:rPr>
          <w:rFonts w:ascii="ArialMT" w:hAnsi="ArialMT"/>
        </w:rPr>
        <w:t>3.</w:t>
      </w:r>
      <w:r>
        <w:tab/>
        <w:t>Kurzberichte über die Entwicklungen im Sortenschutz</w:t>
      </w:r>
    </w:p>
    <w:p w:rsidR="000313D8" w:rsidRPr="00CC587F" w:rsidRDefault="000313D8" w:rsidP="000313D8">
      <w:pPr>
        <w:spacing w:before="20" w:afterLines="20" w:after="48"/>
        <w:ind w:left="1584" w:hanging="450"/>
        <w:rPr>
          <w:rFonts w:cs="Arial"/>
        </w:rPr>
      </w:pPr>
      <w:r>
        <w:t>a)</w:t>
      </w:r>
      <w:r>
        <w:tab/>
        <w:t xml:space="preserve">Berichte von Mitgliedern und Beobachtern </w:t>
      </w:r>
    </w:p>
    <w:p w:rsidR="000313D8" w:rsidRPr="00CC587F" w:rsidRDefault="000313D8" w:rsidP="000313D8">
      <w:pPr>
        <w:spacing w:before="20" w:afterLines="20" w:after="48"/>
        <w:ind w:left="1584" w:hanging="450"/>
        <w:rPr>
          <w:rFonts w:cs="Arial"/>
        </w:rPr>
      </w:pPr>
      <w:r>
        <w:t>b)</w:t>
      </w:r>
      <w:r>
        <w:tab/>
        <w:t xml:space="preserve">Berichte über Entwicklungen in der UPOV </w:t>
      </w:r>
    </w:p>
    <w:p w:rsidR="000313D8" w:rsidRPr="00CC587F" w:rsidRDefault="000313D8" w:rsidP="000313D8">
      <w:pPr>
        <w:spacing w:before="20" w:afterLines="20" w:after="48"/>
        <w:ind w:left="567"/>
        <w:rPr>
          <w:rFonts w:cs="Arial"/>
        </w:rPr>
      </w:pPr>
      <w:r>
        <w:rPr>
          <w:rFonts w:ascii="ArialMT" w:hAnsi="ArialMT"/>
        </w:rPr>
        <w:t>4.</w:t>
      </w:r>
      <w:r>
        <w:tab/>
        <w:t xml:space="preserve">Molekulare Verfahren </w:t>
      </w:r>
    </w:p>
    <w:p w:rsidR="000313D8" w:rsidRPr="00CC587F" w:rsidRDefault="000313D8" w:rsidP="000313D8">
      <w:pPr>
        <w:spacing w:before="20" w:afterLines="20" w:after="48"/>
        <w:ind w:left="567"/>
        <w:rPr>
          <w:rFonts w:cs="Arial"/>
        </w:rPr>
      </w:pPr>
      <w:r>
        <w:rPr>
          <w:rFonts w:ascii="ArialMT" w:hAnsi="ArialMT"/>
        </w:rPr>
        <w:t>5.</w:t>
      </w:r>
      <w:r>
        <w:tab/>
        <w:t xml:space="preserve">TGP-Dokumente </w:t>
      </w:r>
    </w:p>
    <w:p w:rsidR="000313D8" w:rsidRPr="00CC587F" w:rsidRDefault="000313D8" w:rsidP="000313D8">
      <w:pPr>
        <w:spacing w:before="20" w:afterLines="20" w:after="48"/>
        <w:ind w:left="567"/>
        <w:rPr>
          <w:rFonts w:cs="Arial"/>
        </w:rPr>
      </w:pPr>
      <w:r>
        <w:rPr>
          <w:rFonts w:ascii="ArialMT" w:hAnsi="ArialMT"/>
        </w:rPr>
        <w:t>6.</w:t>
      </w:r>
      <w:r>
        <w:tab/>
        <w:t xml:space="preserve">Sortenbezeichnungen </w:t>
      </w:r>
    </w:p>
    <w:p w:rsidR="000313D8" w:rsidRPr="00CC587F" w:rsidRDefault="000313D8" w:rsidP="000313D8">
      <w:pPr>
        <w:spacing w:before="20" w:afterLines="20" w:after="48"/>
        <w:ind w:left="567"/>
        <w:rPr>
          <w:rFonts w:cs="Arial"/>
        </w:rPr>
      </w:pPr>
      <w:r>
        <w:rPr>
          <w:rFonts w:ascii="ArialMT" w:hAnsi="ArialMT"/>
        </w:rPr>
        <w:t>7.</w:t>
      </w:r>
      <w:r>
        <w:tab/>
        <w:t>Informationen und Datenbanken</w:t>
      </w:r>
    </w:p>
    <w:p w:rsidR="000313D8" w:rsidRPr="00CC587F" w:rsidRDefault="000313D8" w:rsidP="000313D8">
      <w:pPr>
        <w:spacing w:before="20" w:afterLines="20" w:after="48"/>
        <w:ind w:left="1584" w:hanging="450"/>
        <w:rPr>
          <w:rFonts w:cs="Arial"/>
        </w:rPr>
      </w:pPr>
      <w:r>
        <w:t>a)</w:t>
      </w:r>
      <w:r>
        <w:tab/>
        <w:t xml:space="preserve">UPOV-Informationsdatenbanken </w:t>
      </w:r>
    </w:p>
    <w:p w:rsidR="000313D8" w:rsidRPr="00CC587F" w:rsidRDefault="000313D8" w:rsidP="000313D8">
      <w:pPr>
        <w:spacing w:before="20" w:afterLines="20" w:after="48"/>
        <w:ind w:left="1584" w:hanging="450"/>
        <w:jc w:val="left"/>
        <w:rPr>
          <w:rFonts w:cs="Arial"/>
        </w:rPr>
      </w:pPr>
      <w:r>
        <w:t>b)</w:t>
      </w:r>
      <w:r>
        <w:tab/>
        <w:t xml:space="preserve">Datenbanken für Sortenbeschreibungen </w:t>
      </w:r>
    </w:p>
    <w:p w:rsidR="000313D8" w:rsidRPr="00CC587F" w:rsidRDefault="000313D8" w:rsidP="000313D8">
      <w:pPr>
        <w:spacing w:before="20" w:afterLines="20" w:after="48"/>
        <w:ind w:left="1584" w:hanging="450"/>
        <w:rPr>
          <w:rFonts w:cs="Arial"/>
        </w:rPr>
      </w:pPr>
      <w:r>
        <w:t>c)</w:t>
      </w:r>
      <w:r>
        <w:tab/>
        <w:t xml:space="preserve">Austauschbare Software </w:t>
      </w:r>
    </w:p>
    <w:p w:rsidR="000313D8" w:rsidRPr="00CC587F" w:rsidRDefault="000313D8" w:rsidP="000313D8">
      <w:pPr>
        <w:spacing w:before="20" w:afterLines="20" w:after="48"/>
        <w:ind w:left="1584" w:hanging="450"/>
        <w:rPr>
          <w:rFonts w:cs="Arial"/>
        </w:rPr>
      </w:pPr>
      <w:r>
        <w:t>d)</w:t>
      </w:r>
      <w:r>
        <w:tab/>
        <w:t xml:space="preserve">Elektronische Systeme für die Einreichung von Anträgen </w:t>
      </w:r>
    </w:p>
    <w:p w:rsidR="000313D8" w:rsidRPr="00CC587F" w:rsidRDefault="000313D8" w:rsidP="000313D8">
      <w:pPr>
        <w:spacing w:before="20" w:afterLines="20" w:after="48"/>
        <w:ind w:left="567"/>
        <w:rPr>
          <w:rFonts w:cs="Arial"/>
        </w:rPr>
      </w:pPr>
      <w:r>
        <w:rPr>
          <w:rFonts w:ascii="ArialMT" w:hAnsi="ArialMT"/>
        </w:rPr>
        <w:t>8.</w:t>
      </w:r>
      <w:r>
        <w:tab/>
        <w:t>Homogenitätsprüfung</w:t>
      </w:r>
    </w:p>
    <w:p w:rsidR="000313D8" w:rsidRPr="00CC587F" w:rsidRDefault="000313D8" w:rsidP="000313D8">
      <w:pPr>
        <w:spacing w:before="20" w:afterLines="20" w:after="48"/>
        <w:ind w:left="1134" w:hanging="567"/>
        <w:jc w:val="left"/>
        <w:rPr>
          <w:rFonts w:cs="Arial"/>
        </w:rPr>
      </w:pPr>
      <w:r>
        <w:rPr>
          <w:rFonts w:ascii="ArialMT" w:hAnsi="ArialMT"/>
        </w:rPr>
        <w:t>9.</w:t>
      </w:r>
      <w:r>
        <w:tab/>
        <w:t>Angelegenheiten, die bezüglich der vom Technischen Ausschuß angenommenen Prüfungsrichtlinien zu bereinigen sind (sofern zweckmäßig)</w:t>
      </w:r>
    </w:p>
    <w:p w:rsidR="000313D8" w:rsidRPr="00CC587F" w:rsidRDefault="000313D8" w:rsidP="000313D8">
      <w:pPr>
        <w:spacing w:before="20" w:afterLines="20" w:after="48"/>
        <w:ind w:left="567"/>
        <w:rPr>
          <w:rFonts w:cs="Arial"/>
        </w:rPr>
      </w:pPr>
      <w:r>
        <w:rPr>
          <w:rFonts w:ascii="ArialMT" w:hAnsi="ArialMT"/>
        </w:rPr>
        <w:t>10.</w:t>
      </w:r>
      <w:r>
        <w:tab/>
        <w:t>Erörterung über Entwürfe von Prüfungsrichtlinien (Untergruppen)</w:t>
      </w:r>
    </w:p>
    <w:p w:rsidR="000313D8" w:rsidRPr="00CC587F" w:rsidRDefault="000313D8" w:rsidP="000313D8">
      <w:pPr>
        <w:spacing w:before="20" w:afterLines="20" w:after="48"/>
        <w:ind w:left="567"/>
        <w:rPr>
          <w:rFonts w:cs="Arial"/>
        </w:rPr>
      </w:pPr>
      <w:r>
        <w:rPr>
          <w:rFonts w:ascii="ArialMT" w:hAnsi="ArialMT"/>
        </w:rPr>
        <w:t>11.</w:t>
      </w:r>
      <w:r>
        <w:tab/>
        <w:t>Empfehlungen zu Entwürfen von Prüfungsrichtlinien</w:t>
      </w:r>
    </w:p>
    <w:p w:rsidR="000313D8" w:rsidRPr="00CC587F" w:rsidRDefault="000313D8" w:rsidP="000313D8">
      <w:pPr>
        <w:spacing w:before="20" w:afterLines="20" w:after="48"/>
        <w:ind w:left="567"/>
        <w:rPr>
          <w:rFonts w:cs="Arial"/>
        </w:rPr>
      </w:pPr>
      <w:r>
        <w:rPr>
          <w:rFonts w:ascii="ArialMT" w:hAnsi="ArialMT"/>
        </w:rPr>
        <w:t>12.</w:t>
      </w:r>
      <w:r>
        <w:tab/>
        <w:t>Anleitung für Verfasser von Prüfungsrichtlinien</w:t>
      </w:r>
    </w:p>
    <w:p w:rsidR="000313D8" w:rsidRPr="00CC587F" w:rsidRDefault="000313D8" w:rsidP="000313D8">
      <w:pPr>
        <w:spacing w:before="20" w:afterLines="20" w:after="48"/>
        <w:ind w:left="567"/>
        <w:rPr>
          <w:rFonts w:cs="Arial"/>
        </w:rPr>
      </w:pPr>
      <w:r>
        <w:rPr>
          <w:rFonts w:ascii="ArialMT" w:hAnsi="ArialMT"/>
        </w:rPr>
        <w:t>13.</w:t>
      </w:r>
      <w:r>
        <w:tab/>
        <w:t>Ort und Datum der nächsten Tagung</w:t>
      </w:r>
    </w:p>
    <w:p w:rsidR="000313D8" w:rsidRPr="00CC587F" w:rsidRDefault="000313D8" w:rsidP="000313D8">
      <w:pPr>
        <w:spacing w:before="20" w:afterLines="20" w:after="48"/>
        <w:ind w:left="567"/>
        <w:rPr>
          <w:rFonts w:cs="Arial"/>
        </w:rPr>
      </w:pPr>
      <w:r>
        <w:rPr>
          <w:rFonts w:ascii="ArialMT" w:hAnsi="ArialMT"/>
        </w:rPr>
        <w:t>14.</w:t>
      </w:r>
      <w:r>
        <w:tab/>
        <w:t>Künftiges Programm</w:t>
      </w:r>
    </w:p>
    <w:p w:rsidR="000313D8" w:rsidRPr="00CC587F" w:rsidRDefault="000313D8" w:rsidP="000313D8">
      <w:pPr>
        <w:spacing w:before="20" w:afterLines="20" w:after="48"/>
        <w:ind w:left="567"/>
        <w:rPr>
          <w:rFonts w:cs="Arial"/>
        </w:rPr>
      </w:pPr>
      <w:r>
        <w:rPr>
          <w:rFonts w:ascii="ArialMT" w:hAnsi="ArialMT"/>
        </w:rPr>
        <w:t>15.</w:t>
      </w:r>
      <w:r>
        <w:tab/>
        <w:t>Bericht über die Tagung (falls es die Zeit erlaubt)</w:t>
      </w:r>
    </w:p>
    <w:p w:rsidR="000313D8" w:rsidRPr="00CC587F" w:rsidRDefault="000313D8" w:rsidP="000313D8">
      <w:pPr>
        <w:spacing w:before="20" w:afterLines="20" w:after="48"/>
        <w:ind w:left="567"/>
        <w:rPr>
          <w:rFonts w:cs="Arial"/>
        </w:rPr>
      </w:pPr>
      <w:r>
        <w:rPr>
          <w:rFonts w:ascii="ArialMT" w:hAnsi="ArialMT"/>
        </w:rPr>
        <w:t>16.</w:t>
      </w:r>
      <w:r>
        <w:tab/>
        <w:t>Schließung der Tagung</w:t>
      </w:r>
    </w:p>
    <w:p w:rsidR="000313D8" w:rsidRPr="0003383F" w:rsidRDefault="000313D8" w:rsidP="000313D8">
      <w:pPr>
        <w:autoSpaceDE w:val="0"/>
        <w:autoSpaceDN w:val="0"/>
        <w:adjustRightInd w:val="0"/>
        <w:rPr>
          <w:rFonts w:cs="Arial"/>
          <w:color w:val="000000"/>
        </w:rPr>
      </w:pPr>
    </w:p>
    <w:p w:rsidR="000313D8" w:rsidRDefault="000313D8" w:rsidP="000313D8">
      <w:pPr>
        <w:rPr>
          <w:rFonts w:eastAsia="Dotum" w:cs="Arial"/>
        </w:rPr>
      </w:pPr>
      <w:r w:rsidRPr="00AF342C">
        <w:fldChar w:fldCharType="begin"/>
      </w:r>
      <w:r w:rsidRPr="00AF342C">
        <w:instrText xml:space="preserve"> AUTONUM  \* Arabic </w:instrText>
      </w:r>
      <w:r w:rsidRPr="00AF342C">
        <w:fldChar w:fldCharType="end"/>
      </w:r>
      <w:r>
        <w:tab/>
        <w:t>Am Nachmittag des 8. August 2012 besuchte die TWO die Einrichtungen der Kim Jeong Moon Aloe Co.Ltd., Seogwipo-si, einen botanischen Garten und eine Forschungseinrichtung für Aloe.</w:t>
      </w:r>
    </w:p>
    <w:p w:rsidR="000313D8" w:rsidRDefault="000313D8" w:rsidP="000313D8">
      <w:pPr>
        <w:rPr>
          <w:u w:val="single"/>
        </w:rPr>
      </w:pPr>
    </w:p>
    <w:p w:rsidR="000313D8" w:rsidRDefault="000313D8" w:rsidP="000313D8">
      <w:pPr>
        <w:rPr>
          <w:u w:val="single"/>
        </w:rPr>
      </w:pPr>
    </w:p>
    <w:p w:rsidR="000313D8" w:rsidRPr="00483EFD" w:rsidRDefault="000313D8" w:rsidP="00747C66">
      <w:pPr>
        <w:pStyle w:val="Heading2"/>
      </w:pPr>
      <w:bookmarkStart w:id="94" w:name="_Toc336593168"/>
      <w:bookmarkStart w:id="95" w:name="_Toc368583054"/>
      <w:r>
        <w:t>Technische Arbeitsgruppe für Gemüsearten (TWV)</w:t>
      </w:r>
      <w:bookmarkEnd w:id="94"/>
      <w:bookmarkEnd w:id="95"/>
    </w:p>
    <w:p w:rsidR="000313D8" w:rsidRDefault="000313D8" w:rsidP="000313D8">
      <w:pPr>
        <w:keepNext/>
        <w:rPr>
          <w:u w:val="single"/>
        </w:rPr>
      </w:pPr>
    </w:p>
    <w:p w:rsidR="000313D8" w:rsidRDefault="000313D8" w:rsidP="000313D8">
      <w:pPr>
        <w:keepNext/>
        <w:autoSpaceDE w:val="0"/>
        <w:autoSpaceDN w:val="0"/>
        <w:adjustRightInd w:val="0"/>
        <w:rPr>
          <w:rFonts w:cs="Arial"/>
          <w:color w:val="000000"/>
        </w:rPr>
      </w:pPr>
      <w:r w:rsidRPr="00B24528">
        <w:fldChar w:fldCharType="begin"/>
      </w:r>
      <w:r w:rsidRPr="00B24528">
        <w:instrText xml:space="preserve"> AUTONUM  \* Arabic </w:instrText>
      </w:r>
      <w:r w:rsidRPr="00B24528">
        <w:fldChar w:fldCharType="end"/>
      </w:r>
      <w:r>
        <w:tab/>
      </w:r>
      <w:r>
        <w:rPr>
          <w:color w:val="000000"/>
        </w:rPr>
        <w:t xml:space="preserve">Die TWV hielt ihre sechsundvierzigste Tagung vom 11. bis 15. Juni 2012 in </w:t>
      </w:r>
      <w:r>
        <w:t>Floriade, in der Nähe der Stadt Venlo, Niederlande</w:t>
      </w:r>
      <w:r>
        <w:rPr>
          <w:color w:val="000000"/>
        </w:rPr>
        <w:t xml:space="preserve"> ab. Die Tagung fand bei der Weltgartenbauaustellung „Floriade”, einer Veranstaltung für den Gartenbausektor statt. Den Vorsitz über die Tagung führte Herr François Boulineau (Frankreich), Vorsitzender der TWV.</w:t>
      </w:r>
    </w:p>
    <w:p w:rsidR="000313D8" w:rsidRPr="00B84FDF" w:rsidRDefault="000313D8" w:rsidP="000313D8">
      <w:pPr>
        <w:autoSpaceDE w:val="0"/>
        <w:autoSpaceDN w:val="0"/>
        <w:adjustRightInd w:val="0"/>
        <w:rPr>
          <w:rFonts w:cs="Arial"/>
          <w:color w:val="000000"/>
        </w:rPr>
      </w:pPr>
    </w:p>
    <w:p w:rsidR="000313D8" w:rsidRPr="00FE0C9B"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 xml:space="preserve">An der Tagung nahmen 43 Teilnehmer aus 16 Verbandsmitgliedern und zwei Beobachterorganisationen teil. Die vorbereitende Arbeitstagung fand mit 15 Teilnehmern am Nachmittag des 10. Juni statt und beinhaltete eine Schulung über die Erstellung von Prüfungsrichtlinien. </w:t>
      </w:r>
    </w:p>
    <w:p w:rsidR="000313D8" w:rsidRDefault="000313D8" w:rsidP="000313D8">
      <w:pPr>
        <w:autoSpaceDE w:val="0"/>
        <w:autoSpaceDN w:val="0"/>
        <w:adjustRightInd w:val="0"/>
        <w:rPr>
          <w:rFonts w:cs="Arial"/>
          <w:color w:val="000000"/>
        </w:rPr>
      </w:pPr>
    </w:p>
    <w:p w:rsidR="000313D8" w:rsidRDefault="000313D8" w:rsidP="000313D8">
      <w:pPr>
        <w:contextualSpacing/>
        <w:rPr>
          <w:rFonts w:cs="Arial"/>
        </w:rPr>
      </w:pPr>
      <w:r w:rsidRPr="00AF342C">
        <w:fldChar w:fldCharType="begin"/>
      </w:r>
      <w:r w:rsidRPr="00AF342C">
        <w:instrText xml:space="preserve"> AUTONUM  \* Arabic </w:instrText>
      </w:r>
      <w:r w:rsidRPr="00AF342C">
        <w:fldChar w:fldCharType="end"/>
      </w:r>
      <w:r>
        <w:tab/>
        <w:t>In Einklang mit der Tagesordnung wurde eine Reihe von TGP-Dokumenten erörtert: TGP/7 „Erstellung von Prüfungsrichtlinien“, TGP/8 „Prüfungsanlage und Verfahren für die Prüfung von Unterscheidbarkeit, Homogenität und Beständigkeit“ und TGP/14 „Glossar der in den UPOV-Dokumenten verwendeten Begriffe“.</w:t>
      </w:r>
    </w:p>
    <w:p w:rsidR="000313D8" w:rsidRPr="00B84FDF" w:rsidRDefault="000313D8" w:rsidP="000313D8">
      <w:pPr>
        <w:autoSpaceDE w:val="0"/>
        <w:autoSpaceDN w:val="0"/>
        <w:adjustRightInd w:val="0"/>
        <w:rPr>
          <w:rFonts w:cs="Arial"/>
          <w:color w:val="000000"/>
        </w:rPr>
      </w:pPr>
    </w:p>
    <w:p w:rsidR="000313D8" w:rsidRPr="00FB5F45" w:rsidRDefault="000313D8" w:rsidP="000313D8">
      <w:pPr>
        <w:contextualSpacing/>
      </w:pPr>
      <w:r w:rsidRPr="00FB5F45">
        <w:lastRenderedPageBreak/>
        <w:fldChar w:fldCharType="begin"/>
      </w:r>
      <w:r w:rsidRPr="00FB5F45">
        <w:instrText xml:space="preserve"> AUTONUM  \* Arabic </w:instrText>
      </w:r>
      <w:r w:rsidRPr="00FB5F45">
        <w:fldChar w:fldCharType="end"/>
      </w:r>
      <w:r>
        <w:tab/>
        <w:t>Es fand eine Erörterung über das Homogenitätsniveau für Krankheitsresistenzen auf der Grundlage von Dokument TWV/46/34 „</w:t>
      </w:r>
      <w:r w:rsidRPr="00FB5F45">
        <w:t>Levels of uniformity according to the state of expression of obligatory disease resistance characteristics and varieties not bred for having such disease resistance</w:t>
      </w:r>
      <w:r>
        <w:t>“ (Homogenitätsniveaus gemäß der Ausprägungsstufe obligatorischer Krankheitsresistenzmerkmale und nicht für solche Krankheitsresistenzen gezüchtete Sorten) und</w:t>
      </w:r>
      <w:r>
        <w:rPr>
          <w:color w:val="000000"/>
        </w:rPr>
        <w:t xml:space="preserve"> ein Referat eines Sachverständigen der Europäischen Union statt. </w:t>
      </w:r>
    </w:p>
    <w:p w:rsidR="000313D8" w:rsidRPr="00FB5F45" w:rsidRDefault="000313D8" w:rsidP="000313D8">
      <w:pPr>
        <w:autoSpaceDE w:val="0"/>
        <w:autoSpaceDN w:val="0"/>
        <w:adjustRightInd w:val="0"/>
        <w:rPr>
          <w:rFonts w:cs="Arial"/>
          <w:color w:val="000000"/>
        </w:rPr>
      </w:pPr>
    </w:p>
    <w:p w:rsidR="000313D8" w:rsidRPr="00FB5F45" w:rsidRDefault="000313D8" w:rsidP="000313D8">
      <w:pPr>
        <w:autoSpaceDE w:val="0"/>
        <w:autoSpaceDN w:val="0"/>
        <w:adjustRightInd w:val="0"/>
        <w:rPr>
          <w:rFonts w:cs="Arial"/>
          <w:color w:val="000000"/>
        </w:rPr>
      </w:pPr>
      <w:r w:rsidRPr="00FB5F45">
        <w:fldChar w:fldCharType="begin"/>
      </w:r>
      <w:r w:rsidRPr="00FB5F45">
        <w:instrText xml:space="preserve"> AUTONUM  \* Arabic </w:instrText>
      </w:r>
      <w:r w:rsidRPr="00FB5F45">
        <w:fldChar w:fldCharType="end"/>
      </w:r>
      <w:r>
        <w:tab/>
      </w:r>
      <w:r>
        <w:rPr>
          <w:color w:val="000000"/>
        </w:rPr>
        <w:t>Bezüglich der Anleitung zur Datenanalyse für randomisierte Blindprüfungen (vergleiche Dokument TWV/46/17 „Überarbeitung von Dokument TGP/8: Teil II: Verfahren für die DUS-Prüfung, Neuer Abschnitt: Anleitung zur Datenanalyse für randomisierte Blindprüfungen“), nahm die TWV die Bedeutung dieses Ansatzes für Züchter und den Beitrag, den das Verfahren zu dem System geleistet hat, zur Kenntnis.  Sie empfahl die Weiterentwicklung der Anleitung auf der Grundlage von Dokument TWV/46/17.</w:t>
      </w:r>
    </w:p>
    <w:p w:rsidR="000313D8" w:rsidRPr="00FB5F45" w:rsidRDefault="000313D8" w:rsidP="000313D8">
      <w:pPr>
        <w:autoSpaceDE w:val="0"/>
        <w:autoSpaceDN w:val="0"/>
        <w:adjustRightInd w:val="0"/>
        <w:rPr>
          <w:rFonts w:cs="Arial"/>
          <w:color w:val="000000"/>
        </w:rPr>
      </w:pPr>
    </w:p>
    <w:p w:rsidR="000313D8" w:rsidRPr="00B84FDF" w:rsidRDefault="000313D8" w:rsidP="000313D8">
      <w:pPr>
        <w:autoSpaceDE w:val="0"/>
        <w:autoSpaceDN w:val="0"/>
        <w:adjustRightInd w:val="0"/>
        <w:rPr>
          <w:rFonts w:cs="Arial"/>
          <w:color w:val="000000"/>
        </w:rPr>
      </w:pPr>
      <w:r w:rsidRPr="00FB5F45">
        <w:fldChar w:fldCharType="begin"/>
      </w:r>
      <w:r w:rsidRPr="00FB5F45">
        <w:instrText xml:space="preserve"> AUTONUM  \* Arabic </w:instrText>
      </w:r>
      <w:r w:rsidRPr="00FB5F45">
        <w:fldChar w:fldCharType="end"/>
      </w:r>
      <w:r>
        <w:tab/>
      </w:r>
      <w:r>
        <w:rPr>
          <w:color w:val="000000"/>
        </w:rPr>
        <w:t>Bezüglich der Datenbanken für Sortenbeschreibungen (vergleiche Dokument TWV/46/6 „Datenbanken für Sortenbeschreibungen“) war sich die TWV darin einig, daß die Arbeit zum Projekt für die Erbsendatenbank fortgesetzt werden solle und daß sie ein gutes Beispiel für die Entwicklung ähnlicher Datenbanken für andere Arten sei. Sie stimmte ferner darin überein, daß sie im Hinblick auf Gruppierungsmerkmale eine gute Grundlage für eine künftige Überarbeitung der Prüfungsrichtlinien für Erbse sei.</w:t>
      </w:r>
    </w:p>
    <w:p w:rsidR="000313D8" w:rsidRDefault="000313D8" w:rsidP="000313D8">
      <w:pPr>
        <w:autoSpaceDE w:val="0"/>
        <w:autoSpaceDN w:val="0"/>
        <w:adjustRightInd w:val="0"/>
        <w:rPr>
          <w:rFonts w:cs="Arial"/>
          <w:color w:val="000000"/>
        </w:rPr>
      </w:pPr>
    </w:p>
    <w:p w:rsidR="000313D8"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r>
      <w:r>
        <w:rPr>
          <w:color w:val="000000"/>
        </w:rPr>
        <w:t>Auf der sechsundvierzigsten Tagung der TWV wurden 13 Prüfungsrichtlinien erörtert. Die TWV vereinbarte, dem Technischen Ausschuß neun Prüfungsrichtlinien zur Annahme vorzulegen:  drei neue:  Koriander, Kräuterseitling, Tomatenunterlagen und sechs Überarbeitungen: Endivie, Salat, Mohn, Spinat, Tomate und Wassermelone.</w:t>
      </w:r>
    </w:p>
    <w:p w:rsidR="000313D8" w:rsidRDefault="000313D8" w:rsidP="000313D8">
      <w:pPr>
        <w:rPr>
          <w:rFonts w:cs="Arial"/>
        </w:rPr>
      </w:pPr>
    </w:p>
    <w:p w:rsidR="000313D8" w:rsidRPr="003F6C03" w:rsidRDefault="000313D8" w:rsidP="000313D8">
      <w:pPr>
        <w:rPr>
          <w:rFonts w:cs="Arial"/>
        </w:rPr>
      </w:pPr>
      <w:r w:rsidRPr="00AF342C">
        <w:fldChar w:fldCharType="begin"/>
      </w:r>
      <w:r w:rsidRPr="00AF342C">
        <w:instrText xml:space="preserve"> AUTONUM  \* Arabic </w:instrText>
      </w:r>
      <w:r w:rsidRPr="00AF342C">
        <w:fldChar w:fldCharType="end"/>
      </w:r>
      <w:r>
        <w:tab/>
        <w:t>Die TWV vereinbarte, folgende Entwürfe von Prüfungsrichtlinien auf ihrer siebenundvierzigsten Tagung zu erörtern:</w:t>
      </w:r>
    </w:p>
    <w:p w:rsidR="000313D8" w:rsidRDefault="000313D8" w:rsidP="000313D8">
      <w:pPr>
        <w:autoSpaceDE w:val="0"/>
        <w:autoSpaceDN w:val="0"/>
        <w:adjustRightInd w:val="0"/>
        <w:rPr>
          <w:rFonts w:cs="Arial"/>
          <w:color w:val="000000"/>
        </w:rPr>
      </w:pPr>
    </w:p>
    <w:p w:rsidR="000313D8" w:rsidRDefault="000313D8" w:rsidP="00916DB0">
      <w:pPr>
        <w:numPr>
          <w:ilvl w:val="0"/>
          <w:numId w:val="36"/>
        </w:numPr>
        <w:tabs>
          <w:tab w:val="clear" w:pos="720"/>
        </w:tabs>
        <w:autoSpaceDE w:val="0"/>
        <w:autoSpaceDN w:val="0"/>
        <w:adjustRightInd w:val="0"/>
        <w:ind w:left="993" w:hanging="426"/>
        <w:rPr>
          <w:rFonts w:cs="Arial"/>
          <w:szCs w:val="24"/>
        </w:rPr>
      </w:pPr>
      <w:r>
        <w:rPr>
          <w:szCs w:val="24"/>
        </w:rPr>
        <w:t>Flaschenkürbis, Kalebasse (</w:t>
      </w:r>
      <w:r>
        <w:rPr>
          <w:i/>
          <w:szCs w:val="24"/>
        </w:rPr>
        <w:t>Lagenaria siceraria</w:t>
      </w:r>
      <w:r>
        <w:rPr>
          <w:szCs w:val="24"/>
        </w:rPr>
        <w:t xml:space="preserve"> (Molina) Standl.)</w:t>
      </w:r>
    </w:p>
    <w:p w:rsidR="000313D8" w:rsidRDefault="000313D8" w:rsidP="00916DB0">
      <w:pPr>
        <w:numPr>
          <w:ilvl w:val="0"/>
          <w:numId w:val="36"/>
        </w:numPr>
        <w:tabs>
          <w:tab w:val="clear" w:pos="720"/>
        </w:tabs>
        <w:autoSpaceDE w:val="0"/>
        <w:autoSpaceDN w:val="0"/>
        <w:adjustRightInd w:val="0"/>
        <w:ind w:left="993" w:hanging="426"/>
        <w:rPr>
          <w:rFonts w:cs="Arial"/>
          <w:szCs w:val="24"/>
        </w:rPr>
      </w:pPr>
      <w:r>
        <w:rPr>
          <w:szCs w:val="24"/>
        </w:rPr>
        <w:t>Sareptasenf (</w:t>
      </w:r>
      <w:r>
        <w:rPr>
          <w:i/>
          <w:szCs w:val="24"/>
        </w:rPr>
        <w:t xml:space="preserve">Brassica juncea </w:t>
      </w:r>
      <w:r>
        <w:rPr>
          <w:szCs w:val="24"/>
        </w:rPr>
        <w:t>(L.) Czern)</w:t>
      </w:r>
    </w:p>
    <w:p w:rsidR="000313D8" w:rsidRDefault="000313D8" w:rsidP="00916DB0">
      <w:pPr>
        <w:numPr>
          <w:ilvl w:val="0"/>
          <w:numId w:val="36"/>
        </w:numPr>
        <w:tabs>
          <w:tab w:val="clear" w:pos="720"/>
        </w:tabs>
        <w:autoSpaceDE w:val="0"/>
        <w:autoSpaceDN w:val="0"/>
        <w:adjustRightInd w:val="0"/>
        <w:ind w:left="993" w:hanging="426"/>
        <w:rPr>
          <w:rFonts w:cs="Arial"/>
          <w:szCs w:val="24"/>
        </w:rPr>
      </w:pPr>
      <w:r>
        <w:rPr>
          <w:szCs w:val="24"/>
        </w:rPr>
        <w:t>Maniok (</w:t>
      </w:r>
      <w:r>
        <w:rPr>
          <w:i/>
          <w:szCs w:val="24"/>
        </w:rPr>
        <w:t xml:space="preserve">Manihot esculenta </w:t>
      </w:r>
      <w:r>
        <w:rPr>
          <w:szCs w:val="24"/>
        </w:rPr>
        <w:t>Crantz.)</w:t>
      </w:r>
    </w:p>
    <w:p w:rsidR="000313D8" w:rsidRDefault="000313D8" w:rsidP="00916DB0">
      <w:pPr>
        <w:numPr>
          <w:ilvl w:val="0"/>
          <w:numId w:val="36"/>
        </w:numPr>
        <w:tabs>
          <w:tab w:val="clear" w:pos="720"/>
        </w:tabs>
        <w:autoSpaceDE w:val="0"/>
        <w:autoSpaceDN w:val="0"/>
        <w:adjustRightInd w:val="0"/>
        <w:ind w:left="993" w:hanging="426"/>
        <w:rPr>
          <w:rFonts w:cs="Arial"/>
          <w:szCs w:val="24"/>
        </w:rPr>
      </w:pPr>
      <w:r>
        <w:rPr>
          <w:szCs w:val="24"/>
        </w:rPr>
        <w:t xml:space="preserve">Schnittlauch </w:t>
      </w:r>
      <w:r>
        <w:rPr>
          <w:snapToGrid w:val="0"/>
          <w:color w:val="000000"/>
        </w:rPr>
        <w:t>(</w:t>
      </w:r>
      <w:r>
        <w:rPr>
          <w:i/>
        </w:rPr>
        <w:t xml:space="preserve">Allium schoenoprasum </w:t>
      </w:r>
      <w:r>
        <w:t>L.</w:t>
      </w:r>
      <w:r>
        <w:rPr>
          <w:snapToGrid w:val="0"/>
          <w:color w:val="000000"/>
        </w:rPr>
        <w:t xml:space="preserve">) </w:t>
      </w:r>
      <w:r>
        <w:rPr>
          <w:szCs w:val="24"/>
        </w:rPr>
        <w:t>(Überarbeitung)</w:t>
      </w:r>
    </w:p>
    <w:p w:rsidR="000313D8" w:rsidRPr="00E95A78" w:rsidRDefault="000313D8" w:rsidP="00916DB0">
      <w:pPr>
        <w:numPr>
          <w:ilvl w:val="0"/>
          <w:numId w:val="36"/>
        </w:numPr>
        <w:tabs>
          <w:tab w:val="clear" w:pos="720"/>
        </w:tabs>
        <w:autoSpaceDE w:val="0"/>
        <w:autoSpaceDN w:val="0"/>
        <w:adjustRightInd w:val="0"/>
        <w:ind w:left="993" w:hanging="426"/>
        <w:rPr>
          <w:rFonts w:cs="Arial"/>
          <w:snapToGrid w:val="0"/>
          <w:color w:val="000000"/>
        </w:rPr>
      </w:pPr>
      <w:r>
        <w:rPr>
          <w:snapToGrid w:val="0"/>
          <w:color w:val="000000"/>
        </w:rPr>
        <w:t>Gurke (</w:t>
      </w:r>
      <w:r>
        <w:rPr>
          <w:i/>
          <w:iCs/>
        </w:rPr>
        <w:t xml:space="preserve">Cucumis sativus </w:t>
      </w:r>
      <w:r>
        <w:t>L.</w:t>
      </w:r>
      <w:r>
        <w:rPr>
          <w:snapToGrid w:val="0"/>
          <w:color w:val="000000"/>
        </w:rPr>
        <w:t>) (Teilüberarbeitung: bestehende Krankheitsresistenz)</w:t>
      </w:r>
    </w:p>
    <w:p w:rsidR="000313D8" w:rsidRPr="00CD2BA2" w:rsidRDefault="000313D8" w:rsidP="00916DB0">
      <w:pPr>
        <w:numPr>
          <w:ilvl w:val="0"/>
          <w:numId w:val="36"/>
        </w:numPr>
        <w:tabs>
          <w:tab w:val="clear" w:pos="720"/>
        </w:tabs>
        <w:autoSpaceDE w:val="0"/>
        <w:autoSpaceDN w:val="0"/>
        <w:adjustRightInd w:val="0"/>
        <w:ind w:left="993" w:hanging="426"/>
        <w:rPr>
          <w:rFonts w:cs="Arial"/>
          <w:szCs w:val="24"/>
        </w:rPr>
      </w:pPr>
      <w:r>
        <w:rPr>
          <w:i/>
          <w:szCs w:val="24"/>
        </w:rPr>
        <w:t>Cucurbita maxima</w:t>
      </w:r>
      <w:r>
        <w:rPr>
          <w:szCs w:val="24"/>
        </w:rPr>
        <w:t xml:space="preserve"> x</w:t>
      </w:r>
      <w:r>
        <w:rPr>
          <w:i/>
          <w:szCs w:val="24"/>
        </w:rPr>
        <w:t xml:space="preserve"> Cucurbita moschata</w:t>
      </w:r>
      <w:r>
        <w:rPr>
          <w:szCs w:val="24"/>
        </w:rPr>
        <w:t xml:space="preserve"> (Unterlagen)</w:t>
      </w:r>
    </w:p>
    <w:p w:rsidR="000313D8" w:rsidRDefault="000313D8" w:rsidP="00916DB0">
      <w:pPr>
        <w:numPr>
          <w:ilvl w:val="0"/>
          <w:numId w:val="36"/>
        </w:numPr>
        <w:tabs>
          <w:tab w:val="clear" w:pos="720"/>
        </w:tabs>
        <w:autoSpaceDE w:val="0"/>
        <w:autoSpaceDN w:val="0"/>
        <w:adjustRightInd w:val="0"/>
        <w:ind w:left="993" w:hanging="426"/>
        <w:rPr>
          <w:rFonts w:cs="Arial"/>
          <w:szCs w:val="24"/>
        </w:rPr>
      </w:pPr>
      <w:r>
        <w:rPr>
          <w:szCs w:val="24"/>
        </w:rPr>
        <w:t>Blattzichorie</w:t>
      </w:r>
      <w:r>
        <w:t>(</w:t>
      </w:r>
      <w:r>
        <w:rPr>
          <w:bCs/>
          <w:i/>
        </w:rPr>
        <w:t>Cichorium intybus</w:t>
      </w:r>
      <w:r>
        <w:rPr>
          <w:bCs/>
        </w:rPr>
        <w:t xml:space="preserve"> L. var. </w:t>
      </w:r>
      <w:r>
        <w:rPr>
          <w:bCs/>
          <w:i/>
        </w:rPr>
        <w:t>foliosum</w:t>
      </w:r>
      <w:r>
        <w:rPr>
          <w:bCs/>
        </w:rPr>
        <w:t xml:space="preserve"> Hegi</w:t>
      </w:r>
      <w:r>
        <w:t xml:space="preserve">) </w:t>
      </w:r>
      <w:r>
        <w:rPr>
          <w:szCs w:val="24"/>
        </w:rPr>
        <w:t>(Überarbeitung)</w:t>
      </w:r>
    </w:p>
    <w:p w:rsidR="000313D8" w:rsidRDefault="000313D8" w:rsidP="00916DB0">
      <w:pPr>
        <w:numPr>
          <w:ilvl w:val="0"/>
          <w:numId w:val="36"/>
        </w:numPr>
        <w:tabs>
          <w:tab w:val="clear" w:pos="720"/>
        </w:tabs>
        <w:autoSpaceDE w:val="0"/>
        <w:autoSpaceDN w:val="0"/>
        <w:adjustRightInd w:val="0"/>
        <w:ind w:left="993" w:hanging="426"/>
        <w:rPr>
          <w:rFonts w:cs="Arial"/>
          <w:szCs w:val="24"/>
        </w:rPr>
      </w:pPr>
      <w:r>
        <w:rPr>
          <w:szCs w:val="24"/>
        </w:rPr>
        <w:t>Linse (</w:t>
      </w:r>
      <w:r>
        <w:rPr>
          <w:i/>
          <w:szCs w:val="24"/>
        </w:rPr>
        <w:t>Lens culinaris</w:t>
      </w:r>
      <w:r>
        <w:rPr>
          <w:szCs w:val="24"/>
        </w:rPr>
        <w:t xml:space="preserve"> Medik.) (Überarbeitung)</w:t>
      </w:r>
    </w:p>
    <w:p w:rsidR="000313D8" w:rsidRDefault="000313D8" w:rsidP="00916DB0">
      <w:pPr>
        <w:numPr>
          <w:ilvl w:val="0"/>
          <w:numId w:val="36"/>
        </w:numPr>
        <w:tabs>
          <w:tab w:val="clear" w:pos="720"/>
        </w:tabs>
        <w:autoSpaceDE w:val="0"/>
        <w:autoSpaceDN w:val="0"/>
        <w:adjustRightInd w:val="0"/>
        <w:ind w:left="993" w:hanging="426"/>
        <w:rPr>
          <w:rFonts w:cs="Arial"/>
          <w:szCs w:val="24"/>
        </w:rPr>
      </w:pPr>
      <w:r>
        <w:rPr>
          <w:szCs w:val="24"/>
        </w:rPr>
        <w:t xml:space="preserve">Melone </w:t>
      </w:r>
      <w:r>
        <w:t>(</w:t>
      </w:r>
      <w:r>
        <w:rPr>
          <w:i/>
          <w:iCs/>
        </w:rPr>
        <w:t xml:space="preserve">Cucumis melo </w:t>
      </w:r>
      <w:r>
        <w:t xml:space="preserve">L.) </w:t>
      </w:r>
      <w:r>
        <w:rPr>
          <w:szCs w:val="24"/>
        </w:rPr>
        <w:t>(Teilüberarbeitung: bestehende Krankheitsresistenz)</w:t>
      </w:r>
    </w:p>
    <w:p w:rsidR="000313D8" w:rsidRDefault="000313D8" w:rsidP="00916DB0">
      <w:pPr>
        <w:numPr>
          <w:ilvl w:val="0"/>
          <w:numId w:val="36"/>
        </w:numPr>
        <w:tabs>
          <w:tab w:val="clear" w:pos="720"/>
        </w:tabs>
        <w:autoSpaceDE w:val="0"/>
        <w:autoSpaceDN w:val="0"/>
        <w:adjustRightInd w:val="0"/>
        <w:ind w:left="993" w:hanging="426"/>
        <w:rPr>
          <w:rFonts w:cs="Arial"/>
          <w:szCs w:val="24"/>
        </w:rPr>
      </w:pPr>
      <w:r>
        <w:rPr>
          <w:szCs w:val="24"/>
        </w:rPr>
        <w:t>Erbse (</w:t>
      </w:r>
      <w:r>
        <w:rPr>
          <w:i/>
          <w:szCs w:val="24"/>
        </w:rPr>
        <w:t>Pisum sativum</w:t>
      </w:r>
      <w:r>
        <w:rPr>
          <w:szCs w:val="24"/>
        </w:rPr>
        <w:t xml:space="preserve"> L.) (Teilüberarbeitung: Gruppierungsmerkmale)</w:t>
      </w:r>
    </w:p>
    <w:p w:rsidR="000313D8" w:rsidRDefault="000313D8" w:rsidP="00916DB0">
      <w:pPr>
        <w:numPr>
          <w:ilvl w:val="0"/>
          <w:numId w:val="36"/>
        </w:numPr>
        <w:tabs>
          <w:tab w:val="clear" w:pos="720"/>
        </w:tabs>
        <w:autoSpaceDE w:val="0"/>
        <w:autoSpaceDN w:val="0"/>
        <w:adjustRightInd w:val="0"/>
        <w:ind w:left="993" w:hanging="426"/>
        <w:rPr>
          <w:rFonts w:cs="Arial"/>
          <w:szCs w:val="24"/>
        </w:rPr>
      </w:pPr>
      <w:r>
        <w:rPr>
          <w:szCs w:val="24"/>
        </w:rPr>
        <w:t>Paprika (</w:t>
      </w:r>
      <w:r>
        <w:rPr>
          <w:i/>
          <w:iCs/>
        </w:rPr>
        <w:t xml:space="preserve">Capsicum annuum </w:t>
      </w:r>
      <w:r>
        <w:t xml:space="preserve">L.) </w:t>
      </w:r>
      <w:r>
        <w:rPr>
          <w:szCs w:val="24"/>
        </w:rPr>
        <w:t>(Teilüberarbeitung: bestehende Krankheitsresistenz)</w:t>
      </w:r>
    </w:p>
    <w:p w:rsidR="000313D8" w:rsidRDefault="000313D8" w:rsidP="00916DB0">
      <w:pPr>
        <w:numPr>
          <w:ilvl w:val="0"/>
          <w:numId w:val="36"/>
        </w:numPr>
        <w:tabs>
          <w:tab w:val="clear" w:pos="720"/>
        </w:tabs>
        <w:autoSpaceDE w:val="0"/>
        <w:autoSpaceDN w:val="0"/>
        <w:adjustRightInd w:val="0"/>
        <w:ind w:left="993" w:hanging="426"/>
        <w:rPr>
          <w:rFonts w:cs="Arial"/>
          <w:szCs w:val="24"/>
        </w:rPr>
      </w:pPr>
      <w:r>
        <w:rPr>
          <w:szCs w:val="24"/>
        </w:rPr>
        <w:t xml:space="preserve">Zichorie </w:t>
      </w:r>
      <w:r>
        <w:rPr>
          <w:bCs/>
        </w:rPr>
        <w:t>(</w:t>
      </w:r>
      <w:r>
        <w:rPr>
          <w:bCs/>
          <w:i/>
          <w:iCs/>
        </w:rPr>
        <w:t xml:space="preserve">Cichorium intybus </w:t>
      </w:r>
      <w:r>
        <w:rPr>
          <w:bCs/>
        </w:rPr>
        <w:t>L. partim)</w:t>
      </w:r>
      <w:r>
        <w:rPr>
          <w:szCs w:val="24"/>
        </w:rPr>
        <w:t xml:space="preserve"> (Überarbeitung)</w:t>
      </w:r>
    </w:p>
    <w:p w:rsidR="000313D8" w:rsidRPr="00E95A78" w:rsidRDefault="000313D8" w:rsidP="000313D8">
      <w:pPr>
        <w:autoSpaceDE w:val="0"/>
        <w:autoSpaceDN w:val="0"/>
        <w:adjustRightInd w:val="0"/>
        <w:rPr>
          <w:rFonts w:cs="Arial"/>
          <w:color w:val="000000"/>
        </w:rPr>
      </w:pPr>
    </w:p>
    <w:p w:rsidR="000313D8" w:rsidRPr="00B84FDF" w:rsidRDefault="000313D8" w:rsidP="000313D8">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tab/>
        <w:t>Auf Einladung Japans vereinbarte die TWV, ihre siebenundvierzigste Tagung vom 20. bis 24. Mai mit der vorbereitenden Arbeitstagung am 19. Mai 2013 in Nagasaki abzuhalten.</w:t>
      </w:r>
    </w:p>
    <w:p w:rsidR="000313D8" w:rsidRDefault="000313D8" w:rsidP="000313D8">
      <w:pPr>
        <w:rPr>
          <w:u w:val="single"/>
        </w:rPr>
      </w:pPr>
    </w:p>
    <w:p w:rsidR="000313D8" w:rsidRDefault="000313D8" w:rsidP="000313D8">
      <w:pPr>
        <w:rPr>
          <w:rFonts w:cs="Arial"/>
        </w:rPr>
      </w:pPr>
      <w:r w:rsidRPr="00AF342C">
        <w:fldChar w:fldCharType="begin"/>
      </w:r>
      <w:r w:rsidRPr="00AF342C">
        <w:instrText xml:space="preserve"> AUTONUM  \* Arabic </w:instrText>
      </w:r>
      <w:r w:rsidRPr="00AF342C">
        <w:fldChar w:fldCharType="end"/>
      </w:r>
      <w:r>
        <w:tab/>
        <w:t>Die TWV schlug vor, auf ihrer nächsten Tagung folgende Punkte zu behandeln:</w:t>
      </w:r>
    </w:p>
    <w:p w:rsidR="000313D8" w:rsidRDefault="000313D8" w:rsidP="000313D8">
      <w:pPr>
        <w:rPr>
          <w:rFonts w:cs="Arial"/>
        </w:rPr>
      </w:pPr>
    </w:p>
    <w:p w:rsidR="000313D8" w:rsidRPr="00D0316E" w:rsidRDefault="000313D8" w:rsidP="000313D8">
      <w:pPr>
        <w:tabs>
          <w:tab w:val="num" w:pos="1134"/>
        </w:tabs>
        <w:spacing w:before="20" w:afterLines="20" w:after="48"/>
        <w:ind w:left="567"/>
        <w:rPr>
          <w:rFonts w:ascii="ArialMT" w:hAnsi="ArialMT" w:cs="ArialMT"/>
        </w:rPr>
      </w:pPr>
      <w:r>
        <w:rPr>
          <w:rFonts w:ascii="ArialMT" w:hAnsi="ArialMT"/>
        </w:rPr>
        <w:t>1.</w:t>
      </w:r>
      <w:r>
        <w:tab/>
      </w:r>
      <w:r>
        <w:rPr>
          <w:rFonts w:ascii="ArialMT" w:hAnsi="ArialMT"/>
        </w:rPr>
        <w:t>Eröffnung der Tagung</w:t>
      </w:r>
    </w:p>
    <w:p w:rsidR="000313D8" w:rsidRPr="00E95492" w:rsidRDefault="000313D8" w:rsidP="000313D8">
      <w:pPr>
        <w:tabs>
          <w:tab w:val="num" w:pos="1134"/>
        </w:tabs>
        <w:spacing w:before="20" w:afterLines="20" w:after="48"/>
        <w:ind w:left="567"/>
        <w:rPr>
          <w:rFonts w:ascii="ArialMT" w:hAnsi="ArialMT" w:cs="ArialMT"/>
        </w:rPr>
      </w:pPr>
      <w:r>
        <w:rPr>
          <w:rFonts w:ascii="ArialMT" w:hAnsi="ArialMT"/>
        </w:rPr>
        <w:t>2.</w:t>
      </w:r>
      <w:r>
        <w:tab/>
      </w:r>
      <w:r>
        <w:rPr>
          <w:rFonts w:ascii="ArialMT" w:hAnsi="ArialMT"/>
        </w:rPr>
        <w:t>Annahme der Tagesordnung</w:t>
      </w:r>
    </w:p>
    <w:p w:rsidR="000313D8" w:rsidRPr="00CC587F" w:rsidRDefault="000313D8" w:rsidP="000313D8">
      <w:pPr>
        <w:tabs>
          <w:tab w:val="num" w:pos="1134"/>
        </w:tabs>
        <w:spacing w:before="20" w:afterLines="20" w:after="48"/>
        <w:ind w:left="567"/>
        <w:rPr>
          <w:rFonts w:cs="Arial"/>
        </w:rPr>
      </w:pPr>
      <w:r>
        <w:rPr>
          <w:rFonts w:ascii="ArialMT" w:hAnsi="ArialMT"/>
        </w:rPr>
        <w:t>3.</w:t>
      </w:r>
      <w:r>
        <w:tab/>
        <w:t>Kurzberichte über die Entwicklungen im Sortenschutz</w:t>
      </w:r>
    </w:p>
    <w:p w:rsidR="000313D8" w:rsidRPr="00CC587F" w:rsidRDefault="000313D8" w:rsidP="000313D8">
      <w:pPr>
        <w:numPr>
          <w:ilvl w:val="0"/>
          <w:numId w:val="35"/>
        </w:numPr>
        <w:tabs>
          <w:tab w:val="num" w:pos="1494"/>
        </w:tabs>
        <w:spacing w:before="20" w:afterLines="20" w:after="48"/>
        <w:ind w:left="1494"/>
        <w:rPr>
          <w:rFonts w:cs="Arial"/>
        </w:rPr>
      </w:pPr>
      <w:r>
        <w:t xml:space="preserve">Berichte von Mitgliedern und Beobachtern </w:t>
      </w:r>
    </w:p>
    <w:p w:rsidR="000313D8" w:rsidRPr="00CC587F" w:rsidRDefault="000313D8" w:rsidP="000313D8">
      <w:pPr>
        <w:numPr>
          <w:ilvl w:val="0"/>
          <w:numId w:val="35"/>
        </w:numPr>
        <w:tabs>
          <w:tab w:val="num" w:pos="1494"/>
        </w:tabs>
        <w:spacing w:before="20" w:afterLines="20" w:after="48"/>
        <w:ind w:left="1494"/>
        <w:rPr>
          <w:rFonts w:cs="Arial"/>
        </w:rPr>
      </w:pPr>
      <w:r>
        <w:t xml:space="preserve">Berichte über Entwicklungen in der UPOV </w:t>
      </w:r>
    </w:p>
    <w:p w:rsidR="000313D8" w:rsidRPr="00CC587F" w:rsidRDefault="000313D8" w:rsidP="000313D8">
      <w:pPr>
        <w:spacing w:before="20" w:afterLines="20" w:after="48"/>
        <w:ind w:left="567"/>
        <w:rPr>
          <w:rFonts w:cs="Arial"/>
        </w:rPr>
      </w:pPr>
      <w:r>
        <w:rPr>
          <w:rFonts w:ascii="ArialMT" w:hAnsi="ArialMT"/>
        </w:rPr>
        <w:t>4.</w:t>
      </w:r>
      <w:r>
        <w:tab/>
        <w:t xml:space="preserve">Molekulare Verfahren </w:t>
      </w:r>
    </w:p>
    <w:p w:rsidR="000313D8" w:rsidRPr="00CC587F" w:rsidRDefault="000313D8" w:rsidP="000313D8">
      <w:pPr>
        <w:spacing w:before="20" w:afterLines="20" w:after="48"/>
        <w:ind w:left="567"/>
        <w:rPr>
          <w:rFonts w:cs="Arial"/>
        </w:rPr>
      </w:pPr>
      <w:r>
        <w:rPr>
          <w:rFonts w:ascii="ArialMT" w:hAnsi="ArialMT"/>
        </w:rPr>
        <w:t>5.</w:t>
      </w:r>
      <w:r>
        <w:tab/>
        <w:t xml:space="preserve">TGP-Dokumente </w:t>
      </w:r>
    </w:p>
    <w:p w:rsidR="000313D8" w:rsidRPr="00CC587F" w:rsidRDefault="000313D8" w:rsidP="000313D8">
      <w:pPr>
        <w:spacing w:before="20" w:afterLines="20" w:after="48"/>
        <w:ind w:left="567"/>
        <w:rPr>
          <w:rFonts w:cs="Arial"/>
        </w:rPr>
      </w:pPr>
      <w:r>
        <w:rPr>
          <w:rFonts w:ascii="ArialMT" w:hAnsi="ArialMT"/>
        </w:rPr>
        <w:t>6.</w:t>
      </w:r>
      <w:r>
        <w:tab/>
        <w:t xml:space="preserve">Sortenbezeichnungen </w:t>
      </w:r>
    </w:p>
    <w:p w:rsidR="000313D8" w:rsidRPr="00CC587F" w:rsidRDefault="000313D8" w:rsidP="000313D8">
      <w:pPr>
        <w:spacing w:before="20" w:afterLines="20" w:after="48"/>
        <w:ind w:left="567"/>
        <w:rPr>
          <w:rFonts w:cs="Arial"/>
        </w:rPr>
      </w:pPr>
      <w:r>
        <w:rPr>
          <w:rFonts w:ascii="ArialMT" w:hAnsi="ArialMT"/>
        </w:rPr>
        <w:t>7.</w:t>
      </w:r>
      <w:r>
        <w:tab/>
        <w:t>Informationen und Datenbanken</w:t>
      </w:r>
    </w:p>
    <w:p w:rsidR="000313D8" w:rsidRPr="00CC587F" w:rsidRDefault="000313D8" w:rsidP="000313D8">
      <w:pPr>
        <w:spacing w:before="20" w:afterLines="20" w:after="48"/>
        <w:ind w:left="1584" w:hanging="450"/>
        <w:rPr>
          <w:rFonts w:cs="Arial"/>
        </w:rPr>
      </w:pPr>
      <w:r>
        <w:t>a)</w:t>
      </w:r>
      <w:r>
        <w:tab/>
        <w:t xml:space="preserve">UPOV-Informationsdatenbanken </w:t>
      </w:r>
    </w:p>
    <w:p w:rsidR="000313D8" w:rsidRPr="00CC587F" w:rsidRDefault="000313D8" w:rsidP="000313D8">
      <w:pPr>
        <w:spacing w:before="20" w:afterLines="20" w:after="48"/>
        <w:ind w:left="1584" w:hanging="450"/>
        <w:jc w:val="left"/>
        <w:rPr>
          <w:rFonts w:cs="Arial"/>
        </w:rPr>
      </w:pPr>
      <w:r>
        <w:t>b)</w:t>
      </w:r>
      <w:r>
        <w:tab/>
        <w:t xml:space="preserve">Datenbanken für Sortenbeschreibungen </w:t>
      </w:r>
    </w:p>
    <w:p w:rsidR="000313D8" w:rsidRPr="00CC587F" w:rsidRDefault="000313D8" w:rsidP="000313D8">
      <w:pPr>
        <w:spacing w:before="20" w:afterLines="20" w:after="48"/>
        <w:ind w:left="1584" w:hanging="450"/>
        <w:rPr>
          <w:rFonts w:cs="Arial"/>
        </w:rPr>
      </w:pPr>
      <w:r>
        <w:t>c)</w:t>
      </w:r>
      <w:r>
        <w:tab/>
        <w:t xml:space="preserve">Austauschbare Software </w:t>
      </w:r>
    </w:p>
    <w:p w:rsidR="000313D8" w:rsidRPr="00CC587F" w:rsidRDefault="000313D8" w:rsidP="000313D8">
      <w:pPr>
        <w:spacing w:before="20" w:afterLines="20" w:after="48"/>
        <w:ind w:left="1584" w:hanging="450"/>
        <w:rPr>
          <w:rFonts w:cs="Arial"/>
        </w:rPr>
      </w:pPr>
      <w:r>
        <w:t>d)</w:t>
      </w:r>
      <w:r>
        <w:tab/>
        <w:t xml:space="preserve">Elektronische Systeme für die Einreichung von Anträgen </w:t>
      </w:r>
    </w:p>
    <w:p w:rsidR="000313D8" w:rsidRDefault="000313D8" w:rsidP="000313D8">
      <w:pPr>
        <w:tabs>
          <w:tab w:val="left" w:pos="1134"/>
        </w:tabs>
        <w:spacing w:before="20" w:afterLines="20" w:after="48"/>
        <w:ind w:left="567"/>
        <w:rPr>
          <w:rFonts w:cs="Arial"/>
        </w:rPr>
      </w:pPr>
      <w:r>
        <w:rPr>
          <w:rFonts w:ascii="ArialMT" w:hAnsi="ArialMT"/>
        </w:rPr>
        <w:lastRenderedPageBreak/>
        <w:t>8.</w:t>
      </w:r>
      <w:r>
        <w:rPr>
          <w:rFonts w:ascii="ArialMT" w:hAnsi="ArialMT"/>
        </w:rPr>
        <w:tab/>
      </w:r>
      <w:r>
        <w:t>Homogenitätsprüfung</w:t>
      </w:r>
    </w:p>
    <w:p w:rsidR="000313D8" w:rsidRPr="00CC587F" w:rsidRDefault="000313D8" w:rsidP="000313D8">
      <w:pPr>
        <w:spacing w:before="20" w:afterLines="20" w:after="48"/>
        <w:ind w:left="1134" w:hanging="567"/>
        <w:rPr>
          <w:rFonts w:cs="Arial"/>
        </w:rPr>
      </w:pPr>
      <w:r>
        <w:rPr>
          <w:rFonts w:ascii="ArialMT" w:hAnsi="ArialMT"/>
        </w:rPr>
        <w:t>9.</w:t>
      </w:r>
      <w:r>
        <w:tab/>
        <w:t>Homogenitätsniveaus gemäß der Ausprägungsstufe obligatorischer Krankheitsresistenzmerkmale und Sorten, die nicht im Hinblick auf das Vorhandensein solch einer Krankheitsresistenz gezüchtet wurden (von der Europäischen Union erstelltes Dokument).</w:t>
      </w:r>
    </w:p>
    <w:p w:rsidR="000313D8" w:rsidRPr="00CC587F" w:rsidRDefault="000313D8" w:rsidP="000313D8">
      <w:pPr>
        <w:spacing w:before="20" w:afterLines="20" w:after="48"/>
        <w:ind w:left="1134" w:hanging="567"/>
        <w:jc w:val="left"/>
        <w:rPr>
          <w:rFonts w:cs="Arial"/>
        </w:rPr>
      </w:pPr>
      <w:r>
        <w:rPr>
          <w:rFonts w:ascii="ArialMT" w:hAnsi="ArialMT"/>
        </w:rPr>
        <w:t>10.</w:t>
      </w:r>
      <w:r>
        <w:tab/>
        <w:t>Angelegenheiten, die bezüglich der vom Technischen Ausschuß angenommenen Prüfungsrichtlinien zu bereinigen sind (sofern zweckmäßig)</w:t>
      </w:r>
    </w:p>
    <w:p w:rsidR="000313D8" w:rsidRPr="00CC587F" w:rsidRDefault="000313D8" w:rsidP="000313D8">
      <w:pPr>
        <w:spacing w:before="20" w:afterLines="20" w:after="48"/>
        <w:ind w:left="567"/>
        <w:rPr>
          <w:rFonts w:cs="Arial"/>
        </w:rPr>
      </w:pPr>
      <w:r>
        <w:rPr>
          <w:rFonts w:ascii="ArialMT" w:hAnsi="ArialMT"/>
        </w:rPr>
        <w:t>11.</w:t>
      </w:r>
      <w:r>
        <w:tab/>
        <w:t>Erörterung über Entwürfe von Prüfungsrichtlinien (Untergruppen)</w:t>
      </w:r>
    </w:p>
    <w:p w:rsidR="000313D8" w:rsidRPr="00CC587F" w:rsidRDefault="000313D8" w:rsidP="000313D8">
      <w:pPr>
        <w:spacing w:before="20" w:afterLines="20" w:after="48"/>
        <w:ind w:left="567"/>
        <w:rPr>
          <w:rFonts w:cs="Arial"/>
        </w:rPr>
      </w:pPr>
      <w:r>
        <w:rPr>
          <w:rFonts w:ascii="ArialMT" w:hAnsi="ArialMT"/>
        </w:rPr>
        <w:t>12.</w:t>
      </w:r>
      <w:r>
        <w:tab/>
        <w:t>Empfehlungen zu Entwürfen von Prüfungsrichtlinien</w:t>
      </w:r>
    </w:p>
    <w:p w:rsidR="000313D8" w:rsidRPr="00CC587F" w:rsidRDefault="000313D8" w:rsidP="000313D8">
      <w:pPr>
        <w:spacing w:before="20" w:afterLines="20" w:after="48"/>
        <w:ind w:left="567"/>
        <w:rPr>
          <w:rFonts w:cs="Arial"/>
        </w:rPr>
      </w:pPr>
      <w:r>
        <w:rPr>
          <w:rFonts w:ascii="ArialMT" w:hAnsi="ArialMT"/>
        </w:rPr>
        <w:t>13.</w:t>
      </w:r>
      <w:r>
        <w:tab/>
        <w:t>Anleitung für Verfasser von Prüfungsrichtlinien</w:t>
      </w:r>
    </w:p>
    <w:p w:rsidR="000313D8" w:rsidRPr="00CC587F" w:rsidRDefault="000313D8" w:rsidP="000313D8">
      <w:pPr>
        <w:spacing w:before="20" w:afterLines="20" w:after="48"/>
        <w:ind w:left="567"/>
        <w:rPr>
          <w:rFonts w:cs="Arial"/>
        </w:rPr>
      </w:pPr>
      <w:r>
        <w:rPr>
          <w:rFonts w:ascii="ArialMT" w:hAnsi="ArialMT"/>
        </w:rPr>
        <w:t>14.</w:t>
      </w:r>
      <w:r>
        <w:tab/>
        <w:t>Ort und Datum der nächsten Tagung</w:t>
      </w:r>
    </w:p>
    <w:p w:rsidR="000313D8" w:rsidRPr="00CC587F" w:rsidRDefault="000313D8" w:rsidP="000313D8">
      <w:pPr>
        <w:spacing w:before="20" w:afterLines="20" w:after="48"/>
        <w:ind w:left="567"/>
        <w:rPr>
          <w:rFonts w:cs="Arial"/>
        </w:rPr>
      </w:pPr>
      <w:r>
        <w:rPr>
          <w:rFonts w:ascii="ArialMT" w:hAnsi="ArialMT"/>
        </w:rPr>
        <w:t>15.</w:t>
      </w:r>
      <w:r>
        <w:tab/>
        <w:t>Künftiges Programm</w:t>
      </w:r>
    </w:p>
    <w:p w:rsidR="000313D8" w:rsidRPr="00CC587F" w:rsidRDefault="000313D8" w:rsidP="000313D8">
      <w:pPr>
        <w:spacing w:before="20" w:afterLines="20" w:after="48"/>
        <w:ind w:left="567"/>
        <w:rPr>
          <w:rFonts w:cs="Arial"/>
        </w:rPr>
      </w:pPr>
      <w:r>
        <w:rPr>
          <w:rFonts w:ascii="ArialMT" w:hAnsi="ArialMT"/>
        </w:rPr>
        <w:t>16.</w:t>
      </w:r>
      <w:r>
        <w:tab/>
        <w:t>Bericht über die Tagung (falls es die Zeit erlaubt)</w:t>
      </w:r>
    </w:p>
    <w:p w:rsidR="000313D8" w:rsidRPr="00CC587F" w:rsidRDefault="000313D8" w:rsidP="000313D8">
      <w:pPr>
        <w:spacing w:before="20" w:afterLines="20" w:after="48"/>
        <w:ind w:left="567"/>
        <w:rPr>
          <w:rFonts w:cs="Arial"/>
        </w:rPr>
      </w:pPr>
      <w:r>
        <w:rPr>
          <w:rFonts w:ascii="ArialMT" w:hAnsi="ArialMT"/>
        </w:rPr>
        <w:t>17.</w:t>
      </w:r>
      <w:r>
        <w:tab/>
        <w:t>Schließung der Tagung</w:t>
      </w:r>
    </w:p>
    <w:p w:rsidR="000313D8" w:rsidRPr="0003383F" w:rsidRDefault="000313D8" w:rsidP="000313D8">
      <w:pPr>
        <w:autoSpaceDE w:val="0"/>
        <w:autoSpaceDN w:val="0"/>
        <w:adjustRightInd w:val="0"/>
        <w:rPr>
          <w:rFonts w:cs="Arial"/>
          <w:color w:val="000000"/>
        </w:rPr>
      </w:pPr>
    </w:p>
    <w:p w:rsidR="000313D8" w:rsidRPr="003F6C03" w:rsidRDefault="000313D8" w:rsidP="000313D8">
      <w:pPr>
        <w:rPr>
          <w:rFonts w:cs="Arial"/>
        </w:rPr>
      </w:pPr>
      <w:r w:rsidRPr="00AF342C">
        <w:fldChar w:fldCharType="begin"/>
      </w:r>
      <w:r w:rsidRPr="00AF342C">
        <w:instrText xml:space="preserve"> AUTONUM  \* Arabic </w:instrText>
      </w:r>
      <w:r w:rsidRPr="00AF342C">
        <w:fldChar w:fldCharType="end"/>
      </w:r>
      <w:r>
        <w:tab/>
        <w:t>Am Nachmittag des 13. Juni 2012 besuchte die TWV die Einrichtungen von Nunhems Netherlands B.V., der Gemüse- und Saatgutsparte von Bayer CropScience, in Nunhem. Die TWV wurde von Herrn Uwe Dijkshoorn, Brand Manager, begrüßt und besuchte mehrere Stationen, darunter das Aufbereitungszentrum und die Bereiche Saatgutkonditionierung, Osmopriming, Saatgutpillierung und -beschichtung. Sie erhielt ferner Informationen über Nunhems</w:t>
      </w:r>
      <w:r>
        <w:rPr>
          <w:rFonts w:cs="Arial"/>
        </w:rPr>
        <w:t>ˈ</w:t>
      </w:r>
      <w:r>
        <w:t xml:space="preserve"> Arbeit im Bereich der Spargelzüchtung.</w:t>
      </w:r>
    </w:p>
    <w:p w:rsidR="000313D8" w:rsidRDefault="000313D8" w:rsidP="000313D8">
      <w:pPr>
        <w:rPr>
          <w:u w:val="single"/>
        </w:rPr>
      </w:pPr>
    </w:p>
    <w:p w:rsidR="000313D8" w:rsidRDefault="000313D8" w:rsidP="000313D8">
      <w:pPr>
        <w:rPr>
          <w:u w:val="single"/>
        </w:rPr>
      </w:pPr>
    </w:p>
    <w:p w:rsidR="000313D8" w:rsidRDefault="000313D8" w:rsidP="00747C66">
      <w:pPr>
        <w:pStyle w:val="Heading2"/>
      </w:pPr>
      <w:bookmarkStart w:id="96" w:name="_Toc368583055"/>
      <w:r>
        <w:t>Arbeitsgruppe für biochemische und molekulare Verfahren und insbesondere für DNS-Profilierungsverfahren (BMT)</w:t>
      </w:r>
      <w:bookmarkEnd w:id="96"/>
    </w:p>
    <w:p w:rsidR="000313D8" w:rsidRDefault="000313D8" w:rsidP="000313D8"/>
    <w:p w:rsidR="000313D8" w:rsidRDefault="000313D8" w:rsidP="000313D8">
      <w:r>
        <w:fldChar w:fldCharType="begin"/>
      </w:r>
      <w:r>
        <w:instrText xml:space="preserve"> AUTONUM  </w:instrText>
      </w:r>
      <w:r>
        <w:fldChar w:fldCharType="end"/>
      </w:r>
      <w:r>
        <w:tab/>
        <w:t>Zwischen der achtundvierzigsten und der neunundvierzigsten Tagung des TC hat die BMT nicht getagt.</w:t>
      </w:r>
    </w:p>
    <w:p w:rsidR="000313D8" w:rsidRPr="00220FA0" w:rsidRDefault="000313D8" w:rsidP="000313D8"/>
    <w:p w:rsidR="000313D8" w:rsidRDefault="000313D8" w:rsidP="00EC40F0">
      <w:pPr>
        <w:tabs>
          <w:tab w:val="left" w:pos="5387"/>
          <w:tab w:val="left" w:pos="5954"/>
        </w:tabs>
        <w:ind w:left="4820"/>
        <w:rPr>
          <w:rFonts w:cs="Arial"/>
          <w:i/>
        </w:rPr>
      </w:pPr>
      <w:r w:rsidRPr="003F07E1">
        <w:rPr>
          <w:rFonts w:cs="Arial"/>
          <w:i/>
        </w:rPr>
        <w:fldChar w:fldCharType="begin"/>
      </w:r>
      <w:r w:rsidRPr="003F07E1">
        <w:rPr>
          <w:rFonts w:cs="Arial"/>
          <w:i/>
        </w:rPr>
        <w:instrText xml:space="preserve"> AUTONUM  </w:instrText>
      </w:r>
      <w:r w:rsidRPr="003F07E1">
        <w:rPr>
          <w:rFonts w:cs="Arial"/>
          <w:i/>
        </w:rPr>
        <w:fldChar w:fldCharType="end"/>
      </w:r>
      <w:r>
        <w:tab/>
      </w:r>
      <w:r>
        <w:rPr>
          <w:i/>
        </w:rPr>
        <w:t>Der Rat wird ersucht,</w:t>
      </w:r>
    </w:p>
    <w:p w:rsidR="000313D8" w:rsidRPr="003F07E1" w:rsidRDefault="000313D8" w:rsidP="000313D8">
      <w:pPr>
        <w:ind w:left="4820"/>
        <w:rPr>
          <w:rFonts w:cs="Arial"/>
          <w:i/>
        </w:rPr>
      </w:pPr>
    </w:p>
    <w:p w:rsidR="000313D8" w:rsidRDefault="000313D8" w:rsidP="000313D8">
      <w:pPr>
        <w:pStyle w:val="ListParagraph"/>
        <w:numPr>
          <w:ilvl w:val="0"/>
          <w:numId w:val="40"/>
        </w:numPr>
        <w:tabs>
          <w:tab w:val="left" w:pos="5954"/>
        </w:tabs>
        <w:ind w:left="4820" w:firstLine="567"/>
        <w:rPr>
          <w:rFonts w:cs="Arial"/>
          <w:i/>
        </w:rPr>
      </w:pPr>
      <w:r>
        <w:rPr>
          <w:i/>
        </w:rPr>
        <w:t>die Arbeit des TC und die dem TC berichtete Arbeit der TWP und BMT, wie in diesem Dokument dargelegt, zur Kenntnis zu nehmen; und</w:t>
      </w:r>
    </w:p>
    <w:p w:rsidR="000313D8" w:rsidRPr="003F07E1" w:rsidRDefault="000313D8" w:rsidP="000313D8">
      <w:pPr>
        <w:pStyle w:val="ListParagraph"/>
        <w:tabs>
          <w:tab w:val="left" w:pos="5954"/>
        </w:tabs>
        <w:ind w:left="5387"/>
        <w:rPr>
          <w:rFonts w:cs="Arial"/>
          <w:i/>
        </w:rPr>
      </w:pPr>
    </w:p>
    <w:p w:rsidR="000313D8" w:rsidRPr="003F07E1" w:rsidRDefault="000313D8" w:rsidP="000313D8">
      <w:pPr>
        <w:pStyle w:val="ListParagraph"/>
        <w:numPr>
          <w:ilvl w:val="0"/>
          <w:numId w:val="40"/>
        </w:numPr>
        <w:tabs>
          <w:tab w:val="left" w:pos="5954"/>
        </w:tabs>
        <w:ind w:left="4820" w:firstLine="567"/>
        <w:rPr>
          <w:rFonts w:cs="Arial"/>
          <w:i/>
        </w:rPr>
      </w:pPr>
      <w:r>
        <w:rPr>
          <w:i/>
        </w:rPr>
        <w:t>das Arbeitsprogramm des TC und die Arbeitsprogramme der TWP und BMT, wie in diesem Dokument dargelegt, zu billigen.</w:t>
      </w:r>
    </w:p>
    <w:p w:rsidR="003F07E1" w:rsidRPr="003F07E1" w:rsidRDefault="003F07E1" w:rsidP="000313D8">
      <w:pPr>
        <w:pStyle w:val="Heading1"/>
        <w:rPr>
          <w:rFonts w:cs="Arial"/>
          <w:i/>
        </w:rPr>
      </w:pPr>
    </w:p>
    <w:p w:rsidR="005B0B2E" w:rsidRDefault="005B0B2E" w:rsidP="00196886"/>
    <w:p w:rsidR="00596383" w:rsidRDefault="00596383" w:rsidP="00196886"/>
    <w:p w:rsidR="00596383" w:rsidRDefault="00596383" w:rsidP="00196886"/>
    <w:p w:rsidR="00596383" w:rsidRDefault="00E30A9E" w:rsidP="00596383">
      <w:pPr>
        <w:jc w:val="right"/>
      </w:pPr>
      <w:r>
        <w:t>[Anlage folgt</w:t>
      </w:r>
      <w:r w:rsidR="00596383">
        <w:t>]</w:t>
      </w:r>
    </w:p>
    <w:p w:rsidR="005B0B2E" w:rsidRDefault="005B0B2E" w:rsidP="00196886"/>
    <w:p w:rsidR="00614435" w:rsidRDefault="00614435" w:rsidP="00196886">
      <w:pPr>
        <w:sectPr w:rsidR="00614435" w:rsidSect="004F74BC">
          <w:headerReference w:type="default" r:id="rId10"/>
          <w:pgSz w:w="11907" w:h="16840" w:code="9"/>
          <w:pgMar w:top="510" w:right="1134" w:bottom="1134" w:left="1134" w:header="510" w:footer="680" w:gutter="0"/>
          <w:cols w:space="720"/>
          <w:titlePg/>
          <w:docGrid w:linePitch="272"/>
        </w:sectPr>
      </w:pPr>
    </w:p>
    <w:p w:rsidR="00614435" w:rsidRDefault="00753F3A" w:rsidP="00196886">
      <w:r w:rsidRPr="00753F3A">
        <w:rPr>
          <w:noProof/>
        </w:rPr>
        <w:lastRenderedPageBreak/>
        <w:drawing>
          <wp:inline distT="0" distB="0" distL="0" distR="0" wp14:anchorId="6CDA56CC" wp14:editId="0F40BE42">
            <wp:extent cx="9649460" cy="535793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49460" cy="5357939"/>
                    </a:xfrm>
                    <a:prstGeom prst="rect">
                      <a:avLst/>
                    </a:prstGeom>
                    <a:noFill/>
                    <a:ln>
                      <a:noFill/>
                    </a:ln>
                  </pic:spPr>
                </pic:pic>
              </a:graphicData>
            </a:graphic>
          </wp:inline>
        </w:drawing>
      </w:r>
    </w:p>
    <w:p w:rsidR="00614435" w:rsidRDefault="00614435" w:rsidP="00196886"/>
    <w:p w:rsidR="002B6DFD" w:rsidRDefault="002B6DFD" w:rsidP="000A68B4"/>
    <w:p w:rsidR="00614435" w:rsidRDefault="00E30A9E" w:rsidP="00614435">
      <w:pPr>
        <w:jc w:val="right"/>
        <w:sectPr w:rsidR="00614435" w:rsidSect="00614435">
          <w:headerReference w:type="first" r:id="rId12"/>
          <w:pgSz w:w="16840" w:h="11907" w:orient="landscape" w:code="9"/>
          <w:pgMar w:top="1134" w:right="510" w:bottom="1134" w:left="1134" w:header="510" w:footer="680" w:gutter="0"/>
          <w:cols w:space="720"/>
          <w:titlePg/>
          <w:docGrid w:linePitch="272"/>
        </w:sectPr>
      </w:pPr>
      <w:r>
        <w:t>[Anhänge folgen</w:t>
      </w:r>
      <w:r w:rsidR="00614435">
        <w:t>]</w:t>
      </w:r>
    </w:p>
    <w:p w:rsidR="00614435" w:rsidRDefault="000B0AB4" w:rsidP="000A68B4">
      <w:r w:rsidRPr="000B0AB4">
        <w:rPr>
          <w:noProof/>
        </w:rPr>
        <w:lastRenderedPageBreak/>
        <w:drawing>
          <wp:inline distT="0" distB="0" distL="0" distR="0" wp14:anchorId="7B5357FB" wp14:editId="476344AD">
            <wp:extent cx="9649460" cy="3470368"/>
            <wp:effectExtent l="0" t="0" r="889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49460" cy="3470368"/>
                    </a:xfrm>
                    <a:prstGeom prst="rect">
                      <a:avLst/>
                    </a:prstGeom>
                    <a:noFill/>
                    <a:ln>
                      <a:noFill/>
                    </a:ln>
                  </pic:spPr>
                </pic:pic>
              </a:graphicData>
            </a:graphic>
          </wp:inline>
        </w:drawing>
      </w:r>
    </w:p>
    <w:p w:rsidR="00BC3B85" w:rsidRDefault="00BC3B85" w:rsidP="000A68B4"/>
    <w:p w:rsidR="00BC3B85" w:rsidRDefault="00BC3B85" w:rsidP="000A68B4"/>
    <w:p w:rsidR="00BC3B85" w:rsidRDefault="00BC3B85" w:rsidP="000A68B4"/>
    <w:p w:rsidR="00BC3B85" w:rsidRDefault="00E30A9E" w:rsidP="00BC3B85">
      <w:pPr>
        <w:jc w:val="right"/>
      </w:pPr>
      <w:r>
        <w:t>[Anhang II folgt</w:t>
      </w:r>
      <w:r w:rsidR="00BC3B85">
        <w:t>]</w:t>
      </w:r>
    </w:p>
    <w:p w:rsidR="00614435" w:rsidRDefault="00614435" w:rsidP="000A68B4"/>
    <w:p w:rsidR="00614435" w:rsidRDefault="00614435" w:rsidP="000A68B4">
      <w:pPr>
        <w:sectPr w:rsidR="00614435" w:rsidSect="00614435">
          <w:headerReference w:type="first" r:id="rId14"/>
          <w:pgSz w:w="16840" w:h="11907" w:orient="landscape" w:code="9"/>
          <w:pgMar w:top="1134" w:right="510" w:bottom="1134" w:left="1134" w:header="510" w:footer="680" w:gutter="0"/>
          <w:cols w:space="720"/>
          <w:titlePg/>
          <w:docGrid w:linePitch="272"/>
        </w:sectPr>
      </w:pPr>
    </w:p>
    <w:p w:rsidR="00614435" w:rsidRDefault="00AF2653" w:rsidP="000A68B4">
      <w:r w:rsidRPr="00AF2653">
        <w:rPr>
          <w:noProof/>
        </w:rPr>
        <w:lastRenderedPageBreak/>
        <w:drawing>
          <wp:inline distT="0" distB="0" distL="0" distR="0" wp14:anchorId="7A368951" wp14:editId="193EF239">
            <wp:extent cx="9429750" cy="566329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39587" cy="5669203"/>
                    </a:xfrm>
                    <a:prstGeom prst="rect">
                      <a:avLst/>
                    </a:prstGeom>
                    <a:noFill/>
                    <a:ln>
                      <a:noFill/>
                    </a:ln>
                  </pic:spPr>
                </pic:pic>
              </a:graphicData>
            </a:graphic>
          </wp:inline>
        </w:drawing>
      </w:r>
    </w:p>
    <w:p w:rsidR="00263051" w:rsidRPr="00526CBD" w:rsidRDefault="00526CBD" w:rsidP="000A68B4">
      <w:pPr>
        <w:rPr>
          <w:sz w:val="14"/>
        </w:rPr>
      </w:pPr>
      <w:r w:rsidRPr="00526CBD">
        <w:rPr>
          <w:sz w:val="14"/>
        </w:rPr>
        <w:t xml:space="preserve">* </w:t>
      </w:r>
      <w:r w:rsidR="00AF2653" w:rsidRPr="00AF2653">
        <w:rPr>
          <w:sz w:val="14"/>
        </w:rPr>
        <w:t>auf den Tagungen der TWP 2013 zu erörtern, falls Daten über Mischproben eingereicht werden</w:t>
      </w:r>
    </w:p>
    <w:p w:rsidR="00526CBD" w:rsidRPr="00526CBD" w:rsidRDefault="00526CBD" w:rsidP="000A68B4">
      <w:pPr>
        <w:rPr>
          <w:sz w:val="14"/>
        </w:rPr>
      </w:pPr>
      <w:r w:rsidRPr="00526CBD">
        <w:rPr>
          <w:sz w:val="14"/>
        </w:rPr>
        <w:t xml:space="preserve">** </w:t>
      </w:r>
      <w:r w:rsidR="00AF2653" w:rsidRPr="00AF2653">
        <w:rPr>
          <w:sz w:val="14"/>
        </w:rPr>
        <w:t>mit neuem Abschnitt 13 - Datenverarbeitung für die Prüfung der Unterscheidbarkeit und die Erstellung von Sortenbeschreibungen</w:t>
      </w:r>
    </w:p>
    <w:p w:rsidR="00263051" w:rsidRDefault="00526CBD" w:rsidP="000A68B4">
      <w:pPr>
        <w:rPr>
          <w:sz w:val="14"/>
        </w:rPr>
      </w:pPr>
      <w:r w:rsidRPr="00526CBD">
        <w:rPr>
          <w:sz w:val="14"/>
        </w:rPr>
        <w:t xml:space="preserve">*** </w:t>
      </w:r>
      <w:r w:rsidR="00AF2653" w:rsidRPr="00AF2653">
        <w:rPr>
          <w:sz w:val="14"/>
        </w:rPr>
        <w:t>auf den Tagungen der TWP 2012 wurde kein Dokument erörtert, da keine Daten über sehr kleine Probengrößen vorlagen.</w:t>
      </w:r>
    </w:p>
    <w:p w:rsidR="00526CBD" w:rsidRPr="00526CBD" w:rsidRDefault="00526CBD" w:rsidP="000A68B4">
      <w:pPr>
        <w:rPr>
          <w:sz w:val="14"/>
        </w:rPr>
      </w:pPr>
    </w:p>
    <w:p w:rsidR="006B17D2" w:rsidRPr="00C5280D" w:rsidRDefault="0061555F" w:rsidP="005F05B6">
      <w:pPr>
        <w:jc w:val="right"/>
      </w:pPr>
      <w:r w:rsidRPr="00C5280D">
        <w:t>[End</w:t>
      </w:r>
      <w:r w:rsidR="00E30A9E">
        <w:t>e des Anhangs II und des Dok</w:t>
      </w:r>
      <w:r w:rsidRPr="00C5280D">
        <w:t>ument</w:t>
      </w:r>
      <w:r w:rsidR="00E30A9E">
        <w:t>s</w:t>
      </w:r>
      <w:r w:rsidRPr="00C5280D">
        <w:t>]</w:t>
      </w:r>
    </w:p>
    <w:sectPr w:rsidR="006B17D2" w:rsidRPr="00C5280D" w:rsidSect="00263051">
      <w:headerReference w:type="first" r:id="rId16"/>
      <w:pgSz w:w="16840" w:h="11907" w:orient="landscape" w:code="9"/>
      <w:pgMar w:top="992" w:right="510" w:bottom="284" w:left="1134" w:header="510"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B0" w:rsidRDefault="00916DB0" w:rsidP="006655D3">
      <w:r>
        <w:separator/>
      </w:r>
    </w:p>
    <w:p w:rsidR="00916DB0" w:rsidRDefault="00916DB0" w:rsidP="006655D3"/>
    <w:p w:rsidR="00916DB0" w:rsidRDefault="00916DB0" w:rsidP="006655D3"/>
  </w:endnote>
  <w:endnote w:type="continuationSeparator" w:id="0">
    <w:p w:rsidR="00916DB0" w:rsidRDefault="00916DB0" w:rsidP="006655D3">
      <w:r>
        <w:separator/>
      </w:r>
    </w:p>
    <w:p w:rsidR="00916DB0" w:rsidRPr="00560A6D" w:rsidRDefault="00916DB0">
      <w:pPr>
        <w:pStyle w:val="Footer"/>
        <w:spacing w:after="60"/>
        <w:rPr>
          <w:sz w:val="18"/>
          <w:lang w:val="fr-FR"/>
        </w:rPr>
      </w:pPr>
      <w:r w:rsidRPr="00560A6D">
        <w:rPr>
          <w:sz w:val="18"/>
          <w:lang w:val="fr-FR"/>
        </w:rPr>
        <w:t>[Suite de la note de la page précédente]</w:t>
      </w:r>
    </w:p>
    <w:p w:rsidR="00916DB0" w:rsidRPr="00560A6D" w:rsidRDefault="00916DB0" w:rsidP="006655D3">
      <w:pPr>
        <w:rPr>
          <w:lang w:val="fr-FR"/>
        </w:rPr>
      </w:pPr>
    </w:p>
    <w:p w:rsidR="00916DB0" w:rsidRPr="00560A6D" w:rsidRDefault="00916DB0" w:rsidP="006655D3">
      <w:pPr>
        <w:rPr>
          <w:lang w:val="fr-FR"/>
        </w:rPr>
      </w:pPr>
    </w:p>
  </w:endnote>
  <w:endnote w:type="continuationNotice" w:id="1">
    <w:p w:rsidR="00916DB0" w:rsidRPr="00560A6D" w:rsidRDefault="00916DB0" w:rsidP="006655D3">
      <w:pPr>
        <w:rPr>
          <w:lang w:val="fr-FR"/>
        </w:rPr>
      </w:pPr>
      <w:r w:rsidRPr="00560A6D">
        <w:rPr>
          <w:lang w:val="fr-FR"/>
        </w:rPr>
        <w:t>[Suite de la note page suivante]</w:t>
      </w:r>
    </w:p>
    <w:p w:rsidR="00916DB0" w:rsidRPr="00560A6D" w:rsidRDefault="00916DB0" w:rsidP="006655D3">
      <w:pPr>
        <w:rPr>
          <w:lang w:val="fr-FR"/>
        </w:rPr>
      </w:pPr>
    </w:p>
    <w:p w:rsidR="00916DB0" w:rsidRPr="00560A6D" w:rsidRDefault="00916DB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B0" w:rsidRDefault="00916DB0" w:rsidP="00C95616">
      <w:pPr>
        <w:spacing w:before="120"/>
      </w:pPr>
      <w:r>
        <w:separator/>
      </w:r>
    </w:p>
  </w:footnote>
  <w:footnote w:type="continuationSeparator" w:id="0">
    <w:p w:rsidR="00916DB0" w:rsidRDefault="00916DB0" w:rsidP="006655D3">
      <w:r>
        <w:separator/>
      </w:r>
    </w:p>
  </w:footnote>
  <w:footnote w:type="continuationNotice" w:id="1">
    <w:p w:rsidR="00916DB0" w:rsidRPr="00A56FAA" w:rsidRDefault="00916DB0" w:rsidP="00A56FAA">
      <w:pPr>
        <w:pStyle w:val="Footer"/>
        <w:rPr>
          <w:szCs w:val="18"/>
        </w:rPr>
      </w:pPr>
    </w:p>
  </w:footnote>
  <w:footnote w:id="2">
    <w:p w:rsidR="00916DB0" w:rsidRDefault="00916DB0">
      <w:pPr>
        <w:pStyle w:val="FootnoteText"/>
      </w:pPr>
      <w:r>
        <w:rPr>
          <w:rStyle w:val="FootnoteReference"/>
        </w:rPr>
        <w:footnoteRef/>
      </w:r>
      <w:r>
        <w:t xml:space="preserve"> </w:t>
      </w:r>
      <w:r>
        <w:tab/>
        <w:t xml:space="preserve">Abschriften der bei der Tagung gehörten Referate stehen auf der UPOV-Website zur Verfügung unter  </w:t>
      </w:r>
      <w:r w:rsidRPr="00BB1321">
        <w:t>http://www.upov.int/meetings/en/details.jsp?meeting_id=28343</w:t>
      </w:r>
    </w:p>
  </w:footnote>
  <w:footnote w:id="3">
    <w:p w:rsidR="00916DB0" w:rsidRDefault="00916DB0">
      <w:pPr>
        <w:pStyle w:val="FootnoteText"/>
      </w:pPr>
      <w:r>
        <w:rPr>
          <w:rStyle w:val="FootnoteReference"/>
        </w:rPr>
        <w:footnoteRef/>
      </w:r>
      <w:r>
        <w:t xml:space="preserve"> </w:t>
      </w:r>
      <w:r>
        <w:tab/>
        <w:t xml:space="preserve">Abschriften der bei der Tagung gehörten Referate stehen auf der UPOV-Website zur Verfügung unter  </w:t>
      </w:r>
      <w:r w:rsidRPr="00BB1321">
        <w:t>http://www.upov.int/meetings/en/details.jsp?meeting_id=28343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B0" w:rsidRPr="00C5280D" w:rsidRDefault="00916DB0" w:rsidP="00EB048E">
    <w:pPr>
      <w:pStyle w:val="Header"/>
      <w:rPr>
        <w:rStyle w:val="PageNumber"/>
        <w:lang w:val="en-US"/>
      </w:rPr>
    </w:pPr>
    <w:r>
      <w:rPr>
        <w:rStyle w:val="PageNumber"/>
        <w:lang w:val="en-US"/>
      </w:rPr>
      <w:t>C/47/10</w:t>
    </w:r>
  </w:p>
  <w:p w:rsidR="00916DB0" w:rsidRPr="00C5280D" w:rsidRDefault="00916DB0"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7C66">
      <w:rPr>
        <w:rStyle w:val="PageNumber"/>
        <w:noProof/>
        <w:lang w:val="en-US"/>
      </w:rPr>
      <w:t>38</w:t>
    </w:r>
    <w:r w:rsidRPr="00C5280D">
      <w:rPr>
        <w:rStyle w:val="PageNumber"/>
        <w:lang w:val="en-US"/>
      </w:rPr>
      <w:fldChar w:fldCharType="end"/>
    </w:r>
  </w:p>
  <w:p w:rsidR="00916DB0" w:rsidRPr="00C5280D" w:rsidRDefault="00916DB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B0" w:rsidRDefault="00916DB0">
    <w:pPr>
      <w:pStyle w:val="Header"/>
      <w:rPr>
        <w:lang w:val="en-US"/>
      </w:rPr>
    </w:pPr>
    <w:r>
      <w:rPr>
        <w:lang w:val="en-US"/>
      </w:rPr>
      <w:t>C/47/10</w:t>
    </w:r>
  </w:p>
  <w:p w:rsidR="00916DB0" w:rsidRDefault="00916DB0">
    <w:pPr>
      <w:pStyle w:val="Header"/>
      <w:rPr>
        <w:lang w:val="en-US"/>
      </w:rPr>
    </w:pPr>
  </w:p>
  <w:p w:rsidR="00916DB0" w:rsidRDefault="00916DB0">
    <w:pPr>
      <w:pStyle w:val="Header"/>
      <w:rPr>
        <w:lang w:val="en-US"/>
      </w:rPr>
    </w:pPr>
    <w:r>
      <w:rPr>
        <w:lang w:val="en-US"/>
      </w:rPr>
      <w:t>ANLAGE</w:t>
    </w:r>
  </w:p>
  <w:p w:rsidR="00916DB0" w:rsidRPr="00596383" w:rsidRDefault="00916DB0">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B0" w:rsidRDefault="00916DB0" w:rsidP="00596383">
    <w:pPr>
      <w:pStyle w:val="Header"/>
      <w:rPr>
        <w:lang w:val="en-US"/>
      </w:rPr>
    </w:pPr>
    <w:r>
      <w:rPr>
        <w:lang w:val="en-US"/>
      </w:rPr>
      <w:t>C/47/10</w:t>
    </w:r>
  </w:p>
  <w:p w:rsidR="00916DB0" w:rsidRDefault="00916DB0" w:rsidP="00596383">
    <w:pPr>
      <w:pStyle w:val="Header"/>
      <w:rPr>
        <w:lang w:val="en-US"/>
      </w:rPr>
    </w:pPr>
  </w:p>
  <w:p w:rsidR="00916DB0" w:rsidRPr="00596383" w:rsidRDefault="00916DB0" w:rsidP="00596383">
    <w:pPr>
      <w:pStyle w:val="Header"/>
      <w:rPr>
        <w:rStyle w:val="Emphasis"/>
        <w:i w:val="0"/>
        <w:iCs w:val="0"/>
        <w:lang w:val="en-US"/>
      </w:rPr>
    </w:pPr>
    <w:r>
      <w:rPr>
        <w:rStyle w:val="Emphasis"/>
        <w:i w:val="0"/>
      </w:rPr>
      <w:t>ANHANG</w:t>
    </w:r>
    <w:r w:rsidRPr="00090AC3">
      <w:rPr>
        <w:rStyle w:val="Emphasis"/>
        <w:i w:val="0"/>
      </w:rPr>
      <w:t xml:space="preserve"> I</w:t>
    </w:r>
  </w:p>
  <w:p w:rsidR="00916DB0" w:rsidRDefault="00916DB0" w:rsidP="00614435">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B0" w:rsidRDefault="00916DB0" w:rsidP="00596383">
    <w:pPr>
      <w:pStyle w:val="Header"/>
      <w:rPr>
        <w:lang w:val="en-US"/>
      </w:rPr>
    </w:pPr>
    <w:r>
      <w:rPr>
        <w:lang w:val="en-US"/>
      </w:rPr>
      <w:t>C/47/10</w:t>
    </w:r>
  </w:p>
  <w:p w:rsidR="00916DB0" w:rsidRDefault="00916DB0" w:rsidP="00596383">
    <w:pPr>
      <w:pStyle w:val="Header"/>
      <w:rPr>
        <w:lang w:val="en-US"/>
      </w:rPr>
    </w:pPr>
  </w:p>
  <w:p w:rsidR="00916DB0" w:rsidRDefault="00916DB0" w:rsidP="00596383">
    <w:pPr>
      <w:pStyle w:val="Header"/>
    </w:pPr>
    <w:r>
      <w:t>ANHANG II</w:t>
    </w:r>
  </w:p>
  <w:p w:rsidR="00916DB0" w:rsidRPr="00596383" w:rsidRDefault="00916DB0" w:rsidP="0059638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3A32CA"/>
    <w:lvl w:ilvl="0">
      <w:start w:val="1"/>
      <w:numFmt w:val="decimal"/>
      <w:lvlText w:val="%1."/>
      <w:lvlJc w:val="left"/>
      <w:pPr>
        <w:tabs>
          <w:tab w:val="num" w:pos="1800"/>
        </w:tabs>
        <w:ind w:left="1800" w:hanging="360"/>
      </w:pPr>
    </w:lvl>
  </w:abstractNum>
  <w:abstractNum w:abstractNumId="1">
    <w:nsid w:val="FFFFFF7D"/>
    <w:multiLevelType w:val="singleLevel"/>
    <w:tmpl w:val="C8028A0C"/>
    <w:lvl w:ilvl="0">
      <w:start w:val="1"/>
      <w:numFmt w:val="decimal"/>
      <w:lvlText w:val="%1."/>
      <w:lvlJc w:val="left"/>
      <w:pPr>
        <w:tabs>
          <w:tab w:val="num" w:pos="1440"/>
        </w:tabs>
        <w:ind w:left="1440" w:hanging="360"/>
      </w:pPr>
    </w:lvl>
  </w:abstractNum>
  <w:abstractNum w:abstractNumId="2">
    <w:nsid w:val="FFFFFF7E"/>
    <w:multiLevelType w:val="singleLevel"/>
    <w:tmpl w:val="F39A22BC"/>
    <w:lvl w:ilvl="0">
      <w:start w:val="1"/>
      <w:numFmt w:val="decimal"/>
      <w:lvlText w:val="%1."/>
      <w:lvlJc w:val="left"/>
      <w:pPr>
        <w:tabs>
          <w:tab w:val="num" w:pos="1080"/>
        </w:tabs>
        <w:ind w:left="1080" w:hanging="360"/>
      </w:pPr>
    </w:lvl>
  </w:abstractNum>
  <w:abstractNum w:abstractNumId="3">
    <w:nsid w:val="FFFFFF7F"/>
    <w:multiLevelType w:val="singleLevel"/>
    <w:tmpl w:val="7BBA25A8"/>
    <w:lvl w:ilvl="0">
      <w:start w:val="1"/>
      <w:numFmt w:val="decimal"/>
      <w:lvlText w:val="%1."/>
      <w:lvlJc w:val="left"/>
      <w:pPr>
        <w:tabs>
          <w:tab w:val="num" w:pos="720"/>
        </w:tabs>
        <w:ind w:left="720" w:hanging="360"/>
      </w:pPr>
    </w:lvl>
  </w:abstractNum>
  <w:abstractNum w:abstractNumId="4">
    <w:nsid w:val="FFFFFF80"/>
    <w:multiLevelType w:val="singleLevel"/>
    <w:tmpl w:val="3ED857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EA87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22469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BE06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D87882"/>
    <w:lvl w:ilvl="0">
      <w:start w:val="1"/>
      <w:numFmt w:val="decimal"/>
      <w:lvlText w:val="%1."/>
      <w:lvlJc w:val="left"/>
      <w:pPr>
        <w:tabs>
          <w:tab w:val="num" w:pos="360"/>
        </w:tabs>
        <w:ind w:left="360" w:hanging="360"/>
      </w:pPr>
    </w:lvl>
  </w:abstractNum>
  <w:abstractNum w:abstractNumId="9">
    <w:nsid w:val="FFFFFF89"/>
    <w:multiLevelType w:val="singleLevel"/>
    <w:tmpl w:val="4A6C7D12"/>
    <w:lvl w:ilvl="0">
      <w:start w:val="1"/>
      <w:numFmt w:val="bullet"/>
      <w:lvlText w:val=""/>
      <w:lvlJc w:val="left"/>
      <w:pPr>
        <w:tabs>
          <w:tab w:val="num" w:pos="360"/>
        </w:tabs>
        <w:ind w:left="360" w:hanging="360"/>
      </w:pPr>
      <w:rPr>
        <w:rFonts w:ascii="Symbol" w:hAnsi="Symbol" w:hint="default"/>
      </w:rPr>
    </w:lvl>
  </w:abstractNum>
  <w:abstractNum w:abstractNumId="10">
    <w:nsid w:val="02680FC2"/>
    <w:multiLevelType w:val="hybridMultilevel"/>
    <w:tmpl w:val="635AE900"/>
    <w:lvl w:ilvl="0" w:tplc="04070017">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027446FE"/>
    <w:multiLevelType w:val="hybridMultilevel"/>
    <w:tmpl w:val="623C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9D544D"/>
    <w:multiLevelType w:val="hybridMultilevel"/>
    <w:tmpl w:val="D960E8A8"/>
    <w:lvl w:ilvl="0" w:tplc="0407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nsid w:val="06B4570F"/>
    <w:multiLevelType w:val="hybridMultilevel"/>
    <w:tmpl w:val="ADD683EA"/>
    <w:lvl w:ilvl="0" w:tplc="314CAFE0">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14">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E3C45B4"/>
    <w:multiLevelType w:val="hybridMultilevel"/>
    <w:tmpl w:val="299EF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45326F"/>
    <w:multiLevelType w:val="hybridMultilevel"/>
    <w:tmpl w:val="38CE8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26152A2F"/>
    <w:multiLevelType w:val="multilevel"/>
    <w:tmpl w:val="C73E139C"/>
    <w:lvl w:ilvl="0">
      <w:start w:val="1"/>
      <w:numFmt w:val="lowerLetter"/>
      <w:lvlText w:val="(%1)"/>
      <w:lvlJc w:val="left"/>
      <w:pPr>
        <w:tabs>
          <w:tab w:val="num" w:pos="360"/>
        </w:tabs>
        <w:ind w:left="360" w:hanging="360"/>
      </w:pPr>
      <w:rPr>
        <w:rFonts w:cs="Times New Roman"/>
      </w:rPr>
    </w:lvl>
    <w:lvl w:ilvl="1" w:tentative="1">
      <w:start w:val="1"/>
      <w:numFmt w:val="lowerLetter"/>
      <w:lvlText w:val="%2."/>
      <w:lvlJc w:val="left"/>
      <w:pPr>
        <w:ind w:left="2214" w:hanging="360"/>
      </w:pPr>
      <w:rPr>
        <w:rFonts w:cs="Times New Roman"/>
      </w:rPr>
    </w:lvl>
    <w:lvl w:ilvl="2" w:tentative="1">
      <w:start w:val="1"/>
      <w:numFmt w:val="lowerRoman"/>
      <w:lvlText w:val="%3."/>
      <w:lvlJc w:val="right"/>
      <w:pPr>
        <w:ind w:left="2934" w:hanging="180"/>
      </w:pPr>
      <w:rPr>
        <w:rFonts w:cs="Times New Roman"/>
      </w:rPr>
    </w:lvl>
    <w:lvl w:ilvl="3" w:tentative="1">
      <w:start w:val="1"/>
      <w:numFmt w:val="decimal"/>
      <w:lvlText w:val="%4."/>
      <w:lvlJc w:val="left"/>
      <w:pPr>
        <w:ind w:left="3654" w:hanging="360"/>
      </w:pPr>
      <w:rPr>
        <w:rFonts w:cs="Times New Roman"/>
      </w:rPr>
    </w:lvl>
    <w:lvl w:ilvl="4" w:tentative="1">
      <w:start w:val="1"/>
      <w:numFmt w:val="lowerLetter"/>
      <w:lvlText w:val="%5."/>
      <w:lvlJc w:val="left"/>
      <w:pPr>
        <w:ind w:left="4374" w:hanging="360"/>
      </w:pPr>
      <w:rPr>
        <w:rFonts w:cs="Times New Roman"/>
      </w:rPr>
    </w:lvl>
    <w:lvl w:ilvl="5" w:tentative="1">
      <w:start w:val="1"/>
      <w:numFmt w:val="lowerRoman"/>
      <w:lvlText w:val="%6."/>
      <w:lvlJc w:val="right"/>
      <w:pPr>
        <w:ind w:left="5094" w:hanging="180"/>
      </w:pPr>
      <w:rPr>
        <w:rFonts w:cs="Times New Roman"/>
      </w:rPr>
    </w:lvl>
    <w:lvl w:ilvl="6" w:tentative="1">
      <w:start w:val="1"/>
      <w:numFmt w:val="decimal"/>
      <w:lvlText w:val="%7."/>
      <w:lvlJc w:val="left"/>
      <w:pPr>
        <w:ind w:left="5814" w:hanging="360"/>
      </w:pPr>
      <w:rPr>
        <w:rFonts w:cs="Times New Roman"/>
      </w:rPr>
    </w:lvl>
    <w:lvl w:ilvl="7" w:tentative="1">
      <w:start w:val="1"/>
      <w:numFmt w:val="lowerLetter"/>
      <w:lvlText w:val="%8."/>
      <w:lvlJc w:val="left"/>
      <w:pPr>
        <w:ind w:left="6534" w:hanging="360"/>
      </w:pPr>
      <w:rPr>
        <w:rFonts w:cs="Times New Roman"/>
      </w:rPr>
    </w:lvl>
    <w:lvl w:ilvl="8" w:tentative="1">
      <w:start w:val="1"/>
      <w:numFmt w:val="lowerRoman"/>
      <w:lvlText w:val="%9."/>
      <w:lvlJc w:val="right"/>
      <w:pPr>
        <w:ind w:left="7254" w:hanging="180"/>
      </w:pPr>
      <w:rPr>
        <w:rFonts w:cs="Times New Roman"/>
      </w:rPr>
    </w:lvl>
  </w:abstractNum>
  <w:abstractNum w:abstractNumId="19">
    <w:nsid w:val="2D235324"/>
    <w:multiLevelType w:val="multilevel"/>
    <w:tmpl w:val="83445934"/>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34A4B92"/>
    <w:multiLevelType w:val="singleLevel"/>
    <w:tmpl w:val="0409000F"/>
    <w:lvl w:ilvl="0">
      <w:start w:val="1"/>
      <w:numFmt w:val="decimal"/>
      <w:lvlText w:val="%1."/>
      <w:lvlJc w:val="left"/>
      <w:pPr>
        <w:tabs>
          <w:tab w:val="num" w:pos="1070"/>
        </w:tabs>
        <w:ind w:left="1070" w:hanging="360"/>
      </w:pPr>
      <w:rPr>
        <w:rFonts w:cs="Times New Roman"/>
      </w:rPr>
    </w:lvl>
  </w:abstractNum>
  <w:abstractNum w:abstractNumId="21">
    <w:nsid w:val="33CD0350"/>
    <w:multiLevelType w:val="hybridMultilevel"/>
    <w:tmpl w:val="6D664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9787248"/>
    <w:multiLevelType w:val="hybridMultilevel"/>
    <w:tmpl w:val="1E564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A9922FC"/>
    <w:multiLevelType w:val="hybridMultilevel"/>
    <w:tmpl w:val="A620B53C"/>
    <w:lvl w:ilvl="0" w:tplc="352670A8">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6763A6"/>
    <w:multiLevelType w:val="hybridMultilevel"/>
    <w:tmpl w:val="45E23C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A23A8A"/>
    <w:multiLevelType w:val="hybridMultilevel"/>
    <w:tmpl w:val="19F8C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EC6848"/>
    <w:multiLevelType w:val="multilevel"/>
    <w:tmpl w:val="A620B53C"/>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31">
    <w:nsid w:val="56C22812"/>
    <w:multiLevelType w:val="hybridMultilevel"/>
    <w:tmpl w:val="3A007286"/>
    <w:lvl w:ilvl="0" w:tplc="AC1E82D2">
      <w:start w:val="1"/>
      <w:numFmt w:val="lowerLetter"/>
      <w:lvlText w:val="%1)"/>
      <w:lvlJc w:val="left"/>
      <w:pPr>
        <w:tabs>
          <w:tab w:val="num" w:pos="5016"/>
        </w:tabs>
        <w:ind w:left="5016" w:hanging="48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32">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5D501E66"/>
    <w:multiLevelType w:val="hybridMultilevel"/>
    <w:tmpl w:val="8F22909C"/>
    <w:lvl w:ilvl="0" w:tplc="E4DEC17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0AE3F83"/>
    <w:multiLevelType w:val="hybridMultilevel"/>
    <w:tmpl w:val="93F83F94"/>
    <w:lvl w:ilvl="0" w:tplc="CDCE0B86">
      <w:start w:val="1"/>
      <w:numFmt w:val="lowerRoman"/>
      <w:lvlText w:val="%1)"/>
      <w:lvlJc w:val="left"/>
      <w:pPr>
        <w:ind w:left="1287" w:hanging="72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A353343"/>
    <w:multiLevelType w:val="hybridMultilevel"/>
    <w:tmpl w:val="FA10F6C2"/>
    <w:lvl w:ilvl="0" w:tplc="CF08EA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74798D"/>
    <w:multiLevelType w:val="hybridMultilevel"/>
    <w:tmpl w:val="F604B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C4A0804"/>
    <w:multiLevelType w:val="hybridMultilevel"/>
    <w:tmpl w:val="83445934"/>
    <w:lvl w:ilvl="0" w:tplc="352670A8">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40"/>
  </w:num>
  <w:num w:numId="5">
    <w:abstractNumId w:val="28"/>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9"/>
  </w:num>
  <w:num w:numId="18">
    <w:abstractNumId w:val="29"/>
  </w:num>
  <w:num w:numId="19">
    <w:abstractNumId w:val="32"/>
  </w:num>
  <w:num w:numId="20">
    <w:abstractNumId w:val="24"/>
  </w:num>
  <w:num w:numId="21">
    <w:abstractNumId w:val="22"/>
  </w:num>
  <w:num w:numId="22">
    <w:abstractNumId w:val="37"/>
  </w:num>
  <w:num w:numId="23">
    <w:abstractNumId w:val="14"/>
  </w:num>
  <w:num w:numId="24">
    <w:abstractNumId w:val="30"/>
  </w:num>
  <w:num w:numId="25">
    <w:abstractNumId w:val="17"/>
  </w:num>
  <w:num w:numId="26">
    <w:abstractNumId w:val="38"/>
  </w:num>
  <w:num w:numId="27">
    <w:abstractNumId w:val="33"/>
  </w:num>
  <w:num w:numId="28">
    <w:abstractNumId w:val="36"/>
  </w:num>
  <w:num w:numId="29">
    <w:abstractNumId w:val="20"/>
  </w:num>
  <w:num w:numId="30">
    <w:abstractNumId w:val="18"/>
  </w:num>
  <w:num w:numId="31">
    <w:abstractNumId w:val="13"/>
  </w:num>
  <w:num w:numId="32">
    <w:abstractNumId w:val="21"/>
  </w:num>
  <w:num w:numId="33">
    <w:abstractNumId w:val="16"/>
  </w:num>
  <w:num w:numId="34">
    <w:abstractNumId w:val="26"/>
  </w:num>
  <w:num w:numId="35">
    <w:abstractNumId w:val="35"/>
  </w:num>
  <w:num w:numId="36">
    <w:abstractNumId w:val="15"/>
  </w:num>
  <w:num w:numId="37">
    <w:abstractNumId w:val="11"/>
  </w:num>
  <w:num w:numId="38">
    <w:abstractNumId w:val="27"/>
  </w:num>
  <w:num w:numId="39">
    <w:abstractNumId w:val="23"/>
  </w:num>
  <w:num w:numId="40">
    <w:abstractNumId w:val="12"/>
  </w:num>
  <w:num w:numId="41">
    <w:abstractNumId w:val="1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A3"/>
    <w:rsid w:val="00010CF3"/>
    <w:rsid w:val="00011E27"/>
    <w:rsid w:val="000148BC"/>
    <w:rsid w:val="00024AB8"/>
    <w:rsid w:val="00030854"/>
    <w:rsid w:val="000313D8"/>
    <w:rsid w:val="00036028"/>
    <w:rsid w:val="00044642"/>
    <w:rsid w:val="000446B9"/>
    <w:rsid w:val="00047E21"/>
    <w:rsid w:val="00085505"/>
    <w:rsid w:val="0009000B"/>
    <w:rsid w:val="00090AC3"/>
    <w:rsid w:val="000A68B4"/>
    <w:rsid w:val="000B0AB4"/>
    <w:rsid w:val="000C7021"/>
    <w:rsid w:val="000C711B"/>
    <w:rsid w:val="000D013E"/>
    <w:rsid w:val="000D6BBC"/>
    <w:rsid w:val="000D7780"/>
    <w:rsid w:val="000F3305"/>
    <w:rsid w:val="001002A7"/>
    <w:rsid w:val="00105929"/>
    <w:rsid w:val="0010686B"/>
    <w:rsid w:val="00110A16"/>
    <w:rsid w:val="001131D5"/>
    <w:rsid w:val="00132ABD"/>
    <w:rsid w:val="00134A84"/>
    <w:rsid w:val="00141DB8"/>
    <w:rsid w:val="001428D1"/>
    <w:rsid w:val="00147A2A"/>
    <w:rsid w:val="00147FCD"/>
    <w:rsid w:val="0015433F"/>
    <w:rsid w:val="001635AA"/>
    <w:rsid w:val="00164C5D"/>
    <w:rsid w:val="0017210C"/>
    <w:rsid w:val="0017474A"/>
    <w:rsid w:val="001758C6"/>
    <w:rsid w:val="00182B99"/>
    <w:rsid w:val="00193D55"/>
    <w:rsid w:val="00195957"/>
    <w:rsid w:val="00196886"/>
    <w:rsid w:val="00197FFD"/>
    <w:rsid w:val="001A0080"/>
    <w:rsid w:val="001E0CF9"/>
    <w:rsid w:val="001E5BF4"/>
    <w:rsid w:val="0021332C"/>
    <w:rsid w:val="00213982"/>
    <w:rsid w:val="00220FA0"/>
    <w:rsid w:val="002274F6"/>
    <w:rsid w:val="0024416D"/>
    <w:rsid w:val="002530B7"/>
    <w:rsid w:val="00263051"/>
    <w:rsid w:val="002800A0"/>
    <w:rsid w:val="002801B3"/>
    <w:rsid w:val="0028098F"/>
    <w:rsid w:val="00281060"/>
    <w:rsid w:val="002940E8"/>
    <w:rsid w:val="002A407A"/>
    <w:rsid w:val="002A6E50"/>
    <w:rsid w:val="002B162C"/>
    <w:rsid w:val="002B6DFD"/>
    <w:rsid w:val="002C256A"/>
    <w:rsid w:val="002C7FBB"/>
    <w:rsid w:val="00301697"/>
    <w:rsid w:val="00302B5C"/>
    <w:rsid w:val="00305A7F"/>
    <w:rsid w:val="00315280"/>
    <w:rsid w:val="003152FE"/>
    <w:rsid w:val="00327436"/>
    <w:rsid w:val="003343A4"/>
    <w:rsid w:val="0033507D"/>
    <w:rsid w:val="00335CD1"/>
    <w:rsid w:val="003372B4"/>
    <w:rsid w:val="00344BD6"/>
    <w:rsid w:val="00345A69"/>
    <w:rsid w:val="0035528D"/>
    <w:rsid w:val="00361821"/>
    <w:rsid w:val="00364435"/>
    <w:rsid w:val="00364873"/>
    <w:rsid w:val="003954EF"/>
    <w:rsid w:val="003A1E09"/>
    <w:rsid w:val="003D227C"/>
    <w:rsid w:val="003D2B4D"/>
    <w:rsid w:val="003F07E1"/>
    <w:rsid w:val="003F2E1E"/>
    <w:rsid w:val="00435767"/>
    <w:rsid w:val="00444A88"/>
    <w:rsid w:val="004611CD"/>
    <w:rsid w:val="004651D0"/>
    <w:rsid w:val="00474DA4"/>
    <w:rsid w:val="00476B4D"/>
    <w:rsid w:val="004805FA"/>
    <w:rsid w:val="0049042B"/>
    <w:rsid w:val="004A1151"/>
    <w:rsid w:val="004D047D"/>
    <w:rsid w:val="004E3609"/>
    <w:rsid w:val="004F305A"/>
    <w:rsid w:val="004F74BC"/>
    <w:rsid w:val="00507ABF"/>
    <w:rsid w:val="00512164"/>
    <w:rsid w:val="00517392"/>
    <w:rsid w:val="00520297"/>
    <w:rsid w:val="00526CBD"/>
    <w:rsid w:val="0053192E"/>
    <w:rsid w:val="005338F9"/>
    <w:rsid w:val="0054281C"/>
    <w:rsid w:val="005449D6"/>
    <w:rsid w:val="0055268D"/>
    <w:rsid w:val="00560A6D"/>
    <w:rsid w:val="00576BE4"/>
    <w:rsid w:val="00596383"/>
    <w:rsid w:val="005A400A"/>
    <w:rsid w:val="005A420F"/>
    <w:rsid w:val="005A457D"/>
    <w:rsid w:val="005B0B2E"/>
    <w:rsid w:val="005C25DB"/>
    <w:rsid w:val="005F05B6"/>
    <w:rsid w:val="005F1840"/>
    <w:rsid w:val="00612379"/>
    <w:rsid w:val="00614435"/>
    <w:rsid w:val="0061555F"/>
    <w:rsid w:val="00622BB5"/>
    <w:rsid w:val="00641200"/>
    <w:rsid w:val="00645A24"/>
    <w:rsid w:val="00651D2A"/>
    <w:rsid w:val="0065277F"/>
    <w:rsid w:val="00653BEE"/>
    <w:rsid w:val="006655D3"/>
    <w:rsid w:val="00687EB4"/>
    <w:rsid w:val="006916C3"/>
    <w:rsid w:val="006B17D2"/>
    <w:rsid w:val="006B23D8"/>
    <w:rsid w:val="006C224E"/>
    <w:rsid w:val="006D780A"/>
    <w:rsid w:val="006E7A74"/>
    <w:rsid w:val="006F407D"/>
    <w:rsid w:val="007228C0"/>
    <w:rsid w:val="00732DEC"/>
    <w:rsid w:val="00735BD5"/>
    <w:rsid w:val="00747C66"/>
    <w:rsid w:val="00753F3A"/>
    <w:rsid w:val="007556F6"/>
    <w:rsid w:val="0075594A"/>
    <w:rsid w:val="00760EEF"/>
    <w:rsid w:val="007615C8"/>
    <w:rsid w:val="00774628"/>
    <w:rsid w:val="00777EE5"/>
    <w:rsid w:val="00781926"/>
    <w:rsid w:val="00784836"/>
    <w:rsid w:val="0079023E"/>
    <w:rsid w:val="00790753"/>
    <w:rsid w:val="00794A9A"/>
    <w:rsid w:val="007A2854"/>
    <w:rsid w:val="007B72D4"/>
    <w:rsid w:val="007C78D5"/>
    <w:rsid w:val="007D0B9D"/>
    <w:rsid w:val="007D19B0"/>
    <w:rsid w:val="007E645C"/>
    <w:rsid w:val="007F498F"/>
    <w:rsid w:val="0080679D"/>
    <w:rsid w:val="008108B0"/>
    <w:rsid w:val="00811B20"/>
    <w:rsid w:val="00813DC0"/>
    <w:rsid w:val="00816118"/>
    <w:rsid w:val="0082296E"/>
    <w:rsid w:val="00824099"/>
    <w:rsid w:val="00843DAC"/>
    <w:rsid w:val="00851260"/>
    <w:rsid w:val="00851FD6"/>
    <w:rsid w:val="00867AC1"/>
    <w:rsid w:val="00875B7D"/>
    <w:rsid w:val="008928BF"/>
    <w:rsid w:val="008954A8"/>
    <w:rsid w:val="008A1E5B"/>
    <w:rsid w:val="008A3954"/>
    <w:rsid w:val="008A3963"/>
    <w:rsid w:val="008A3C6D"/>
    <w:rsid w:val="008A743F"/>
    <w:rsid w:val="008C0970"/>
    <w:rsid w:val="008C15DA"/>
    <w:rsid w:val="008C59E2"/>
    <w:rsid w:val="008C7D05"/>
    <w:rsid w:val="008D2CF7"/>
    <w:rsid w:val="008E2E00"/>
    <w:rsid w:val="00900C26"/>
    <w:rsid w:val="0090197F"/>
    <w:rsid w:val="00901A3F"/>
    <w:rsid w:val="00906DDC"/>
    <w:rsid w:val="00916DB0"/>
    <w:rsid w:val="00926B4B"/>
    <w:rsid w:val="00934E09"/>
    <w:rsid w:val="00936253"/>
    <w:rsid w:val="0094555D"/>
    <w:rsid w:val="00952DD4"/>
    <w:rsid w:val="00963CF2"/>
    <w:rsid w:val="00970FED"/>
    <w:rsid w:val="009774DA"/>
    <w:rsid w:val="00980AB6"/>
    <w:rsid w:val="009949C2"/>
    <w:rsid w:val="00995977"/>
    <w:rsid w:val="00997029"/>
    <w:rsid w:val="009D690D"/>
    <w:rsid w:val="009E65B6"/>
    <w:rsid w:val="009F7D0F"/>
    <w:rsid w:val="00A079B3"/>
    <w:rsid w:val="00A11BE1"/>
    <w:rsid w:val="00A2654F"/>
    <w:rsid w:val="00A3004D"/>
    <w:rsid w:val="00A42AC3"/>
    <w:rsid w:val="00A430CF"/>
    <w:rsid w:val="00A54309"/>
    <w:rsid w:val="00A56FAA"/>
    <w:rsid w:val="00A85FEB"/>
    <w:rsid w:val="00AB2B93"/>
    <w:rsid w:val="00AB7E5B"/>
    <w:rsid w:val="00AE08BB"/>
    <w:rsid w:val="00AE0934"/>
    <w:rsid w:val="00AE0EF1"/>
    <w:rsid w:val="00AE2937"/>
    <w:rsid w:val="00AF025E"/>
    <w:rsid w:val="00AF0635"/>
    <w:rsid w:val="00AF2653"/>
    <w:rsid w:val="00AF3189"/>
    <w:rsid w:val="00AF3A92"/>
    <w:rsid w:val="00B003A3"/>
    <w:rsid w:val="00B027B0"/>
    <w:rsid w:val="00B07301"/>
    <w:rsid w:val="00B224DE"/>
    <w:rsid w:val="00B27AE7"/>
    <w:rsid w:val="00B373E1"/>
    <w:rsid w:val="00B463AC"/>
    <w:rsid w:val="00B46575"/>
    <w:rsid w:val="00B67A69"/>
    <w:rsid w:val="00B84BBD"/>
    <w:rsid w:val="00BA43FB"/>
    <w:rsid w:val="00BB1321"/>
    <w:rsid w:val="00BB3534"/>
    <w:rsid w:val="00BC127D"/>
    <w:rsid w:val="00BC1FE6"/>
    <w:rsid w:val="00BC3B85"/>
    <w:rsid w:val="00BC419F"/>
    <w:rsid w:val="00BD4E34"/>
    <w:rsid w:val="00BD5A47"/>
    <w:rsid w:val="00C01752"/>
    <w:rsid w:val="00C061B6"/>
    <w:rsid w:val="00C169BD"/>
    <w:rsid w:val="00C2446C"/>
    <w:rsid w:val="00C36AE5"/>
    <w:rsid w:val="00C37E95"/>
    <w:rsid w:val="00C41F17"/>
    <w:rsid w:val="00C51D44"/>
    <w:rsid w:val="00C5280D"/>
    <w:rsid w:val="00C5791C"/>
    <w:rsid w:val="00C651CE"/>
    <w:rsid w:val="00C66290"/>
    <w:rsid w:val="00C72B7A"/>
    <w:rsid w:val="00C875B0"/>
    <w:rsid w:val="00C95616"/>
    <w:rsid w:val="00C973F2"/>
    <w:rsid w:val="00CA304C"/>
    <w:rsid w:val="00CA774A"/>
    <w:rsid w:val="00CB0C58"/>
    <w:rsid w:val="00CB7708"/>
    <w:rsid w:val="00CC11B0"/>
    <w:rsid w:val="00CF7E36"/>
    <w:rsid w:val="00D0080A"/>
    <w:rsid w:val="00D04C35"/>
    <w:rsid w:val="00D17D5F"/>
    <w:rsid w:val="00D23870"/>
    <w:rsid w:val="00D3708D"/>
    <w:rsid w:val="00D40426"/>
    <w:rsid w:val="00D57C96"/>
    <w:rsid w:val="00D77C95"/>
    <w:rsid w:val="00D91203"/>
    <w:rsid w:val="00D95174"/>
    <w:rsid w:val="00DA6F36"/>
    <w:rsid w:val="00DB596E"/>
    <w:rsid w:val="00DB5B02"/>
    <w:rsid w:val="00DC00EA"/>
    <w:rsid w:val="00DF74FD"/>
    <w:rsid w:val="00E1379D"/>
    <w:rsid w:val="00E30A9E"/>
    <w:rsid w:val="00E32F7E"/>
    <w:rsid w:val="00E33798"/>
    <w:rsid w:val="00E3653C"/>
    <w:rsid w:val="00E41780"/>
    <w:rsid w:val="00E447BD"/>
    <w:rsid w:val="00E45FB3"/>
    <w:rsid w:val="00E521BC"/>
    <w:rsid w:val="00E72D49"/>
    <w:rsid w:val="00E7305A"/>
    <w:rsid w:val="00E7593C"/>
    <w:rsid w:val="00E7678A"/>
    <w:rsid w:val="00E767B6"/>
    <w:rsid w:val="00E803B1"/>
    <w:rsid w:val="00E857D8"/>
    <w:rsid w:val="00E935F1"/>
    <w:rsid w:val="00E94A81"/>
    <w:rsid w:val="00EA1FFB"/>
    <w:rsid w:val="00EA2BD8"/>
    <w:rsid w:val="00EA56F0"/>
    <w:rsid w:val="00EB048E"/>
    <w:rsid w:val="00EC100C"/>
    <w:rsid w:val="00EC40F0"/>
    <w:rsid w:val="00EE2492"/>
    <w:rsid w:val="00EE34DF"/>
    <w:rsid w:val="00EF2F89"/>
    <w:rsid w:val="00F1237A"/>
    <w:rsid w:val="00F127AF"/>
    <w:rsid w:val="00F22CBD"/>
    <w:rsid w:val="00F30565"/>
    <w:rsid w:val="00F45372"/>
    <w:rsid w:val="00F560F7"/>
    <w:rsid w:val="00F5612A"/>
    <w:rsid w:val="00F56C99"/>
    <w:rsid w:val="00F6334D"/>
    <w:rsid w:val="00F8038E"/>
    <w:rsid w:val="00F80602"/>
    <w:rsid w:val="00FA49AB"/>
    <w:rsid w:val="00FB154B"/>
    <w:rsid w:val="00FB297A"/>
    <w:rsid w:val="00FB5F45"/>
    <w:rsid w:val="00FE39C7"/>
    <w:rsid w:val="00FF5AB0"/>
    <w:rsid w:val="00FF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09000B"/>
    <w:pPr>
      <w:keepNext/>
      <w:jc w:val="both"/>
      <w:outlineLvl w:val="0"/>
    </w:pPr>
    <w:rPr>
      <w:rFonts w:ascii="Arial" w:hAnsi="Arial"/>
      <w:caps/>
    </w:rPr>
  </w:style>
  <w:style w:type="paragraph" w:styleId="Heading2">
    <w:name w:val="heading 2"/>
    <w:next w:val="Normal"/>
    <w:link w:val="Heading2Char"/>
    <w:autoRedefine/>
    <w:qFormat/>
    <w:rsid w:val="00747C66"/>
    <w:pPr>
      <w:keepNext/>
      <w:jc w:val="both"/>
      <w:outlineLvl w:val="1"/>
    </w:pPr>
    <w:rPr>
      <w:rFonts w:ascii="Arial" w:hAnsi="Arial"/>
      <w:u w:val="single"/>
    </w:rPr>
  </w:style>
  <w:style w:type="paragraph" w:styleId="Heading3">
    <w:name w:val="heading 3"/>
    <w:next w:val="Normal"/>
    <w:link w:val="Heading3Char"/>
    <w:autoRedefine/>
    <w:qFormat/>
    <w:rsid w:val="00B027B0"/>
    <w:pPr>
      <w:keepNext/>
      <w:jc w:val="both"/>
      <w:outlineLvl w:val="2"/>
    </w:pPr>
    <w:rPr>
      <w:rFonts w:ascii="Arial" w:eastAsia="Calibri" w:hAnsi="Arial"/>
      <w:i/>
      <w:snapToGrid w:val="0"/>
      <w:color w:val="000000"/>
      <w:lang w:val="de-DE" w:eastAsia="de-DE" w:bidi="de-DE"/>
    </w:rPr>
  </w:style>
  <w:style w:type="paragraph" w:styleId="Heading4">
    <w:name w:val="heading 4"/>
    <w:next w:val="Normal"/>
    <w:link w:val="Heading4Char"/>
    <w:autoRedefine/>
    <w:qFormat/>
    <w:rsid w:val="003954EF"/>
    <w:pPr>
      <w:keepNext/>
      <w:ind w:left="567"/>
      <w:jc w:val="both"/>
      <w:outlineLvl w:val="3"/>
    </w:pPr>
    <w:rPr>
      <w:rFonts w:ascii="Arial" w:hAnsi="Arial"/>
      <w:i/>
      <w:caps/>
    </w:rPr>
  </w:style>
  <w:style w:type="paragraph" w:styleId="Heading5">
    <w:name w:val="heading 5"/>
    <w:next w:val="Normal"/>
    <w:link w:val="Heading5Char"/>
    <w:autoRedefine/>
    <w:qFormat/>
    <w:rsid w:val="00E767B6"/>
    <w:pPr>
      <w:keepNext/>
      <w:ind w:left="1134" w:hanging="567"/>
      <w:jc w:val="both"/>
      <w:outlineLvl w:val="4"/>
    </w:pPr>
    <w:rPr>
      <w:rFonts w:ascii="Arial" w:eastAsia="Calibri" w:hAnsi="Arial"/>
      <w:snapToGrid w:val="0"/>
      <w:szCs w:val="18"/>
      <w:lang w:val="de-DE" w:eastAsia="de-DE" w:bidi="de-DE"/>
    </w:rPr>
  </w:style>
  <w:style w:type="paragraph" w:styleId="Heading6">
    <w:name w:val="heading 6"/>
    <w:basedOn w:val="Normal"/>
    <w:next w:val="Normal"/>
    <w:link w:val="Heading6Char"/>
    <w:qFormat/>
    <w:rsid w:val="00196886"/>
    <w:pPr>
      <w:outlineLvl w:val="5"/>
    </w:pPr>
    <w:rPr>
      <w:lang w:val="es-ES_tradnl"/>
    </w:rPr>
  </w:style>
  <w:style w:type="paragraph" w:styleId="Heading7">
    <w:name w:val="heading 7"/>
    <w:basedOn w:val="Normal"/>
    <w:next w:val="Normal"/>
    <w:link w:val="Heading7Char"/>
    <w:qFormat/>
    <w:rsid w:val="00196886"/>
    <w:pPr>
      <w:spacing w:before="240" w:after="60"/>
      <w:outlineLvl w:val="6"/>
    </w:pPr>
    <w:rPr>
      <w:szCs w:val="24"/>
    </w:rPr>
  </w:style>
  <w:style w:type="paragraph" w:styleId="Heading8">
    <w:name w:val="heading 8"/>
    <w:basedOn w:val="Normal"/>
    <w:next w:val="Normal"/>
    <w:link w:val="Heading8Char"/>
    <w:qFormat/>
    <w:rsid w:val="00196886"/>
    <w:pPr>
      <w:keepNext/>
      <w:jc w:val="center"/>
      <w:outlineLvl w:val="7"/>
    </w:pPr>
    <w:rPr>
      <w:u w:val="single"/>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00B"/>
    <w:rPr>
      <w:rFonts w:ascii="Arial" w:hAnsi="Arial"/>
      <w:caps/>
    </w:rPr>
  </w:style>
  <w:style w:type="character" w:customStyle="1" w:styleId="Heading2Char">
    <w:name w:val="Heading 2 Char"/>
    <w:link w:val="Heading2"/>
    <w:rsid w:val="00747C66"/>
    <w:rPr>
      <w:rFonts w:ascii="Arial" w:hAnsi="Arial"/>
      <w:u w:val="single"/>
    </w:rPr>
  </w:style>
  <w:style w:type="character" w:customStyle="1" w:styleId="Heading3Char">
    <w:name w:val="Heading 3 Char"/>
    <w:link w:val="Heading3"/>
    <w:locked/>
    <w:rsid w:val="00B027B0"/>
    <w:rPr>
      <w:rFonts w:ascii="Arial" w:eastAsia="Calibri" w:hAnsi="Arial"/>
      <w:i/>
      <w:snapToGrid w:val="0"/>
      <w:color w:val="000000"/>
      <w:lang w:val="de-DE" w:eastAsia="de-DE" w:bidi="de-DE"/>
    </w:rPr>
  </w:style>
  <w:style w:type="character" w:customStyle="1" w:styleId="Heading4Char">
    <w:name w:val="Heading 4 Char"/>
    <w:link w:val="Heading4"/>
    <w:rsid w:val="003954EF"/>
    <w:rPr>
      <w:rFonts w:ascii="Arial" w:hAnsi="Arial"/>
      <w:i/>
      <w:caps/>
    </w:rPr>
  </w:style>
  <w:style w:type="character" w:customStyle="1" w:styleId="Heading6Char">
    <w:name w:val="Heading 6 Char"/>
    <w:basedOn w:val="DefaultParagraphFont"/>
    <w:link w:val="Heading6"/>
    <w:rsid w:val="00196886"/>
    <w:rPr>
      <w:rFonts w:ascii="Arial" w:hAnsi="Arial"/>
      <w:lang w:val="es-ES_tradnl"/>
    </w:rPr>
  </w:style>
  <w:style w:type="character" w:customStyle="1" w:styleId="Heading7Char">
    <w:name w:val="Heading 7 Char"/>
    <w:basedOn w:val="DefaultParagraphFont"/>
    <w:link w:val="Heading7"/>
    <w:rsid w:val="00196886"/>
    <w:rPr>
      <w:rFonts w:ascii="Arial" w:hAnsi="Arial"/>
      <w:szCs w:val="24"/>
    </w:rPr>
  </w:style>
  <w:style w:type="character" w:customStyle="1" w:styleId="Heading8Char">
    <w:name w:val="Heading 8 Char"/>
    <w:basedOn w:val="DefaultParagraphFont"/>
    <w:link w:val="Heading8"/>
    <w:rsid w:val="00196886"/>
    <w:rPr>
      <w:rFonts w:ascii="Arial" w:hAnsi="Arial"/>
      <w:u w:val="single"/>
    </w:rPr>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link w:val="Footer"/>
    <w:rsid w:val="00196886"/>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link w:val="DecisionParagraphsChar"/>
    <w:rsid w:val="0033507D"/>
    <w:pPr>
      <w:tabs>
        <w:tab w:val="left" w:pos="5387"/>
      </w:tabs>
      <w:ind w:left="4820"/>
    </w:pPr>
    <w:rPr>
      <w:i/>
    </w:rPr>
  </w:style>
  <w:style w:type="character" w:customStyle="1" w:styleId="DecisionParagraphsChar">
    <w:name w:val="DecisionParagraphs Char"/>
    <w:link w:val="DecisionParagraphs"/>
    <w:rsid w:val="00196886"/>
    <w:rPr>
      <w:rFonts w:ascii="Arial" w:hAnsi="Arial"/>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196886"/>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196886"/>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196886"/>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link w:val="TitleofdocChar"/>
    <w:rsid w:val="0033507D"/>
    <w:pPr>
      <w:spacing w:before="600"/>
      <w:jc w:val="center"/>
    </w:pPr>
    <w:rPr>
      <w:caps/>
    </w:rPr>
  </w:style>
  <w:style w:type="character" w:customStyle="1" w:styleId="TitleofdocChar">
    <w:name w:val="Title_of_doc Char"/>
    <w:link w:val="Titleofdoc0"/>
    <w:rsid w:val="005B0B2E"/>
    <w:rPr>
      <w:rFonts w:ascii="Arial" w:hAnsi="Arial"/>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8038E"/>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Style1">
    <w:name w:val="Style1"/>
    <w:basedOn w:val="Normal"/>
    <w:rsid w:val="00196886"/>
    <w:pPr>
      <w:tabs>
        <w:tab w:val="decimal" w:pos="907"/>
        <w:tab w:val="left" w:pos="1077"/>
      </w:tabs>
    </w:pPr>
    <w:rPr>
      <w:rFonts w:ascii="Times New Roman" w:eastAsia="MS Mincho" w:hAnsi="Times New Roman"/>
      <w:sz w:val="24"/>
    </w:rPr>
  </w:style>
  <w:style w:type="paragraph" w:customStyle="1" w:styleId="n">
    <w:name w:val="n"/>
    <w:basedOn w:val="Header"/>
    <w:rsid w:val="00196886"/>
    <w:rPr>
      <w:rFonts w:ascii="Times New Roman" w:hAnsi="Times New Roman"/>
      <w:sz w:val="24"/>
    </w:rPr>
  </w:style>
  <w:style w:type="paragraph" w:customStyle="1" w:styleId="Normalt">
    <w:name w:val="Normalt"/>
    <w:basedOn w:val="Normal"/>
    <w:rsid w:val="00196886"/>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96886"/>
    <w:pPr>
      <w:keepNext/>
    </w:pPr>
    <w:rPr>
      <w:b/>
      <w:bCs/>
    </w:rPr>
  </w:style>
  <w:style w:type="paragraph" w:styleId="NormalWeb">
    <w:name w:val="Normal (Web)"/>
    <w:basedOn w:val="Normal"/>
    <w:rsid w:val="00196886"/>
    <w:pPr>
      <w:spacing w:before="100" w:beforeAutospacing="1" w:after="100" w:afterAutospacing="1"/>
      <w:jc w:val="left"/>
    </w:pPr>
    <w:rPr>
      <w:szCs w:val="24"/>
    </w:rPr>
  </w:style>
  <w:style w:type="paragraph" w:customStyle="1" w:styleId="pdflink">
    <w:name w:val="pdflink"/>
    <w:basedOn w:val="Normal"/>
    <w:next w:val="Normal"/>
    <w:rsid w:val="00196886"/>
    <w:rPr>
      <w:color w:val="800000"/>
      <w:u w:val="words"/>
    </w:rPr>
  </w:style>
  <w:style w:type="paragraph" w:customStyle="1" w:styleId="Draft">
    <w:name w:val="Draft"/>
    <w:basedOn w:val="Normal"/>
    <w:next w:val="preparedby"/>
    <w:rsid w:val="00196886"/>
    <w:pPr>
      <w:spacing w:before="720" w:after="480"/>
      <w:jc w:val="center"/>
    </w:pPr>
    <w:rPr>
      <w:caps/>
      <w:sz w:val="28"/>
    </w:rPr>
  </w:style>
  <w:style w:type="paragraph" w:customStyle="1" w:styleId="tqparabox">
    <w:name w:val="tqparabox"/>
    <w:basedOn w:val="Normal"/>
    <w:rsid w:val="00196886"/>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196886"/>
    <w:pPr>
      <w:ind w:left="567"/>
    </w:pPr>
    <w:rPr>
      <w:lang w:val="es-ES_tradnl"/>
    </w:rPr>
  </w:style>
  <w:style w:type="character" w:customStyle="1" w:styleId="BodyTextIndentChar">
    <w:name w:val="Body Text Indent Char"/>
    <w:basedOn w:val="DefaultParagraphFont"/>
    <w:link w:val="BodyTextIndent"/>
    <w:rsid w:val="00196886"/>
    <w:rPr>
      <w:rFonts w:ascii="Arial" w:hAnsi="Arial"/>
      <w:lang w:val="es-ES_tradnl"/>
    </w:rPr>
  </w:style>
  <w:style w:type="paragraph" w:customStyle="1" w:styleId="twpcheck">
    <w:name w:val="twpcheck"/>
    <w:basedOn w:val="Normal"/>
    <w:rsid w:val="00196886"/>
    <w:pPr>
      <w:spacing w:before="80" w:after="80"/>
      <w:jc w:val="left"/>
    </w:pPr>
    <w:rPr>
      <w:rFonts w:cs="Arial"/>
      <w:snapToGrid w:val="0"/>
      <w:sz w:val="16"/>
      <w:szCs w:val="16"/>
    </w:rPr>
  </w:style>
  <w:style w:type="paragraph" w:customStyle="1" w:styleId="DecisionInvitingPara">
    <w:name w:val="Decision Inviting Para."/>
    <w:basedOn w:val="Normal"/>
    <w:rsid w:val="00196886"/>
    <w:pPr>
      <w:ind w:left="4536"/>
    </w:pPr>
    <w:rPr>
      <w:i/>
      <w:lang w:val="es-ES_tradnl"/>
    </w:rPr>
  </w:style>
  <w:style w:type="paragraph" w:customStyle="1" w:styleId="Enttepair">
    <w:name w:val="Entête_pair"/>
    <w:basedOn w:val="Normal"/>
    <w:next w:val="Normal"/>
    <w:rsid w:val="00196886"/>
    <w:pPr>
      <w:pBdr>
        <w:bottom w:val="single" w:sz="4" w:space="1" w:color="auto"/>
      </w:pBdr>
      <w:jc w:val="left"/>
    </w:pPr>
    <w:rPr>
      <w:szCs w:val="24"/>
    </w:rPr>
  </w:style>
  <w:style w:type="paragraph" w:customStyle="1" w:styleId="Entteimpair">
    <w:name w:val="Entête_impair"/>
    <w:basedOn w:val="Normal"/>
    <w:next w:val="Normal"/>
    <w:rsid w:val="00196886"/>
    <w:pPr>
      <w:pBdr>
        <w:bottom w:val="single" w:sz="4" w:space="1" w:color="auto"/>
      </w:pBdr>
      <w:jc w:val="right"/>
    </w:pPr>
  </w:style>
  <w:style w:type="paragraph" w:styleId="ListBullet">
    <w:name w:val="List Bullet"/>
    <w:basedOn w:val="Normal"/>
    <w:autoRedefine/>
    <w:rsid w:val="00196886"/>
    <w:pPr>
      <w:tabs>
        <w:tab w:val="num" w:pos="360"/>
      </w:tabs>
      <w:ind w:left="360" w:hanging="360"/>
    </w:pPr>
    <w:rPr>
      <w:bCs/>
      <w:szCs w:val="24"/>
      <w:lang w:val="es-ES" w:eastAsia="zh-CN"/>
    </w:rPr>
  </w:style>
  <w:style w:type="character" w:styleId="FollowedHyperlink">
    <w:name w:val="FollowedHyperlink"/>
    <w:rsid w:val="00196886"/>
    <w:rPr>
      <w:color w:val="606420"/>
      <w:u w:val="single"/>
    </w:rPr>
  </w:style>
  <w:style w:type="paragraph" w:styleId="BlockText">
    <w:name w:val="Block Text"/>
    <w:basedOn w:val="Normal"/>
    <w:rsid w:val="00196886"/>
    <w:pPr>
      <w:ind w:left="567" w:right="566"/>
    </w:pPr>
    <w:rPr>
      <w:sz w:val="22"/>
    </w:rPr>
  </w:style>
  <w:style w:type="paragraph" w:styleId="CommentText">
    <w:name w:val="annotation text"/>
    <w:basedOn w:val="Normal"/>
    <w:link w:val="CommentTextChar"/>
    <w:rsid w:val="00196886"/>
    <w:rPr>
      <w:sz w:val="22"/>
      <w:lang w:val="es-ES_tradnl"/>
    </w:rPr>
  </w:style>
  <w:style w:type="character" w:customStyle="1" w:styleId="CommentTextChar">
    <w:name w:val="Comment Text Char"/>
    <w:basedOn w:val="DefaultParagraphFont"/>
    <w:link w:val="CommentText"/>
    <w:rsid w:val="00196886"/>
    <w:rPr>
      <w:rFonts w:ascii="Arial" w:hAnsi="Arial"/>
      <w:sz w:val="22"/>
      <w:lang w:val="es-ES_tradnl"/>
    </w:rPr>
  </w:style>
  <w:style w:type="paragraph" w:customStyle="1" w:styleId="Committee">
    <w:name w:val="Committee"/>
    <w:basedOn w:val="Title"/>
    <w:rsid w:val="00196886"/>
    <w:rPr>
      <w:caps w:val="0"/>
    </w:rPr>
  </w:style>
  <w:style w:type="paragraph" w:customStyle="1" w:styleId="TitleofSection">
    <w:name w:val="Title of Section"/>
    <w:basedOn w:val="TitleofDoc"/>
    <w:rsid w:val="00196886"/>
    <w:pPr>
      <w:spacing w:before="120" w:after="120"/>
    </w:pPr>
    <w:rPr>
      <w:b/>
      <w:caps w:val="0"/>
      <w:lang w:eastAsia="de-DE"/>
    </w:rPr>
  </w:style>
  <w:style w:type="paragraph" w:customStyle="1" w:styleId="TOCAnnex">
    <w:name w:val="TOC Annex"/>
    <w:basedOn w:val="Normal"/>
    <w:rsid w:val="0019688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196886"/>
    <w:rPr>
      <w:rFonts w:ascii="Courier New" w:hAnsi="Courier New" w:cs="Courier New"/>
      <w:lang w:eastAsia="fr-FR"/>
    </w:rPr>
  </w:style>
  <w:style w:type="character" w:customStyle="1" w:styleId="PlainTextChar">
    <w:name w:val="Plain Text Char"/>
    <w:basedOn w:val="DefaultParagraphFont"/>
    <w:link w:val="PlainText"/>
    <w:rsid w:val="00196886"/>
    <w:rPr>
      <w:rFonts w:ascii="Courier New" w:hAnsi="Courier New" w:cs="Courier New"/>
      <w:lang w:eastAsia="fr-FR"/>
    </w:rPr>
  </w:style>
  <w:style w:type="paragraph" w:customStyle="1" w:styleId="Default">
    <w:name w:val="Default"/>
    <w:basedOn w:val="Normal"/>
    <w:rsid w:val="00196886"/>
    <w:pPr>
      <w:jc w:val="left"/>
    </w:pPr>
    <w:rPr>
      <w:rFonts w:eastAsia="SimSun" w:cs="Arial"/>
      <w:color w:val="000000"/>
      <w:sz w:val="24"/>
      <w:szCs w:val="24"/>
    </w:rPr>
  </w:style>
  <w:style w:type="paragraph" w:customStyle="1" w:styleId="tgcharnumber">
    <w:name w:val="tg_char_number"/>
    <w:basedOn w:val="Normal"/>
    <w:rsid w:val="00196886"/>
    <w:pPr>
      <w:keepNext/>
      <w:spacing w:before="80" w:after="80"/>
      <w:jc w:val="center"/>
    </w:pPr>
    <w:rPr>
      <w:b/>
      <w:sz w:val="16"/>
    </w:rPr>
  </w:style>
  <w:style w:type="paragraph" w:customStyle="1" w:styleId="tgchartitle">
    <w:name w:val="tg_char_title"/>
    <w:basedOn w:val="Normal"/>
    <w:rsid w:val="00196886"/>
    <w:pPr>
      <w:spacing w:before="80" w:after="80"/>
      <w:jc w:val="left"/>
    </w:pPr>
    <w:rPr>
      <w:b/>
      <w:sz w:val="16"/>
    </w:rPr>
  </w:style>
  <w:style w:type="paragraph" w:customStyle="1" w:styleId="tgchartext">
    <w:name w:val="tg_char_text"/>
    <w:basedOn w:val="Normal"/>
    <w:rsid w:val="00196886"/>
    <w:pPr>
      <w:spacing w:before="80" w:after="80"/>
      <w:jc w:val="left"/>
    </w:pPr>
    <w:rPr>
      <w:sz w:val="16"/>
    </w:rPr>
  </w:style>
  <w:style w:type="paragraph" w:styleId="ListParagraph">
    <w:name w:val="List Paragraph"/>
    <w:basedOn w:val="Normal"/>
    <w:qFormat/>
    <w:rsid w:val="00526CBD"/>
    <w:pPr>
      <w:ind w:left="720"/>
      <w:contextualSpacing/>
    </w:pPr>
  </w:style>
  <w:style w:type="paragraph" w:styleId="TOCHeading">
    <w:name w:val="TOC Heading"/>
    <w:basedOn w:val="Heading1"/>
    <w:next w:val="Normal"/>
    <w:uiPriority w:val="39"/>
    <w:unhideWhenUsed/>
    <w:qFormat/>
    <w:rsid w:val="001002A7"/>
    <w:pPr>
      <w:keepLines/>
      <w:spacing w:before="480" w:line="276" w:lineRule="auto"/>
      <w:jc w:val="left"/>
      <w:outlineLvl w:val="9"/>
    </w:pPr>
    <w:rPr>
      <w:rFonts w:asciiTheme="majorHAnsi" w:eastAsiaTheme="majorEastAsia" w:hAnsiTheme="majorHAnsi" w:cstheme="majorBidi"/>
      <w:b/>
      <w:bCs/>
      <w:i/>
      <w:caps w:val="0"/>
      <w:color w:val="365F91" w:themeColor="accent1" w:themeShade="BF"/>
      <w:sz w:val="28"/>
      <w:szCs w:val="28"/>
      <w:lang w:eastAsia="ja-JP"/>
    </w:rPr>
  </w:style>
  <w:style w:type="character" w:styleId="Emphasis">
    <w:name w:val="Emphasis"/>
    <w:basedOn w:val="DefaultParagraphFont"/>
    <w:qFormat/>
    <w:rsid w:val="00090AC3"/>
    <w:rPr>
      <w:i/>
      <w:iCs/>
    </w:rPr>
  </w:style>
  <w:style w:type="character" w:customStyle="1" w:styleId="Heading5Char">
    <w:name w:val="Heading 5 Char"/>
    <w:basedOn w:val="DefaultParagraphFont"/>
    <w:link w:val="Heading5"/>
    <w:rsid w:val="000313D8"/>
    <w:rPr>
      <w:rFonts w:ascii="Arial" w:eastAsia="Calibri" w:hAnsi="Arial"/>
      <w:snapToGrid w:val="0"/>
      <w:szCs w:val="18"/>
      <w:lang w:val="de-DE" w:eastAsia="de-DE" w:bidi="de-DE"/>
    </w:rPr>
  </w:style>
  <w:style w:type="character" w:customStyle="1" w:styleId="Heading9Char">
    <w:name w:val="Heading 9 Char"/>
    <w:basedOn w:val="DefaultParagraphFont"/>
    <w:link w:val="Heading9"/>
    <w:rsid w:val="000313D8"/>
    <w:rPr>
      <w:rFonts w:ascii="Arial" w:hAnsi="Arial"/>
      <w:i/>
      <w:sz w:val="18"/>
    </w:rPr>
  </w:style>
  <w:style w:type="character" w:customStyle="1" w:styleId="HeaderChar">
    <w:name w:val="Header Char"/>
    <w:basedOn w:val="DefaultParagraphFont"/>
    <w:link w:val="Header"/>
    <w:rsid w:val="000313D8"/>
    <w:rPr>
      <w:rFonts w:ascii="Arial" w:hAnsi="Arial"/>
      <w:lang w:val="fr-FR"/>
    </w:rPr>
  </w:style>
  <w:style w:type="character" w:customStyle="1" w:styleId="TitleChar">
    <w:name w:val="Title Char"/>
    <w:basedOn w:val="DefaultParagraphFont"/>
    <w:link w:val="Title"/>
    <w:rsid w:val="000313D8"/>
    <w:rPr>
      <w:rFonts w:ascii="Arial" w:hAnsi="Arial"/>
      <w:b/>
      <w:caps/>
      <w:kern w:val="28"/>
      <w:sz w:val="30"/>
    </w:rPr>
  </w:style>
  <w:style w:type="character" w:customStyle="1" w:styleId="FootnoteTextChar">
    <w:name w:val="Footnote Text Char"/>
    <w:basedOn w:val="DefaultParagraphFont"/>
    <w:link w:val="FootnoteText"/>
    <w:rsid w:val="000313D8"/>
    <w:rPr>
      <w:rFonts w:ascii="Arial" w:hAnsi="Arial"/>
      <w:sz w:val="16"/>
    </w:rPr>
  </w:style>
  <w:style w:type="character" w:customStyle="1" w:styleId="ClosingChar">
    <w:name w:val="Closing Char"/>
    <w:basedOn w:val="DefaultParagraphFont"/>
    <w:link w:val="Closing"/>
    <w:rsid w:val="000313D8"/>
    <w:rPr>
      <w:rFonts w:ascii="Arial" w:hAnsi="Arial"/>
    </w:rPr>
  </w:style>
  <w:style w:type="character" w:customStyle="1" w:styleId="MacroTextChar">
    <w:name w:val="Macro Text Char"/>
    <w:basedOn w:val="DefaultParagraphFont"/>
    <w:link w:val="MacroText"/>
    <w:semiHidden/>
    <w:rsid w:val="000313D8"/>
    <w:rPr>
      <w:rFonts w:ascii="Courier New" w:hAnsi="Courier New"/>
      <w:sz w:val="16"/>
    </w:rPr>
  </w:style>
  <w:style w:type="character" w:customStyle="1" w:styleId="SignatureChar">
    <w:name w:val="Signature Char"/>
    <w:basedOn w:val="DefaultParagraphFont"/>
    <w:link w:val="Signature"/>
    <w:rsid w:val="000313D8"/>
    <w:rPr>
      <w:rFonts w:ascii="Arial" w:hAnsi="Arial"/>
    </w:rPr>
  </w:style>
  <w:style w:type="character" w:customStyle="1" w:styleId="EndnoteTextChar">
    <w:name w:val="Endnote Text Char"/>
    <w:basedOn w:val="DefaultParagraphFont"/>
    <w:link w:val="EndnoteText"/>
    <w:semiHidden/>
    <w:rsid w:val="000313D8"/>
    <w:rPr>
      <w:rFonts w:ascii="Arial" w:hAnsi="Arial"/>
    </w:rPr>
  </w:style>
  <w:style w:type="character" w:customStyle="1" w:styleId="DateChar">
    <w:name w:val="Date Char"/>
    <w:basedOn w:val="DefaultParagraphFont"/>
    <w:link w:val="Date"/>
    <w:semiHidden/>
    <w:rsid w:val="000313D8"/>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09000B"/>
    <w:pPr>
      <w:keepNext/>
      <w:jc w:val="both"/>
      <w:outlineLvl w:val="0"/>
    </w:pPr>
    <w:rPr>
      <w:rFonts w:ascii="Arial" w:hAnsi="Arial"/>
      <w:caps/>
    </w:rPr>
  </w:style>
  <w:style w:type="paragraph" w:styleId="Heading2">
    <w:name w:val="heading 2"/>
    <w:next w:val="Normal"/>
    <w:link w:val="Heading2Char"/>
    <w:autoRedefine/>
    <w:qFormat/>
    <w:rsid w:val="00747C66"/>
    <w:pPr>
      <w:keepNext/>
      <w:jc w:val="both"/>
      <w:outlineLvl w:val="1"/>
    </w:pPr>
    <w:rPr>
      <w:rFonts w:ascii="Arial" w:hAnsi="Arial"/>
      <w:u w:val="single"/>
    </w:rPr>
  </w:style>
  <w:style w:type="paragraph" w:styleId="Heading3">
    <w:name w:val="heading 3"/>
    <w:next w:val="Normal"/>
    <w:link w:val="Heading3Char"/>
    <w:autoRedefine/>
    <w:qFormat/>
    <w:rsid w:val="00B027B0"/>
    <w:pPr>
      <w:keepNext/>
      <w:jc w:val="both"/>
      <w:outlineLvl w:val="2"/>
    </w:pPr>
    <w:rPr>
      <w:rFonts w:ascii="Arial" w:eastAsia="Calibri" w:hAnsi="Arial"/>
      <w:i/>
      <w:snapToGrid w:val="0"/>
      <w:color w:val="000000"/>
      <w:lang w:val="de-DE" w:eastAsia="de-DE" w:bidi="de-DE"/>
    </w:rPr>
  </w:style>
  <w:style w:type="paragraph" w:styleId="Heading4">
    <w:name w:val="heading 4"/>
    <w:next w:val="Normal"/>
    <w:link w:val="Heading4Char"/>
    <w:autoRedefine/>
    <w:qFormat/>
    <w:rsid w:val="003954EF"/>
    <w:pPr>
      <w:keepNext/>
      <w:ind w:left="567"/>
      <w:jc w:val="both"/>
      <w:outlineLvl w:val="3"/>
    </w:pPr>
    <w:rPr>
      <w:rFonts w:ascii="Arial" w:hAnsi="Arial"/>
      <w:i/>
      <w:caps/>
    </w:rPr>
  </w:style>
  <w:style w:type="paragraph" w:styleId="Heading5">
    <w:name w:val="heading 5"/>
    <w:next w:val="Normal"/>
    <w:link w:val="Heading5Char"/>
    <w:autoRedefine/>
    <w:qFormat/>
    <w:rsid w:val="00E767B6"/>
    <w:pPr>
      <w:keepNext/>
      <w:ind w:left="1134" w:hanging="567"/>
      <w:jc w:val="both"/>
      <w:outlineLvl w:val="4"/>
    </w:pPr>
    <w:rPr>
      <w:rFonts w:ascii="Arial" w:eastAsia="Calibri" w:hAnsi="Arial"/>
      <w:snapToGrid w:val="0"/>
      <w:szCs w:val="18"/>
      <w:lang w:val="de-DE" w:eastAsia="de-DE" w:bidi="de-DE"/>
    </w:rPr>
  </w:style>
  <w:style w:type="paragraph" w:styleId="Heading6">
    <w:name w:val="heading 6"/>
    <w:basedOn w:val="Normal"/>
    <w:next w:val="Normal"/>
    <w:link w:val="Heading6Char"/>
    <w:qFormat/>
    <w:rsid w:val="00196886"/>
    <w:pPr>
      <w:outlineLvl w:val="5"/>
    </w:pPr>
    <w:rPr>
      <w:lang w:val="es-ES_tradnl"/>
    </w:rPr>
  </w:style>
  <w:style w:type="paragraph" w:styleId="Heading7">
    <w:name w:val="heading 7"/>
    <w:basedOn w:val="Normal"/>
    <w:next w:val="Normal"/>
    <w:link w:val="Heading7Char"/>
    <w:qFormat/>
    <w:rsid w:val="00196886"/>
    <w:pPr>
      <w:spacing w:before="240" w:after="60"/>
      <w:outlineLvl w:val="6"/>
    </w:pPr>
    <w:rPr>
      <w:szCs w:val="24"/>
    </w:rPr>
  </w:style>
  <w:style w:type="paragraph" w:styleId="Heading8">
    <w:name w:val="heading 8"/>
    <w:basedOn w:val="Normal"/>
    <w:next w:val="Normal"/>
    <w:link w:val="Heading8Char"/>
    <w:qFormat/>
    <w:rsid w:val="00196886"/>
    <w:pPr>
      <w:keepNext/>
      <w:jc w:val="center"/>
      <w:outlineLvl w:val="7"/>
    </w:pPr>
    <w:rPr>
      <w:u w:val="single"/>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00B"/>
    <w:rPr>
      <w:rFonts w:ascii="Arial" w:hAnsi="Arial"/>
      <w:caps/>
    </w:rPr>
  </w:style>
  <w:style w:type="character" w:customStyle="1" w:styleId="Heading2Char">
    <w:name w:val="Heading 2 Char"/>
    <w:link w:val="Heading2"/>
    <w:rsid w:val="00747C66"/>
    <w:rPr>
      <w:rFonts w:ascii="Arial" w:hAnsi="Arial"/>
      <w:u w:val="single"/>
    </w:rPr>
  </w:style>
  <w:style w:type="character" w:customStyle="1" w:styleId="Heading3Char">
    <w:name w:val="Heading 3 Char"/>
    <w:link w:val="Heading3"/>
    <w:locked/>
    <w:rsid w:val="00B027B0"/>
    <w:rPr>
      <w:rFonts w:ascii="Arial" w:eastAsia="Calibri" w:hAnsi="Arial"/>
      <w:i/>
      <w:snapToGrid w:val="0"/>
      <w:color w:val="000000"/>
      <w:lang w:val="de-DE" w:eastAsia="de-DE" w:bidi="de-DE"/>
    </w:rPr>
  </w:style>
  <w:style w:type="character" w:customStyle="1" w:styleId="Heading4Char">
    <w:name w:val="Heading 4 Char"/>
    <w:link w:val="Heading4"/>
    <w:rsid w:val="003954EF"/>
    <w:rPr>
      <w:rFonts w:ascii="Arial" w:hAnsi="Arial"/>
      <w:i/>
      <w:caps/>
    </w:rPr>
  </w:style>
  <w:style w:type="character" w:customStyle="1" w:styleId="Heading6Char">
    <w:name w:val="Heading 6 Char"/>
    <w:basedOn w:val="DefaultParagraphFont"/>
    <w:link w:val="Heading6"/>
    <w:rsid w:val="00196886"/>
    <w:rPr>
      <w:rFonts w:ascii="Arial" w:hAnsi="Arial"/>
      <w:lang w:val="es-ES_tradnl"/>
    </w:rPr>
  </w:style>
  <w:style w:type="character" w:customStyle="1" w:styleId="Heading7Char">
    <w:name w:val="Heading 7 Char"/>
    <w:basedOn w:val="DefaultParagraphFont"/>
    <w:link w:val="Heading7"/>
    <w:rsid w:val="00196886"/>
    <w:rPr>
      <w:rFonts w:ascii="Arial" w:hAnsi="Arial"/>
      <w:szCs w:val="24"/>
    </w:rPr>
  </w:style>
  <w:style w:type="character" w:customStyle="1" w:styleId="Heading8Char">
    <w:name w:val="Heading 8 Char"/>
    <w:basedOn w:val="DefaultParagraphFont"/>
    <w:link w:val="Heading8"/>
    <w:rsid w:val="00196886"/>
    <w:rPr>
      <w:rFonts w:ascii="Arial" w:hAnsi="Arial"/>
      <w:u w:val="single"/>
    </w:rPr>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link w:val="Footer"/>
    <w:rsid w:val="00196886"/>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link w:val="DecisionParagraphsChar"/>
    <w:rsid w:val="0033507D"/>
    <w:pPr>
      <w:tabs>
        <w:tab w:val="left" w:pos="5387"/>
      </w:tabs>
      <w:ind w:left="4820"/>
    </w:pPr>
    <w:rPr>
      <w:i/>
    </w:rPr>
  </w:style>
  <w:style w:type="character" w:customStyle="1" w:styleId="DecisionParagraphsChar">
    <w:name w:val="DecisionParagraphs Char"/>
    <w:link w:val="DecisionParagraphs"/>
    <w:rsid w:val="00196886"/>
    <w:rPr>
      <w:rFonts w:ascii="Arial" w:hAnsi="Arial"/>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196886"/>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196886"/>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196886"/>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link w:val="TitleofdocChar"/>
    <w:rsid w:val="0033507D"/>
    <w:pPr>
      <w:spacing w:before="600"/>
      <w:jc w:val="center"/>
    </w:pPr>
    <w:rPr>
      <w:caps/>
    </w:rPr>
  </w:style>
  <w:style w:type="character" w:customStyle="1" w:styleId="TitleofdocChar">
    <w:name w:val="Title_of_doc Char"/>
    <w:link w:val="Titleofdoc0"/>
    <w:rsid w:val="005B0B2E"/>
    <w:rPr>
      <w:rFonts w:ascii="Arial" w:hAnsi="Arial"/>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8038E"/>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Style1">
    <w:name w:val="Style1"/>
    <w:basedOn w:val="Normal"/>
    <w:rsid w:val="00196886"/>
    <w:pPr>
      <w:tabs>
        <w:tab w:val="decimal" w:pos="907"/>
        <w:tab w:val="left" w:pos="1077"/>
      </w:tabs>
    </w:pPr>
    <w:rPr>
      <w:rFonts w:ascii="Times New Roman" w:eastAsia="MS Mincho" w:hAnsi="Times New Roman"/>
      <w:sz w:val="24"/>
    </w:rPr>
  </w:style>
  <w:style w:type="paragraph" w:customStyle="1" w:styleId="n">
    <w:name w:val="n"/>
    <w:basedOn w:val="Header"/>
    <w:rsid w:val="00196886"/>
    <w:rPr>
      <w:rFonts w:ascii="Times New Roman" w:hAnsi="Times New Roman"/>
      <w:sz w:val="24"/>
    </w:rPr>
  </w:style>
  <w:style w:type="paragraph" w:customStyle="1" w:styleId="Normalt">
    <w:name w:val="Normalt"/>
    <w:basedOn w:val="Normal"/>
    <w:rsid w:val="00196886"/>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96886"/>
    <w:pPr>
      <w:keepNext/>
    </w:pPr>
    <w:rPr>
      <w:b/>
      <w:bCs/>
    </w:rPr>
  </w:style>
  <w:style w:type="paragraph" w:styleId="NormalWeb">
    <w:name w:val="Normal (Web)"/>
    <w:basedOn w:val="Normal"/>
    <w:rsid w:val="00196886"/>
    <w:pPr>
      <w:spacing w:before="100" w:beforeAutospacing="1" w:after="100" w:afterAutospacing="1"/>
      <w:jc w:val="left"/>
    </w:pPr>
    <w:rPr>
      <w:szCs w:val="24"/>
    </w:rPr>
  </w:style>
  <w:style w:type="paragraph" w:customStyle="1" w:styleId="pdflink">
    <w:name w:val="pdflink"/>
    <w:basedOn w:val="Normal"/>
    <w:next w:val="Normal"/>
    <w:rsid w:val="00196886"/>
    <w:rPr>
      <w:color w:val="800000"/>
      <w:u w:val="words"/>
    </w:rPr>
  </w:style>
  <w:style w:type="paragraph" w:customStyle="1" w:styleId="Draft">
    <w:name w:val="Draft"/>
    <w:basedOn w:val="Normal"/>
    <w:next w:val="preparedby"/>
    <w:rsid w:val="00196886"/>
    <w:pPr>
      <w:spacing w:before="720" w:after="480"/>
      <w:jc w:val="center"/>
    </w:pPr>
    <w:rPr>
      <w:caps/>
      <w:sz w:val="28"/>
    </w:rPr>
  </w:style>
  <w:style w:type="paragraph" w:customStyle="1" w:styleId="tqparabox">
    <w:name w:val="tqparabox"/>
    <w:basedOn w:val="Normal"/>
    <w:rsid w:val="00196886"/>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196886"/>
    <w:pPr>
      <w:ind w:left="567"/>
    </w:pPr>
    <w:rPr>
      <w:lang w:val="es-ES_tradnl"/>
    </w:rPr>
  </w:style>
  <w:style w:type="character" w:customStyle="1" w:styleId="BodyTextIndentChar">
    <w:name w:val="Body Text Indent Char"/>
    <w:basedOn w:val="DefaultParagraphFont"/>
    <w:link w:val="BodyTextIndent"/>
    <w:rsid w:val="00196886"/>
    <w:rPr>
      <w:rFonts w:ascii="Arial" w:hAnsi="Arial"/>
      <w:lang w:val="es-ES_tradnl"/>
    </w:rPr>
  </w:style>
  <w:style w:type="paragraph" w:customStyle="1" w:styleId="twpcheck">
    <w:name w:val="twpcheck"/>
    <w:basedOn w:val="Normal"/>
    <w:rsid w:val="00196886"/>
    <w:pPr>
      <w:spacing w:before="80" w:after="80"/>
      <w:jc w:val="left"/>
    </w:pPr>
    <w:rPr>
      <w:rFonts w:cs="Arial"/>
      <w:snapToGrid w:val="0"/>
      <w:sz w:val="16"/>
      <w:szCs w:val="16"/>
    </w:rPr>
  </w:style>
  <w:style w:type="paragraph" w:customStyle="1" w:styleId="DecisionInvitingPara">
    <w:name w:val="Decision Inviting Para."/>
    <w:basedOn w:val="Normal"/>
    <w:rsid w:val="00196886"/>
    <w:pPr>
      <w:ind w:left="4536"/>
    </w:pPr>
    <w:rPr>
      <w:i/>
      <w:lang w:val="es-ES_tradnl"/>
    </w:rPr>
  </w:style>
  <w:style w:type="paragraph" w:customStyle="1" w:styleId="Enttepair">
    <w:name w:val="Entête_pair"/>
    <w:basedOn w:val="Normal"/>
    <w:next w:val="Normal"/>
    <w:rsid w:val="00196886"/>
    <w:pPr>
      <w:pBdr>
        <w:bottom w:val="single" w:sz="4" w:space="1" w:color="auto"/>
      </w:pBdr>
      <w:jc w:val="left"/>
    </w:pPr>
    <w:rPr>
      <w:szCs w:val="24"/>
    </w:rPr>
  </w:style>
  <w:style w:type="paragraph" w:customStyle="1" w:styleId="Entteimpair">
    <w:name w:val="Entête_impair"/>
    <w:basedOn w:val="Normal"/>
    <w:next w:val="Normal"/>
    <w:rsid w:val="00196886"/>
    <w:pPr>
      <w:pBdr>
        <w:bottom w:val="single" w:sz="4" w:space="1" w:color="auto"/>
      </w:pBdr>
      <w:jc w:val="right"/>
    </w:pPr>
  </w:style>
  <w:style w:type="paragraph" w:styleId="ListBullet">
    <w:name w:val="List Bullet"/>
    <w:basedOn w:val="Normal"/>
    <w:autoRedefine/>
    <w:rsid w:val="00196886"/>
    <w:pPr>
      <w:tabs>
        <w:tab w:val="num" w:pos="360"/>
      </w:tabs>
      <w:ind w:left="360" w:hanging="360"/>
    </w:pPr>
    <w:rPr>
      <w:bCs/>
      <w:szCs w:val="24"/>
      <w:lang w:val="es-ES" w:eastAsia="zh-CN"/>
    </w:rPr>
  </w:style>
  <w:style w:type="character" w:styleId="FollowedHyperlink">
    <w:name w:val="FollowedHyperlink"/>
    <w:rsid w:val="00196886"/>
    <w:rPr>
      <w:color w:val="606420"/>
      <w:u w:val="single"/>
    </w:rPr>
  </w:style>
  <w:style w:type="paragraph" w:styleId="BlockText">
    <w:name w:val="Block Text"/>
    <w:basedOn w:val="Normal"/>
    <w:rsid w:val="00196886"/>
    <w:pPr>
      <w:ind w:left="567" w:right="566"/>
    </w:pPr>
    <w:rPr>
      <w:sz w:val="22"/>
    </w:rPr>
  </w:style>
  <w:style w:type="paragraph" w:styleId="CommentText">
    <w:name w:val="annotation text"/>
    <w:basedOn w:val="Normal"/>
    <w:link w:val="CommentTextChar"/>
    <w:rsid w:val="00196886"/>
    <w:rPr>
      <w:sz w:val="22"/>
      <w:lang w:val="es-ES_tradnl"/>
    </w:rPr>
  </w:style>
  <w:style w:type="character" w:customStyle="1" w:styleId="CommentTextChar">
    <w:name w:val="Comment Text Char"/>
    <w:basedOn w:val="DefaultParagraphFont"/>
    <w:link w:val="CommentText"/>
    <w:rsid w:val="00196886"/>
    <w:rPr>
      <w:rFonts w:ascii="Arial" w:hAnsi="Arial"/>
      <w:sz w:val="22"/>
      <w:lang w:val="es-ES_tradnl"/>
    </w:rPr>
  </w:style>
  <w:style w:type="paragraph" w:customStyle="1" w:styleId="Committee">
    <w:name w:val="Committee"/>
    <w:basedOn w:val="Title"/>
    <w:rsid w:val="00196886"/>
    <w:rPr>
      <w:caps w:val="0"/>
    </w:rPr>
  </w:style>
  <w:style w:type="paragraph" w:customStyle="1" w:styleId="TitleofSection">
    <w:name w:val="Title of Section"/>
    <w:basedOn w:val="TitleofDoc"/>
    <w:rsid w:val="00196886"/>
    <w:pPr>
      <w:spacing w:before="120" w:after="120"/>
    </w:pPr>
    <w:rPr>
      <w:b/>
      <w:caps w:val="0"/>
      <w:lang w:eastAsia="de-DE"/>
    </w:rPr>
  </w:style>
  <w:style w:type="paragraph" w:customStyle="1" w:styleId="TOCAnnex">
    <w:name w:val="TOC Annex"/>
    <w:basedOn w:val="Normal"/>
    <w:rsid w:val="0019688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196886"/>
    <w:rPr>
      <w:rFonts w:ascii="Courier New" w:hAnsi="Courier New" w:cs="Courier New"/>
      <w:lang w:eastAsia="fr-FR"/>
    </w:rPr>
  </w:style>
  <w:style w:type="character" w:customStyle="1" w:styleId="PlainTextChar">
    <w:name w:val="Plain Text Char"/>
    <w:basedOn w:val="DefaultParagraphFont"/>
    <w:link w:val="PlainText"/>
    <w:rsid w:val="00196886"/>
    <w:rPr>
      <w:rFonts w:ascii="Courier New" w:hAnsi="Courier New" w:cs="Courier New"/>
      <w:lang w:eastAsia="fr-FR"/>
    </w:rPr>
  </w:style>
  <w:style w:type="paragraph" w:customStyle="1" w:styleId="Default">
    <w:name w:val="Default"/>
    <w:basedOn w:val="Normal"/>
    <w:rsid w:val="00196886"/>
    <w:pPr>
      <w:jc w:val="left"/>
    </w:pPr>
    <w:rPr>
      <w:rFonts w:eastAsia="SimSun" w:cs="Arial"/>
      <w:color w:val="000000"/>
      <w:sz w:val="24"/>
      <w:szCs w:val="24"/>
    </w:rPr>
  </w:style>
  <w:style w:type="paragraph" w:customStyle="1" w:styleId="tgcharnumber">
    <w:name w:val="tg_char_number"/>
    <w:basedOn w:val="Normal"/>
    <w:rsid w:val="00196886"/>
    <w:pPr>
      <w:keepNext/>
      <w:spacing w:before="80" w:after="80"/>
      <w:jc w:val="center"/>
    </w:pPr>
    <w:rPr>
      <w:b/>
      <w:sz w:val="16"/>
    </w:rPr>
  </w:style>
  <w:style w:type="paragraph" w:customStyle="1" w:styleId="tgchartitle">
    <w:name w:val="tg_char_title"/>
    <w:basedOn w:val="Normal"/>
    <w:rsid w:val="00196886"/>
    <w:pPr>
      <w:spacing w:before="80" w:after="80"/>
      <w:jc w:val="left"/>
    </w:pPr>
    <w:rPr>
      <w:b/>
      <w:sz w:val="16"/>
    </w:rPr>
  </w:style>
  <w:style w:type="paragraph" w:customStyle="1" w:styleId="tgchartext">
    <w:name w:val="tg_char_text"/>
    <w:basedOn w:val="Normal"/>
    <w:rsid w:val="00196886"/>
    <w:pPr>
      <w:spacing w:before="80" w:after="80"/>
      <w:jc w:val="left"/>
    </w:pPr>
    <w:rPr>
      <w:sz w:val="16"/>
    </w:rPr>
  </w:style>
  <w:style w:type="paragraph" w:styleId="ListParagraph">
    <w:name w:val="List Paragraph"/>
    <w:basedOn w:val="Normal"/>
    <w:qFormat/>
    <w:rsid w:val="00526CBD"/>
    <w:pPr>
      <w:ind w:left="720"/>
      <w:contextualSpacing/>
    </w:pPr>
  </w:style>
  <w:style w:type="paragraph" w:styleId="TOCHeading">
    <w:name w:val="TOC Heading"/>
    <w:basedOn w:val="Heading1"/>
    <w:next w:val="Normal"/>
    <w:uiPriority w:val="39"/>
    <w:unhideWhenUsed/>
    <w:qFormat/>
    <w:rsid w:val="001002A7"/>
    <w:pPr>
      <w:keepLines/>
      <w:spacing w:before="480" w:line="276" w:lineRule="auto"/>
      <w:jc w:val="left"/>
      <w:outlineLvl w:val="9"/>
    </w:pPr>
    <w:rPr>
      <w:rFonts w:asciiTheme="majorHAnsi" w:eastAsiaTheme="majorEastAsia" w:hAnsiTheme="majorHAnsi" w:cstheme="majorBidi"/>
      <w:b/>
      <w:bCs/>
      <w:i/>
      <w:caps w:val="0"/>
      <w:color w:val="365F91" w:themeColor="accent1" w:themeShade="BF"/>
      <w:sz w:val="28"/>
      <w:szCs w:val="28"/>
      <w:lang w:eastAsia="ja-JP"/>
    </w:rPr>
  </w:style>
  <w:style w:type="character" w:styleId="Emphasis">
    <w:name w:val="Emphasis"/>
    <w:basedOn w:val="DefaultParagraphFont"/>
    <w:qFormat/>
    <w:rsid w:val="00090AC3"/>
    <w:rPr>
      <w:i/>
      <w:iCs/>
    </w:rPr>
  </w:style>
  <w:style w:type="character" w:customStyle="1" w:styleId="Heading5Char">
    <w:name w:val="Heading 5 Char"/>
    <w:basedOn w:val="DefaultParagraphFont"/>
    <w:link w:val="Heading5"/>
    <w:rsid w:val="000313D8"/>
    <w:rPr>
      <w:rFonts w:ascii="Arial" w:eastAsia="Calibri" w:hAnsi="Arial"/>
      <w:snapToGrid w:val="0"/>
      <w:szCs w:val="18"/>
      <w:lang w:val="de-DE" w:eastAsia="de-DE" w:bidi="de-DE"/>
    </w:rPr>
  </w:style>
  <w:style w:type="character" w:customStyle="1" w:styleId="Heading9Char">
    <w:name w:val="Heading 9 Char"/>
    <w:basedOn w:val="DefaultParagraphFont"/>
    <w:link w:val="Heading9"/>
    <w:rsid w:val="000313D8"/>
    <w:rPr>
      <w:rFonts w:ascii="Arial" w:hAnsi="Arial"/>
      <w:i/>
      <w:sz w:val="18"/>
    </w:rPr>
  </w:style>
  <w:style w:type="character" w:customStyle="1" w:styleId="HeaderChar">
    <w:name w:val="Header Char"/>
    <w:basedOn w:val="DefaultParagraphFont"/>
    <w:link w:val="Header"/>
    <w:rsid w:val="000313D8"/>
    <w:rPr>
      <w:rFonts w:ascii="Arial" w:hAnsi="Arial"/>
      <w:lang w:val="fr-FR"/>
    </w:rPr>
  </w:style>
  <w:style w:type="character" w:customStyle="1" w:styleId="TitleChar">
    <w:name w:val="Title Char"/>
    <w:basedOn w:val="DefaultParagraphFont"/>
    <w:link w:val="Title"/>
    <w:rsid w:val="000313D8"/>
    <w:rPr>
      <w:rFonts w:ascii="Arial" w:hAnsi="Arial"/>
      <w:b/>
      <w:caps/>
      <w:kern w:val="28"/>
      <w:sz w:val="30"/>
    </w:rPr>
  </w:style>
  <w:style w:type="character" w:customStyle="1" w:styleId="FootnoteTextChar">
    <w:name w:val="Footnote Text Char"/>
    <w:basedOn w:val="DefaultParagraphFont"/>
    <w:link w:val="FootnoteText"/>
    <w:rsid w:val="000313D8"/>
    <w:rPr>
      <w:rFonts w:ascii="Arial" w:hAnsi="Arial"/>
      <w:sz w:val="16"/>
    </w:rPr>
  </w:style>
  <w:style w:type="character" w:customStyle="1" w:styleId="ClosingChar">
    <w:name w:val="Closing Char"/>
    <w:basedOn w:val="DefaultParagraphFont"/>
    <w:link w:val="Closing"/>
    <w:rsid w:val="000313D8"/>
    <w:rPr>
      <w:rFonts w:ascii="Arial" w:hAnsi="Arial"/>
    </w:rPr>
  </w:style>
  <w:style w:type="character" w:customStyle="1" w:styleId="MacroTextChar">
    <w:name w:val="Macro Text Char"/>
    <w:basedOn w:val="DefaultParagraphFont"/>
    <w:link w:val="MacroText"/>
    <w:semiHidden/>
    <w:rsid w:val="000313D8"/>
    <w:rPr>
      <w:rFonts w:ascii="Courier New" w:hAnsi="Courier New"/>
      <w:sz w:val="16"/>
    </w:rPr>
  </w:style>
  <w:style w:type="character" w:customStyle="1" w:styleId="SignatureChar">
    <w:name w:val="Signature Char"/>
    <w:basedOn w:val="DefaultParagraphFont"/>
    <w:link w:val="Signature"/>
    <w:rsid w:val="000313D8"/>
    <w:rPr>
      <w:rFonts w:ascii="Arial" w:hAnsi="Arial"/>
    </w:rPr>
  </w:style>
  <w:style w:type="character" w:customStyle="1" w:styleId="EndnoteTextChar">
    <w:name w:val="Endnote Text Char"/>
    <w:basedOn w:val="DefaultParagraphFont"/>
    <w:link w:val="EndnoteText"/>
    <w:semiHidden/>
    <w:rsid w:val="000313D8"/>
    <w:rPr>
      <w:rFonts w:ascii="Arial" w:hAnsi="Arial"/>
    </w:rPr>
  </w:style>
  <w:style w:type="character" w:customStyle="1" w:styleId="DateChar">
    <w:name w:val="Date Char"/>
    <w:basedOn w:val="DefaultParagraphFont"/>
    <w:link w:val="Date"/>
    <w:semiHidden/>
    <w:rsid w:val="000313D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2613">
      <w:bodyDiv w:val="1"/>
      <w:marLeft w:val="0"/>
      <w:marRight w:val="0"/>
      <w:marTop w:val="0"/>
      <w:marBottom w:val="0"/>
      <w:divBdr>
        <w:top w:val="none" w:sz="0" w:space="0" w:color="auto"/>
        <w:left w:val="none" w:sz="0" w:space="0" w:color="auto"/>
        <w:bottom w:val="none" w:sz="0" w:space="0" w:color="auto"/>
        <w:right w:val="none" w:sz="0" w:space="0" w:color="auto"/>
      </w:divBdr>
    </w:div>
    <w:div w:id="223689363">
      <w:bodyDiv w:val="1"/>
      <w:marLeft w:val="0"/>
      <w:marRight w:val="0"/>
      <w:marTop w:val="0"/>
      <w:marBottom w:val="0"/>
      <w:divBdr>
        <w:top w:val="none" w:sz="0" w:space="0" w:color="auto"/>
        <w:left w:val="none" w:sz="0" w:space="0" w:color="auto"/>
        <w:bottom w:val="none" w:sz="0" w:space="0" w:color="auto"/>
        <w:right w:val="none" w:sz="0" w:space="0" w:color="auto"/>
      </w:divBdr>
    </w:div>
    <w:div w:id="665403858">
      <w:bodyDiv w:val="1"/>
      <w:marLeft w:val="0"/>
      <w:marRight w:val="0"/>
      <w:marTop w:val="0"/>
      <w:marBottom w:val="0"/>
      <w:divBdr>
        <w:top w:val="none" w:sz="0" w:space="0" w:color="auto"/>
        <w:left w:val="none" w:sz="0" w:space="0" w:color="auto"/>
        <w:bottom w:val="none" w:sz="0" w:space="0" w:color="auto"/>
        <w:right w:val="none" w:sz="0" w:space="0" w:color="auto"/>
      </w:divBdr>
    </w:div>
    <w:div w:id="781532885">
      <w:bodyDiv w:val="1"/>
      <w:marLeft w:val="0"/>
      <w:marRight w:val="0"/>
      <w:marTop w:val="0"/>
      <w:marBottom w:val="0"/>
      <w:divBdr>
        <w:top w:val="none" w:sz="0" w:space="0" w:color="auto"/>
        <w:left w:val="none" w:sz="0" w:space="0" w:color="auto"/>
        <w:bottom w:val="none" w:sz="0" w:space="0" w:color="auto"/>
        <w:right w:val="none" w:sz="0" w:space="0" w:color="auto"/>
      </w:divBdr>
    </w:div>
    <w:div w:id="1001857685">
      <w:bodyDiv w:val="1"/>
      <w:marLeft w:val="0"/>
      <w:marRight w:val="0"/>
      <w:marTop w:val="0"/>
      <w:marBottom w:val="0"/>
      <w:divBdr>
        <w:top w:val="none" w:sz="0" w:space="0" w:color="auto"/>
        <w:left w:val="none" w:sz="0" w:space="0" w:color="auto"/>
        <w:bottom w:val="none" w:sz="0" w:space="0" w:color="auto"/>
        <w:right w:val="none" w:sz="0" w:space="0" w:color="auto"/>
      </w:divBdr>
    </w:div>
    <w:div w:id="1690522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7AAF1-C002-43CB-BC63-F9DEE172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45</TotalTime>
  <Pages>41</Pages>
  <Words>16350</Words>
  <Characters>115113</Characters>
  <Application>Microsoft Office Word</Application>
  <DocSecurity>0</DocSecurity>
  <Lines>959</Lines>
  <Paragraphs>262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TC/48 ENGLISH</vt:lpstr>
      <vt:lpstr>template TC/48 ENGLISH</vt:lpstr>
    </vt:vector>
  </TitlesOfParts>
  <Company>UPOV</Company>
  <LinksUpToDate>false</LinksUpToDate>
  <CharactersWithSpaces>131201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12</cp:revision>
  <cp:lastPrinted>2013-10-03T15:01:00Z</cp:lastPrinted>
  <dcterms:created xsi:type="dcterms:W3CDTF">2013-09-13T08:27:00Z</dcterms:created>
  <dcterms:modified xsi:type="dcterms:W3CDTF">2013-10-03T15:01:00Z</dcterms:modified>
</cp:coreProperties>
</file>